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4E" w:rsidRDefault="00F9224E">
      <w:pPr>
        <w:pStyle w:val="Title"/>
        <w:jc w:val="left"/>
      </w:pPr>
      <w:bookmarkStart w:id="0" w:name="_GoBack"/>
      <w:bookmarkEnd w:id="0"/>
    </w:p>
    <w:p w:rsidR="00F9224E" w:rsidRDefault="00F9224E">
      <w:pPr>
        <w:pStyle w:val="Title"/>
      </w:pPr>
      <w:r>
        <w:t>Before the</w:t>
      </w:r>
    </w:p>
    <w:p w:rsidR="00F9224E" w:rsidRDefault="00F9224E">
      <w:pPr>
        <w:jc w:val="center"/>
        <w:rPr>
          <w:b/>
        </w:rPr>
      </w:pPr>
      <w:r>
        <w:rPr>
          <w:b/>
        </w:rPr>
        <w:t>Federal Communications Commission</w:t>
      </w:r>
    </w:p>
    <w:p w:rsidR="00F9224E" w:rsidRDefault="00F9224E">
      <w:pPr>
        <w:jc w:val="center"/>
      </w:pPr>
      <w:r>
        <w:rPr>
          <w:b/>
        </w:rPr>
        <w:t>Washington, D.C. 20554</w:t>
      </w:r>
    </w:p>
    <w:p w:rsidR="00F9224E" w:rsidRDefault="00F9224E">
      <w:pPr>
        <w:rPr>
          <w:spacing w:val="-2"/>
          <w:sz w:val="24"/>
        </w:rPr>
      </w:pPr>
    </w:p>
    <w:tbl>
      <w:tblPr>
        <w:tblW w:w="0" w:type="auto"/>
        <w:tblLayout w:type="fixed"/>
        <w:tblLook w:val="0000" w:firstRow="0" w:lastRow="0" w:firstColumn="0" w:lastColumn="0" w:noHBand="0" w:noVBand="0"/>
      </w:tblPr>
      <w:tblGrid>
        <w:gridCol w:w="4698"/>
        <w:gridCol w:w="630"/>
        <w:gridCol w:w="4248"/>
      </w:tblGrid>
      <w:tr w:rsidR="00F9224E">
        <w:tc>
          <w:tcPr>
            <w:tcW w:w="4698" w:type="dxa"/>
          </w:tcPr>
          <w:p w:rsidR="00F9224E" w:rsidRDefault="00F9224E">
            <w:pPr>
              <w:rPr>
                <w:spacing w:val="-2"/>
              </w:rPr>
            </w:pPr>
            <w:r>
              <w:rPr>
                <w:spacing w:val="-2"/>
              </w:rPr>
              <w:t>In the Matter of</w:t>
            </w:r>
          </w:p>
          <w:p w:rsidR="00F9224E" w:rsidRDefault="00E74D4F">
            <w:pPr>
              <w:rPr>
                <w:spacing w:val="-2"/>
              </w:rPr>
            </w:pPr>
            <w:r>
              <w:rPr>
                <w:spacing w:val="-2"/>
              </w:rPr>
              <w:t xml:space="preserve"> </w:t>
            </w:r>
          </w:p>
          <w:p w:rsidR="00F9224E" w:rsidRDefault="00EB1BED">
            <w:pPr>
              <w:rPr>
                <w:spacing w:val="-2"/>
              </w:rPr>
            </w:pPr>
            <w:r>
              <w:rPr>
                <w:spacing w:val="-2"/>
              </w:rPr>
              <w:t>MOBILE RELAY ASSOCIATES</w:t>
            </w:r>
          </w:p>
          <w:p w:rsidR="00F9224E" w:rsidRDefault="00F9224E">
            <w:pPr>
              <w:rPr>
                <w:spacing w:val="-2"/>
              </w:rPr>
            </w:pPr>
          </w:p>
          <w:p w:rsidR="00F9224E" w:rsidRDefault="00EB1BED">
            <w:pPr>
              <w:rPr>
                <w:spacing w:val="-2"/>
              </w:rPr>
            </w:pPr>
            <w:r>
              <w:rPr>
                <w:spacing w:val="-2"/>
              </w:rPr>
              <w:t>HIGHLAND WIRELESS SERVICES, LLC</w:t>
            </w:r>
          </w:p>
          <w:p w:rsidR="00F9224E" w:rsidRDefault="00F9224E">
            <w:pPr>
              <w:rPr>
                <w:spacing w:val="-2"/>
              </w:rPr>
            </w:pPr>
          </w:p>
          <w:p w:rsidR="00F9224E" w:rsidRDefault="00EB1BED">
            <w:pPr>
              <w:rPr>
                <w:spacing w:val="-2"/>
              </w:rPr>
            </w:pPr>
            <w:r>
              <w:rPr>
                <w:spacing w:val="-2"/>
              </w:rPr>
              <w:t>TERRY CAMERON</w:t>
            </w:r>
            <w:r w:rsidR="0073209D">
              <w:rPr>
                <w:spacing w:val="-2"/>
              </w:rPr>
              <w:t xml:space="preserve"> </w:t>
            </w:r>
          </w:p>
          <w:p w:rsidR="006A4840" w:rsidRDefault="006A4840">
            <w:pPr>
              <w:rPr>
                <w:spacing w:val="-2"/>
              </w:rPr>
            </w:pPr>
          </w:p>
          <w:p w:rsidR="006A4840" w:rsidRDefault="00EB1BED">
            <w:pPr>
              <w:rPr>
                <w:spacing w:val="-2"/>
              </w:rPr>
            </w:pPr>
            <w:r>
              <w:rPr>
                <w:spacing w:val="-2"/>
              </w:rPr>
              <w:t>RADIO MAINTENANCE, INC.</w:t>
            </w:r>
          </w:p>
          <w:p w:rsidR="0022323C" w:rsidRDefault="0022323C">
            <w:pPr>
              <w:rPr>
                <w:spacing w:val="-2"/>
              </w:rPr>
            </w:pPr>
          </w:p>
          <w:p w:rsidR="0022323C" w:rsidRDefault="00EB1BED">
            <w:pPr>
              <w:rPr>
                <w:spacing w:val="-2"/>
              </w:rPr>
            </w:pPr>
            <w:r>
              <w:rPr>
                <w:spacing w:val="-2"/>
              </w:rPr>
              <w:t>A BEEP, LLC</w:t>
            </w:r>
          </w:p>
          <w:p w:rsidR="00023EB9" w:rsidRDefault="00023EB9">
            <w:pPr>
              <w:rPr>
                <w:spacing w:val="-2"/>
              </w:rPr>
            </w:pPr>
          </w:p>
          <w:p w:rsidR="00023EB9" w:rsidRDefault="00023EB9" w:rsidP="00EB1BED">
            <w:pPr>
              <w:rPr>
                <w:spacing w:val="-2"/>
              </w:rPr>
            </w:pPr>
            <w:r>
              <w:rPr>
                <w:spacing w:val="-2"/>
              </w:rPr>
              <w:t xml:space="preserve">Requests for Waivers to Permit Part 90 Use of Channels Between </w:t>
            </w:r>
            <w:r w:rsidR="00EB1BED">
              <w:rPr>
                <w:spacing w:val="-2"/>
              </w:rPr>
              <w:t>Spectrum Designated for V</w:t>
            </w:r>
            <w:r>
              <w:rPr>
                <w:spacing w:val="-2"/>
              </w:rPr>
              <w:t xml:space="preserve">arious </w:t>
            </w:r>
            <w:r w:rsidR="00EB1BED">
              <w:rPr>
                <w:spacing w:val="-2"/>
              </w:rPr>
              <w:t>Services</w:t>
            </w:r>
          </w:p>
        </w:tc>
        <w:tc>
          <w:tcPr>
            <w:tcW w:w="630" w:type="dxa"/>
          </w:tcPr>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6A4840" w:rsidRDefault="006A4840">
            <w:pPr>
              <w:rPr>
                <w:spacing w:val="-2"/>
              </w:rPr>
            </w:pPr>
            <w:r>
              <w:rPr>
                <w:spacing w:val="-2"/>
              </w:rPr>
              <w:t>)</w:t>
            </w:r>
          </w:p>
          <w:p w:rsidR="006A4840" w:rsidRDefault="006A4840">
            <w:pPr>
              <w:rPr>
                <w:spacing w:val="-2"/>
              </w:rPr>
            </w:pPr>
            <w:r>
              <w:rPr>
                <w:spacing w:val="-2"/>
              </w:rPr>
              <w:t>)</w:t>
            </w:r>
          </w:p>
          <w:p w:rsidR="00023EB9" w:rsidRDefault="00023EB9">
            <w:pPr>
              <w:rPr>
                <w:spacing w:val="-2"/>
              </w:rPr>
            </w:pPr>
            <w:r>
              <w:rPr>
                <w:spacing w:val="-2"/>
              </w:rPr>
              <w:t>)</w:t>
            </w:r>
          </w:p>
          <w:p w:rsidR="00023EB9" w:rsidRDefault="00023EB9">
            <w:pPr>
              <w:rPr>
                <w:spacing w:val="-2"/>
              </w:rPr>
            </w:pPr>
            <w:r>
              <w:rPr>
                <w:spacing w:val="-2"/>
              </w:rPr>
              <w:t>)</w:t>
            </w:r>
          </w:p>
          <w:p w:rsidR="00023EB9" w:rsidRDefault="00023EB9">
            <w:pPr>
              <w:rPr>
                <w:spacing w:val="-2"/>
              </w:rPr>
            </w:pPr>
            <w:r>
              <w:rPr>
                <w:spacing w:val="-2"/>
              </w:rPr>
              <w:t>)</w:t>
            </w:r>
          </w:p>
          <w:p w:rsidR="0022323C" w:rsidRDefault="0022323C">
            <w:pPr>
              <w:rPr>
                <w:spacing w:val="-2"/>
              </w:rPr>
            </w:pPr>
            <w:r>
              <w:rPr>
                <w:spacing w:val="-2"/>
              </w:rPr>
              <w:t>)</w:t>
            </w:r>
          </w:p>
          <w:p w:rsidR="0022323C" w:rsidRDefault="0022323C">
            <w:pPr>
              <w:rPr>
                <w:spacing w:val="-2"/>
              </w:rPr>
            </w:pPr>
            <w:r>
              <w:rPr>
                <w:spacing w:val="-2"/>
              </w:rPr>
              <w:t>)</w:t>
            </w:r>
          </w:p>
          <w:p w:rsidR="00EB1BED" w:rsidRDefault="00EB1BED">
            <w:pPr>
              <w:rPr>
                <w:spacing w:val="-2"/>
              </w:rPr>
            </w:pPr>
            <w:r>
              <w:rPr>
                <w:spacing w:val="-2"/>
              </w:rPr>
              <w:t>)</w:t>
            </w:r>
          </w:p>
          <w:p w:rsidR="00FE10B5" w:rsidRDefault="00FE10B5">
            <w:pPr>
              <w:rPr>
                <w:spacing w:val="-2"/>
              </w:rPr>
            </w:pPr>
          </w:p>
        </w:tc>
        <w:tc>
          <w:tcPr>
            <w:tcW w:w="4248" w:type="dxa"/>
          </w:tcPr>
          <w:p w:rsidR="00F9224E" w:rsidRDefault="00F9224E">
            <w:pPr>
              <w:rPr>
                <w:spacing w:val="-2"/>
                <w:szCs w:val="22"/>
              </w:rPr>
            </w:pPr>
          </w:p>
          <w:p w:rsidR="00F9224E" w:rsidRDefault="00F9224E">
            <w:pPr>
              <w:rPr>
                <w:spacing w:val="-2"/>
                <w:szCs w:val="22"/>
              </w:rPr>
            </w:pPr>
          </w:p>
          <w:p w:rsidR="00F9224E" w:rsidRDefault="00F9224E">
            <w:pPr>
              <w:rPr>
                <w:spacing w:val="-2"/>
                <w:szCs w:val="22"/>
              </w:rPr>
            </w:pPr>
            <w:r>
              <w:rPr>
                <w:spacing w:val="-2"/>
                <w:szCs w:val="22"/>
              </w:rPr>
              <w:t>FCC File No</w:t>
            </w:r>
            <w:r w:rsidR="002A311E">
              <w:rPr>
                <w:spacing w:val="-2"/>
                <w:szCs w:val="22"/>
              </w:rPr>
              <w:t>s</w:t>
            </w:r>
            <w:r>
              <w:rPr>
                <w:spacing w:val="-2"/>
                <w:szCs w:val="22"/>
              </w:rPr>
              <w:t>. 0006691596</w:t>
            </w:r>
            <w:r w:rsidR="002A311E">
              <w:rPr>
                <w:spacing w:val="-2"/>
                <w:szCs w:val="22"/>
              </w:rPr>
              <w:t>, 0006691379, 0006691971</w:t>
            </w:r>
          </w:p>
          <w:p w:rsidR="00F9224E" w:rsidRDefault="00F9224E">
            <w:pPr>
              <w:rPr>
                <w:szCs w:val="22"/>
              </w:rPr>
            </w:pPr>
          </w:p>
          <w:p w:rsidR="00F9224E" w:rsidRDefault="00F9224E">
            <w:pPr>
              <w:rPr>
                <w:spacing w:val="-2"/>
                <w:szCs w:val="22"/>
              </w:rPr>
            </w:pPr>
            <w:r>
              <w:rPr>
                <w:spacing w:val="-2"/>
                <w:szCs w:val="22"/>
              </w:rPr>
              <w:t>FCC File No. 0006701591</w:t>
            </w:r>
          </w:p>
          <w:p w:rsidR="00F9224E" w:rsidRDefault="00F9224E">
            <w:pPr>
              <w:rPr>
                <w:spacing w:val="-2"/>
                <w:szCs w:val="22"/>
              </w:rPr>
            </w:pPr>
          </w:p>
          <w:p w:rsidR="00F9224E" w:rsidRDefault="00F9224E" w:rsidP="00F9224E">
            <w:pPr>
              <w:rPr>
                <w:spacing w:val="-2"/>
                <w:szCs w:val="22"/>
              </w:rPr>
            </w:pPr>
            <w:r>
              <w:rPr>
                <w:spacing w:val="-2"/>
                <w:szCs w:val="22"/>
              </w:rPr>
              <w:t>FCC File No. 0006800635</w:t>
            </w:r>
          </w:p>
          <w:p w:rsidR="006A4840" w:rsidRDefault="006A4840" w:rsidP="00F9224E">
            <w:pPr>
              <w:rPr>
                <w:spacing w:val="-2"/>
                <w:szCs w:val="22"/>
              </w:rPr>
            </w:pPr>
          </w:p>
          <w:p w:rsidR="006A4840" w:rsidRDefault="006A4840" w:rsidP="00F9224E">
            <w:pPr>
              <w:rPr>
                <w:spacing w:val="-2"/>
                <w:szCs w:val="22"/>
              </w:rPr>
            </w:pPr>
            <w:r w:rsidRPr="006A4840">
              <w:rPr>
                <w:spacing w:val="-2"/>
                <w:szCs w:val="22"/>
              </w:rPr>
              <w:t>FCC File No. 000680</w:t>
            </w:r>
            <w:r>
              <w:rPr>
                <w:spacing w:val="-2"/>
                <w:szCs w:val="22"/>
              </w:rPr>
              <w:t>2714</w:t>
            </w:r>
          </w:p>
          <w:p w:rsidR="0022323C" w:rsidRDefault="0022323C" w:rsidP="00F9224E">
            <w:pPr>
              <w:rPr>
                <w:spacing w:val="-2"/>
                <w:szCs w:val="22"/>
              </w:rPr>
            </w:pPr>
          </w:p>
          <w:p w:rsidR="0022323C" w:rsidRDefault="0022323C" w:rsidP="00F9224E">
            <w:pPr>
              <w:rPr>
                <w:spacing w:val="-2"/>
                <w:szCs w:val="22"/>
              </w:rPr>
            </w:pPr>
            <w:r>
              <w:rPr>
                <w:spacing w:val="-2"/>
                <w:szCs w:val="22"/>
              </w:rPr>
              <w:t>FCC File No. 0006841323</w:t>
            </w:r>
          </w:p>
          <w:p w:rsidR="00F9224E" w:rsidRDefault="00F9224E">
            <w:pPr>
              <w:rPr>
                <w:spacing w:val="-2"/>
                <w:szCs w:val="22"/>
              </w:rPr>
            </w:pPr>
          </w:p>
        </w:tc>
      </w:tr>
    </w:tbl>
    <w:p w:rsidR="00F9224E" w:rsidRDefault="00F9224E">
      <w:pPr>
        <w:spacing w:before="120"/>
        <w:jc w:val="center"/>
        <w:rPr>
          <w:b/>
          <w:spacing w:val="-2"/>
        </w:rPr>
      </w:pPr>
      <w:r>
        <w:rPr>
          <w:b/>
          <w:spacing w:val="-2"/>
        </w:rPr>
        <w:t>ORDER</w:t>
      </w:r>
      <w:r w:rsidR="002A311E">
        <w:rPr>
          <w:b/>
          <w:spacing w:val="-2"/>
        </w:rPr>
        <w:t xml:space="preserve"> AND ORDER ON RECONSIDERATON</w:t>
      </w:r>
    </w:p>
    <w:p w:rsidR="002A311E" w:rsidRDefault="002A311E">
      <w:pPr>
        <w:spacing w:before="120"/>
        <w:jc w:val="center"/>
        <w:rPr>
          <w:b/>
          <w:spacing w:val="-2"/>
        </w:rPr>
      </w:pPr>
    </w:p>
    <w:p w:rsidR="00F9224E" w:rsidRDefault="00F9224E">
      <w:pPr>
        <w:tabs>
          <w:tab w:val="left" w:pos="5760"/>
        </w:tabs>
        <w:rPr>
          <w:b/>
        </w:rPr>
      </w:pPr>
      <w:r>
        <w:rPr>
          <w:b/>
        </w:rPr>
        <w:t xml:space="preserve">  Adopted:  </w:t>
      </w:r>
      <w:r w:rsidR="00416EAF">
        <w:rPr>
          <w:b/>
        </w:rPr>
        <w:t>August 26, 2016</w:t>
      </w:r>
      <w:r w:rsidR="0061717D">
        <w:rPr>
          <w:b/>
        </w:rPr>
        <w:tab/>
        <w:t xml:space="preserve">Released:  </w:t>
      </w:r>
      <w:r w:rsidR="00416EAF">
        <w:rPr>
          <w:b/>
        </w:rPr>
        <w:t>August 29, 2016</w:t>
      </w:r>
    </w:p>
    <w:p w:rsidR="00F9224E" w:rsidRDefault="00F9224E">
      <w:pPr>
        <w:tabs>
          <w:tab w:val="left" w:pos="5760"/>
        </w:tabs>
        <w:rPr>
          <w:b/>
        </w:rPr>
      </w:pPr>
    </w:p>
    <w:p w:rsidR="003C0CCF" w:rsidRDefault="00F9224E" w:rsidP="003C0CCF">
      <w:pPr>
        <w:autoSpaceDE w:val="0"/>
        <w:autoSpaceDN w:val="0"/>
        <w:adjustRightInd w:val="0"/>
        <w:rPr>
          <w:color w:val="010101"/>
          <w:szCs w:val="22"/>
        </w:rPr>
      </w:pPr>
      <w:r>
        <w:rPr>
          <w:color w:val="010101"/>
          <w:szCs w:val="22"/>
        </w:rPr>
        <w:t>By the Deputy Chief, Mobility Division, Wireless Telecommunications Bureau:</w:t>
      </w:r>
    </w:p>
    <w:p w:rsidR="003C0CCF" w:rsidRDefault="003C0CCF" w:rsidP="003C0CCF">
      <w:pPr>
        <w:autoSpaceDE w:val="0"/>
        <w:autoSpaceDN w:val="0"/>
        <w:adjustRightInd w:val="0"/>
        <w:rPr>
          <w:color w:val="010101"/>
          <w:szCs w:val="22"/>
        </w:rPr>
      </w:pPr>
    </w:p>
    <w:p w:rsidR="00CD6C74" w:rsidRPr="003C0CCF" w:rsidRDefault="00F9224E" w:rsidP="003C0C26">
      <w:pPr>
        <w:pStyle w:val="ParaNum"/>
        <w:ind w:left="0"/>
        <w:jc w:val="left"/>
      </w:pPr>
      <w:r w:rsidRPr="00A13428">
        <w:rPr>
          <w:i/>
        </w:rPr>
        <w:t>Introduction.</w:t>
      </w:r>
      <w:r w:rsidR="00D22B6B" w:rsidRPr="003C0CCF">
        <w:t xml:space="preserve">  We have before us </w:t>
      </w:r>
      <w:r w:rsidR="004362A7" w:rsidRPr="003C0CCF">
        <w:t>a petition</w:t>
      </w:r>
      <w:r w:rsidR="00B14065" w:rsidRPr="003C0CCF">
        <w:rPr>
          <w:vertAlign w:val="superscript"/>
        </w:rPr>
        <w:footnoteReference w:id="2"/>
      </w:r>
      <w:r w:rsidR="004362A7" w:rsidRPr="003C0CCF">
        <w:t xml:space="preserve"> filed by </w:t>
      </w:r>
      <w:r w:rsidR="0034302F" w:rsidRPr="003C0CCF">
        <w:t>Mobile Relay Associates (MRA), Highland Wireless Services, LLC, Terry Cameron, Radio Maintenance, Inc., and A Beep, LLC (collectively</w:t>
      </w:r>
      <w:r w:rsidR="00B14065" w:rsidRPr="003C0CCF">
        <w:t xml:space="preserve"> Petitioners) for reconsideration of </w:t>
      </w:r>
      <w:r w:rsidR="00392373">
        <w:t>a decision by the Wireless Telecommunications Bureau’s Mobility Division (Division) denying</w:t>
      </w:r>
      <w:r w:rsidR="00B14065" w:rsidRPr="003C0CCF">
        <w:t xml:space="preserve"> their requests for waiver of </w:t>
      </w:r>
      <w:r w:rsidR="00392373">
        <w:t>s</w:t>
      </w:r>
      <w:r w:rsidR="00B14065" w:rsidRPr="003C0CCF">
        <w:t>ection</w:t>
      </w:r>
      <w:r w:rsidR="00392373">
        <w:t xml:space="preserve"> 90.35 of the Commission’s r</w:t>
      </w:r>
      <w:r w:rsidR="00B14065" w:rsidRPr="003C0CCF">
        <w:t xml:space="preserve">ules to permit </w:t>
      </w:r>
      <w:r w:rsidR="00392373">
        <w:t>them</w:t>
      </w:r>
      <w:r w:rsidR="00B14065" w:rsidRPr="003C0CCF">
        <w:t xml:space="preserve"> to operate on frequency pairs 454/459.009375 MHz, 454/459.990625 MHz, and 454/459.996875 MHz at various locations</w:t>
      </w:r>
      <w:r w:rsidR="00AF468F">
        <w:t xml:space="preserve"> around the country</w:t>
      </w:r>
      <w:r w:rsidR="00392373">
        <w:t>, and dismissing their applications</w:t>
      </w:r>
      <w:r w:rsidR="00B14065" w:rsidRPr="003C0CCF">
        <w:t>.</w:t>
      </w:r>
      <w:r w:rsidR="005E6402" w:rsidRPr="003C0CCF">
        <w:rPr>
          <w:vertAlign w:val="superscript"/>
        </w:rPr>
        <w:footnoteReference w:id="3"/>
      </w:r>
      <w:r w:rsidR="00091003" w:rsidRPr="003C0CCF">
        <w:t xml:space="preserve">  </w:t>
      </w:r>
      <w:r w:rsidR="00392373" w:rsidRPr="00A13428">
        <w:rPr>
          <w:lang w:val="en"/>
        </w:rPr>
        <w:t xml:space="preserve">For the reasons set forth below, we deny the petition.  </w:t>
      </w:r>
      <w:r w:rsidR="004362A7" w:rsidRPr="003C0CCF">
        <w:t xml:space="preserve">We also have before us </w:t>
      </w:r>
      <w:r w:rsidR="00392373">
        <w:t xml:space="preserve">similar </w:t>
      </w:r>
      <w:r w:rsidR="00AF468F">
        <w:t xml:space="preserve">applications and </w:t>
      </w:r>
      <w:r w:rsidR="00A13428">
        <w:t xml:space="preserve">waiver </w:t>
      </w:r>
      <w:r w:rsidR="00392373">
        <w:t xml:space="preserve">requests from MRA </w:t>
      </w:r>
      <w:r w:rsidRPr="003C0CCF">
        <w:t xml:space="preserve">to operate on </w:t>
      </w:r>
      <w:r w:rsidR="00392373">
        <w:t xml:space="preserve">those </w:t>
      </w:r>
      <w:r w:rsidRPr="003C0CCF">
        <w:t xml:space="preserve">frequency pairs </w:t>
      </w:r>
      <w:r w:rsidR="00392373">
        <w:t xml:space="preserve">in </w:t>
      </w:r>
      <w:r w:rsidR="00131F2E">
        <w:t xml:space="preserve">southern </w:t>
      </w:r>
      <w:r w:rsidR="004362A7" w:rsidRPr="003C0CCF">
        <w:t>California</w:t>
      </w:r>
      <w:r w:rsidR="00392373">
        <w:t>,</w:t>
      </w:r>
      <w:r w:rsidRPr="003C0CCF">
        <w:rPr>
          <w:vertAlign w:val="superscript"/>
        </w:rPr>
        <w:footnoteReference w:id="4"/>
      </w:r>
      <w:r w:rsidR="00392373">
        <w:t xml:space="preserve"> which </w:t>
      </w:r>
      <w:r w:rsidR="00AF468F">
        <w:t xml:space="preserve">we </w:t>
      </w:r>
      <w:r w:rsidR="00FE74CF">
        <w:t>grant in part and deny in part as explained below</w:t>
      </w:r>
      <w:r w:rsidR="00392373" w:rsidRPr="00A13428">
        <w:rPr>
          <w:lang w:val="en"/>
        </w:rPr>
        <w:t xml:space="preserve">.  </w:t>
      </w:r>
    </w:p>
    <w:p w:rsidR="00A13428" w:rsidRDefault="00F9224E" w:rsidP="003C0CCF">
      <w:pPr>
        <w:pStyle w:val="ParaNum"/>
        <w:ind w:left="0"/>
        <w:jc w:val="left"/>
      </w:pPr>
      <w:r w:rsidRPr="003C0CCF">
        <w:rPr>
          <w:i/>
        </w:rPr>
        <w:t>Background.</w:t>
      </w:r>
      <w:r>
        <w:t xml:space="preserve">  </w:t>
      </w:r>
      <w:r w:rsidR="00A13428">
        <w:t xml:space="preserve">In 2014, the Division </w:t>
      </w:r>
      <w:r w:rsidR="00A13428" w:rsidRPr="00DD770C">
        <w:t>granted requests</w:t>
      </w:r>
      <w:r w:rsidR="00A13428">
        <w:t xml:space="preserve"> from MRA and other parties to operate on 451/456 MHz and 462/467 MHz frequency pairs that are allocated for land mobile operations, but are between Part 90 spectrum and Part 74 </w:t>
      </w:r>
      <w:r w:rsidR="00CC09D8">
        <w:t xml:space="preserve">Broadcast Auxiliary Service (BAS) </w:t>
      </w:r>
      <w:r w:rsidR="00A13428">
        <w:t xml:space="preserve">or </w:t>
      </w:r>
      <w:r w:rsidR="00CC09D8">
        <w:t xml:space="preserve">Part </w:t>
      </w:r>
      <w:r w:rsidR="00A13428">
        <w:t xml:space="preserve">95 </w:t>
      </w:r>
      <w:r w:rsidR="00CC09D8">
        <w:t xml:space="preserve">General Mobile Radio Service </w:t>
      </w:r>
      <w:r w:rsidR="00706B71">
        <w:t xml:space="preserve">(GMRS) </w:t>
      </w:r>
      <w:r w:rsidR="00A13428">
        <w:t xml:space="preserve">spectrum and currently are not designated for use on a primary basis by </w:t>
      </w:r>
      <w:r w:rsidR="00A13428">
        <w:lastRenderedPageBreak/>
        <w:t xml:space="preserve">the Industrial/Business (I/B) </w:t>
      </w:r>
      <w:r w:rsidR="00AF468F">
        <w:t xml:space="preserve">Pool </w:t>
      </w:r>
      <w:r w:rsidR="00A13428">
        <w:t>or any other Commission service</w:t>
      </w:r>
      <w:r w:rsidR="00A13428" w:rsidRPr="00DD770C">
        <w:t>.</w:t>
      </w:r>
      <w:r w:rsidR="00A13428" w:rsidRPr="00DD770C">
        <w:rPr>
          <w:rStyle w:val="FootnoteReference"/>
          <w:szCs w:val="22"/>
        </w:rPr>
        <w:footnoteReference w:id="5"/>
      </w:r>
      <w:r w:rsidR="00A13428" w:rsidRPr="00DD770C">
        <w:t xml:space="preserve">  The Division concluded that the underlying purpose of the rules would not be served by application of the rules because </w:t>
      </w:r>
      <w:r w:rsidR="000D6853">
        <w:t>the</w:t>
      </w:r>
      <w:r w:rsidR="00A13428" w:rsidRPr="00DD770C">
        <w:t xml:space="preserve"> proposed operations would not spectrally overlap the occupied bandwidth of any currently assignable frequency, and the public interest would be served by permitting the assignment of the requested frequency pairs to alleviate PLMR congestion.</w:t>
      </w:r>
      <w:r w:rsidR="00A13428" w:rsidRPr="00DD770C">
        <w:rPr>
          <w:rStyle w:val="FootnoteReference"/>
          <w:szCs w:val="22"/>
        </w:rPr>
        <w:footnoteReference w:id="6"/>
      </w:r>
    </w:p>
    <w:p w:rsidR="002D34C3" w:rsidRDefault="00A13428" w:rsidP="003C0CCF">
      <w:pPr>
        <w:pStyle w:val="ParaNum"/>
        <w:ind w:left="0"/>
        <w:jc w:val="left"/>
      </w:pPr>
      <w:r>
        <w:t xml:space="preserve">In 2015, MRA and the other Petitioners filed applications and waiver requests for </w:t>
      </w:r>
      <w:r w:rsidR="002733B3">
        <w:t xml:space="preserve">454/459 MHz </w:t>
      </w:r>
      <w:r>
        <w:t>f</w:t>
      </w:r>
      <w:r w:rsidR="00F9224E">
        <w:t xml:space="preserve">requencies </w:t>
      </w:r>
      <w:r w:rsidR="002733B3">
        <w:rPr>
          <w:szCs w:val="22"/>
        </w:rPr>
        <w:t>that</w:t>
      </w:r>
      <w:r>
        <w:t xml:space="preserve"> also</w:t>
      </w:r>
      <w:r w:rsidR="00B3100B">
        <w:t xml:space="preserve"> </w:t>
      </w:r>
      <w:r w:rsidR="00F9224E">
        <w:t>are allocated for land mobile operations</w:t>
      </w:r>
      <w:r w:rsidR="00F9224E">
        <w:rPr>
          <w:rStyle w:val="FootnoteReference"/>
          <w:szCs w:val="22"/>
        </w:rPr>
        <w:footnoteReference w:id="7"/>
      </w:r>
      <w:r w:rsidR="00F9224E">
        <w:t xml:space="preserve"> but not designated for use on a primary basis by the </w:t>
      </w:r>
      <w:r w:rsidR="007833FD">
        <w:t>I/B</w:t>
      </w:r>
      <w:r w:rsidR="000D6853">
        <w:t xml:space="preserve"> Pool</w:t>
      </w:r>
      <w:r w:rsidR="007833FD">
        <w:t xml:space="preserve"> </w:t>
      </w:r>
      <w:r w:rsidR="00F9224E">
        <w:t>or any other Commission service.</w:t>
      </w:r>
      <w:r w:rsidR="00F9224E">
        <w:rPr>
          <w:rStyle w:val="FootnoteReference"/>
          <w:szCs w:val="22"/>
        </w:rPr>
        <w:footnoteReference w:id="8"/>
      </w:r>
      <w:r w:rsidR="00F9224E">
        <w:t xml:space="preserve">  </w:t>
      </w:r>
      <w:r w:rsidR="002733B3">
        <w:t>Specifically, f</w:t>
      </w:r>
      <w:r w:rsidR="00323627">
        <w:t xml:space="preserve">requencies </w:t>
      </w:r>
      <w:r w:rsidR="00323627" w:rsidRPr="003C0CCF">
        <w:rPr>
          <w:szCs w:val="22"/>
        </w:rPr>
        <w:t xml:space="preserve">454.009375 MHz and 459.009375 MHz are between </w:t>
      </w:r>
      <w:r w:rsidR="002733B3">
        <w:rPr>
          <w:szCs w:val="22"/>
        </w:rPr>
        <w:t xml:space="preserve">an isolated </w:t>
      </w:r>
      <w:r w:rsidR="00323627" w:rsidRPr="003C0CCF">
        <w:rPr>
          <w:szCs w:val="22"/>
        </w:rPr>
        <w:t>I/B frequenc</w:t>
      </w:r>
      <w:r w:rsidR="002733B3">
        <w:rPr>
          <w:szCs w:val="22"/>
        </w:rPr>
        <w:t>y pair</w:t>
      </w:r>
      <w:r w:rsidR="00323627">
        <w:rPr>
          <w:rStyle w:val="FootnoteReference"/>
          <w:szCs w:val="22"/>
        </w:rPr>
        <w:footnoteReference w:id="9"/>
      </w:r>
      <w:r w:rsidR="00323627" w:rsidRPr="003C0CCF">
        <w:rPr>
          <w:szCs w:val="22"/>
        </w:rPr>
        <w:t xml:space="preserve"> and Part 22 </w:t>
      </w:r>
      <w:r w:rsidR="002A7A89" w:rsidRPr="003C0CCF">
        <w:rPr>
          <w:szCs w:val="22"/>
        </w:rPr>
        <w:t xml:space="preserve">Paging and Radiotelephone Service (PARS) and </w:t>
      </w:r>
      <w:r w:rsidR="00323627" w:rsidRPr="003C0CCF">
        <w:rPr>
          <w:szCs w:val="22"/>
        </w:rPr>
        <w:t>Rural Radiotelephone Service (RRS) frequencies</w:t>
      </w:r>
      <w:r w:rsidR="00CC09D8">
        <w:rPr>
          <w:szCs w:val="22"/>
        </w:rPr>
        <w:t>,</w:t>
      </w:r>
      <w:r w:rsidR="00323627">
        <w:rPr>
          <w:rStyle w:val="FootnoteReference"/>
          <w:szCs w:val="22"/>
        </w:rPr>
        <w:footnoteReference w:id="10"/>
      </w:r>
      <w:r w:rsidR="00323627" w:rsidRPr="003C0CCF">
        <w:rPr>
          <w:szCs w:val="22"/>
        </w:rPr>
        <w:t xml:space="preserve"> </w:t>
      </w:r>
      <w:r w:rsidR="002733B3">
        <w:rPr>
          <w:szCs w:val="22"/>
        </w:rPr>
        <w:t>f</w:t>
      </w:r>
      <w:r w:rsidR="008D4BEC">
        <w:t xml:space="preserve">requencies 454.990625 MHz and </w:t>
      </w:r>
      <w:r w:rsidR="008D4BEC" w:rsidRPr="008D4BEC">
        <w:t>454.996875 MHz</w:t>
      </w:r>
      <w:r w:rsidR="008D4BEC">
        <w:t xml:space="preserve"> are between Part 22 General Aviation Air-ground Radiotelephone Service (</w:t>
      </w:r>
      <w:r w:rsidR="007833FD">
        <w:t>GAARS</w:t>
      </w:r>
      <w:r w:rsidR="008D4BEC">
        <w:t xml:space="preserve">) </w:t>
      </w:r>
      <w:r w:rsidR="00323627">
        <w:t>frequencies</w:t>
      </w:r>
      <w:r w:rsidR="00D7561C">
        <w:rPr>
          <w:rStyle w:val="FootnoteReference"/>
        </w:rPr>
        <w:footnoteReference w:id="11"/>
      </w:r>
      <w:r w:rsidR="008D4BEC">
        <w:t xml:space="preserve"> and Part 74 </w:t>
      </w:r>
      <w:r w:rsidR="007833FD">
        <w:t>BAS</w:t>
      </w:r>
      <w:r w:rsidR="00323627">
        <w:t xml:space="preserve"> frequencies</w:t>
      </w:r>
      <w:r w:rsidR="00CC09D8">
        <w:t>,</w:t>
      </w:r>
      <w:r w:rsidR="00D7561C">
        <w:rPr>
          <w:rStyle w:val="FootnoteReference"/>
        </w:rPr>
        <w:footnoteReference w:id="12"/>
      </w:r>
      <w:r w:rsidR="008D4BEC">
        <w:t xml:space="preserve"> </w:t>
      </w:r>
      <w:r w:rsidR="00CC09D8">
        <w:t>and f</w:t>
      </w:r>
      <w:r w:rsidR="008D4BEC">
        <w:t>requencies 459.990625 MHz</w:t>
      </w:r>
      <w:r w:rsidR="008D4BEC" w:rsidRPr="008D4BEC">
        <w:t xml:space="preserve"> and 459.996875 MHz between Part 22 </w:t>
      </w:r>
      <w:r w:rsidR="007833FD">
        <w:t>GAARS</w:t>
      </w:r>
      <w:r w:rsidR="008D4BEC" w:rsidRPr="008D4BEC">
        <w:t xml:space="preserve"> spectrum</w:t>
      </w:r>
      <w:r w:rsidR="00D7561C">
        <w:rPr>
          <w:rStyle w:val="FootnoteReference"/>
        </w:rPr>
        <w:footnoteReference w:id="13"/>
      </w:r>
      <w:r w:rsidR="008D4BEC" w:rsidRPr="008D4BEC">
        <w:t xml:space="preserve"> and Part </w:t>
      </w:r>
      <w:r w:rsidR="008D4BEC">
        <w:t>90 Public Safety</w:t>
      </w:r>
      <w:r w:rsidR="007833FD">
        <w:t xml:space="preserve"> Pool (PS</w:t>
      </w:r>
      <w:r w:rsidR="0049725D">
        <w:t>)</w:t>
      </w:r>
      <w:r w:rsidR="0012474B">
        <w:t xml:space="preserve"> </w:t>
      </w:r>
      <w:r w:rsidR="00323627">
        <w:t>freq</w:t>
      </w:r>
      <w:r w:rsidR="00884E90">
        <w:t>u</w:t>
      </w:r>
      <w:r w:rsidR="00323627">
        <w:t>encies</w:t>
      </w:r>
      <w:r w:rsidR="008D4BEC">
        <w:t>.</w:t>
      </w:r>
      <w:r w:rsidR="00D7561C">
        <w:rPr>
          <w:rStyle w:val="FootnoteReference"/>
        </w:rPr>
        <w:footnoteReference w:id="14"/>
      </w:r>
      <w:r w:rsidR="002D34C3">
        <w:t xml:space="preserve"> </w:t>
      </w:r>
    </w:p>
    <w:p w:rsidR="00AF16D7" w:rsidRDefault="002D34C3" w:rsidP="00AF16D7">
      <w:pPr>
        <w:pStyle w:val="ParaNum"/>
        <w:ind w:left="0"/>
        <w:jc w:val="left"/>
      </w:pPr>
      <w:r w:rsidRPr="002D34C3">
        <w:t xml:space="preserve">The </w:t>
      </w:r>
      <w:r w:rsidR="00CC09D8">
        <w:t>Division</w:t>
      </w:r>
      <w:r w:rsidRPr="002D34C3">
        <w:t xml:space="preserve"> denied </w:t>
      </w:r>
      <w:r w:rsidR="000D6853">
        <w:t xml:space="preserve">the </w:t>
      </w:r>
      <w:r>
        <w:t>waiver requests</w:t>
      </w:r>
      <w:r w:rsidR="00CC09D8">
        <w:t xml:space="preserve"> and dismissed the applications.</w:t>
      </w:r>
      <w:r w:rsidR="00CC09D8">
        <w:rPr>
          <w:rStyle w:val="FootnoteReference"/>
        </w:rPr>
        <w:footnoteReference w:id="15"/>
      </w:r>
      <w:r>
        <w:t xml:space="preserve"> </w:t>
      </w:r>
      <w:r w:rsidR="00706B71">
        <w:t xml:space="preserve"> It distinguished the 2014 waiver grants from the instant applications because those requests were for operations on the band </w:t>
      </w:r>
      <w:r w:rsidR="00706B71" w:rsidRPr="00543645">
        <w:t xml:space="preserve">edges between I/B spectrum and </w:t>
      </w:r>
      <w:r w:rsidR="00706B71">
        <w:t>BAS or GMRS</w:t>
      </w:r>
      <w:r w:rsidR="00706B71" w:rsidRPr="00543645">
        <w:t xml:space="preserve"> spectrum, </w:t>
      </w:r>
      <w:r w:rsidR="00706B71">
        <w:t>while the</w:t>
      </w:r>
      <w:r w:rsidR="001C2874">
        <w:t>se</w:t>
      </w:r>
      <w:r w:rsidR="00706B71">
        <w:t xml:space="preserve"> applications sought authorizations to place I/B operations on frequencies located in gaps between two non-I/B blocks or between an isolated I/B frequency and a non-I/B block.</w:t>
      </w:r>
      <w:r w:rsidR="00706B71">
        <w:rPr>
          <w:rStyle w:val="FootnoteReference"/>
        </w:rPr>
        <w:footnoteReference w:id="16"/>
      </w:r>
      <w:r w:rsidR="00706B71">
        <w:t xml:space="preserve">  </w:t>
      </w:r>
      <w:r w:rsidR="00F37EA7">
        <w:t>It explained that the designation of different frequency bands for different radio services serves the spectrum management purpose of consolidating similar uses and separating incompatible ones</w:t>
      </w:r>
      <w:r w:rsidR="00C542DC">
        <w:t>, and concluded that “i</w:t>
      </w:r>
      <w:r w:rsidR="00C542DC" w:rsidRPr="002D34C3">
        <w:t>nserting I/B operations between blocks of non-I/B spectrum could frustrate the purpose of the Commission’s spectrum management policy and practices</w:t>
      </w:r>
      <w:r w:rsidR="00C542DC">
        <w:t>.”</w:t>
      </w:r>
      <w:r w:rsidR="00F37EA7">
        <w:rPr>
          <w:rStyle w:val="FootnoteReference"/>
        </w:rPr>
        <w:footnoteReference w:id="17"/>
      </w:r>
      <w:r w:rsidR="00F37EA7">
        <w:t xml:space="preserve">  </w:t>
      </w:r>
      <w:r w:rsidR="00C542DC">
        <w:t>Petitioners sought reconsideration.</w:t>
      </w:r>
    </w:p>
    <w:p w:rsidR="00C542DC" w:rsidRDefault="00C542DC" w:rsidP="00C542DC">
      <w:pPr>
        <w:pStyle w:val="ParaNum"/>
        <w:spacing w:before="240"/>
        <w:ind w:left="0"/>
        <w:jc w:val="left"/>
      </w:pPr>
      <w:r>
        <w:t xml:space="preserve">In 2016, the Commission released a </w:t>
      </w:r>
      <w:r w:rsidRPr="00AB48B2">
        <w:rPr>
          <w:i/>
        </w:rPr>
        <w:t xml:space="preserve">Notice of Proposed Rulemaking </w:t>
      </w:r>
      <w:r>
        <w:t>(</w:t>
      </w:r>
      <w:r>
        <w:rPr>
          <w:i/>
        </w:rPr>
        <w:t>NPRM</w:t>
      </w:r>
      <w:r>
        <w:t>) proposing to codify the Division’s 2014 waivers in part.</w:t>
      </w:r>
      <w:r>
        <w:rPr>
          <w:rStyle w:val="FootnoteReference"/>
        </w:rPr>
        <w:footnoteReference w:id="18"/>
      </w:r>
      <w:r>
        <w:t xml:space="preserve">  It tentatively concluded that designating some of the frequencies for which the Division had granted waivers would serve the public interest, but that other frequencies should not be so designated or should be examined further to ensure that the proposed operation would not conflict with other uses.</w:t>
      </w:r>
      <w:r>
        <w:rPr>
          <w:rStyle w:val="FootnoteReference"/>
        </w:rPr>
        <w:footnoteReference w:id="19"/>
      </w:r>
      <w:r>
        <w:t xml:space="preserve">  The Commission also sought comment on whether any frequencies not discussed in the </w:t>
      </w:r>
      <w:r>
        <w:rPr>
          <w:i/>
        </w:rPr>
        <w:t>NPRM</w:t>
      </w:r>
      <w:r>
        <w:t xml:space="preserve"> also should be designated for Part 90 use.</w:t>
      </w:r>
      <w:r>
        <w:rPr>
          <w:rStyle w:val="FootnoteReference"/>
        </w:rPr>
        <w:footnoteReference w:id="20"/>
      </w:r>
    </w:p>
    <w:p w:rsidR="001B129D" w:rsidRDefault="00C542DC" w:rsidP="00AF3291">
      <w:pPr>
        <w:pStyle w:val="ParaNum"/>
        <w:ind w:left="0"/>
        <w:jc w:val="left"/>
      </w:pPr>
      <w:r w:rsidRPr="001B129D">
        <w:rPr>
          <w:i/>
        </w:rPr>
        <w:t xml:space="preserve">Discussion.  </w:t>
      </w:r>
      <w:r w:rsidR="00350E85">
        <w:t xml:space="preserve">We affirm the decision denying the waiver requests for 454/459 MHz frequencies.  Given the pendency of the Commission’s rulemaking proceeding seeking comment on what frequencies that are allocated for land mobile operations but not designated for use on a primary basis by any other Commission service should be added to the I/B Pool, we conclude that it would be inappropriate to grant waivers for frequency pairs </w:t>
      </w:r>
      <w:r w:rsidR="001C2874">
        <w:t>beyond</w:t>
      </w:r>
      <w:r w:rsidR="00AF3291">
        <w:t xml:space="preserve"> those that the Commission has proposed to codify</w:t>
      </w:r>
      <w:r w:rsidR="00350E85">
        <w:t>.</w:t>
      </w:r>
      <w:r w:rsidR="00350E85">
        <w:rPr>
          <w:rStyle w:val="FootnoteReference"/>
        </w:rPr>
        <w:footnoteReference w:id="21"/>
      </w:r>
      <w:r w:rsidR="00AF3291">
        <w:t xml:space="preserve">  Whether Part 90 operation should be permitted on additional frequency pairs should be decided in the pending notice-and-comment rulemaking proceeding, after careful consideration of the various possible uses and the relative needs</w:t>
      </w:r>
      <w:r w:rsidR="001C2874">
        <w:t>,</w:t>
      </w:r>
      <w:r w:rsidR="00AF3291">
        <w:t xml:space="preserve"> </w:t>
      </w:r>
      <w:r w:rsidR="004D691B">
        <w:t>rather than on an individualized basis</w:t>
      </w:r>
      <w:r w:rsidR="00AF3291">
        <w:t xml:space="preserve">.  Consequently, we need not address here Petitioners’ claim that their proposed operations </w:t>
      </w:r>
      <w:r w:rsidR="00637B38">
        <w:t>are fully compatible with all adjacent</w:t>
      </w:r>
      <w:r w:rsidR="00AF3291">
        <w:t>-band</w:t>
      </w:r>
      <w:r w:rsidR="00637B38">
        <w:t xml:space="preserve"> uses.</w:t>
      </w:r>
      <w:r w:rsidR="00637B38">
        <w:rPr>
          <w:rStyle w:val="FootnoteReference"/>
        </w:rPr>
        <w:footnoteReference w:id="22"/>
      </w:r>
      <w:r w:rsidR="00A11E9E">
        <w:t xml:space="preserve">  </w:t>
      </w:r>
      <w:r w:rsidR="00AF3291">
        <w:t xml:space="preserve">With respect to their argument </w:t>
      </w:r>
      <w:r w:rsidR="00637B38">
        <w:t xml:space="preserve">that the Division should </w:t>
      </w:r>
      <w:r w:rsidR="00AF3291">
        <w:t xml:space="preserve">at least </w:t>
      </w:r>
      <w:r w:rsidR="00637B38">
        <w:t xml:space="preserve">have solicited public comment on the </w:t>
      </w:r>
      <w:r w:rsidR="00AF3291">
        <w:t xml:space="preserve">waiver </w:t>
      </w:r>
      <w:r w:rsidR="00637B38">
        <w:t>requests</w:t>
      </w:r>
      <w:r w:rsidR="00AF3291">
        <w:t>,</w:t>
      </w:r>
      <w:r w:rsidR="00637B38">
        <w:rPr>
          <w:rStyle w:val="FootnoteReference"/>
        </w:rPr>
        <w:footnoteReference w:id="23"/>
      </w:r>
      <w:r w:rsidR="00AF3291">
        <w:t xml:space="preserve"> we note </w:t>
      </w:r>
      <w:r w:rsidR="004D691B">
        <w:t>the Division is not required to put a waiver request on public notice and has broad discretion whether or not to do so.</w:t>
      </w:r>
      <w:r w:rsidR="004D691B">
        <w:rPr>
          <w:rStyle w:val="FootnoteReference"/>
        </w:rPr>
        <w:footnoteReference w:id="24"/>
      </w:r>
      <w:r w:rsidR="004D691B">
        <w:t xml:space="preserve">  </w:t>
      </w:r>
      <w:r w:rsidR="001F6766">
        <w:t>We therefore deny the petition for reconsideration.</w:t>
      </w:r>
    </w:p>
    <w:p w:rsidR="00686160" w:rsidRDefault="00360989" w:rsidP="00686160">
      <w:pPr>
        <w:pStyle w:val="ParaNum"/>
        <w:ind w:left="0"/>
        <w:jc w:val="left"/>
      </w:pPr>
      <w:r>
        <w:t>The</w:t>
      </w:r>
      <w:r w:rsidR="00036932">
        <w:t xml:space="preserve"> MRA applications and </w:t>
      </w:r>
      <w:r w:rsidR="00686160">
        <w:t>waiver requests</w:t>
      </w:r>
      <w:r w:rsidR="00036932" w:rsidRPr="00036932">
        <w:t xml:space="preserve"> </w:t>
      </w:r>
      <w:r w:rsidR="001F6766">
        <w:t xml:space="preserve">that were not addressed in the Division’s 2015 </w:t>
      </w:r>
      <w:r w:rsidR="001F6766" w:rsidRPr="001F6766">
        <w:rPr>
          <w:i/>
        </w:rPr>
        <w:t>Order</w:t>
      </w:r>
      <w:r w:rsidR="001F6766">
        <w:t xml:space="preserve"> seek authorization </w:t>
      </w:r>
      <w:r w:rsidR="00036932" w:rsidRPr="00036932">
        <w:t xml:space="preserve">to operate on frequency pairs 454/459.009375 MHz, 454/459.990625 MHz, and 454/459.996875 MHz </w:t>
      </w:r>
      <w:r w:rsidR="00FE74CF">
        <w:t xml:space="preserve">in </w:t>
      </w:r>
      <w:r w:rsidR="00B83EB6">
        <w:t>the Los Angeles area</w:t>
      </w:r>
      <w:r w:rsidR="00F373BC">
        <w:rPr>
          <w:rStyle w:val="FootnoteReference"/>
        </w:rPr>
        <w:footnoteReference w:id="25"/>
      </w:r>
      <w:r w:rsidR="00B83EB6">
        <w:t xml:space="preserve"> and the San Diego area.</w:t>
      </w:r>
      <w:r w:rsidR="00B83EB6">
        <w:rPr>
          <w:rStyle w:val="FootnoteReference"/>
        </w:rPr>
        <w:footnoteReference w:id="26"/>
      </w:r>
      <w:r w:rsidR="00036932" w:rsidRPr="00036932">
        <w:t xml:space="preserve"> </w:t>
      </w:r>
      <w:r w:rsidR="002E283E">
        <w:t xml:space="preserve"> </w:t>
      </w:r>
      <w:r w:rsidR="00AF468F">
        <w:t xml:space="preserve">MRA </w:t>
      </w:r>
      <w:r w:rsidR="00767DDA">
        <w:t>note</w:t>
      </w:r>
      <w:r w:rsidR="00AF468F">
        <w:t>s</w:t>
      </w:r>
      <w:r w:rsidR="00AF468F">
        <w:rPr>
          <w:rStyle w:val="FootnoteReference"/>
        </w:rPr>
        <w:footnoteReference w:id="27"/>
      </w:r>
      <w:r w:rsidR="002E283E">
        <w:t xml:space="preserve"> that MRA itself is the Part 22 PARS licensee on the spectrum adjacent to </w:t>
      </w:r>
      <w:r w:rsidR="00767DDA" w:rsidRPr="00036932">
        <w:t xml:space="preserve">frequency pair 454/459.009375 MHz </w:t>
      </w:r>
      <w:r w:rsidR="00767DDA">
        <w:t>in the license area that includes Los Angeles, Riverside, and Orange Counties.</w:t>
      </w:r>
      <w:r w:rsidR="00767DDA">
        <w:rPr>
          <w:rStyle w:val="FootnoteReference"/>
        </w:rPr>
        <w:footnoteReference w:id="28"/>
      </w:r>
      <w:r w:rsidR="00767DDA">
        <w:t xml:space="preserve">  This ameliorates concerns about compatibility or interference with adjacent Part 22 users.  We therefore grant the waiver request in part—specifically, with respect to </w:t>
      </w:r>
      <w:r w:rsidR="00767DDA" w:rsidRPr="00036932">
        <w:t xml:space="preserve">frequency pair 454/459.009375 MHz </w:t>
      </w:r>
      <w:r w:rsidR="00767DDA">
        <w:t xml:space="preserve">at the requested locations in </w:t>
      </w:r>
      <w:r w:rsidR="00FE74CF">
        <w:t>those c</w:t>
      </w:r>
      <w:r w:rsidR="00767DDA">
        <w:t>ounties.</w:t>
      </w:r>
      <w:r w:rsidR="00767DDA">
        <w:rPr>
          <w:rStyle w:val="FootnoteReference"/>
        </w:rPr>
        <w:footnoteReference w:id="29"/>
      </w:r>
      <w:r w:rsidR="00767DDA">
        <w:t xml:space="preserve">  In all other respects, the pending waiver requests are denied for the same reasons that we denied the petition for reconsideration.  </w:t>
      </w:r>
      <w:r w:rsidR="00FE74CF">
        <w:t>The applications will be processed accordingly.</w:t>
      </w:r>
    </w:p>
    <w:p w:rsidR="002B2384" w:rsidRDefault="00754C4A" w:rsidP="00686160">
      <w:pPr>
        <w:pStyle w:val="ParaNum"/>
        <w:ind w:left="0"/>
        <w:jc w:val="left"/>
      </w:pPr>
      <w:r w:rsidRPr="00754C4A">
        <w:t>Accordingly, I</w:t>
      </w:r>
      <w:r w:rsidR="00FE74CF">
        <w:t>T IS ORDERED</w:t>
      </w:r>
      <w:r w:rsidR="00944E51">
        <w:t>,</w:t>
      </w:r>
      <w:r w:rsidR="00FE74CF">
        <w:t xml:space="preserve"> pursuant to s</w:t>
      </w:r>
      <w:r w:rsidRPr="00754C4A">
        <w:t>ections 4(i) and 405 of the Communications Act of 1934, as amended,</w:t>
      </w:r>
      <w:r w:rsidR="00FE74CF">
        <w:t xml:space="preserve"> 47 U.S.C. §§ 154(i), 405, and s</w:t>
      </w:r>
      <w:r w:rsidRPr="00754C4A">
        <w:t>ec</w:t>
      </w:r>
      <w:r w:rsidR="00FE74CF">
        <w:t>tion 1.106 of the Commission's r</w:t>
      </w:r>
      <w:r w:rsidRPr="00754C4A">
        <w:t xml:space="preserve">ules, 47 CFR § 1.106, </w:t>
      </w:r>
      <w:r w:rsidR="00944E51">
        <w:t>that</w:t>
      </w:r>
      <w:r w:rsidR="00944E51" w:rsidRPr="00754C4A">
        <w:t xml:space="preserve"> </w:t>
      </w:r>
      <w:r w:rsidRPr="00754C4A">
        <w:t xml:space="preserve">the Petition for Reconsideration </w:t>
      </w:r>
      <w:r w:rsidR="00360989">
        <w:t xml:space="preserve">file by </w:t>
      </w:r>
      <w:r w:rsidR="00360989" w:rsidRPr="00360989">
        <w:t>Mobile Relay Associates, Highland Wireless Services, LLC, Terry Cameron, Radio Maintenance, Inc., and A Beep, LLC on October 22, 2015, IS DENIED</w:t>
      </w:r>
      <w:r w:rsidR="00360989">
        <w:t>.</w:t>
      </w:r>
    </w:p>
    <w:p w:rsidR="002B2384" w:rsidRPr="00F373BC" w:rsidRDefault="002B2384" w:rsidP="002B2384">
      <w:pPr>
        <w:pStyle w:val="ParaNum"/>
        <w:ind w:left="0"/>
        <w:jc w:val="left"/>
      </w:pPr>
      <w:r>
        <w:t xml:space="preserve">IT </w:t>
      </w:r>
      <w:r w:rsidR="00FE74CF">
        <w:t>IS FURTHER ORDERED</w:t>
      </w:r>
      <w:r w:rsidR="00944E51">
        <w:t>,</w:t>
      </w:r>
      <w:r w:rsidR="00FE74CF">
        <w:t xml:space="preserve"> pursuant to s</w:t>
      </w:r>
      <w:r>
        <w:t>ections 4(i), 303(g), and 303(r) of the Communications Act of 1934, as amended, 47 U.S.C. §§ 1</w:t>
      </w:r>
      <w:r w:rsidR="00FE74CF">
        <w:t>54(i), 303(g), and 303(r), and s</w:t>
      </w:r>
      <w:r>
        <w:t>ec</w:t>
      </w:r>
      <w:r w:rsidR="00FE74CF">
        <w:t>tion 1.925 of the Commission’s r</w:t>
      </w:r>
      <w:r>
        <w:t xml:space="preserve">ules, 47 CFR § 1.925, that the Request for Waiver filed by Mobile Relay Associates on March 3, 2015 in conjunction with application </w:t>
      </w:r>
      <w:r w:rsidRPr="00E95AA8">
        <w:t xml:space="preserve">FCC File No. 0006691379 </w:t>
      </w:r>
      <w:r>
        <w:t>IS GRANTED</w:t>
      </w:r>
      <w:r w:rsidR="00686160">
        <w:t xml:space="preserve"> </w:t>
      </w:r>
      <w:r w:rsidR="00686160" w:rsidRPr="00F373BC">
        <w:t>IN PART</w:t>
      </w:r>
      <w:r w:rsidR="00FE74CF">
        <w:t xml:space="preserve"> AND DENIED IN PART</w:t>
      </w:r>
      <w:r w:rsidRPr="00F373BC">
        <w:t xml:space="preserve">, and the application SHALL BE PROCESSED in accordance with this </w:t>
      </w:r>
      <w:r w:rsidRPr="00F373BC">
        <w:rPr>
          <w:i/>
        </w:rPr>
        <w:t>Order and Order on Reconsideration</w:t>
      </w:r>
      <w:r w:rsidR="00FE74CF">
        <w:t xml:space="preserve"> and the Commission’s rules</w:t>
      </w:r>
      <w:r w:rsidRPr="00F373BC">
        <w:rPr>
          <w:i/>
        </w:rPr>
        <w:t>.</w:t>
      </w:r>
    </w:p>
    <w:p w:rsidR="000161FC" w:rsidRDefault="00E95AA8" w:rsidP="00360989">
      <w:pPr>
        <w:pStyle w:val="ParaNum"/>
        <w:ind w:left="0"/>
        <w:jc w:val="left"/>
      </w:pPr>
      <w:r>
        <w:t>IT IS FURTHER ORDERED</w:t>
      </w:r>
      <w:r w:rsidR="00944E51">
        <w:t>,</w:t>
      </w:r>
      <w:r>
        <w:t xml:space="preserve"> </w:t>
      </w:r>
      <w:r w:rsidR="00FE74CF">
        <w:t>pursuant to s</w:t>
      </w:r>
      <w:r w:rsidR="00F9224E">
        <w:t>ections 4(i), 303(g), and 303(r) of the Communications Act of 1934, as amended, 47 U.S.C. §§ 154(i), 303(g), and 303(r), and Section 1.925 of the Commission’s Rules, 47 C</w:t>
      </w:r>
      <w:r w:rsidR="000161FC">
        <w:t xml:space="preserve">FR § 1.925, that the </w:t>
      </w:r>
      <w:r w:rsidR="00F9224E">
        <w:t>Request</w:t>
      </w:r>
      <w:r>
        <w:t>s</w:t>
      </w:r>
      <w:r w:rsidR="00F9224E">
        <w:t xml:space="preserve"> for Waiver filed by </w:t>
      </w:r>
      <w:r>
        <w:t>Mobile Relay Associates on March 3</w:t>
      </w:r>
      <w:r w:rsidR="000161FC">
        <w:t>, 2015</w:t>
      </w:r>
      <w:r w:rsidR="00F9224E">
        <w:t xml:space="preserve"> in conjunction with application FCC File No</w:t>
      </w:r>
      <w:r>
        <w:t>s</w:t>
      </w:r>
      <w:r w:rsidR="00F9224E">
        <w:t xml:space="preserve">. </w:t>
      </w:r>
      <w:r w:rsidR="00067366">
        <w:t>FCC File No</w:t>
      </w:r>
      <w:r w:rsidRPr="00E95AA8">
        <w:t>. 0006691971</w:t>
      </w:r>
      <w:r w:rsidR="00067366">
        <w:t xml:space="preserve"> IS </w:t>
      </w:r>
      <w:r w:rsidR="000161FC">
        <w:t>DENIED</w:t>
      </w:r>
      <w:r w:rsidR="00F9224E">
        <w:t xml:space="preserve">, and the application SHALL BE </w:t>
      </w:r>
      <w:r w:rsidR="000161FC">
        <w:t>DISMISSED.</w:t>
      </w:r>
    </w:p>
    <w:p w:rsidR="00F9224E" w:rsidRDefault="00F9224E" w:rsidP="000161FC">
      <w:pPr>
        <w:pStyle w:val="ParaNum"/>
        <w:ind w:left="0"/>
        <w:jc w:val="left"/>
      </w:pPr>
      <w:r>
        <w:t>This action is taken under delegated authority pursuant to Sections 0.131 and 0.331 of the Commission’s Rules, 47 C.F.R. §§ 0.131, 0.331.</w:t>
      </w:r>
    </w:p>
    <w:p w:rsidR="00F9224E" w:rsidRDefault="00F9224E">
      <w:pPr>
        <w:pStyle w:val="Numberedparagraph"/>
        <w:numPr>
          <w:ilvl w:val="0"/>
          <w:numId w:val="0"/>
        </w:numPr>
      </w:pPr>
      <w:r>
        <w:t xml:space="preserve">                                                                              FEDERAL COMMUNICATIONS COMMISSION</w:t>
      </w:r>
    </w:p>
    <w:p w:rsidR="00F9224E" w:rsidRDefault="00F9224E">
      <w:pPr>
        <w:tabs>
          <w:tab w:val="left" w:pos="720"/>
          <w:tab w:val="left" w:pos="1440"/>
          <w:tab w:val="left" w:pos="2160"/>
          <w:tab w:val="left" w:pos="2880"/>
          <w:tab w:val="left" w:pos="3600"/>
        </w:tabs>
        <w:ind w:firstLine="720"/>
      </w:pPr>
    </w:p>
    <w:p w:rsidR="00F9224E" w:rsidRDefault="00F9224E">
      <w:pPr>
        <w:tabs>
          <w:tab w:val="left" w:pos="720"/>
          <w:tab w:val="left" w:pos="1440"/>
          <w:tab w:val="left" w:pos="2160"/>
          <w:tab w:val="left" w:pos="2880"/>
          <w:tab w:val="left" w:pos="3600"/>
        </w:tabs>
        <w:ind w:firstLine="720"/>
      </w:pPr>
    </w:p>
    <w:p w:rsidR="00F9224E" w:rsidRDefault="00686160">
      <w:pPr>
        <w:autoSpaceDE w:val="0"/>
        <w:autoSpaceDN w:val="0"/>
        <w:adjustRightInd w:val="0"/>
        <w:rPr>
          <w:color w:val="010101"/>
          <w:szCs w:val="22"/>
        </w:rPr>
      </w:pPr>
      <w:r>
        <w:tab/>
      </w:r>
      <w:r>
        <w:tab/>
      </w:r>
    </w:p>
    <w:p w:rsidR="00F9224E" w:rsidRDefault="00F9224E">
      <w:pPr>
        <w:autoSpaceDE w:val="0"/>
        <w:autoSpaceDN w:val="0"/>
        <w:adjustRightInd w:val="0"/>
        <w:ind w:left="3600" w:firstLine="720"/>
        <w:rPr>
          <w:color w:val="010101"/>
          <w:szCs w:val="22"/>
        </w:rPr>
      </w:pPr>
      <w:r>
        <w:rPr>
          <w:color w:val="010101"/>
          <w:szCs w:val="22"/>
        </w:rPr>
        <w:t>Scot Stone</w:t>
      </w:r>
    </w:p>
    <w:p w:rsidR="00F9224E" w:rsidRDefault="00F9224E">
      <w:pPr>
        <w:autoSpaceDE w:val="0"/>
        <w:autoSpaceDN w:val="0"/>
        <w:adjustRightInd w:val="0"/>
        <w:ind w:left="3600" w:firstLine="720"/>
        <w:rPr>
          <w:color w:val="010101"/>
          <w:szCs w:val="22"/>
        </w:rPr>
      </w:pPr>
      <w:r>
        <w:rPr>
          <w:color w:val="010101"/>
          <w:szCs w:val="22"/>
        </w:rPr>
        <w:t>Deputy Chief, Mobility Division</w:t>
      </w:r>
    </w:p>
    <w:p w:rsidR="00F9224E" w:rsidRDefault="00F9224E">
      <w:pPr>
        <w:autoSpaceDE w:val="0"/>
        <w:autoSpaceDN w:val="0"/>
        <w:adjustRightInd w:val="0"/>
        <w:ind w:left="3600" w:firstLine="720"/>
        <w:rPr>
          <w:color w:val="010101"/>
          <w:szCs w:val="22"/>
        </w:rPr>
      </w:pPr>
      <w:r>
        <w:rPr>
          <w:color w:val="010101"/>
          <w:szCs w:val="22"/>
        </w:rPr>
        <w:t>Wireless Telecommunications Bureau</w:t>
      </w:r>
    </w:p>
    <w:sectPr w:rsidR="00F9224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A7" w:rsidRDefault="009568A7">
      <w:r>
        <w:separator/>
      </w:r>
    </w:p>
  </w:endnote>
  <w:endnote w:type="continuationSeparator" w:id="0">
    <w:p w:rsidR="009568A7" w:rsidRDefault="009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7228" w:rsidRDefault="00A37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927">
      <w:rPr>
        <w:rStyle w:val="PageNumber"/>
        <w:noProof/>
      </w:rPr>
      <w:t>4</w:t>
    </w:r>
    <w:r>
      <w:rPr>
        <w:rStyle w:val="PageNumber"/>
      </w:rPr>
      <w:fldChar w:fldCharType="end"/>
    </w:r>
  </w:p>
  <w:p w:rsidR="00A37228" w:rsidRDefault="00A37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46" w:rsidRDefault="00C1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A7" w:rsidRDefault="009568A7">
      <w:pPr>
        <w:rPr>
          <w:sz w:val="20"/>
        </w:rPr>
      </w:pPr>
      <w:r>
        <w:rPr>
          <w:sz w:val="20"/>
        </w:rPr>
        <w:separator/>
      </w:r>
    </w:p>
  </w:footnote>
  <w:footnote w:type="continuationSeparator" w:id="0">
    <w:p w:rsidR="009568A7" w:rsidRDefault="009568A7">
      <w:pPr>
        <w:rPr>
          <w:sz w:val="20"/>
        </w:rPr>
      </w:pPr>
      <w:r>
        <w:rPr>
          <w:sz w:val="20"/>
        </w:rPr>
        <w:separator/>
      </w:r>
    </w:p>
    <w:p w:rsidR="009568A7" w:rsidRDefault="009568A7">
      <w:pPr>
        <w:rPr>
          <w:sz w:val="20"/>
        </w:rPr>
      </w:pPr>
      <w:r>
        <w:rPr>
          <w:sz w:val="20"/>
        </w:rPr>
        <w:t>(...continued from previous page)</w:t>
      </w:r>
    </w:p>
  </w:footnote>
  <w:footnote w:type="continuationNotice" w:id="1">
    <w:p w:rsidR="009568A7" w:rsidRDefault="009568A7">
      <w:pPr>
        <w:jc w:val="right"/>
        <w:rPr>
          <w:sz w:val="20"/>
        </w:rPr>
      </w:pPr>
      <w:r>
        <w:rPr>
          <w:sz w:val="20"/>
        </w:rPr>
        <w:t>(continued....)</w:t>
      </w:r>
    </w:p>
  </w:footnote>
  <w:footnote w:id="2">
    <w:p w:rsidR="003C0CCF" w:rsidRDefault="003C0CCF" w:rsidP="00322EC8">
      <w:pPr>
        <w:pStyle w:val="FootnoteText"/>
        <w:jc w:val="left"/>
      </w:pPr>
      <w:r>
        <w:rPr>
          <w:rStyle w:val="FootnoteReference"/>
        </w:rPr>
        <w:footnoteRef/>
      </w:r>
      <w:r>
        <w:t xml:space="preserve"> </w:t>
      </w:r>
      <w:r>
        <w:rPr>
          <w:i/>
        </w:rPr>
        <w:t xml:space="preserve">See </w:t>
      </w:r>
      <w:r w:rsidR="008C2232">
        <w:t xml:space="preserve">Petition of </w:t>
      </w:r>
      <w:r>
        <w:t xml:space="preserve">Mobile Relay Associates, </w:t>
      </w:r>
      <w:r w:rsidR="00322EC8">
        <w:t>et al.,</w:t>
      </w:r>
      <w:r>
        <w:t xml:space="preserve"> for Reconsideration (filed Oct. 22, 2015) (Petition).  Enterprise Wireless Alliance </w:t>
      </w:r>
      <w:r w:rsidR="008C2232">
        <w:t xml:space="preserve">and Forest Industries Telecommunications </w:t>
      </w:r>
      <w:r>
        <w:t xml:space="preserve">filed comments in support of the Petition.  </w:t>
      </w:r>
      <w:r w:rsidR="008C2232">
        <w:t>Comments of Enterprise Wireless Alliance</w:t>
      </w:r>
      <w:r>
        <w:t xml:space="preserve"> in Support of Petition for Reconsideration (filed Nov. 3, 2015)</w:t>
      </w:r>
      <w:r w:rsidR="008C2232">
        <w:t>; Comments of Forest Industries Telecommunications (filed Nov. 12, 2015)</w:t>
      </w:r>
      <w:r>
        <w:t>.</w:t>
      </w:r>
    </w:p>
  </w:footnote>
  <w:footnote w:id="3">
    <w:p w:rsidR="003C0CCF" w:rsidRPr="00091003" w:rsidRDefault="003C0CCF" w:rsidP="00322EC8">
      <w:pPr>
        <w:pStyle w:val="FootnoteText"/>
        <w:jc w:val="left"/>
      </w:pPr>
      <w:r>
        <w:rPr>
          <w:rStyle w:val="FootnoteReference"/>
        </w:rPr>
        <w:footnoteRef/>
      </w:r>
      <w:r>
        <w:t xml:space="preserve"> </w:t>
      </w:r>
      <w:r>
        <w:rPr>
          <w:i/>
        </w:rPr>
        <w:t xml:space="preserve">See </w:t>
      </w:r>
      <w:r w:rsidRPr="00392373">
        <w:rPr>
          <w:i/>
        </w:rPr>
        <w:t>Mobile Relay Associates</w:t>
      </w:r>
      <w:r>
        <w:t xml:space="preserve">, </w:t>
      </w:r>
      <w:r w:rsidRPr="00091003">
        <w:rPr>
          <w:i/>
        </w:rPr>
        <w:t>et al</w:t>
      </w:r>
      <w:r w:rsidR="00322EC8">
        <w:rPr>
          <w:i/>
        </w:rPr>
        <w:t>.</w:t>
      </w:r>
      <w:r>
        <w:t xml:space="preserve">, </w:t>
      </w:r>
      <w:r w:rsidRPr="00392373">
        <w:t>Order</w:t>
      </w:r>
      <w:r>
        <w:t>, 30 FCC Rcd 10199</w:t>
      </w:r>
      <w:r w:rsidRPr="00155176">
        <w:t xml:space="preserve"> </w:t>
      </w:r>
      <w:r>
        <w:t>(WTB MD 2015) (</w:t>
      </w:r>
      <w:r>
        <w:rPr>
          <w:i/>
        </w:rPr>
        <w:t>Order</w:t>
      </w:r>
      <w:r>
        <w:t>).</w:t>
      </w:r>
    </w:p>
  </w:footnote>
  <w:footnote w:id="4">
    <w:p w:rsidR="003C0CCF" w:rsidRDefault="003C0CCF" w:rsidP="00322EC8">
      <w:pPr>
        <w:pStyle w:val="FootnoteText"/>
        <w:jc w:val="left"/>
      </w:pPr>
      <w:r>
        <w:rPr>
          <w:rStyle w:val="FootnoteReference"/>
        </w:rPr>
        <w:footnoteRef/>
      </w:r>
      <w:r>
        <w:t xml:space="preserve"> </w:t>
      </w:r>
      <w:r>
        <w:rPr>
          <w:i/>
        </w:rPr>
        <w:t xml:space="preserve">See </w:t>
      </w:r>
      <w:r>
        <w:t xml:space="preserve">FCC File Nos. </w:t>
      </w:r>
      <w:r w:rsidRPr="004362A7">
        <w:t>0006691379</w:t>
      </w:r>
      <w:r>
        <w:t xml:space="preserve"> and </w:t>
      </w:r>
      <w:r w:rsidRPr="004362A7">
        <w:t>0006691971</w:t>
      </w:r>
      <w:r>
        <w:t xml:space="preserve"> (filed March 3, 2015 and amended March 4, 2015 and May 1, 2015), Public Interest; Request for Waiver (filed March 3, 2015) (Waiver Request).</w:t>
      </w:r>
    </w:p>
  </w:footnote>
  <w:footnote w:id="5">
    <w:p w:rsidR="00A13428" w:rsidRPr="009046C4" w:rsidRDefault="00A13428" w:rsidP="00322EC8">
      <w:pPr>
        <w:pStyle w:val="FootnoteText"/>
        <w:jc w:val="left"/>
        <w:rPr>
          <w:color w:val="FF0000"/>
        </w:rPr>
      </w:pPr>
      <w:r>
        <w:rPr>
          <w:rStyle w:val="FootnoteReference"/>
        </w:rPr>
        <w:footnoteRef/>
      </w:r>
      <w:r>
        <w:t xml:space="preserve"> </w:t>
      </w:r>
      <w:r>
        <w:rPr>
          <w:i/>
        </w:rPr>
        <w:t xml:space="preserve">See </w:t>
      </w:r>
      <w:r w:rsidRPr="002B3B9C">
        <w:rPr>
          <w:i/>
        </w:rPr>
        <w:t>Mobile Relay Associates</w:t>
      </w:r>
      <w:r w:rsidR="00AF468F">
        <w:rPr>
          <w:i/>
        </w:rPr>
        <w:t>, et al.</w:t>
      </w:r>
      <w:r>
        <w:t xml:space="preserve">, </w:t>
      </w:r>
      <w:r w:rsidRPr="002B3B9C">
        <w:t>Order</w:t>
      </w:r>
      <w:r>
        <w:t>, 29 FCC Rcd 7292, 7295-96, paras.</w:t>
      </w:r>
      <w:r w:rsidRPr="00155176">
        <w:t xml:space="preserve"> 10-1</w:t>
      </w:r>
      <w:r>
        <w:t>8</w:t>
      </w:r>
      <w:r w:rsidRPr="00155176">
        <w:t xml:space="preserve"> </w:t>
      </w:r>
      <w:r>
        <w:t>(WTB MD 2014) (</w:t>
      </w:r>
      <w:r>
        <w:rPr>
          <w:i/>
        </w:rPr>
        <w:t xml:space="preserve">BAS </w:t>
      </w:r>
      <w:r w:rsidR="00AF468F">
        <w:rPr>
          <w:i/>
        </w:rPr>
        <w:t>Waiv</w:t>
      </w:r>
      <w:r>
        <w:rPr>
          <w:i/>
        </w:rPr>
        <w:t>er</w:t>
      </w:r>
      <w:r>
        <w:t xml:space="preserve">); </w:t>
      </w:r>
      <w:r w:rsidRPr="002B3B9C">
        <w:rPr>
          <w:i/>
        </w:rPr>
        <w:t>Mobile Relay Associates</w:t>
      </w:r>
      <w:r>
        <w:t xml:space="preserve">, </w:t>
      </w:r>
      <w:r w:rsidRPr="002B3B9C">
        <w:t>Order</w:t>
      </w:r>
      <w:r>
        <w:t>, 29 FCC Rcd 660, 662-63, paras. 10-11 (WTB MD 2014) (</w:t>
      </w:r>
      <w:r w:rsidRPr="00232022">
        <w:rPr>
          <w:i/>
        </w:rPr>
        <w:t xml:space="preserve">GMRS </w:t>
      </w:r>
      <w:r w:rsidR="00AF468F">
        <w:rPr>
          <w:i/>
        </w:rPr>
        <w:t>Waiv</w:t>
      </w:r>
      <w:r w:rsidRPr="00232022">
        <w:rPr>
          <w:i/>
        </w:rPr>
        <w:t>er</w:t>
      </w:r>
      <w:r>
        <w:t>)</w:t>
      </w:r>
      <w:r w:rsidRPr="00EE504B">
        <w:t>.</w:t>
      </w:r>
    </w:p>
  </w:footnote>
  <w:footnote w:id="6">
    <w:p w:rsidR="00A13428" w:rsidRDefault="00A13428" w:rsidP="00322EC8">
      <w:pPr>
        <w:pStyle w:val="FootnoteText"/>
        <w:jc w:val="left"/>
      </w:pPr>
      <w:r>
        <w:rPr>
          <w:rStyle w:val="FootnoteReference"/>
        </w:rPr>
        <w:footnoteRef/>
      </w:r>
      <w:r>
        <w:t xml:space="preserve"> </w:t>
      </w:r>
      <w:r>
        <w:rPr>
          <w:i/>
        </w:rPr>
        <w:t xml:space="preserve">See BAS </w:t>
      </w:r>
      <w:r w:rsidR="00AF468F">
        <w:rPr>
          <w:i/>
        </w:rPr>
        <w:t>Waiv</w:t>
      </w:r>
      <w:r>
        <w:rPr>
          <w:i/>
        </w:rPr>
        <w:t>er</w:t>
      </w:r>
      <w:r>
        <w:t xml:space="preserve">, 29 FCC Rcd at 7294, para. 7; </w:t>
      </w:r>
      <w:r>
        <w:rPr>
          <w:i/>
        </w:rPr>
        <w:t xml:space="preserve">GMRS </w:t>
      </w:r>
      <w:r w:rsidR="00AF468F">
        <w:rPr>
          <w:i/>
        </w:rPr>
        <w:t>Waiv</w:t>
      </w:r>
      <w:r>
        <w:rPr>
          <w:i/>
        </w:rPr>
        <w:t>er</w:t>
      </w:r>
      <w:r>
        <w:t>, 29 FCC Rcd at 661-62, paras. 6-7.</w:t>
      </w:r>
    </w:p>
  </w:footnote>
  <w:footnote w:id="7">
    <w:p w:rsidR="00A37228" w:rsidRDefault="00A37228" w:rsidP="00322EC8">
      <w:pPr>
        <w:pStyle w:val="FootnoteText"/>
        <w:jc w:val="left"/>
      </w:pPr>
      <w:r>
        <w:rPr>
          <w:rStyle w:val="FootnoteReference"/>
        </w:rPr>
        <w:footnoteRef/>
      </w:r>
      <w:r>
        <w:t xml:space="preserve"> </w:t>
      </w:r>
      <w:r>
        <w:rPr>
          <w:i/>
        </w:rPr>
        <w:t>See</w:t>
      </w:r>
      <w:r>
        <w:t xml:space="preserve"> 47 C.F.R. § 2.106 (</w:t>
      </w:r>
      <w:r>
        <w:rPr>
          <w:szCs w:val="22"/>
        </w:rPr>
        <w:t>United States Table of Frequency Allocations</w:t>
      </w:r>
      <w:r>
        <w:t xml:space="preserve">).  </w:t>
      </w:r>
    </w:p>
  </w:footnote>
  <w:footnote w:id="8">
    <w:p w:rsidR="00A37228" w:rsidRDefault="00A37228" w:rsidP="00322EC8">
      <w:pPr>
        <w:pStyle w:val="FootnoteText"/>
        <w:jc w:val="left"/>
      </w:pPr>
      <w:r>
        <w:rPr>
          <w:rStyle w:val="FootnoteReference"/>
        </w:rPr>
        <w:footnoteRef/>
      </w:r>
      <w:r>
        <w:t xml:space="preserve"> Medical Micropower Networks operate on a secondary basis in the 451-457 MHz band.  </w:t>
      </w:r>
      <w:r>
        <w:rPr>
          <w:i/>
        </w:rPr>
        <w:t>See</w:t>
      </w:r>
      <w:r>
        <w:t xml:space="preserve"> 47 C.F.R. §§ </w:t>
      </w:r>
      <w:bookmarkStart w:id="1" w:name="SR;2227"/>
      <w:bookmarkStart w:id="2" w:name="SR;2237"/>
      <w:bookmarkEnd w:id="1"/>
      <w:bookmarkEnd w:id="2"/>
      <w:r>
        <w:t xml:space="preserve">2.106 note US64, 95.628(b). </w:t>
      </w:r>
    </w:p>
  </w:footnote>
  <w:footnote w:id="9">
    <w:p w:rsidR="00A37228" w:rsidRDefault="00A37228" w:rsidP="00322EC8">
      <w:pPr>
        <w:pStyle w:val="FootnoteText"/>
        <w:jc w:val="left"/>
      </w:pPr>
      <w:r>
        <w:rPr>
          <w:rStyle w:val="FootnoteReference"/>
        </w:rPr>
        <w:footnoteRef/>
      </w:r>
      <w:r>
        <w:t xml:space="preserve"> </w:t>
      </w:r>
      <w:r w:rsidR="002733B3">
        <w:t xml:space="preserve">Frequencies 454.000 MHz and 459.000 MHz, which are designated as assignable I/B frequencies </w:t>
      </w:r>
      <w:r w:rsidR="00322EC8">
        <w:t xml:space="preserve">on a primary basis </w:t>
      </w:r>
      <w:r w:rsidR="002733B3">
        <w:t xml:space="preserve">for oil spill containment and cleanup operations, </w:t>
      </w:r>
      <w:r w:rsidR="002733B3">
        <w:rPr>
          <w:i/>
        </w:rPr>
        <w:t xml:space="preserve">see </w:t>
      </w:r>
      <w:r w:rsidR="002733B3">
        <w:t xml:space="preserve">47 CFR § 90.35(b)(3), (c)(8), are upper-adjacent to 453/458 MHz Public Safety Pool frequencies, </w:t>
      </w:r>
      <w:r w:rsidR="002733B3">
        <w:rPr>
          <w:i/>
        </w:rPr>
        <w:t>s</w:t>
      </w:r>
      <w:r>
        <w:rPr>
          <w:i/>
        </w:rPr>
        <w:t xml:space="preserve">ee </w:t>
      </w:r>
      <w:r w:rsidR="002733B3">
        <w:t>47 CFR § 90.20(c)(3</w:t>
      </w:r>
      <w:r>
        <w:t>).</w:t>
      </w:r>
    </w:p>
  </w:footnote>
  <w:footnote w:id="10">
    <w:p w:rsidR="00A37228" w:rsidRDefault="00A37228" w:rsidP="00322EC8">
      <w:pPr>
        <w:pStyle w:val="FootnoteText"/>
        <w:jc w:val="left"/>
      </w:pPr>
      <w:r>
        <w:rPr>
          <w:rStyle w:val="FootnoteReference"/>
        </w:rPr>
        <w:footnoteRef/>
      </w:r>
      <w:r>
        <w:t xml:space="preserve"> </w:t>
      </w:r>
      <w:r>
        <w:rPr>
          <w:i/>
        </w:rPr>
        <w:t xml:space="preserve">See </w:t>
      </w:r>
      <w:r>
        <w:t>47 C.F.R. §§ 22.561 (designating assignable 454/459 PARS frequencies beginning with 454/459.025 MHz), 22.725 (designating assignable 454/459 RRS frequencies beginning with 454/459.025 MHz).</w:t>
      </w:r>
    </w:p>
  </w:footnote>
  <w:footnote w:id="11">
    <w:p w:rsidR="00A37228" w:rsidRDefault="00A37228" w:rsidP="00322EC8">
      <w:pPr>
        <w:pStyle w:val="FootnoteText"/>
        <w:jc w:val="left"/>
      </w:pPr>
      <w:r>
        <w:rPr>
          <w:rStyle w:val="FootnoteReference"/>
        </w:rPr>
        <w:footnoteRef/>
      </w:r>
      <w:r>
        <w:t xml:space="preserve"> </w:t>
      </w:r>
      <w:r>
        <w:rPr>
          <w:i/>
        </w:rPr>
        <w:t>See</w:t>
      </w:r>
      <w:r>
        <w:t xml:space="preserve"> 47 C.F.R. § 22.805 (designating assignable 454/459 MHz GAARS frequencies ending with 454/459.975 MHz).</w:t>
      </w:r>
    </w:p>
  </w:footnote>
  <w:footnote w:id="12">
    <w:p w:rsidR="00A37228" w:rsidRDefault="00A37228" w:rsidP="00322EC8">
      <w:pPr>
        <w:pStyle w:val="FootnoteText"/>
        <w:jc w:val="left"/>
      </w:pPr>
      <w:r>
        <w:rPr>
          <w:rStyle w:val="FootnoteReference"/>
        </w:rPr>
        <w:footnoteRef/>
      </w:r>
      <w:r>
        <w:t xml:space="preserve"> </w:t>
      </w:r>
      <w:r w:rsidRPr="00D7561C">
        <w:rPr>
          <w:i/>
        </w:rPr>
        <w:t>See</w:t>
      </w:r>
      <w:r w:rsidRPr="00D7561C">
        <w:t xml:space="preserve"> 47 C.F.R. § </w:t>
      </w:r>
      <w:r>
        <w:t>74.402(a)(4) (designating assignable 455 MHz BAS frequencies beginning with 455.00625 MHz)</w:t>
      </w:r>
      <w:r w:rsidRPr="00D7561C">
        <w:t>.</w:t>
      </w:r>
    </w:p>
  </w:footnote>
  <w:footnote w:id="13">
    <w:p w:rsidR="00A37228" w:rsidRDefault="00A37228" w:rsidP="00322EC8">
      <w:pPr>
        <w:pStyle w:val="FootnoteText"/>
        <w:jc w:val="left"/>
      </w:pPr>
      <w:r>
        <w:rPr>
          <w:rStyle w:val="FootnoteReference"/>
        </w:rPr>
        <w:footnoteRef/>
      </w:r>
      <w:r>
        <w:t xml:space="preserve"> </w:t>
      </w:r>
      <w:r w:rsidRPr="00D7561C">
        <w:rPr>
          <w:i/>
        </w:rPr>
        <w:t>See</w:t>
      </w:r>
      <w:r w:rsidR="00CC09D8">
        <w:t xml:space="preserve"> note 10, </w:t>
      </w:r>
      <w:r w:rsidR="00CC09D8">
        <w:rPr>
          <w:i/>
        </w:rPr>
        <w:t>supra</w:t>
      </w:r>
      <w:r w:rsidRPr="00D7561C">
        <w:t>.</w:t>
      </w:r>
    </w:p>
  </w:footnote>
  <w:footnote w:id="14">
    <w:p w:rsidR="00A37228" w:rsidRDefault="00A37228" w:rsidP="00322EC8">
      <w:pPr>
        <w:pStyle w:val="FootnoteText"/>
        <w:jc w:val="left"/>
      </w:pPr>
      <w:r>
        <w:rPr>
          <w:rStyle w:val="FootnoteReference"/>
        </w:rPr>
        <w:footnoteRef/>
      </w:r>
      <w:r>
        <w:t xml:space="preserve"> </w:t>
      </w:r>
      <w:r w:rsidRPr="00D7561C">
        <w:rPr>
          <w:i/>
        </w:rPr>
        <w:t>See</w:t>
      </w:r>
      <w:r w:rsidRPr="00D7561C">
        <w:t xml:space="preserve"> 47 C.F.R. § </w:t>
      </w:r>
      <w:r>
        <w:t>90.20(c)(3) (designating assignable 460 MHz PS frequencies beginning with 460.0125 MHz)</w:t>
      </w:r>
      <w:r w:rsidRPr="00D7561C">
        <w:t>.</w:t>
      </w:r>
    </w:p>
  </w:footnote>
  <w:footnote w:id="15">
    <w:p w:rsidR="00CC09D8" w:rsidRPr="00706B71" w:rsidRDefault="00CC09D8" w:rsidP="00322EC8">
      <w:pPr>
        <w:pStyle w:val="FootnoteText"/>
        <w:jc w:val="left"/>
      </w:pPr>
      <w:r>
        <w:rPr>
          <w:rStyle w:val="FootnoteReference"/>
        </w:rPr>
        <w:footnoteRef/>
      </w:r>
      <w:r>
        <w:t xml:space="preserve"> </w:t>
      </w:r>
      <w:r>
        <w:rPr>
          <w:i/>
        </w:rPr>
        <w:t>See Order</w:t>
      </w:r>
      <w:r>
        <w:t>, 30 FCC Rcd at 10</w:t>
      </w:r>
      <w:r w:rsidR="00706B71">
        <w:t>201, paras. 7-12.</w:t>
      </w:r>
      <w:r w:rsidR="000D6853">
        <w:t xml:space="preserve">  </w:t>
      </w:r>
      <w:r w:rsidR="00AF468F">
        <w:t>Of the above-captioned MRA applications, only FCC File No. 0006691596</w:t>
      </w:r>
      <w:r w:rsidR="00706B71">
        <w:t xml:space="preserve"> was addressed in the </w:t>
      </w:r>
      <w:r w:rsidR="00706B71">
        <w:rPr>
          <w:i/>
        </w:rPr>
        <w:t>Order</w:t>
      </w:r>
      <w:r w:rsidR="00706B71">
        <w:t>.</w:t>
      </w:r>
    </w:p>
  </w:footnote>
  <w:footnote w:id="16">
    <w:p w:rsidR="00706B71" w:rsidRPr="00706B71" w:rsidRDefault="00706B71" w:rsidP="00322EC8">
      <w:pPr>
        <w:pStyle w:val="FootnoteText"/>
        <w:jc w:val="left"/>
      </w:pPr>
      <w:r>
        <w:rPr>
          <w:rStyle w:val="FootnoteReference"/>
        </w:rPr>
        <w:footnoteRef/>
      </w:r>
      <w:r>
        <w:t xml:space="preserve"> </w:t>
      </w:r>
      <w:r>
        <w:rPr>
          <w:i/>
        </w:rPr>
        <w:t>See id.</w:t>
      </w:r>
      <w:r>
        <w:t xml:space="preserve"> at 10200-01, para. 6.</w:t>
      </w:r>
    </w:p>
  </w:footnote>
  <w:footnote w:id="17">
    <w:p w:rsidR="00F37EA7" w:rsidRDefault="00F37EA7" w:rsidP="00322EC8">
      <w:pPr>
        <w:pStyle w:val="FootnoteText"/>
        <w:jc w:val="left"/>
      </w:pPr>
      <w:r>
        <w:rPr>
          <w:rStyle w:val="FootnoteReference"/>
        </w:rPr>
        <w:footnoteRef/>
      </w:r>
      <w:r>
        <w:t xml:space="preserve"> </w:t>
      </w:r>
      <w:r>
        <w:rPr>
          <w:i/>
        </w:rPr>
        <w:t xml:space="preserve">See id. </w:t>
      </w:r>
      <w:r>
        <w:t>at 10201</w:t>
      </w:r>
      <w:r w:rsidR="001C2874">
        <w:t>, para.</w:t>
      </w:r>
      <w:r>
        <w:t xml:space="preserve"> 7.</w:t>
      </w:r>
    </w:p>
  </w:footnote>
  <w:footnote w:id="18">
    <w:p w:rsidR="00C542DC" w:rsidRPr="00A60EDF" w:rsidRDefault="00C542DC" w:rsidP="00322EC8">
      <w:pPr>
        <w:pStyle w:val="FootnoteText"/>
        <w:jc w:val="left"/>
      </w:pPr>
      <w:r>
        <w:rPr>
          <w:rStyle w:val="FootnoteReference"/>
        </w:rPr>
        <w:footnoteRef/>
      </w:r>
      <w:r>
        <w:t xml:space="preserve"> </w:t>
      </w:r>
      <w:r>
        <w:rPr>
          <w:i/>
        </w:rPr>
        <w:t>See Amendment of Part 90 of the Commission’s Rules to Improve Access to Private Land Mobile Radio Spectrum,</w:t>
      </w:r>
      <w:r>
        <w:t xml:space="preserve"> Notice of Proposed Rulemaking, FCC 16-110 (rel. Aug. 18, 2016).</w:t>
      </w:r>
    </w:p>
  </w:footnote>
  <w:footnote w:id="19">
    <w:p w:rsidR="00C542DC" w:rsidRPr="00C542DC" w:rsidRDefault="00C542DC" w:rsidP="00322EC8">
      <w:pPr>
        <w:pStyle w:val="FootnoteText"/>
        <w:jc w:val="left"/>
      </w:pPr>
      <w:r>
        <w:rPr>
          <w:rStyle w:val="FootnoteReference"/>
        </w:rPr>
        <w:footnoteRef/>
      </w:r>
      <w:r>
        <w:t xml:space="preserve"> </w:t>
      </w:r>
      <w:r>
        <w:rPr>
          <w:i/>
        </w:rPr>
        <w:t>See id.</w:t>
      </w:r>
      <w:r>
        <w:t xml:space="preserve"> at paras. 6-10.  </w:t>
      </w:r>
    </w:p>
  </w:footnote>
  <w:footnote w:id="20">
    <w:p w:rsidR="00C542DC" w:rsidRDefault="00C542DC" w:rsidP="00322EC8">
      <w:pPr>
        <w:pStyle w:val="FootnoteText"/>
        <w:jc w:val="left"/>
      </w:pPr>
      <w:r>
        <w:rPr>
          <w:rStyle w:val="FootnoteReference"/>
        </w:rPr>
        <w:footnoteRef/>
      </w:r>
      <w:r>
        <w:t xml:space="preserve"> </w:t>
      </w:r>
      <w:r>
        <w:rPr>
          <w:i/>
        </w:rPr>
        <w:t>See id.</w:t>
      </w:r>
      <w:r>
        <w:t xml:space="preserve"> at para. 7.</w:t>
      </w:r>
    </w:p>
  </w:footnote>
  <w:footnote w:id="21">
    <w:p w:rsidR="00350E85" w:rsidRPr="00350E85" w:rsidRDefault="00350E85" w:rsidP="00322EC8">
      <w:pPr>
        <w:pStyle w:val="FootnoteText"/>
        <w:jc w:val="left"/>
      </w:pPr>
      <w:r>
        <w:rPr>
          <w:rStyle w:val="FootnoteReference"/>
        </w:rPr>
        <w:footnoteRef/>
      </w:r>
      <w:r>
        <w:t xml:space="preserve"> </w:t>
      </w:r>
      <w:r>
        <w:rPr>
          <w:i/>
        </w:rPr>
        <w:t>See</w:t>
      </w:r>
      <w:r>
        <w:t xml:space="preserve"> </w:t>
      </w:r>
      <w:r w:rsidR="00AF3291" w:rsidRPr="00AF3291">
        <w:rPr>
          <w:i/>
        </w:rPr>
        <w:t>J-</w:t>
      </w:r>
      <w:r>
        <w:rPr>
          <w:i/>
        </w:rPr>
        <w:t>Comm Corp.</w:t>
      </w:r>
      <w:r>
        <w:t>, Order, DA 16-</w:t>
      </w:r>
      <w:r w:rsidR="00767DDA">
        <w:t>966</w:t>
      </w:r>
      <w:r>
        <w:t>, para</w:t>
      </w:r>
      <w:r w:rsidR="00AF3291">
        <w:t>s</w:t>
      </w:r>
      <w:r>
        <w:t>.</w:t>
      </w:r>
      <w:r w:rsidR="00AF3291">
        <w:t xml:space="preserve"> 6-7</w:t>
      </w:r>
      <w:r>
        <w:t xml:space="preserve"> (WTB MD rel. Aug. 25, 2016).</w:t>
      </w:r>
    </w:p>
  </w:footnote>
  <w:footnote w:id="22">
    <w:p w:rsidR="00A37228" w:rsidRPr="00637B38" w:rsidRDefault="00A37228" w:rsidP="00322EC8">
      <w:pPr>
        <w:pStyle w:val="FootnoteText"/>
        <w:jc w:val="left"/>
      </w:pPr>
      <w:r>
        <w:rPr>
          <w:rStyle w:val="FootnoteReference"/>
        </w:rPr>
        <w:footnoteRef/>
      </w:r>
      <w:r>
        <w:t xml:space="preserve"> </w:t>
      </w:r>
      <w:r>
        <w:rPr>
          <w:i/>
        </w:rPr>
        <w:t xml:space="preserve">See </w:t>
      </w:r>
      <w:r>
        <w:t>Petition at 4-8.</w:t>
      </w:r>
    </w:p>
  </w:footnote>
  <w:footnote w:id="23">
    <w:p w:rsidR="00A37228" w:rsidRPr="00637B38" w:rsidRDefault="00A37228" w:rsidP="00322EC8">
      <w:pPr>
        <w:pStyle w:val="FootnoteText"/>
        <w:jc w:val="left"/>
      </w:pPr>
      <w:r>
        <w:rPr>
          <w:rStyle w:val="FootnoteReference"/>
        </w:rPr>
        <w:footnoteRef/>
      </w:r>
      <w:r>
        <w:t xml:space="preserve"> </w:t>
      </w:r>
      <w:r>
        <w:rPr>
          <w:i/>
        </w:rPr>
        <w:t xml:space="preserve">See id. </w:t>
      </w:r>
      <w:r>
        <w:t>at 8-9.</w:t>
      </w:r>
    </w:p>
  </w:footnote>
  <w:footnote w:id="24">
    <w:p w:rsidR="004D691B" w:rsidRDefault="004D691B" w:rsidP="00322EC8">
      <w:pPr>
        <w:pStyle w:val="FootnoteText"/>
        <w:jc w:val="left"/>
      </w:pPr>
      <w:r>
        <w:rPr>
          <w:rStyle w:val="FootnoteReference"/>
        </w:rPr>
        <w:footnoteRef/>
      </w:r>
      <w:r>
        <w:t xml:space="preserve"> </w:t>
      </w:r>
      <w:r w:rsidRPr="00753FBF">
        <w:rPr>
          <w:i/>
          <w:iCs/>
        </w:rPr>
        <w:t>See, e.g</w:t>
      </w:r>
      <w:r w:rsidRPr="00753FBF">
        <w:t xml:space="preserve">., </w:t>
      </w:r>
      <w:r w:rsidRPr="004D691B">
        <w:rPr>
          <w:i/>
        </w:rPr>
        <w:t>Tektron Micro Electronics, Inc</w:t>
      </w:r>
      <w:r w:rsidRPr="00753FBF">
        <w:t xml:space="preserve">., </w:t>
      </w:r>
      <w:r w:rsidRPr="004D691B">
        <w:rPr>
          <w:iCs/>
        </w:rPr>
        <w:t>Order on Reconsideration</w:t>
      </w:r>
      <w:r w:rsidRPr="00753FBF">
        <w:t>, 15 FCC Rcd 4438, 4438-39</w:t>
      </w:r>
      <w:r>
        <w:t>, para.</w:t>
      </w:r>
      <w:r w:rsidRPr="00753FBF">
        <w:t xml:space="preserve"> 2 (WTB PSPWD 2000)</w:t>
      </w:r>
      <w:r>
        <w:t xml:space="preserve">; </w:t>
      </w:r>
      <w:r>
        <w:rPr>
          <w:i/>
        </w:rPr>
        <w:t xml:space="preserve">see also </w:t>
      </w:r>
      <w:r w:rsidRPr="00753FBF">
        <w:t>47 C.F.R. § 1.925(c)(i)</w:t>
      </w:r>
      <w:r>
        <w:t xml:space="preserve"> (“The Commission, in its discretion, may give public notice of the filing of a waiver request and seek comment from the public or affected parties.”)</w:t>
      </w:r>
      <w:r w:rsidRPr="00753FBF">
        <w:t>.</w:t>
      </w:r>
    </w:p>
  </w:footnote>
  <w:footnote w:id="25">
    <w:p w:rsidR="00F373BC" w:rsidRDefault="00F373BC" w:rsidP="00322EC8">
      <w:pPr>
        <w:pStyle w:val="FootnoteText"/>
        <w:jc w:val="left"/>
      </w:pPr>
      <w:r>
        <w:rPr>
          <w:rStyle w:val="FootnoteReference"/>
        </w:rPr>
        <w:footnoteRef/>
      </w:r>
      <w:r>
        <w:t xml:space="preserve"> </w:t>
      </w:r>
      <w:r w:rsidRPr="00F373BC">
        <w:t>FCC File No. 0006691</w:t>
      </w:r>
      <w:r w:rsidR="00B83EB6">
        <w:t>37</w:t>
      </w:r>
      <w:r w:rsidRPr="00F373BC">
        <w:t>9</w:t>
      </w:r>
      <w:r>
        <w:t>.</w:t>
      </w:r>
    </w:p>
  </w:footnote>
  <w:footnote w:id="26">
    <w:p w:rsidR="00B83EB6" w:rsidRDefault="00B83EB6">
      <w:pPr>
        <w:pStyle w:val="FootnoteText"/>
      </w:pPr>
      <w:r>
        <w:rPr>
          <w:rStyle w:val="FootnoteReference"/>
        </w:rPr>
        <w:footnoteRef/>
      </w:r>
      <w:r>
        <w:t xml:space="preserve"> </w:t>
      </w:r>
      <w:r w:rsidRPr="00F373BC">
        <w:t>FCC File No. 0006691971</w:t>
      </w:r>
      <w:r>
        <w:t>.</w:t>
      </w:r>
    </w:p>
  </w:footnote>
  <w:footnote w:id="27">
    <w:p w:rsidR="00AF468F" w:rsidRPr="00AF468F" w:rsidRDefault="00AF468F">
      <w:pPr>
        <w:pStyle w:val="FootnoteText"/>
      </w:pPr>
      <w:r>
        <w:rPr>
          <w:rStyle w:val="FootnoteReference"/>
        </w:rPr>
        <w:footnoteRef/>
      </w:r>
      <w:r>
        <w:t xml:space="preserve"> </w:t>
      </w:r>
      <w:r>
        <w:rPr>
          <w:i/>
        </w:rPr>
        <w:t xml:space="preserve">See </w:t>
      </w:r>
      <w:r>
        <w:t>Waiver Request at 4, n.4.</w:t>
      </w:r>
    </w:p>
  </w:footnote>
  <w:footnote w:id="28">
    <w:p w:rsidR="00767DDA" w:rsidRPr="00767DDA" w:rsidRDefault="00767DDA" w:rsidP="00322EC8">
      <w:pPr>
        <w:pStyle w:val="FootnoteText"/>
        <w:jc w:val="left"/>
      </w:pPr>
      <w:r>
        <w:rPr>
          <w:rStyle w:val="FootnoteReference"/>
        </w:rPr>
        <w:footnoteRef/>
      </w:r>
      <w:r>
        <w:t xml:space="preserve"> </w:t>
      </w:r>
      <w:r>
        <w:rPr>
          <w:i/>
        </w:rPr>
        <w:t>See</w:t>
      </w:r>
      <w:r>
        <w:t xml:space="preserve"> Station WPVE956.</w:t>
      </w:r>
    </w:p>
  </w:footnote>
  <w:footnote w:id="29">
    <w:p w:rsidR="00767DDA" w:rsidRDefault="00767DDA" w:rsidP="00322EC8">
      <w:pPr>
        <w:pStyle w:val="FootnoteText"/>
        <w:jc w:val="left"/>
      </w:pPr>
      <w:r>
        <w:rPr>
          <w:rStyle w:val="FootnoteReference"/>
        </w:rPr>
        <w:footnoteRef/>
      </w:r>
      <w:r>
        <w:t xml:space="preserve"> </w:t>
      </w:r>
      <w:r w:rsidRPr="00767DDA">
        <w:rPr>
          <w:i/>
        </w:rPr>
        <w:t>I.e</w:t>
      </w:r>
      <w:r>
        <w:t>., application FCC File No. 0006691379, locations 1, 2, 3, 5, 7, 8, 9, 11, 13, 14, 15, and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46" w:rsidRDefault="00C10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Header"/>
      <w:tabs>
        <w:tab w:val="clear" w:pos="4320"/>
        <w:tab w:val="clear" w:pos="8640"/>
        <w:tab w:val="center" w:pos="4680"/>
        <w:tab w:val="right" w:pos="9360"/>
      </w:tabs>
      <w:rPr>
        <w:b/>
      </w:rPr>
    </w:pPr>
    <w:r>
      <w:rPr>
        <w:b/>
      </w:rPr>
      <w:tab/>
      <w:t>Federal Communications Commission</w:t>
    </w:r>
    <w:r>
      <w:rPr>
        <w:b/>
      </w:rPr>
      <w:tab/>
      <w:t xml:space="preserve">DA </w:t>
    </w:r>
    <w:r w:rsidR="00F63927">
      <w:rPr>
        <w:b/>
      </w:rPr>
      <w:t>16-984</w:t>
    </w:r>
  </w:p>
  <w:p w:rsidR="00A37228" w:rsidRDefault="00A37228">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F74F74" wp14:editId="4A284CE0">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5CE6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Header"/>
      <w:tabs>
        <w:tab w:val="clear" w:pos="4320"/>
        <w:tab w:val="clear" w:pos="8640"/>
        <w:tab w:val="center" w:pos="4680"/>
        <w:tab w:val="right" w:pos="9360"/>
      </w:tabs>
      <w:rPr>
        <w:b/>
      </w:rPr>
    </w:pPr>
    <w:r>
      <w:rPr>
        <w:b/>
      </w:rPr>
      <w:tab/>
      <w:t>Federal Communications Commission</w:t>
    </w:r>
    <w:r>
      <w:rPr>
        <w:b/>
      </w:rPr>
      <w:tab/>
      <w:t xml:space="preserve">DA </w:t>
    </w:r>
    <w:r w:rsidR="00F63927">
      <w:rPr>
        <w:b/>
      </w:rPr>
      <w:t>16-984</w:t>
    </w:r>
  </w:p>
  <w:p w:rsidR="00A37228" w:rsidRDefault="00A37228">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0AFFC2B" wp14:editId="1772B92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99C3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A87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D34E4"/>
    <w:multiLevelType w:val="multilevel"/>
    <w:tmpl w:val="E258D1C8"/>
    <w:lvl w:ilvl="0">
      <w:start w:val="2"/>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0A4C16"/>
    <w:multiLevelType w:val="hybridMultilevel"/>
    <w:tmpl w:val="E258D1C8"/>
    <w:lvl w:ilvl="0" w:tplc="F300FE86">
      <w:start w:val="2"/>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9AF7BE6"/>
    <w:multiLevelType w:val="singleLevel"/>
    <w:tmpl w:val="D0DAFB0E"/>
    <w:lvl w:ilvl="0">
      <w:start w:val="1"/>
      <w:numFmt w:val="decimal"/>
      <w:pStyle w:val="Docutechnumbering"/>
      <w:lvlText w:val="%1."/>
      <w:lvlJc w:val="left"/>
      <w:pPr>
        <w:tabs>
          <w:tab w:val="num" w:pos="1080"/>
        </w:tabs>
        <w:ind w:left="0" w:firstLine="720"/>
      </w:pPr>
      <w:rPr>
        <w:b w:val="0"/>
        <w:i w:val="0"/>
      </w:r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530"/>
        </w:tabs>
        <w:ind w:left="1530" w:hanging="720"/>
      </w:pPr>
    </w:lvl>
    <w:lvl w:ilvl="2">
      <w:start w:val="1"/>
      <w:numFmt w:val="decimal"/>
      <w:pStyle w:val="Heading3"/>
      <w:lvlText w:val="%3."/>
      <w:lvlJc w:val="left"/>
      <w:pPr>
        <w:tabs>
          <w:tab w:val="num" w:pos="2250"/>
        </w:tabs>
        <w:ind w:left="2250" w:hanging="720"/>
      </w:pPr>
    </w:lvl>
    <w:lvl w:ilvl="3">
      <w:start w:val="1"/>
      <w:numFmt w:val="lowerLetter"/>
      <w:pStyle w:val="Heading4"/>
      <w:lvlText w:val="%4."/>
      <w:lvlJc w:val="left"/>
      <w:pPr>
        <w:tabs>
          <w:tab w:val="num" w:pos="2970"/>
        </w:tabs>
        <w:ind w:left="2970" w:hanging="720"/>
      </w:pPr>
    </w:lvl>
    <w:lvl w:ilvl="4">
      <w:start w:val="1"/>
      <w:numFmt w:val="lowerRoman"/>
      <w:pStyle w:val="Heading5"/>
      <w:lvlText w:val="(%5)"/>
      <w:lvlJc w:val="left"/>
      <w:pPr>
        <w:tabs>
          <w:tab w:val="num" w:pos="4050"/>
        </w:tabs>
        <w:ind w:left="369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410"/>
        </w:tabs>
        <w:ind w:left="4410" w:hanging="720"/>
      </w:pPr>
    </w:lvl>
    <w:lvl w:ilvl="6">
      <w:start w:val="1"/>
      <w:numFmt w:val="lowerRoman"/>
      <w:pStyle w:val="Heading7"/>
      <w:lvlText w:val="(%7)"/>
      <w:lvlJc w:val="left"/>
      <w:pPr>
        <w:tabs>
          <w:tab w:val="num" w:pos="5130"/>
        </w:tabs>
        <w:ind w:left="4410" w:firstLine="0"/>
      </w:pPr>
    </w:lvl>
    <w:lvl w:ilvl="7">
      <w:start w:val="1"/>
      <w:numFmt w:val="lowerLetter"/>
      <w:pStyle w:val="Heading8"/>
      <w:lvlText w:val="(%8)"/>
      <w:lvlJc w:val="left"/>
      <w:pPr>
        <w:tabs>
          <w:tab w:val="num" w:pos="5490"/>
        </w:tabs>
        <w:ind w:left="5130" w:firstLine="0"/>
      </w:pPr>
    </w:lvl>
    <w:lvl w:ilvl="8">
      <w:start w:val="1"/>
      <w:numFmt w:val="lowerRoman"/>
      <w:pStyle w:val="Heading9"/>
      <w:lvlText w:val="(%9)"/>
      <w:lvlJc w:val="left"/>
      <w:pPr>
        <w:tabs>
          <w:tab w:val="num" w:pos="6570"/>
        </w:tabs>
        <w:ind w:left="5850" w:firstLine="0"/>
      </w:pPr>
      <w:rPr>
        <w:b/>
        <w:i w:val="0"/>
        <w:sz w:val="22"/>
      </w:rPr>
    </w:lvl>
  </w:abstractNum>
  <w:abstractNum w:abstractNumId="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94A038F"/>
    <w:multiLevelType w:val="singleLevel"/>
    <w:tmpl w:val="D94CF5CA"/>
    <w:lvl w:ilvl="0">
      <w:start w:val="1"/>
      <w:numFmt w:val="decimal"/>
      <w:pStyle w:val="Numberedparagraph"/>
      <w:lvlText w:val="%1."/>
      <w:lvlJc w:val="left"/>
      <w:pPr>
        <w:tabs>
          <w:tab w:val="num" w:pos="1080"/>
        </w:tabs>
        <w:ind w:left="0" w:firstLine="720"/>
      </w:pPr>
    </w:lvl>
  </w:abstractNum>
  <w:num w:numId="1">
    <w:abstractNumId w:val="6"/>
  </w:num>
  <w:num w:numId="2">
    <w:abstractNumId w:val="7"/>
  </w:num>
  <w:num w:numId="3">
    <w:abstractNumId w:val="3"/>
  </w:num>
  <w:num w:numId="4">
    <w:abstractNumId w:val="5"/>
  </w:num>
  <w:num w:numId="5">
    <w:abstractNumId w:val="4"/>
  </w:num>
  <w:num w:numId="6">
    <w:abstractNumId w:val="8"/>
  </w:num>
  <w:num w:numId="7">
    <w:abstractNumId w:val="2"/>
  </w:num>
  <w:num w:numId="8">
    <w:abstractNumId w:val="1"/>
  </w:num>
  <w:num w:numId="9">
    <w:abstractNumId w:val="3"/>
    <w:lvlOverride w:ilvl="0">
      <w:startOverride w:val="1"/>
    </w:lvlOverride>
  </w:num>
  <w:num w:numId="10">
    <w:abstractNumId w:val="3"/>
    <w:lvlOverride w:ilvl="0">
      <w:startOverride w:val="1"/>
    </w:lvlOverride>
  </w:num>
  <w:num w:numId="11">
    <w:abstractNumId w:val="0"/>
  </w:num>
  <w:num w:numId="12">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A6"/>
    <w:rsid w:val="000104A6"/>
    <w:rsid w:val="000161FC"/>
    <w:rsid w:val="00023EB9"/>
    <w:rsid w:val="0003563F"/>
    <w:rsid w:val="00036932"/>
    <w:rsid w:val="000615ED"/>
    <w:rsid w:val="00067366"/>
    <w:rsid w:val="00074C9D"/>
    <w:rsid w:val="00091003"/>
    <w:rsid w:val="000953A4"/>
    <w:rsid w:val="000B2373"/>
    <w:rsid w:val="000D6853"/>
    <w:rsid w:val="0012474B"/>
    <w:rsid w:val="0012665C"/>
    <w:rsid w:val="00131F2E"/>
    <w:rsid w:val="00155176"/>
    <w:rsid w:val="00162734"/>
    <w:rsid w:val="001B129D"/>
    <w:rsid w:val="001B12CC"/>
    <w:rsid w:val="001C2874"/>
    <w:rsid w:val="001C6880"/>
    <w:rsid w:val="001D0EA9"/>
    <w:rsid w:val="001D2BC7"/>
    <w:rsid w:val="001F6766"/>
    <w:rsid w:val="00210F6D"/>
    <w:rsid w:val="0022323C"/>
    <w:rsid w:val="002573D5"/>
    <w:rsid w:val="002733B3"/>
    <w:rsid w:val="0027767E"/>
    <w:rsid w:val="00277E34"/>
    <w:rsid w:val="00291066"/>
    <w:rsid w:val="002A311E"/>
    <w:rsid w:val="002A7A89"/>
    <w:rsid w:val="002B2384"/>
    <w:rsid w:val="002B382A"/>
    <w:rsid w:val="002D34C3"/>
    <w:rsid w:val="002E283E"/>
    <w:rsid w:val="002E63F2"/>
    <w:rsid w:val="00322EC8"/>
    <w:rsid w:val="00323627"/>
    <w:rsid w:val="00324EBD"/>
    <w:rsid w:val="0034302F"/>
    <w:rsid w:val="00350E85"/>
    <w:rsid w:val="00360989"/>
    <w:rsid w:val="00364BFA"/>
    <w:rsid w:val="00391DE8"/>
    <w:rsid w:val="00392373"/>
    <w:rsid w:val="003B6F70"/>
    <w:rsid w:val="003C0CCF"/>
    <w:rsid w:val="003D6CC7"/>
    <w:rsid w:val="00416EAF"/>
    <w:rsid w:val="00430A56"/>
    <w:rsid w:val="004362A7"/>
    <w:rsid w:val="00467107"/>
    <w:rsid w:val="00470838"/>
    <w:rsid w:val="00477C68"/>
    <w:rsid w:val="0049725D"/>
    <w:rsid w:val="004C50C9"/>
    <w:rsid w:val="004D691B"/>
    <w:rsid w:val="004E70E0"/>
    <w:rsid w:val="004E7510"/>
    <w:rsid w:val="00530271"/>
    <w:rsid w:val="00543645"/>
    <w:rsid w:val="00555368"/>
    <w:rsid w:val="005660F3"/>
    <w:rsid w:val="005839B1"/>
    <w:rsid w:val="00585FF5"/>
    <w:rsid w:val="00595FDC"/>
    <w:rsid w:val="005A14ED"/>
    <w:rsid w:val="005E6402"/>
    <w:rsid w:val="0061717D"/>
    <w:rsid w:val="00637B38"/>
    <w:rsid w:val="00653C5B"/>
    <w:rsid w:val="00672B13"/>
    <w:rsid w:val="006779A6"/>
    <w:rsid w:val="00686160"/>
    <w:rsid w:val="00694097"/>
    <w:rsid w:val="00694703"/>
    <w:rsid w:val="006A4840"/>
    <w:rsid w:val="006F25A3"/>
    <w:rsid w:val="00706B71"/>
    <w:rsid w:val="0073209D"/>
    <w:rsid w:val="00750429"/>
    <w:rsid w:val="00753FBF"/>
    <w:rsid w:val="00754C4A"/>
    <w:rsid w:val="0075621E"/>
    <w:rsid w:val="00761D07"/>
    <w:rsid w:val="00761F91"/>
    <w:rsid w:val="00767DDA"/>
    <w:rsid w:val="007833FD"/>
    <w:rsid w:val="00846A1C"/>
    <w:rsid w:val="00852A02"/>
    <w:rsid w:val="008800CD"/>
    <w:rsid w:val="00884E90"/>
    <w:rsid w:val="008877B9"/>
    <w:rsid w:val="008C2232"/>
    <w:rsid w:val="008C6DB3"/>
    <w:rsid w:val="008D4BEC"/>
    <w:rsid w:val="00900377"/>
    <w:rsid w:val="009440EA"/>
    <w:rsid w:val="00944E51"/>
    <w:rsid w:val="009568A7"/>
    <w:rsid w:val="009658FB"/>
    <w:rsid w:val="00973262"/>
    <w:rsid w:val="00973BB8"/>
    <w:rsid w:val="00991E54"/>
    <w:rsid w:val="009B5CD3"/>
    <w:rsid w:val="009D1968"/>
    <w:rsid w:val="009D4C43"/>
    <w:rsid w:val="009F4643"/>
    <w:rsid w:val="00A11E9E"/>
    <w:rsid w:val="00A13428"/>
    <w:rsid w:val="00A37228"/>
    <w:rsid w:val="00A44DD1"/>
    <w:rsid w:val="00AA7965"/>
    <w:rsid w:val="00AC4DC1"/>
    <w:rsid w:val="00AE21B7"/>
    <w:rsid w:val="00AF16D7"/>
    <w:rsid w:val="00AF3291"/>
    <w:rsid w:val="00AF44D3"/>
    <w:rsid w:val="00AF468F"/>
    <w:rsid w:val="00B04393"/>
    <w:rsid w:val="00B05EA5"/>
    <w:rsid w:val="00B14065"/>
    <w:rsid w:val="00B21535"/>
    <w:rsid w:val="00B23A5D"/>
    <w:rsid w:val="00B3100B"/>
    <w:rsid w:val="00B83EB6"/>
    <w:rsid w:val="00B9299B"/>
    <w:rsid w:val="00BD7CEE"/>
    <w:rsid w:val="00BE69C9"/>
    <w:rsid w:val="00C074ED"/>
    <w:rsid w:val="00C10146"/>
    <w:rsid w:val="00C22AAB"/>
    <w:rsid w:val="00C2431D"/>
    <w:rsid w:val="00C51B3E"/>
    <w:rsid w:val="00C542DC"/>
    <w:rsid w:val="00C6092E"/>
    <w:rsid w:val="00C76416"/>
    <w:rsid w:val="00CC09D8"/>
    <w:rsid w:val="00CD4450"/>
    <w:rsid w:val="00CD6C74"/>
    <w:rsid w:val="00D22B6B"/>
    <w:rsid w:val="00D401BF"/>
    <w:rsid w:val="00D46F2F"/>
    <w:rsid w:val="00D7561C"/>
    <w:rsid w:val="00D83D86"/>
    <w:rsid w:val="00DA4571"/>
    <w:rsid w:val="00DB73CA"/>
    <w:rsid w:val="00DC0AA2"/>
    <w:rsid w:val="00DD7358"/>
    <w:rsid w:val="00DD770C"/>
    <w:rsid w:val="00DF2BE9"/>
    <w:rsid w:val="00E043F7"/>
    <w:rsid w:val="00E243A5"/>
    <w:rsid w:val="00E31B37"/>
    <w:rsid w:val="00E543A7"/>
    <w:rsid w:val="00E74D4F"/>
    <w:rsid w:val="00E95AA8"/>
    <w:rsid w:val="00EB1BED"/>
    <w:rsid w:val="00ED6E5D"/>
    <w:rsid w:val="00EF11F1"/>
    <w:rsid w:val="00F373BC"/>
    <w:rsid w:val="00F37EA7"/>
    <w:rsid w:val="00F514B1"/>
    <w:rsid w:val="00F63927"/>
    <w:rsid w:val="00F707C5"/>
    <w:rsid w:val="00F85A16"/>
    <w:rsid w:val="00F9224E"/>
    <w:rsid w:val="00FD45E8"/>
    <w:rsid w:val="00FD6526"/>
    <w:rsid w:val="00FE10B5"/>
    <w:rsid w:val="00FE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 w:type="character" w:styleId="Hyperlink">
    <w:name w:val="Hyperlink"/>
    <w:basedOn w:val="DefaultParagraphFont"/>
    <w:unhideWhenUsed/>
    <w:rsid w:val="00753F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 w:type="character" w:styleId="Hyperlink">
    <w:name w:val="Hyperlink"/>
    <w:basedOn w:val="DefaultParagraphFont"/>
    <w:unhideWhenUsed/>
    <w:rsid w:val="00753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548">
      <w:bodyDiv w:val="1"/>
      <w:marLeft w:val="0"/>
      <w:marRight w:val="0"/>
      <w:marTop w:val="0"/>
      <w:marBottom w:val="0"/>
      <w:divBdr>
        <w:top w:val="none" w:sz="0" w:space="0" w:color="auto"/>
        <w:left w:val="none" w:sz="0" w:space="0" w:color="auto"/>
        <w:bottom w:val="none" w:sz="0" w:space="0" w:color="auto"/>
        <w:right w:val="none" w:sz="0" w:space="0" w:color="auto"/>
      </w:divBdr>
    </w:div>
    <w:div w:id="525873025">
      <w:bodyDiv w:val="1"/>
      <w:marLeft w:val="0"/>
      <w:marRight w:val="0"/>
      <w:marTop w:val="0"/>
      <w:marBottom w:val="0"/>
      <w:divBdr>
        <w:top w:val="none" w:sz="0" w:space="0" w:color="auto"/>
        <w:left w:val="none" w:sz="0" w:space="0" w:color="auto"/>
        <w:bottom w:val="none" w:sz="0" w:space="0" w:color="auto"/>
        <w:right w:val="none" w:sz="0" w:space="0" w:color="auto"/>
      </w:divBdr>
    </w:div>
    <w:div w:id="672142950">
      <w:bodyDiv w:val="1"/>
      <w:marLeft w:val="0"/>
      <w:marRight w:val="0"/>
      <w:marTop w:val="0"/>
      <w:marBottom w:val="0"/>
      <w:divBdr>
        <w:top w:val="none" w:sz="0" w:space="0" w:color="auto"/>
        <w:left w:val="none" w:sz="0" w:space="0" w:color="auto"/>
        <w:bottom w:val="none" w:sz="0" w:space="0" w:color="auto"/>
        <w:right w:val="none" w:sz="0" w:space="0" w:color="auto"/>
      </w:divBdr>
    </w:div>
    <w:div w:id="1176647652">
      <w:bodyDiv w:val="1"/>
      <w:marLeft w:val="0"/>
      <w:marRight w:val="0"/>
      <w:marTop w:val="0"/>
      <w:marBottom w:val="0"/>
      <w:divBdr>
        <w:top w:val="none" w:sz="0" w:space="0" w:color="auto"/>
        <w:left w:val="none" w:sz="0" w:space="0" w:color="auto"/>
        <w:bottom w:val="none" w:sz="0" w:space="0" w:color="auto"/>
        <w:right w:val="none" w:sz="0" w:space="0" w:color="auto"/>
      </w:divBdr>
    </w:div>
    <w:div w:id="19524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6875</Characters>
  <Application>Microsoft Office Word</Application>
  <DocSecurity>0</DocSecurity>
  <Lines>143</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2010-01-11T17:38:00Z</cp:lastPrinted>
  <dcterms:created xsi:type="dcterms:W3CDTF">2016-08-29T13:29:00Z</dcterms:created>
  <dcterms:modified xsi:type="dcterms:W3CDTF">2016-08-29T13:29:00Z</dcterms:modified>
  <cp:category> </cp:category>
  <cp:contentStatus> </cp:contentStatus>
</cp:coreProperties>
</file>