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DB1B06">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DB1B06">
      <w:pPr>
        <w:pStyle w:val="StyleBoldCentered"/>
        <w:widowControl/>
      </w:pPr>
      <w:r>
        <w:t>F</w:t>
      </w:r>
      <w:r>
        <w:rPr>
          <w:caps w:val="0"/>
        </w:rPr>
        <w:t>ederal Communications Commission</w:t>
      </w:r>
    </w:p>
    <w:p w:rsidR="004C2EE3" w:rsidRDefault="00810B6F" w:rsidP="00DB1B06">
      <w:pPr>
        <w:pStyle w:val="StyleBoldCentered"/>
        <w:widowControl/>
      </w:pPr>
      <w:r>
        <w:rPr>
          <w:caps w:val="0"/>
        </w:rPr>
        <w:t>Washington, D.C. 20554</w:t>
      </w:r>
    </w:p>
    <w:p w:rsidR="004C2EE3" w:rsidRDefault="004C2EE3" w:rsidP="00DB1B06">
      <w:pPr>
        <w:widowControl/>
      </w:pPr>
    </w:p>
    <w:p w:rsidR="004C2EE3" w:rsidRDefault="004C2EE3" w:rsidP="00DB1B06">
      <w:pPr>
        <w:widowControl/>
      </w:pPr>
    </w:p>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rsidP="00DB1B06">
            <w:pPr>
              <w:widowControl/>
              <w:tabs>
                <w:tab w:val="center" w:pos="4680"/>
              </w:tabs>
              <w:suppressAutoHyphens/>
              <w:rPr>
                <w:spacing w:val="-2"/>
              </w:rPr>
            </w:pPr>
            <w:r>
              <w:rPr>
                <w:spacing w:val="-2"/>
              </w:rPr>
              <w:t>In the Matter of</w:t>
            </w:r>
          </w:p>
          <w:p w:rsidR="004C2EE3" w:rsidRDefault="004C2EE3" w:rsidP="00DB1B06">
            <w:pPr>
              <w:widowControl/>
              <w:tabs>
                <w:tab w:val="center" w:pos="4680"/>
              </w:tabs>
              <w:suppressAutoHyphens/>
              <w:rPr>
                <w:spacing w:val="-2"/>
              </w:rPr>
            </w:pPr>
          </w:p>
          <w:p w:rsidR="004C2EE3" w:rsidRDefault="00B60858" w:rsidP="00DB1B06">
            <w:pPr>
              <w:widowControl/>
              <w:tabs>
                <w:tab w:val="center" w:pos="4680"/>
              </w:tabs>
              <w:suppressAutoHyphens/>
              <w:rPr>
                <w:spacing w:val="-2"/>
              </w:rPr>
            </w:pPr>
            <w:r>
              <w:rPr>
                <w:spacing w:val="-2"/>
              </w:rPr>
              <w:t xml:space="preserve">Improving Public Safety Communications in the 800 </w:t>
            </w:r>
            <w:r w:rsidR="00210D38">
              <w:rPr>
                <w:spacing w:val="-2"/>
              </w:rPr>
              <w:t>M</w:t>
            </w:r>
            <w:r w:rsidR="00537083">
              <w:rPr>
                <w:spacing w:val="-2"/>
              </w:rPr>
              <w:t>Hz</w:t>
            </w:r>
            <w:r>
              <w:rPr>
                <w:spacing w:val="-2"/>
              </w:rPr>
              <w:t xml:space="preserve"> Band.</w:t>
            </w:r>
          </w:p>
          <w:p w:rsidR="00B60858" w:rsidRPr="007115F7" w:rsidRDefault="00B60858" w:rsidP="00DB1B06">
            <w:pPr>
              <w:widowControl/>
              <w:tabs>
                <w:tab w:val="center" w:pos="4680"/>
              </w:tabs>
              <w:suppressAutoHyphens/>
              <w:rPr>
                <w:spacing w:val="-2"/>
              </w:rPr>
            </w:pPr>
          </w:p>
        </w:tc>
        <w:tc>
          <w:tcPr>
            <w:tcW w:w="630" w:type="dxa"/>
          </w:tcPr>
          <w:p w:rsidR="004C2EE3" w:rsidRDefault="004C2EE3" w:rsidP="00DB1B06">
            <w:pPr>
              <w:widowControl/>
              <w:tabs>
                <w:tab w:val="center" w:pos="4680"/>
              </w:tabs>
              <w:suppressAutoHyphens/>
              <w:rPr>
                <w:b/>
                <w:spacing w:val="-2"/>
              </w:rPr>
            </w:pPr>
            <w:r>
              <w:rPr>
                <w:b/>
                <w:spacing w:val="-2"/>
              </w:rPr>
              <w:t>)</w:t>
            </w:r>
          </w:p>
          <w:p w:rsidR="004C2EE3" w:rsidRDefault="004C2EE3" w:rsidP="00DB1B06">
            <w:pPr>
              <w:widowControl/>
              <w:tabs>
                <w:tab w:val="center" w:pos="4680"/>
              </w:tabs>
              <w:suppressAutoHyphens/>
              <w:rPr>
                <w:b/>
                <w:spacing w:val="-2"/>
              </w:rPr>
            </w:pPr>
            <w:r>
              <w:rPr>
                <w:b/>
                <w:spacing w:val="-2"/>
              </w:rPr>
              <w:t>)</w:t>
            </w:r>
          </w:p>
          <w:p w:rsidR="004C2EE3" w:rsidRDefault="004C2EE3" w:rsidP="00DB1B06">
            <w:pPr>
              <w:widowControl/>
              <w:tabs>
                <w:tab w:val="center" w:pos="4680"/>
              </w:tabs>
              <w:suppressAutoHyphens/>
              <w:rPr>
                <w:b/>
                <w:spacing w:val="-2"/>
              </w:rPr>
            </w:pPr>
            <w:r>
              <w:rPr>
                <w:b/>
                <w:spacing w:val="-2"/>
              </w:rPr>
              <w:t>)</w:t>
            </w:r>
          </w:p>
          <w:p w:rsidR="004C2EE3" w:rsidRDefault="004C2EE3" w:rsidP="00DB1B06">
            <w:pPr>
              <w:widowControl/>
              <w:tabs>
                <w:tab w:val="center" w:pos="4680"/>
              </w:tabs>
              <w:suppressAutoHyphens/>
              <w:rPr>
                <w:b/>
                <w:spacing w:val="-2"/>
              </w:rPr>
            </w:pPr>
            <w:r>
              <w:rPr>
                <w:b/>
                <w:spacing w:val="-2"/>
              </w:rPr>
              <w:t>)</w:t>
            </w:r>
          </w:p>
          <w:p w:rsidR="004C2EE3" w:rsidRDefault="004C2EE3" w:rsidP="00DB1B06">
            <w:pPr>
              <w:widowControl/>
              <w:tabs>
                <w:tab w:val="center" w:pos="4680"/>
              </w:tabs>
              <w:suppressAutoHyphens/>
              <w:rPr>
                <w:b/>
                <w:spacing w:val="-2"/>
              </w:rPr>
            </w:pPr>
            <w:r>
              <w:rPr>
                <w:b/>
                <w:spacing w:val="-2"/>
              </w:rPr>
              <w:t>)</w:t>
            </w:r>
          </w:p>
          <w:p w:rsidR="004C2EE3" w:rsidRDefault="004C2EE3" w:rsidP="00DB1B06">
            <w:pPr>
              <w:widowControl/>
              <w:tabs>
                <w:tab w:val="center" w:pos="4680"/>
              </w:tabs>
              <w:suppressAutoHyphens/>
              <w:rPr>
                <w:b/>
                <w:spacing w:val="-2"/>
              </w:rPr>
            </w:pPr>
            <w:r>
              <w:rPr>
                <w:b/>
                <w:spacing w:val="-2"/>
              </w:rPr>
              <w:t>)</w:t>
            </w:r>
          </w:p>
          <w:p w:rsidR="004C2EE3" w:rsidRDefault="004C2EE3" w:rsidP="00DB1B06">
            <w:pPr>
              <w:widowControl/>
              <w:tabs>
                <w:tab w:val="center" w:pos="4680"/>
              </w:tabs>
              <w:suppressAutoHyphens/>
              <w:rPr>
                <w:spacing w:val="-2"/>
              </w:rPr>
            </w:pPr>
          </w:p>
        </w:tc>
        <w:tc>
          <w:tcPr>
            <w:tcW w:w="4248" w:type="dxa"/>
          </w:tcPr>
          <w:p w:rsidR="004C2EE3" w:rsidRDefault="004C2EE3" w:rsidP="00DB1B06">
            <w:pPr>
              <w:widowControl/>
              <w:tabs>
                <w:tab w:val="center" w:pos="4680"/>
              </w:tabs>
              <w:suppressAutoHyphens/>
              <w:rPr>
                <w:spacing w:val="-2"/>
              </w:rPr>
            </w:pPr>
          </w:p>
          <w:p w:rsidR="004C2EE3" w:rsidRDefault="004C2EE3" w:rsidP="00DB1B06">
            <w:pPr>
              <w:pStyle w:val="TOAHeading"/>
              <w:widowControl/>
              <w:tabs>
                <w:tab w:val="clear" w:pos="9360"/>
                <w:tab w:val="center" w:pos="4680"/>
              </w:tabs>
              <w:rPr>
                <w:spacing w:val="-2"/>
              </w:rPr>
            </w:pPr>
          </w:p>
          <w:p w:rsidR="004C2EE3" w:rsidRDefault="00B60858" w:rsidP="00DB1B06">
            <w:pPr>
              <w:widowControl/>
              <w:tabs>
                <w:tab w:val="center" w:pos="4680"/>
              </w:tabs>
              <w:suppressAutoHyphens/>
              <w:rPr>
                <w:spacing w:val="-2"/>
              </w:rPr>
            </w:pPr>
            <w:r>
              <w:rPr>
                <w:spacing w:val="-2"/>
              </w:rPr>
              <w:t>WT Docket No. 02-55</w:t>
            </w:r>
          </w:p>
        </w:tc>
      </w:tr>
    </w:tbl>
    <w:p w:rsidR="004C2EE3" w:rsidRDefault="004C2EE3" w:rsidP="00DB1B06">
      <w:pPr>
        <w:widowControl/>
      </w:pPr>
    </w:p>
    <w:p w:rsidR="00841AB1" w:rsidRDefault="0052286F" w:rsidP="00DB1B06">
      <w:pPr>
        <w:pStyle w:val="StyleBoldCentered"/>
        <w:widowControl/>
      </w:pPr>
      <w:r>
        <w:t xml:space="preserve">DECLARATORY RULING </w:t>
      </w:r>
    </w:p>
    <w:p w:rsidR="004C2EE3" w:rsidRDefault="004C2EE3" w:rsidP="00DB1B06">
      <w:pPr>
        <w:widowControl/>
        <w:tabs>
          <w:tab w:val="left" w:pos="-720"/>
        </w:tabs>
        <w:suppressAutoHyphens/>
        <w:spacing w:line="227" w:lineRule="auto"/>
        <w:rPr>
          <w:spacing w:val="-2"/>
        </w:rPr>
      </w:pPr>
    </w:p>
    <w:p w:rsidR="004C2EE3" w:rsidRDefault="004C2EE3" w:rsidP="00DB1B06">
      <w:pPr>
        <w:widowControl/>
        <w:tabs>
          <w:tab w:val="left" w:pos="720"/>
          <w:tab w:val="right" w:pos="9360"/>
        </w:tabs>
        <w:suppressAutoHyphens/>
        <w:spacing w:line="227" w:lineRule="auto"/>
        <w:rPr>
          <w:spacing w:val="-2"/>
        </w:rPr>
      </w:pPr>
      <w:r>
        <w:rPr>
          <w:b/>
          <w:spacing w:val="-2"/>
        </w:rPr>
        <w:t xml:space="preserve">Adopted:  </w:t>
      </w:r>
      <w:r w:rsidR="00573CB5">
        <w:rPr>
          <w:b/>
          <w:spacing w:val="-2"/>
        </w:rPr>
        <w:t>October 12,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73CB5">
        <w:rPr>
          <w:b/>
          <w:spacing w:val="-2"/>
        </w:rPr>
        <w:t>October 12, 2017</w:t>
      </w:r>
    </w:p>
    <w:p w:rsidR="00822CE0" w:rsidRDefault="00822CE0" w:rsidP="00DB1B06">
      <w:pPr>
        <w:widowControl/>
      </w:pPr>
    </w:p>
    <w:p w:rsidR="004C2EE3" w:rsidRDefault="004C2EE3" w:rsidP="00DB1B06">
      <w:pPr>
        <w:widowControl/>
        <w:rPr>
          <w:spacing w:val="-2"/>
        </w:rPr>
      </w:pPr>
      <w:r>
        <w:t xml:space="preserve">By </w:t>
      </w:r>
      <w:r w:rsidR="004E4A22">
        <w:t>the</w:t>
      </w:r>
      <w:r w:rsidR="002A2D2E">
        <w:t xml:space="preserve"> </w:t>
      </w:r>
      <w:r w:rsidR="00B60858">
        <w:rPr>
          <w:spacing w:val="-2"/>
        </w:rPr>
        <w:t>Chief, Public Safety and Homeland Security Bureau</w:t>
      </w:r>
      <w:r>
        <w:rPr>
          <w:spacing w:val="-2"/>
        </w:rPr>
        <w:t>:</w:t>
      </w:r>
    </w:p>
    <w:p w:rsidR="00E538E9" w:rsidRDefault="00E538E9" w:rsidP="00DB1B06">
      <w:pPr>
        <w:widowControl/>
        <w:rPr>
          <w:spacing w:val="-2"/>
        </w:rPr>
      </w:pPr>
    </w:p>
    <w:p w:rsidR="00E538E9" w:rsidRDefault="00E538E9" w:rsidP="00DB1B06">
      <w:pPr>
        <w:pStyle w:val="Heading1"/>
        <w:widowControl/>
      </w:pPr>
      <w:r>
        <w:t>introduction</w:t>
      </w:r>
    </w:p>
    <w:p w:rsidR="00412FC5" w:rsidRDefault="00B45567" w:rsidP="00F131BC">
      <w:pPr>
        <w:pStyle w:val="ParaNum"/>
        <w:widowControl/>
      </w:pPr>
      <w:r>
        <w:t xml:space="preserve">By </w:t>
      </w:r>
      <w:r w:rsidR="00E538E9">
        <w:t xml:space="preserve">this </w:t>
      </w:r>
      <w:r>
        <w:t>Declaratory Ruling</w:t>
      </w:r>
      <w:r w:rsidR="00E538E9">
        <w:t>, pursuant to delegated authority,</w:t>
      </w:r>
      <w:r w:rsidR="007C5528">
        <w:rPr>
          <w:rStyle w:val="FootnoteReference"/>
        </w:rPr>
        <w:footnoteReference w:id="2"/>
      </w:r>
      <w:r w:rsidR="00E538E9">
        <w:t xml:space="preserve"> we </w:t>
      </w:r>
      <w:r w:rsidR="00CC7DFD">
        <w:t xml:space="preserve">relieve </w:t>
      </w:r>
      <w:r w:rsidR="00E538E9">
        <w:t>Sprint Corporation</w:t>
      </w:r>
      <w:r w:rsidR="00533C93">
        <w:t xml:space="preserve"> (Sprint)</w:t>
      </w:r>
      <w:r w:rsidR="00E538E9">
        <w:t xml:space="preserve"> </w:t>
      </w:r>
      <w:r w:rsidR="002013D6">
        <w:t xml:space="preserve">of its potential obligation to </w:t>
      </w:r>
      <w:r w:rsidR="00E538E9">
        <w:t>mak</w:t>
      </w:r>
      <w:r w:rsidR="002013D6">
        <w:t>e</w:t>
      </w:r>
      <w:r w:rsidR="00E538E9">
        <w:t xml:space="preserve"> an anti-windfall payment to the U.S. Treasury in connection with the Commission’s 800 </w:t>
      </w:r>
      <w:r w:rsidR="002013D6">
        <w:t>MHz</w:t>
      </w:r>
      <w:r w:rsidR="00E538E9">
        <w:t xml:space="preserve"> rebanding initiative</w:t>
      </w:r>
      <w:r w:rsidR="006F7228">
        <w:t>.</w:t>
      </w:r>
      <w:r w:rsidR="0024357B">
        <w:rPr>
          <w:rStyle w:val="FootnoteReference"/>
        </w:rPr>
        <w:footnoteReference w:id="3"/>
      </w:r>
      <w:r w:rsidR="00E538E9">
        <w:t xml:space="preserve"> </w:t>
      </w:r>
      <w:r w:rsidR="006F7228">
        <w:t xml:space="preserve"> </w:t>
      </w:r>
      <w:r w:rsidR="00AE2388">
        <w:t>The Commission</w:t>
      </w:r>
      <w:r w:rsidR="002013D6">
        <w:t xml:space="preserve"> </w:t>
      </w:r>
      <w:r w:rsidR="00AE2388">
        <w:t xml:space="preserve">imposed </w:t>
      </w:r>
      <w:r w:rsidR="000967F2">
        <w:t xml:space="preserve">the </w:t>
      </w:r>
      <w:r w:rsidR="00AE2388">
        <w:t xml:space="preserve">anti-windfall payment </w:t>
      </w:r>
      <w:r w:rsidR="006F7228">
        <w:t xml:space="preserve">obligation </w:t>
      </w:r>
      <w:r w:rsidR="00AE2388">
        <w:t xml:space="preserve">to ensure that </w:t>
      </w:r>
      <w:r w:rsidR="006F7228">
        <w:t xml:space="preserve">Sprint </w:t>
      </w:r>
      <w:r w:rsidRPr="00B45567">
        <w:t>did not</w:t>
      </w:r>
      <w:r w:rsidR="00DC1143">
        <w:t xml:space="preserve"> </w:t>
      </w:r>
      <w:r w:rsidRPr="00B45567">
        <w:t>reap an economic windfall</w:t>
      </w:r>
      <w:r w:rsidR="00DC1143">
        <w:t xml:space="preserve"> from the award of spectrum in the 1.9 GHz band that Sprint received in exchange for undertaking the financial obligation to support 800 MHz rebanding</w:t>
      </w:r>
      <w:r w:rsidR="006F7228">
        <w:t>.</w:t>
      </w:r>
      <w:r w:rsidR="00AE2388">
        <w:t xml:space="preserve">  </w:t>
      </w:r>
      <w:r w:rsidR="000111DB">
        <w:t xml:space="preserve">We have now determined that </w:t>
      </w:r>
      <w:r w:rsidR="005B4CDC">
        <w:t>the anti-windfall payment provision should be lifted, as</w:t>
      </w:r>
      <w:r w:rsidR="005B4CDC" w:rsidRPr="005B4CDC">
        <w:t xml:space="preserve"> Sprint has </w:t>
      </w:r>
      <w:r w:rsidR="00A259F5">
        <w:t xml:space="preserve">expended sufficient funds </w:t>
      </w:r>
      <w:r w:rsidR="002013D6">
        <w:t xml:space="preserve">in fulfilling its </w:t>
      </w:r>
      <w:r w:rsidR="00A259F5">
        <w:t xml:space="preserve">800 </w:t>
      </w:r>
      <w:r w:rsidR="002013D6">
        <w:t>MHz</w:t>
      </w:r>
      <w:r w:rsidR="00A259F5">
        <w:t xml:space="preserve"> rebanding </w:t>
      </w:r>
      <w:r w:rsidR="002013D6">
        <w:t xml:space="preserve">commitments </w:t>
      </w:r>
      <w:r w:rsidR="00A259F5">
        <w:t xml:space="preserve">to preclude </w:t>
      </w:r>
      <w:r w:rsidR="005A2123">
        <w:t>the windfall that the provision was intended to prevent.</w:t>
      </w:r>
      <w:r>
        <w:t xml:space="preserve">  We make this assessment, pursuant to </w:t>
      </w:r>
      <w:r w:rsidRPr="00B45567">
        <w:t>a directive from the Commission,</w:t>
      </w:r>
      <w:r w:rsidRPr="00B45567">
        <w:rPr>
          <w:vertAlign w:val="superscript"/>
        </w:rPr>
        <w:footnoteReference w:id="4"/>
      </w:r>
      <w:r w:rsidRPr="00B45567">
        <w:t xml:space="preserve"> b</w:t>
      </w:r>
      <w:r w:rsidR="00A72CCB">
        <w:t xml:space="preserve">ased on the </w:t>
      </w:r>
      <w:r w:rsidR="00CD4744">
        <w:t xml:space="preserve">report </w:t>
      </w:r>
      <w:r w:rsidR="00A72CCB">
        <w:t xml:space="preserve">of </w:t>
      </w:r>
      <w:r w:rsidRPr="00B45567">
        <w:t xml:space="preserve">the 800 </w:t>
      </w:r>
      <w:r w:rsidR="001C1BAA">
        <w:t xml:space="preserve">MHz </w:t>
      </w:r>
      <w:r w:rsidRPr="00B45567">
        <w:t>Transition Administrator</w:t>
      </w:r>
      <w:r w:rsidR="002013D6">
        <w:t>,</w:t>
      </w:r>
      <w:r w:rsidRPr="00B45567">
        <w:rPr>
          <w:vertAlign w:val="superscript"/>
        </w:rPr>
        <w:footnoteReference w:id="5"/>
      </w:r>
      <w:r w:rsidRPr="00B45567">
        <w:t xml:space="preserve"> </w:t>
      </w:r>
      <w:r w:rsidR="002013D6">
        <w:t xml:space="preserve">which determined </w:t>
      </w:r>
      <w:r w:rsidRPr="00B45567">
        <w:t>that Sprint</w:t>
      </w:r>
      <w:r w:rsidR="00A72CCB">
        <w:t xml:space="preserve">’s </w:t>
      </w:r>
      <w:r w:rsidRPr="00B45567">
        <w:t xml:space="preserve">creditable expenses in </w:t>
      </w:r>
      <w:r w:rsidR="002013D6">
        <w:t xml:space="preserve">connection with the </w:t>
      </w:r>
      <w:r w:rsidR="00042C6A">
        <w:t xml:space="preserve">rebanding initiative </w:t>
      </w:r>
      <w:r w:rsidRPr="00B45567">
        <w:t>have exceeded $2,796,548,000 ($2.8 billion</w:t>
      </w:r>
      <w:r w:rsidR="00A51936">
        <w:t>).</w:t>
      </w:r>
      <w:r>
        <w:t xml:space="preserve">  </w:t>
      </w:r>
      <w:r w:rsidR="006F7228">
        <w:t>W</w:t>
      </w:r>
      <w:r w:rsidR="005B4CDC">
        <w:t xml:space="preserve">e issue this ruling </w:t>
      </w:r>
      <w:r w:rsidR="00E538E9">
        <w:t xml:space="preserve">because there is no </w:t>
      </w:r>
      <w:r w:rsidR="003A322B">
        <w:t xml:space="preserve">longer any </w:t>
      </w:r>
      <w:r w:rsidR="00E538E9">
        <w:t xml:space="preserve">economic or policy reason to keep the anti-windfall </w:t>
      </w:r>
      <w:r w:rsidR="006F7228">
        <w:t xml:space="preserve">provision </w:t>
      </w:r>
      <w:r w:rsidR="00E538E9">
        <w:t>in place</w:t>
      </w:r>
      <w:r w:rsidR="00AB2005">
        <w:t xml:space="preserve">. </w:t>
      </w:r>
      <w:r w:rsidR="00EF5D73">
        <w:t xml:space="preserve"> </w:t>
      </w:r>
      <w:r w:rsidR="00F2530D">
        <w:t xml:space="preserve">This order, however, does not alter other rebanding-related </w:t>
      </w:r>
      <w:r w:rsidR="00CD4744">
        <w:t xml:space="preserve">obligations </w:t>
      </w:r>
      <w:r w:rsidR="00F2530D">
        <w:t xml:space="preserve">and license conditions applicable to Sprint until rebanding is completed.  </w:t>
      </w:r>
    </w:p>
    <w:p w:rsidR="002C00E8" w:rsidRDefault="00E538E9" w:rsidP="00DB1B06">
      <w:pPr>
        <w:pStyle w:val="Heading1"/>
        <w:widowControl/>
      </w:pPr>
      <w:r>
        <w:t>background</w:t>
      </w:r>
    </w:p>
    <w:p w:rsidR="00A51936" w:rsidRDefault="00E15AE5" w:rsidP="00DB1B06">
      <w:pPr>
        <w:pStyle w:val="ParaNum"/>
        <w:widowControl/>
      </w:pPr>
      <w:r>
        <w:t xml:space="preserve">In </w:t>
      </w:r>
      <w:r w:rsidR="00A67B6A">
        <w:t xml:space="preserve">its </w:t>
      </w:r>
      <w:r>
        <w:t>2004</w:t>
      </w:r>
      <w:r w:rsidR="00A67B6A">
        <w:t xml:space="preserve"> </w:t>
      </w:r>
      <w:r w:rsidR="00A67B6A">
        <w:rPr>
          <w:i/>
        </w:rPr>
        <w:t>800 MHz Report and Order</w:t>
      </w:r>
      <w:r>
        <w:t xml:space="preserve">, the Commission </w:t>
      </w:r>
      <w:r w:rsidR="00A67B6A">
        <w:t xml:space="preserve">adopted a plan </w:t>
      </w:r>
      <w:r w:rsidR="00A67B6A" w:rsidRPr="00A67B6A">
        <w:t>for reconfiguring the 800 MHz band in order to resolve</w:t>
      </w:r>
      <w:r w:rsidR="003C6A32">
        <w:t xml:space="preserve"> inherent and increasing </w:t>
      </w:r>
      <w:r w:rsidR="00A67B6A" w:rsidRPr="00A67B6A">
        <w:t xml:space="preserve">interference problems that had been plaguing public safety and other licensees </w:t>
      </w:r>
      <w:r w:rsidR="003C6A32">
        <w:t xml:space="preserve">authorized to operate </w:t>
      </w:r>
      <w:r w:rsidR="00A67B6A">
        <w:t>in that part of the spectrum.</w:t>
      </w:r>
      <w:r w:rsidR="00A67B6A" w:rsidRPr="00A67B6A">
        <w:rPr>
          <w:vertAlign w:val="superscript"/>
        </w:rPr>
        <w:footnoteReference w:id="6"/>
      </w:r>
      <w:r w:rsidR="00A67B6A">
        <w:t xml:space="preserve">  The plan, </w:t>
      </w:r>
      <w:r>
        <w:t xml:space="preserve">which </w:t>
      </w:r>
      <w:r w:rsidR="0049492F">
        <w:lastRenderedPageBreak/>
        <w:t>incorporated</w:t>
      </w:r>
      <w:r w:rsidR="00A67B6A">
        <w:t xml:space="preserve"> essential </w:t>
      </w:r>
      <w:r w:rsidR="0049492F">
        <w:t>elements of a p</w:t>
      </w:r>
      <w:r w:rsidR="00E827A4">
        <w:t xml:space="preserve">roposal developed by </w:t>
      </w:r>
      <w:r w:rsidR="003C6A32">
        <w:t xml:space="preserve">Sprint (then </w:t>
      </w:r>
      <w:r>
        <w:t>Nextel Corporation</w:t>
      </w:r>
      <w:r w:rsidR="003C6A32">
        <w:t xml:space="preserve">) </w:t>
      </w:r>
      <w:r w:rsidR="00944F46">
        <w:t>and a broad coalition of commercial and public safety organization</w:t>
      </w:r>
      <w:r w:rsidR="00A67B6A">
        <w:t>s,</w:t>
      </w:r>
      <w:r w:rsidR="00A67B6A">
        <w:rPr>
          <w:rStyle w:val="FootnoteReference"/>
        </w:rPr>
        <w:footnoteReference w:id="7"/>
      </w:r>
      <w:r w:rsidR="00A67B6A">
        <w:t xml:space="preserve"> </w:t>
      </w:r>
      <w:r w:rsidR="003C6A32">
        <w:t xml:space="preserve">assigned to Sprint the </w:t>
      </w:r>
      <w:r>
        <w:t>responsib</w:t>
      </w:r>
      <w:r w:rsidR="005A2123">
        <w:t>i</w:t>
      </w:r>
      <w:r>
        <w:t>l</w:t>
      </w:r>
      <w:r w:rsidR="005A2123">
        <w:t>ity</w:t>
      </w:r>
      <w:r>
        <w:t xml:space="preserve"> for paying the costs of relocating </w:t>
      </w:r>
      <w:r w:rsidR="00670852">
        <w:t xml:space="preserve">licensees operating high-site, non-cellular systems </w:t>
      </w:r>
      <w:r>
        <w:t xml:space="preserve">in the </w:t>
      </w:r>
      <w:r w:rsidR="00670852">
        <w:t xml:space="preserve">upper portion of the </w:t>
      </w:r>
      <w:r>
        <w:t xml:space="preserve">800 </w:t>
      </w:r>
      <w:r w:rsidR="00670852">
        <w:t xml:space="preserve">MHz </w:t>
      </w:r>
      <w:r>
        <w:t>band</w:t>
      </w:r>
      <w:r w:rsidR="00670852">
        <w:t xml:space="preserve">, </w:t>
      </w:r>
      <w:r>
        <w:t xml:space="preserve">where they </w:t>
      </w:r>
      <w:r w:rsidR="00670852">
        <w:t xml:space="preserve">were </w:t>
      </w:r>
      <w:r>
        <w:t>susceptible to interference from Sprint and other cellular-architecture</w:t>
      </w:r>
      <w:r w:rsidR="00670852">
        <w:t>, multi-site</w:t>
      </w:r>
      <w:r>
        <w:t xml:space="preserve"> systems, to a position lower in the 800</w:t>
      </w:r>
      <w:r w:rsidR="00531996">
        <w:t xml:space="preserve"> </w:t>
      </w:r>
      <w:r w:rsidR="00531996" w:rsidRPr="00935201">
        <w:t xml:space="preserve">MHz </w:t>
      </w:r>
      <w:r>
        <w:t xml:space="preserve">band where such interference </w:t>
      </w:r>
      <w:r w:rsidR="00670852">
        <w:t xml:space="preserve">would be </w:t>
      </w:r>
      <w:r>
        <w:t>less likely</w:t>
      </w:r>
      <w:r w:rsidR="00E36792">
        <w:t xml:space="preserve"> (a process that has come to be known as 800 MHz rebanding)</w:t>
      </w:r>
      <w:r>
        <w:t>.</w:t>
      </w:r>
      <w:r w:rsidR="009A7ED6">
        <w:rPr>
          <w:rStyle w:val="FootnoteReference"/>
        </w:rPr>
        <w:footnoteReference w:id="8"/>
      </w:r>
      <w:r>
        <w:t xml:space="preserve">  </w:t>
      </w:r>
      <w:r w:rsidR="00670852">
        <w:t>Sprint, as the largest commerc</w:t>
      </w:r>
      <w:r w:rsidR="00E36792">
        <w:t>ial spectrum</w:t>
      </w:r>
      <w:r w:rsidR="00667AA4">
        <w:t xml:space="preserve"> </w:t>
      </w:r>
      <w:r w:rsidR="00E36792">
        <w:t>holder in the band, agreed to undertake this key role so that the growing interference problems that had enmesh</w:t>
      </w:r>
      <w:r w:rsidR="00F82928">
        <w:t>ed</w:t>
      </w:r>
      <w:r w:rsidR="00E36792">
        <w:t xml:space="preserve"> </w:t>
      </w:r>
      <w:r w:rsidR="00B43AEB">
        <w:t xml:space="preserve">800 MHz </w:t>
      </w:r>
      <w:r w:rsidR="00E36792">
        <w:t xml:space="preserve">incumbents in increasingly ineffective </w:t>
      </w:r>
      <w:r w:rsidR="00E36792">
        <w:rPr>
          <w:i/>
        </w:rPr>
        <w:t xml:space="preserve">ad hoc </w:t>
      </w:r>
      <w:r w:rsidR="00E36792">
        <w:t>solutions, could be resolved on a more long-term basis.</w:t>
      </w:r>
      <w:r w:rsidR="009A7ED6">
        <w:rPr>
          <w:rStyle w:val="FootnoteReference"/>
        </w:rPr>
        <w:footnoteReference w:id="9"/>
      </w:r>
      <w:r w:rsidR="00E36792">
        <w:t xml:space="preserve"> </w:t>
      </w:r>
    </w:p>
    <w:p w:rsidR="00A51936" w:rsidRDefault="001C0C82" w:rsidP="00DB1B06">
      <w:pPr>
        <w:pStyle w:val="ParaNum"/>
        <w:widowControl/>
      </w:pPr>
      <w:r>
        <w:t xml:space="preserve">In recognition of the role Sprint would play in facilitating the public interest benefit of 800 MHz rebanding, coupled with the costs that Sprint would bear as a result (both in terms of the spectrum it would relinquish and the financial commitments it would incur), the Commission agreed to modify certain Sprint licenses to allow it to operate on a nationwide basis </w:t>
      </w:r>
      <w:r w:rsidR="003046E4">
        <w:t xml:space="preserve">on </w:t>
      </w:r>
      <w:r>
        <w:t>ten megahertz of spectrum in the 1.9 GHz band (comp</w:t>
      </w:r>
      <w:r w:rsidR="003046E4">
        <w:t xml:space="preserve">rised </w:t>
      </w:r>
      <w:r>
        <w:t xml:space="preserve">of two </w:t>
      </w:r>
      <w:r w:rsidR="003046E4">
        <w:t xml:space="preserve">paired </w:t>
      </w:r>
      <w:r>
        <w:t>blocks at 1910-1915 MHz and 1990-1995 MHz).</w:t>
      </w:r>
      <w:r>
        <w:rPr>
          <w:rStyle w:val="FootnoteReference"/>
        </w:rPr>
        <w:footnoteReference w:id="10"/>
      </w:r>
      <w:r>
        <w:t xml:space="preserve">  In exchange, Sprint agreed to (1) pay</w:t>
      </w:r>
      <w:r w:rsidR="00667AA4">
        <w:t xml:space="preserve"> </w:t>
      </w:r>
      <w:r w:rsidR="00537083">
        <w:t>incumbent</w:t>
      </w:r>
      <w:r w:rsidR="00A51936">
        <w:t>s’</w:t>
      </w:r>
      <w:r w:rsidR="00537083">
        <w:t xml:space="preserve"> costs </w:t>
      </w:r>
      <w:r>
        <w:t>to</w:t>
      </w:r>
      <w:r w:rsidR="00537083">
        <w:t xml:space="preserve"> </w:t>
      </w:r>
      <w:r w:rsidR="00667AA4">
        <w:t>relocat</w:t>
      </w:r>
      <w:r>
        <w:t>e</w:t>
      </w:r>
      <w:r w:rsidR="00667AA4">
        <w:t xml:space="preserve"> to other portions of the 800 MHz band, </w:t>
      </w:r>
      <w:r>
        <w:t xml:space="preserve">(2) </w:t>
      </w:r>
      <w:r w:rsidR="00537083">
        <w:t xml:space="preserve">relinquish certain of its own 800 MHz and 700 MHz band spectrum rights, </w:t>
      </w:r>
      <w:r>
        <w:t xml:space="preserve">(3) </w:t>
      </w:r>
      <w:r w:rsidR="00537083">
        <w:t xml:space="preserve">pay the costs of reconfiguring its own systems, and </w:t>
      </w:r>
      <w:r>
        <w:t xml:space="preserve">(4) </w:t>
      </w:r>
      <w:r w:rsidR="00537083">
        <w:t>bear the cost</w:t>
      </w:r>
      <w:r w:rsidR="00872081">
        <w:t>s</w:t>
      </w:r>
      <w:r w:rsidR="00537083">
        <w:t xml:space="preserve"> of </w:t>
      </w:r>
      <w:r>
        <w:t xml:space="preserve">relocating incumbents </w:t>
      </w:r>
      <w:r w:rsidR="00872081">
        <w:t xml:space="preserve">in the 1.9 GHz band </w:t>
      </w:r>
      <w:r>
        <w:t>segment</w:t>
      </w:r>
      <w:r w:rsidR="00872081">
        <w:t>.</w:t>
      </w:r>
      <w:r w:rsidR="00872081">
        <w:rPr>
          <w:rStyle w:val="FootnoteReference"/>
        </w:rPr>
        <w:footnoteReference w:id="11"/>
      </w:r>
      <w:r w:rsidR="00872081">
        <w:t xml:space="preserve">  </w:t>
      </w:r>
    </w:p>
    <w:p w:rsidR="00B60858" w:rsidRDefault="001C0C82" w:rsidP="00DB1B06">
      <w:pPr>
        <w:pStyle w:val="ParaNum"/>
        <w:widowControl/>
      </w:pPr>
      <w:r>
        <w:t>T</w:t>
      </w:r>
      <w:r w:rsidR="00403AC8">
        <w:t xml:space="preserve">o ensure that this license modification would </w:t>
      </w:r>
      <w:r>
        <w:t xml:space="preserve">not result in </w:t>
      </w:r>
      <w:r w:rsidR="00403AC8">
        <w:t xml:space="preserve">a </w:t>
      </w:r>
      <w:r w:rsidR="00F23765">
        <w:t>windfall gain</w:t>
      </w:r>
      <w:r>
        <w:t xml:space="preserve"> for Sprint</w:t>
      </w:r>
      <w:r w:rsidR="00403AC8">
        <w:t xml:space="preserve">, the Commission </w:t>
      </w:r>
      <w:r w:rsidR="00665666" w:rsidRPr="00935201">
        <w:t>weighed the value of the 1.9 GHz spectrum authorizations that Sprint w</w:t>
      </w:r>
      <w:r>
        <w:t xml:space="preserve">as to receive </w:t>
      </w:r>
      <w:r w:rsidR="00665666" w:rsidRPr="00935201">
        <w:t xml:space="preserve">against the value of the spectrum Sprint would relinquish, with the following </w:t>
      </w:r>
      <w:r w:rsidR="00361CD0" w:rsidRPr="00935201">
        <w:t xml:space="preserve">results: the </w:t>
      </w:r>
      <w:r w:rsidR="00665666" w:rsidRPr="00935201">
        <w:t xml:space="preserve">1.9 GHz </w:t>
      </w:r>
      <w:r w:rsidR="00361CD0" w:rsidRPr="00935201">
        <w:t>authorizations were</w:t>
      </w:r>
      <w:r w:rsidR="00361CD0">
        <w:t xml:space="preserve"> </w:t>
      </w:r>
      <w:r w:rsidR="000D6B1B">
        <w:t xml:space="preserve">valued at </w:t>
      </w:r>
      <w:r w:rsidR="000D6B1B" w:rsidRPr="000D6B1B">
        <w:t>$4.855548 billion</w:t>
      </w:r>
      <w:r w:rsidR="00361CD0">
        <w:t>,</w:t>
      </w:r>
      <w:bookmarkStart w:id="1" w:name="_Ref493839464"/>
      <w:r w:rsidR="00DC36FF">
        <w:rPr>
          <w:rStyle w:val="FootnoteReference"/>
        </w:rPr>
        <w:footnoteReference w:id="12"/>
      </w:r>
      <w:bookmarkEnd w:id="1"/>
      <w:r w:rsidR="000D6B1B">
        <w:t xml:space="preserve"> </w:t>
      </w:r>
      <w:r w:rsidR="00361CD0">
        <w:t xml:space="preserve">while the </w:t>
      </w:r>
      <w:r w:rsidR="007759A2">
        <w:t xml:space="preserve">800 MHz band </w:t>
      </w:r>
      <w:r w:rsidR="00361CD0">
        <w:t xml:space="preserve">spectrum that Sprint agreed to </w:t>
      </w:r>
      <w:r w:rsidR="00FC7446">
        <w:t xml:space="preserve">relinquish </w:t>
      </w:r>
      <w:r w:rsidR="00361CD0">
        <w:t>was assessed a</w:t>
      </w:r>
      <w:r w:rsidR="001E0561">
        <w:t>t</w:t>
      </w:r>
      <w:r w:rsidR="00361CD0">
        <w:t xml:space="preserve"> </w:t>
      </w:r>
      <w:r w:rsidR="000D6B1B">
        <w:t>$2.05900 billion</w:t>
      </w:r>
      <w:r>
        <w:t>.</w:t>
      </w:r>
      <w:r w:rsidR="00DC36FF">
        <w:rPr>
          <w:rStyle w:val="FootnoteReference"/>
        </w:rPr>
        <w:footnoteReference w:id="13"/>
      </w:r>
      <w:r w:rsidR="00652901" w:rsidDel="00652901">
        <w:rPr>
          <w:rStyle w:val="FootnoteReference"/>
        </w:rPr>
        <w:t xml:space="preserve"> </w:t>
      </w:r>
      <w:r>
        <w:rPr>
          <w:rStyle w:val="FootnoteReference"/>
        </w:rPr>
        <w:t xml:space="preserve"> </w:t>
      </w:r>
      <w:r>
        <w:t xml:space="preserve">This left </w:t>
      </w:r>
      <w:r w:rsidR="000D6B1B">
        <w:t xml:space="preserve">a balance of </w:t>
      </w:r>
      <w:r w:rsidR="00F041D4">
        <w:t>$</w:t>
      </w:r>
      <w:r w:rsidR="000D6B1B">
        <w:t>2.796548 billion ($2.8 billion)</w:t>
      </w:r>
      <w:r w:rsidR="00F041D4">
        <w:t xml:space="preserve"> as the </w:t>
      </w:r>
      <w:r w:rsidR="002629BA">
        <w:t xml:space="preserve">net </w:t>
      </w:r>
      <w:r w:rsidR="00F041D4">
        <w:t xml:space="preserve">benefit Sprint </w:t>
      </w:r>
      <w:r w:rsidR="00F8069C">
        <w:t>gained</w:t>
      </w:r>
      <w:r w:rsidR="00F041D4">
        <w:t xml:space="preserve"> </w:t>
      </w:r>
      <w:r w:rsidR="00F46A57" w:rsidRPr="0033113F">
        <w:t xml:space="preserve">prior to paying </w:t>
      </w:r>
      <w:r w:rsidR="002629BA">
        <w:t>the cost of relocating 800 MHz licensees, the cost of clearing 1.9 GHz incumbents, and internal expenses associated with relocating its own facilities.  Because these</w:t>
      </w:r>
      <w:r w:rsidR="00166C9D">
        <w:t xml:space="preserve"> relocation</w:t>
      </w:r>
      <w:r w:rsidR="002629BA">
        <w:t xml:space="preserve"> </w:t>
      </w:r>
      <w:r w:rsidR="00D462F7" w:rsidRPr="0033113F">
        <w:t>cost</w:t>
      </w:r>
      <w:r w:rsidR="006F7228">
        <w:t>s</w:t>
      </w:r>
      <w:r w:rsidR="00D462F7" w:rsidRPr="0033113F">
        <w:t xml:space="preserve"> </w:t>
      </w:r>
      <w:r w:rsidR="00F46A57" w:rsidRPr="0033113F">
        <w:t>could not be predicted in advance</w:t>
      </w:r>
      <w:r w:rsidR="00166C9D">
        <w:t>,</w:t>
      </w:r>
      <w:r w:rsidR="00751414" w:rsidRPr="008A6AC1">
        <w:rPr>
          <w:vertAlign w:val="superscript"/>
        </w:rPr>
        <w:footnoteReference w:id="14"/>
      </w:r>
      <w:r w:rsidR="00677945">
        <w:t xml:space="preserve"> </w:t>
      </w:r>
      <w:r w:rsidR="00166C9D">
        <w:t>the Commission ruled that</w:t>
      </w:r>
      <w:r w:rsidR="00677945">
        <w:t xml:space="preserve"> </w:t>
      </w:r>
      <w:r w:rsidR="00C1548A">
        <w:t xml:space="preserve">in the event </w:t>
      </w:r>
      <w:r w:rsidR="00F96238">
        <w:t xml:space="preserve">Sprint’s </w:t>
      </w:r>
      <w:r w:rsidR="00166C9D">
        <w:t xml:space="preserve">actual </w:t>
      </w:r>
      <w:r w:rsidR="00C1548A">
        <w:t xml:space="preserve">costs </w:t>
      </w:r>
      <w:r w:rsidR="00C1548A">
        <w:lastRenderedPageBreak/>
        <w:t>prov</w:t>
      </w:r>
      <w:r w:rsidR="00094210">
        <w:t>ed</w:t>
      </w:r>
      <w:r w:rsidR="00C1548A">
        <w:t xml:space="preserve"> to be lower than the $2.8 billion </w:t>
      </w:r>
      <w:r w:rsidR="00F630DD">
        <w:t xml:space="preserve">net </w:t>
      </w:r>
      <w:r w:rsidR="00C1548A">
        <w:t xml:space="preserve">benefit, </w:t>
      </w:r>
      <w:r w:rsidR="00E15AE5">
        <w:t>Sprint</w:t>
      </w:r>
      <w:r w:rsidR="00C1548A">
        <w:t xml:space="preserve"> would be required </w:t>
      </w:r>
      <w:r w:rsidR="00EC4BBC">
        <w:t xml:space="preserve">to </w:t>
      </w:r>
      <w:r w:rsidR="00166C9D">
        <w:t xml:space="preserve">pay the difference to the U.S. Treasury as </w:t>
      </w:r>
      <w:r w:rsidR="00E15AE5">
        <w:t>an anti-windfall payment</w:t>
      </w:r>
      <w:r w:rsidR="00166C9D">
        <w:t>.</w:t>
      </w:r>
      <w:r w:rsidR="0024357B">
        <w:rPr>
          <w:rStyle w:val="FootnoteReference"/>
        </w:rPr>
        <w:footnoteReference w:id="15"/>
      </w:r>
      <w:r w:rsidR="00E15AE5">
        <w:t xml:space="preserve">  </w:t>
      </w:r>
      <w:r w:rsidR="00AF7C40">
        <w:t xml:space="preserve">  </w:t>
      </w:r>
    </w:p>
    <w:p w:rsidR="00674571" w:rsidRDefault="008C35FB" w:rsidP="00674571">
      <w:pPr>
        <w:pStyle w:val="ParaNum"/>
        <w:widowControl/>
      </w:pPr>
      <w:r>
        <w:t>I</w:t>
      </w:r>
      <w:r w:rsidR="00A039A3" w:rsidRPr="008A685B">
        <w:t xml:space="preserve">n the </w:t>
      </w:r>
      <w:r w:rsidR="00A039A3" w:rsidRPr="00674571">
        <w:rPr>
          <w:i/>
        </w:rPr>
        <w:t>800 MHz Report and Order</w:t>
      </w:r>
      <w:r w:rsidR="00A039A3" w:rsidRPr="008A685B">
        <w:t xml:space="preserve">, </w:t>
      </w:r>
      <w:r>
        <w:t xml:space="preserve">the Commission </w:t>
      </w:r>
      <w:r w:rsidR="00AF7C40">
        <w:t>contemplated that the determination whether Sprint owed an anti-windfall payment would be made</w:t>
      </w:r>
      <w:r w:rsidR="006746AE">
        <w:t xml:space="preserve"> </w:t>
      </w:r>
      <w:r w:rsidR="00AF7C40">
        <w:t xml:space="preserve">after 800 </w:t>
      </w:r>
      <w:r w:rsidR="00531996" w:rsidRPr="008A685B">
        <w:t xml:space="preserve">MHz </w:t>
      </w:r>
      <w:r w:rsidR="00AF7C40">
        <w:t xml:space="preserve">rebanding was complete, </w:t>
      </w:r>
      <w:r w:rsidR="00AF7C40" w:rsidRPr="00674571">
        <w:rPr>
          <w:i/>
        </w:rPr>
        <w:t>i.e</w:t>
      </w:r>
      <w:r w:rsidR="00AF7C40">
        <w:t xml:space="preserve">., after </w:t>
      </w:r>
      <w:r w:rsidR="00F630DD">
        <w:t>all</w:t>
      </w:r>
      <w:r w:rsidR="00AF7C40">
        <w:t xml:space="preserve"> 800 </w:t>
      </w:r>
      <w:r w:rsidR="00363E92">
        <w:t xml:space="preserve">MHz </w:t>
      </w:r>
      <w:r w:rsidR="00AF7C40">
        <w:t>licensees had been relocated and the incumbents cleared from the 1.9 GHz band.</w:t>
      </w:r>
      <w:r w:rsidR="00564BF6">
        <w:rPr>
          <w:rStyle w:val="FootnoteReference"/>
        </w:rPr>
        <w:footnoteReference w:id="16"/>
      </w:r>
      <w:r w:rsidR="00AF7C40">
        <w:t xml:space="preserve">  However, </w:t>
      </w:r>
      <w:r w:rsidR="00081B92">
        <w:t xml:space="preserve">on </w:t>
      </w:r>
      <w:r w:rsidR="00081B92" w:rsidRPr="00081B92">
        <w:t>January 22, 2013</w:t>
      </w:r>
      <w:r w:rsidR="00AF7C40">
        <w:t xml:space="preserve">, Sprint requested </w:t>
      </w:r>
      <w:r>
        <w:t xml:space="preserve">that </w:t>
      </w:r>
      <w:r w:rsidR="00AF7C40">
        <w:t xml:space="preserve">the Commission make the anti-windfall determination before </w:t>
      </w:r>
      <w:r w:rsidR="005A0373" w:rsidRPr="008A685B">
        <w:t xml:space="preserve">the </w:t>
      </w:r>
      <w:r w:rsidR="00AF7C40" w:rsidRPr="008A685B">
        <w:t xml:space="preserve">800 </w:t>
      </w:r>
      <w:r w:rsidR="00363E92" w:rsidRPr="008A685B">
        <w:t xml:space="preserve">MHz </w:t>
      </w:r>
      <w:r w:rsidR="00AF7C40" w:rsidRPr="008A685B">
        <w:t xml:space="preserve">rebanding </w:t>
      </w:r>
      <w:r w:rsidR="00AF7C40">
        <w:t>was complete</w:t>
      </w:r>
      <w:r w:rsidR="00A40C97">
        <w:t>.</w:t>
      </w:r>
      <w:r w:rsidR="00081B92">
        <w:rPr>
          <w:rStyle w:val="FootnoteReference"/>
        </w:rPr>
        <w:footnoteReference w:id="17"/>
      </w:r>
      <w:r w:rsidR="00A40C97">
        <w:t xml:space="preserve">  </w:t>
      </w:r>
      <w:r w:rsidR="00DC36FF">
        <w:t xml:space="preserve">At that time, </w:t>
      </w:r>
      <w:r w:rsidR="00A40C97">
        <w:t xml:space="preserve">Sprint presented information suggesting that </w:t>
      </w:r>
      <w:r w:rsidR="00F96238">
        <w:t xml:space="preserve">by the conclusion of rebanding, </w:t>
      </w:r>
      <w:r w:rsidR="00A40C97">
        <w:t xml:space="preserve">its total </w:t>
      </w:r>
      <w:r>
        <w:t xml:space="preserve">rebanding </w:t>
      </w:r>
      <w:r w:rsidR="00A40C97">
        <w:t>expenses w</w:t>
      </w:r>
      <w:r w:rsidR="00F96238">
        <w:t xml:space="preserve">ould very </w:t>
      </w:r>
      <w:r w:rsidR="00A40C97">
        <w:t xml:space="preserve">likely exceed </w:t>
      </w:r>
      <w:r w:rsidR="006746AE">
        <w:t>$2.8 billion.</w:t>
      </w:r>
      <w:r w:rsidR="00FC7446">
        <w:rPr>
          <w:rStyle w:val="FootnoteReference"/>
        </w:rPr>
        <w:footnoteReference w:id="18"/>
      </w:r>
      <w:r w:rsidR="006746AE">
        <w:t xml:space="preserve"> </w:t>
      </w:r>
      <w:r w:rsidR="00F96238">
        <w:t xml:space="preserve"> </w:t>
      </w:r>
      <w:r w:rsidR="005D6E65">
        <w:t>Despite Sprint’s assertion of this likelihood, t</w:t>
      </w:r>
      <w:r w:rsidR="006746AE">
        <w:t xml:space="preserve">he Commission was unwilling to </w:t>
      </w:r>
      <w:r w:rsidR="005D6E65">
        <w:t xml:space="preserve">make the requested </w:t>
      </w:r>
      <w:r w:rsidR="006746AE">
        <w:t xml:space="preserve">determination </w:t>
      </w:r>
      <w:r w:rsidR="0033116E">
        <w:t>based on Sprint’s anticipated expenditures</w:t>
      </w:r>
      <w:r w:rsidR="005D6E65">
        <w:t xml:space="preserve"> </w:t>
      </w:r>
      <w:r w:rsidR="006746AE">
        <w:t xml:space="preserve">and </w:t>
      </w:r>
      <w:r w:rsidR="005D6E65">
        <w:t xml:space="preserve">therefore </w:t>
      </w:r>
      <w:r w:rsidR="00674571">
        <w:t xml:space="preserve">in the </w:t>
      </w:r>
      <w:r w:rsidR="004E5C3F">
        <w:t xml:space="preserve">2014 </w:t>
      </w:r>
      <w:r w:rsidR="00674571" w:rsidRPr="00B30E9D">
        <w:rPr>
          <w:i/>
        </w:rPr>
        <w:t>Modification Order</w:t>
      </w:r>
      <w:r w:rsidR="00674571">
        <w:t xml:space="preserve"> </w:t>
      </w:r>
      <w:r w:rsidR="004E5C3F">
        <w:t xml:space="preserve">it </w:t>
      </w:r>
      <w:r w:rsidR="006746AE">
        <w:t>de</w:t>
      </w:r>
      <w:r w:rsidR="00924FD9">
        <w:t xml:space="preserve">nied </w:t>
      </w:r>
      <w:r w:rsidR="006746AE">
        <w:t>Sprint’s request</w:t>
      </w:r>
      <w:r w:rsidR="00924FD9">
        <w:t xml:space="preserve"> as premature</w:t>
      </w:r>
      <w:r w:rsidR="006746AE">
        <w:t>.</w:t>
      </w:r>
      <w:r w:rsidR="007C5528">
        <w:rPr>
          <w:rStyle w:val="FootnoteReference"/>
        </w:rPr>
        <w:footnoteReference w:id="19"/>
      </w:r>
      <w:r w:rsidR="006746AE">
        <w:t xml:space="preserve">  </w:t>
      </w:r>
      <w:r w:rsidR="0033116E">
        <w:t xml:space="preserve">The Commission </w:t>
      </w:r>
      <w:r w:rsidR="005D6E65">
        <w:t>held</w:t>
      </w:r>
      <w:r w:rsidR="0033116E">
        <w:t>,</w:t>
      </w:r>
      <w:r w:rsidR="006746AE">
        <w:t xml:space="preserve"> however, </w:t>
      </w:r>
      <w:r w:rsidR="0033116E">
        <w:t xml:space="preserve">that </w:t>
      </w:r>
      <w:r w:rsidR="006746AE">
        <w:t xml:space="preserve">the anti-windfall issue </w:t>
      </w:r>
      <w:r w:rsidR="005D6E65">
        <w:t xml:space="preserve">could be </w:t>
      </w:r>
      <w:r w:rsidR="00F630DD">
        <w:t xml:space="preserve">disposed of </w:t>
      </w:r>
      <w:r w:rsidR="006746AE">
        <w:t xml:space="preserve">before </w:t>
      </w:r>
      <w:r w:rsidR="005D6E65">
        <w:t xml:space="preserve">completion of </w:t>
      </w:r>
      <w:r w:rsidR="006746AE">
        <w:t xml:space="preserve">rebanding </w:t>
      </w:r>
      <w:r w:rsidR="0033116E">
        <w:t xml:space="preserve">once Sprint’s </w:t>
      </w:r>
      <w:r w:rsidR="005D6E65">
        <w:t>documented expenses reached the $2.8 billion threshold.</w:t>
      </w:r>
      <w:r w:rsidR="005B0397">
        <w:rPr>
          <w:rStyle w:val="FootnoteReference"/>
        </w:rPr>
        <w:footnoteReference w:id="20"/>
      </w:r>
      <w:r w:rsidR="006746AE">
        <w:t xml:space="preserve"> </w:t>
      </w:r>
      <w:r w:rsidR="00630E86">
        <w:t xml:space="preserve"> </w:t>
      </w:r>
    </w:p>
    <w:p w:rsidR="00704980" w:rsidRDefault="004E5C3F" w:rsidP="00674571">
      <w:pPr>
        <w:pStyle w:val="ParaNum"/>
        <w:widowControl/>
      </w:pPr>
      <w:r>
        <w:t xml:space="preserve">In the </w:t>
      </w:r>
      <w:r w:rsidRPr="00B30E9D">
        <w:rPr>
          <w:i/>
        </w:rPr>
        <w:t>Modification Order</w:t>
      </w:r>
      <w:r>
        <w:t>, t</w:t>
      </w:r>
      <w:r w:rsidR="006746AE">
        <w:t xml:space="preserve">he Commission </w:t>
      </w:r>
      <w:r w:rsidR="009931B3">
        <w:t xml:space="preserve">found that Sprint had documented $1.17 billion in creditable 800 MHz rebanding expenses through the end of calendar year 2013 and $550.35 </w:t>
      </w:r>
      <w:r w:rsidR="005C01F8">
        <w:t xml:space="preserve">million </w:t>
      </w:r>
      <w:r w:rsidR="009931B3">
        <w:t>in creditable expenses for clearing of 1.9 GHz incumbents</w:t>
      </w:r>
      <w:r w:rsidR="003C10F2">
        <w:t>, for a total of $1.657 billion</w:t>
      </w:r>
      <w:r w:rsidR="009931B3">
        <w:t>.</w:t>
      </w:r>
      <w:r w:rsidR="009931B3">
        <w:rPr>
          <w:rStyle w:val="FootnoteReference"/>
        </w:rPr>
        <w:footnoteReference w:id="21"/>
      </w:r>
      <w:r w:rsidR="009931B3">
        <w:t xml:space="preserve">  </w:t>
      </w:r>
      <w:r w:rsidR="005C01F8">
        <w:t xml:space="preserve">The Commission stated that </w:t>
      </w:r>
      <w:r w:rsidR="006746AE">
        <w:t>once Sprint provided th</w:t>
      </w:r>
      <w:r w:rsidR="0026667F">
        <w:t xml:space="preserve">e </w:t>
      </w:r>
      <w:r w:rsidR="00704980">
        <w:t>TA</w:t>
      </w:r>
      <w:r w:rsidR="006746AE">
        <w:t xml:space="preserve"> with </w:t>
      </w:r>
      <w:r w:rsidR="005C01F8">
        <w:t xml:space="preserve">additional </w:t>
      </w:r>
      <w:r w:rsidR="006746AE">
        <w:t xml:space="preserve">evidence </w:t>
      </w:r>
      <w:r w:rsidR="00704980">
        <w:t>to demonstrate that Sprint</w:t>
      </w:r>
      <w:r w:rsidR="005C01F8">
        <w:t>’s</w:t>
      </w:r>
      <w:r w:rsidR="00704980">
        <w:t xml:space="preserve"> </w:t>
      </w:r>
      <w:r w:rsidR="007E19DD">
        <w:t xml:space="preserve">total </w:t>
      </w:r>
      <w:r w:rsidR="00704980">
        <w:t xml:space="preserve">incurred creditable expenses </w:t>
      </w:r>
      <w:r w:rsidR="005C01F8">
        <w:t xml:space="preserve">had reached the </w:t>
      </w:r>
      <w:r w:rsidR="00704980">
        <w:t>$2.8 billion</w:t>
      </w:r>
      <w:r w:rsidR="005B0397">
        <w:t xml:space="preserve"> </w:t>
      </w:r>
      <w:r w:rsidR="005C01F8">
        <w:t>threshold, the TA “shall conduct the anti-windfall true-up calculation and shall issue an audited true-up report within six months.”</w:t>
      </w:r>
      <w:r w:rsidR="00D17E91">
        <w:rPr>
          <w:rStyle w:val="FootnoteReference"/>
        </w:rPr>
        <w:footnoteReference w:id="22"/>
      </w:r>
      <w:r w:rsidR="005C01F8">
        <w:t xml:space="preserve">  The Commission further instructed the TA “to provide the true-up report to the Chief of the Public Safety and Homeland Security Bureau, and, if the Bureau Chief determines the report contains no material exceptions, the Bureau may issue a declaratory ruling that Sprint does not owe an anti-windfall payment.”</w:t>
      </w:r>
      <w:r w:rsidR="005C01F8">
        <w:rPr>
          <w:rStyle w:val="FootnoteReference"/>
        </w:rPr>
        <w:footnoteReference w:id="23"/>
      </w:r>
    </w:p>
    <w:p w:rsidR="00AF7C40" w:rsidRDefault="00E4178D" w:rsidP="00B30E9D">
      <w:pPr>
        <w:pStyle w:val="ParaNum"/>
        <w:widowControl/>
      </w:pPr>
      <w:r>
        <w:t>On</w:t>
      </w:r>
      <w:r w:rsidR="002E7DAA">
        <w:t xml:space="preserve"> June 2, 2017</w:t>
      </w:r>
      <w:r w:rsidR="00704980">
        <w:t xml:space="preserve">, the TA </w:t>
      </w:r>
      <w:r w:rsidR="007E19DD">
        <w:t>filed a</w:t>
      </w:r>
      <w:r w:rsidR="00127318">
        <w:t xml:space="preserve">n audited </w:t>
      </w:r>
      <w:r w:rsidR="007E19DD">
        <w:t xml:space="preserve">financial statement with the Commission </w:t>
      </w:r>
      <w:r w:rsidR="00416D6F">
        <w:t xml:space="preserve">documenting </w:t>
      </w:r>
      <w:r w:rsidR="00704980">
        <w:t xml:space="preserve">that Sprint had incurred </w:t>
      </w:r>
      <w:r w:rsidR="002C7CB6">
        <w:t xml:space="preserve">total </w:t>
      </w:r>
      <w:r w:rsidR="00704980">
        <w:t xml:space="preserve">creditable 800 </w:t>
      </w:r>
      <w:r w:rsidR="00531996" w:rsidRPr="008A685B">
        <w:t xml:space="preserve">MHz </w:t>
      </w:r>
      <w:r w:rsidR="00704980">
        <w:t xml:space="preserve">rebanding expenses of $ </w:t>
      </w:r>
      <w:r w:rsidR="00171751">
        <w:t>2.345034</w:t>
      </w:r>
      <w:r w:rsidR="005B0397">
        <w:t xml:space="preserve"> billion</w:t>
      </w:r>
      <w:r w:rsidR="00CB660F">
        <w:t xml:space="preserve"> </w:t>
      </w:r>
      <w:r w:rsidR="002C7CB6">
        <w:t xml:space="preserve">from the inception of the program </w:t>
      </w:r>
      <w:r w:rsidR="00CB660F">
        <w:t>through the end of calendar year 2016</w:t>
      </w:r>
      <w:r w:rsidR="00556F6F">
        <w:t>.</w:t>
      </w:r>
      <w:r w:rsidR="00FC7446">
        <w:rPr>
          <w:rStyle w:val="FootnoteReference"/>
        </w:rPr>
        <w:footnoteReference w:id="24"/>
      </w:r>
      <w:r w:rsidR="005B0397">
        <w:t xml:space="preserve"> </w:t>
      </w:r>
      <w:r w:rsidR="00CB660F">
        <w:t xml:space="preserve"> </w:t>
      </w:r>
      <w:r w:rsidR="00DB0A69">
        <w:t>This amount, com</w:t>
      </w:r>
      <w:r w:rsidR="00CB660F">
        <w:t xml:space="preserve">bined with Sprint’s previously </w:t>
      </w:r>
      <w:r w:rsidR="00556F6F">
        <w:t xml:space="preserve">documented </w:t>
      </w:r>
      <w:r w:rsidR="00704980">
        <w:t>expenses of $</w:t>
      </w:r>
      <w:r w:rsidR="005B0397">
        <w:t>500</w:t>
      </w:r>
      <w:r w:rsidR="002E7DAA">
        <w:t>.</w:t>
      </w:r>
      <w:r w:rsidR="005B0397">
        <w:t>35</w:t>
      </w:r>
      <w:r w:rsidR="002E7DAA">
        <w:t xml:space="preserve"> million</w:t>
      </w:r>
      <w:r w:rsidR="005B0397">
        <w:t xml:space="preserve"> </w:t>
      </w:r>
      <w:r w:rsidR="00CB660F">
        <w:t xml:space="preserve">to </w:t>
      </w:r>
      <w:r w:rsidR="00704980">
        <w:t>clear the 1.9 GHz band</w:t>
      </w:r>
      <w:r w:rsidR="00DB0A69">
        <w:t>,</w:t>
      </w:r>
      <w:r w:rsidR="00704980">
        <w:t xml:space="preserve"> </w:t>
      </w:r>
      <w:r w:rsidR="00DB0A69">
        <w:t xml:space="preserve">brings Sprint’s total creditable </w:t>
      </w:r>
      <w:r w:rsidR="00704980">
        <w:t>expense</w:t>
      </w:r>
      <w:r w:rsidR="00457B95">
        <w:t>s</w:t>
      </w:r>
      <w:r w:rsidR="00704980">
        <w:t xml:space="preserve"> </w:t>
      </w:r>
      <w:r w:rsidR="00457B95">
        <w:t xml:space="preserve">to </w:t>
      </w:r>
      <w:r w:rsidR="00EC4BBC">
        <w:t>$</w:t>
      </w:r>
      <w:r w:rsidR="00FF0D49">
        <w:t xml:space="preserve"> </w:t>
      </w:r>
      <w:r w:rsidR="00EC4BBC" w:rsidRPr="00EC4BBC">
        <w:t>2.845384 billion</w:t>
      </w:r>
      <w:r w:rsidR="00416D6F">
        <w:t>, which</w:t>
      </w:r>
      <w:r w:rsidR="00EC4BBC">
        <w:t xml:space="preserve"> exceed</w:t>
      </w:r>
      <w:r w:rsidR="00416D6F">
        <w:t>s</w:t>
      </w:r>
      <w:r w:rsidR="00EC4BBC">
        <w:t xml:space="preserve"> the $2.8 billion </w:t>
      </w:r>
      <w:r w:rsidR="00F70CCA">
        <w:t xml:space="preserve">anti-windfall </w:t>
      </w:r>
      <w:r w:rsidR="00EC4BBC">
        <w:t>threshold</w:t>
      </w:r>
      <w:r w:rsidR="002C7CB6">
        <w:t>.</w:t>
      </w:r>
      <w:r w:rsidR="006746AE">
        <w:t xml:space="preserve"> </w:t>
      </w:r>
    </w:p>
    <w:p w:rsidR="002C7CB6" w:rsidRDefault="002C7CB6" w:rsidP="002C7CB6">
      <w:pPr>
        <w:pStyle w:val="Heading1"/>
        <w:widowControl/>
      </w:pPr>
      <w:r>
        <w:t>DISCUSSION</w:t>
      </w:r>
    </w:p>
    <w:p w:rsidR="00675C82" w:rsidRDefault="00675C82" w:rsidP="009767C8">
      <w:pPr>
        <w:pStyle w:val="ParaNum"/>
        <w:widowControl/>
      </w:pPr>
      <w:r>
        <w:t xml:space="preserve">We are satisfied that the TA has </w:t>
      </w:r>
      <w:r w:rsidR="002F3054">
        <w:t xml:space="preserve">correctly </w:t>
      </w:r>
      <w:r>
        <w:t>determined</w:t>
      </w:r>
      <w:r w:rsidR="004E5C3F">
        <w:t xml:space="preserve">, based on documentation provided by Sprint and </w:t>
      </w:r>
      <w:r>
        <w:t>independently audited financial statements</w:t>
      </w:r>
      <w:r w:rsidR="00561D2E">
        <w:t xml:space="preserve"> commissioned by the TA,</w:t>
      </w:r>
      <w:r>
        <w:t xml:space="preserve"> that </w:t>
      </w:r>
      <w:r w:rsidR="004E5C3F">
        <w:t xml:space="preserve">Sprint </w:t>
      </w:r>
      <w:r>
        <w:t>has ex</w:t>
      </w:r>
      <w:r w:rsidR="004E5C3F">
        <w:t xml:space="preserve">ceeded </w:t>
      </w:r>
      <w:r>
        <w:t xml:space="preserve"> $2.8 billion in </w:t>
      </w:r>
      <w:r w:rsidR="004E5C3F">
        <w:t xml:space="preserve">creditable expenses </w:t>
      </w:r>
      <w:r w:rsidR="00924FD9">
        <w:t xml:space="preserve">associated with </w:t>
      </w:r>
      <w:r>
        <w:t xml:space="preserve">rebanding 800 </w:t>
      </w:r>
      <w:r w:rsidR="004F33F5">
        <w:t xml:space="preserve">MHz </w:t>
      </w:r>
      <w:r>
        <w:t>licensees and clearing the 1.9 GHz band of incumbent</w:t>
      </w:r>
      <w:r w:rsidR="00A51936">
        <w:t>s</w:t>
      </w:r>
      <w:r>
        <w:t xml:space="preserve">.  </w:t>
      </w:r>
      <w:r w:rsidR="002F3054">
        <w:t xml:space="preserve">As Sprint therefore cannot reap the financial windfall that the anti-windfall provision of the </w:t>
      </w:r>
      <w:r w:rsidR="002F3054" w:rsidRPr="009767C8">
        <w:rPr>
          <w:i/>
        </w:rPr>
        <w:t xml:space="preserve">800 MHz Report and Order </w:t>
      </w:r>
      <w:r w:rsidR="002F3054">
        <w:t>w</w:t>
      </w:r>
      <w:r w:rsidR="00775632">
        <w:t>as</w:t>
      </w:r>
      <w:r w:rsidR="002F3054">
        <w:t xml:space="preserve"> designed to prevent, </w:t>
      </w:r>
      <w:r w:rsidR="009767C8">
        <w:t xml:space="preserve">we find that </w:t>
      </w:r>
      <w:r>
        <w:t>there is no policy or economic rationale for maintaining th</w:t>
      </w:r>
      <w:r w:rsidR="00775632">
        <w:t>at</w:t>
      </w:r>
      <w:r>
        <w:t xml:space="preserve"> </w:t>
      </w:r>
      <w:r w:rsidR="00775632">
        <w:t>provision</w:t>
      </w:r>
      <w:r w:rsidR="009767C8">
        <w:t xml:space="preserve">.  Therefore, we declare that Sprint is no longer liable for making an anti-windfall payment to the Treasury.  This declaratory ruling </w:t>
      </w:r>
      <w:r w:rsidR="00036CC4">
        <w:t xml:space="preserve">does not affect Sprint’s </w:t>
      </w:r>
      <w:r w:rsidR="00FC7446">
        <w:t xml:space="preserve">other ongoing rebanding obligations established by the </w:t>
      </w:r>
      <w:r w:rsidR="00FC7446" w:rsidRPr="009767C8">
        <w:rPr>
          <w:i/>
        </w:rPr>
        <w:t>800 MHz Report and Order</w:t>
      </w:r>
      <w:r w:rsidR="00FC7446">
        <w:t xml:space="preserve"> and subsequent orders, including the </w:t>
      </w:r>
      <w:r w:rsidR="00036CC4">
        <w:t xml:space="preserve">obligation to keep in force a letter of credit in an amount sufficient to complete 800 </w:t>
      </w:r>
      <w:r w:rsidR="00E13DBC">
        <w:t xml:space="preserve">MHz </w:t>
      </w:r>
      <w:r w:rsidR="00036CC4">
        <w:t>rebanding should Sprint default or encounter unexpected financial reversals.</w:t>
      </w:r>
      <w:r w:rsidR="00E208AF">
        <w:rPr>
          <w:rStyle w:val="FootnoteReference"/>
        </w:rPr>
        <w:footnoteReference w:id="25"/>
      </w:r>
      <w:r w:rsidR="00036CC4">
        <w:t xml:space="preserve">  </w:t>
      </w:r>
    </w:p>
    <w:p w:rsidR="002A05F2" w:rsidRDefault="002A05F2" w:rsidP="00DB1B06">
      <w:pPr>
        <w:pStyle w:val="Heading1"/>
        <w:widowControl/>
      </w:pPr>
      <w:r>
        <w:t>ordering clause</w:t>
      </w:r>
    </w:p>
    <w:p w:rsidR="00E208AF" w:rsidRPr="00B30E9D" w:rsidRDefault="002A05F2" w:rsidP="00E21B16">
      <w:pPr>
        <w:pStyle w:val="ParaNum"/>
        <w:widowControl/>
      </w:pPr>
      <w:r>
        <w:t xml:space="preserve">Accordingly, IT IS </w:t>
      </w:r>
      <w:r w:rsidR="00F70CCA">
        <w:t xml:space="preserve">DECLARED </w:t>
      </w:r>
      <w:r>
        <w:t xml:space="preserve">that </w:t>
      </w:r>
      <w:r w:rsidR="00E21B16">
        <w:t xml:space="preserve">Sprint Corporation has satisfied the </w:t>
      </w:r>
      <w:r w:rsidR="00651CCF">
        <w:t xml:space="preserve">anti-windfall </w:t>
      </w:r>
      <w:r w:rsidR="00E21B16">
        <w:t>conditions</w:t>
      </w:r>
      <w:r w:rsidR="00651CCF">
        <w:t xml:space="preserve"> contained in the </w:t>
      </w:r>
      <w:r w:rsidR="00651CCF" w:rsidRPr="00E21B16">
        <w:rPr>
          <w:i/>
        </w:rPr>
        <w:t>800 MHz Report and Order</w:t>
      </w:r>
      <w:r w:rsidR="00FD394B">
        <w:t>, and any obligation to</w:t>
      </w:r>
      <w:r w:rsidR="00E21B16">
        <w:t xml:space="preserve"> mak</w:t>
      </w:r>
      <w:r w:rsidR="00FD394B">
        <w:t>e</w:t>
      </w:r>
      <w:r w:rsidR="00E13DBC">
        <w:t xml:space="preserve"> </w:t>
      </w:r>
      <w:r w:rsidR="00E21B16">
        <w:t xml:space="preserve">an anti-windfall payment </w:t>
      </w:r>
      <w:r w:rsidR="006D5033">
        <w:t xml:space="preserve">thereunder </w:t>
      </w:r>
      <w:r w:rsidR="00E21B16">
        <w:t>to the U.S. Treasury</w:t>
      </w:r>
      <w:r w:rsidR="00FD394B">
        <w:t xml:space="preserve"> is hereby terminated</w:t>
      </w:r>
      <w:r w:rsidR="00E21B16" w:rsidRPr="00E21B16">
        <w:rPr>
          <w:i/>
        </w:rPr>
        <w:t xml:space="preserve">. </w:t>
      </w:r>
    </w:p>
    <w:p w:rsidR="009767C8" w:rsidRPr="009767C8" w:rsidRDefault="009767C8" w:rsidP="00B30E9D">
      <w:pPr>
        <w:pStyle w:val="ParaNum"/>
        <w:widowControl/>
        <w:numPr>
          <w:ilvl w:val="0"/>
          <w:numId w:val="0"/>
        </w:numPr>
        <w:ind w:left="720"/>
      </w:pPr>
    </w:p>
    <w:p w:rsidR="006D590E" w:rsidRDefault="006D590E" w:rsidP="00DB1B06">
      <w:pPr>
        <w:pStyle w:val="ParaNum"/>
        <w:widowControl/>
        <w:numPr>
          <w:ilvl w:val="0"/>
          <w:numId w:val="0"/>
        </w:numPr>
        <w:ind w:left="3600"/>
      </w:pPr>
      <w:r>
        <w:t>FEDERAL COMMUNICATIONS COMMISSION</w:t>
      </w:r>
    </w:p>
    <w:p w:rsidR="006D590E" w:rsidRDefault="006D590E" w:rsidP="00DB1B06">
      <w:pPr>
        <w:pStyle w:val="ParaNum"/>
        <w:widowControl/>
        <w:numPr>
          <w:ilvl w:val="0"/>
          <w:numId w:val="0"/>
        </w:numPr>
        <w:ind w:left="3600"/>
      </w:pPr>
    </w:p>
    <w:p w:rsidR="00F70CCA" w:rsidRDefault="001736B9" w:rsidP="00DB1B06">
      <w:pPr>
        <w:pStyle w:val="ParaNum"/>
        <w:widowControl/>
        <w:numPr>
          <w:ilvl w:val="0"/>
          <w:numId w:val="0"/>
        </w:numPr>
        <w:ind w:left="3600"/>
      </w:pPr>
      <w:r>
        <w:t xml:space="preserve">  </w:t>
      </w:r>
    </w:p>
    <w:p w:rsidR="009767C8" w:rsidRDefault="006D590E" w:rsidP="00DB1B06">
      <w:pPr>
        <w:pStyle w:val="ParaNum"/>
        <w:widowControl/>
        <w:numPr>
          <w:ilvl w:val="0"/>
          <w:numId w:val="0"/>
        </w:numPr>
        <w:spacing w:after="0"/>
        <w:ind w:left="3600"/>
      </w:pPr>
      <w:r>
        <w:t xml:space="preserve">Lisa </w:t>
      </w:r>
      <w:r w:rsidR="00E21B16">
        <w:t xml:space="preserve">M. </w:t>
      </w:r>
      <w:r>
        <w:t>Fowlkes</w:t>
      </w:r>
    </w:p>
    <w:p w:rsidR="006D590E" w:rsidRPr="002A05F2" w:rsidRDefault="006D590E" w:rsidP="00DB1B06">
      <w:pPr>
        <w:pStyle w:val="ParaNum"/>
        <w:widowControl/>
        <w:numPr>
          <w:ilvl w:val="0"/>
          <w:numId w:val="0"/>
        </w:numPr>
        <w:spacing w:after="0"/>
        <w:ind w:left="3600"/>
      </w:pPr>
      <w:r>
        <w:t>Chief</w:t>
      </w:r>
      <w:r w:rsidR="009767C8">
        <w:t xml:space="preserve">, </w:t>
      </w:r>
      <w:r>
        <w:t xml:space="preserve">Public Safety and Homeland Security Bureau </w:t>
      </w:r>
    </w:p>
    <w:sectPr w:rsidR="006D590E" w:rsidRPr="002A05F2" w:rsidSect="006D590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575" w:rsidRDefault="00D56575">
      <w:pPr>
        <w:spacing w:line="20" w:lineRule="exact"/>
      </w:pPr>
    </w:p>
  </w:endnote>
  <w:endnote w:type="continuationSeparator" w:id="0">
    <w:p w:rsidR="00D56575" w:rsidRDefault="00D56575">
      <w:r>
        <w:t xml:space="preserve"> </w:t>
      </w:r>
    </w:p>
  </w:endnote>
  <w:endnote w:type="continuationNotice" w:id="1">
    <w:p w:rsidR="00D56575" w:rsidRDefault="00D565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33" w:rsidRDefault="006D5033" w:rsidP="0055614C">
    <w:pPr>
      <w:pStyle w:val="Footer"/>
      <w:framePr w:wrap="around" w:vAnchor="text" w:hAnchor="margin" w:xAlign="center" w:y="1"/>
    </w:pPr>
    <w:r>
      <w:fldChar w:fldCharType="begin"/>
    </w:r>
    <w:r>
      <w:instrText xml:space="preserve">PAGE  </w:instrText>
    </w:r>
    <w:r>
      <w:fldChar w:fldCharType="end"/>
    </w:r>
  </w:p>
  <w:p w:rsidR="006D5033" w:rsidRDefault="006D5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565939"/>
      <w:docPartObj>
        <w:docPartGallery w:val="Page Numbers (Bottom of Page)"/>
        <w:docPartUnique/>
      </w:docPartObj>
    </w:sdtPr>
    <w:sdtEndPr>
      <w:rPr>
        <w:noProof/>
      </w:rPr>
    </w:sdtEndPr>
    <w:sdtContent>
      <w:p w:rsidR="006D5033" w:rsidRDefault="006D5033">
        <w:pPr>
          <w:pStyle w:val="Footer"/>
          <w:jc w:val="center"/>
        </w:pPr>
        <w:r>
          <w:fldChar w:fldCharType="begin"/>
        </w:r>
        <w:r>
          <w:instrText xml:space="preserve"> PAGE   \* MERGEFORMAT </w:instrText>
        </w:r>
        <w:r>
          <w:fldChar w:fldCharType="separate"/>
        </w:r>
        <w:r w:rsidR="00867DD7">
          <w:rPr>
            <w:noProof/>
          </w:rPr>
          <w:t>2</w:t>
        </w:r>
        <w:r>
          <w:rPr>
            <w:noProof/>
          </w:rPr>
          <w:fldChar w:fldCharType="end"/>
        </w:r>
      </w:p>
    </w:sdtContent>
  </w:sdt>
  <w:p w:rsidR="006D5033" w:rsidRDefault="006D503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33" w:rsidRDefault="006D503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575" w:rsidRDefault="00D56575">
      <w:r>
        <w:separator/>
      </w:r>
    </w:p>
  </w:footnote>
  <w:footnote w:type="continuationSeparator" w:id="0">
    <w:p w:rsidR="00D56575" w:rsidRDefault="00D56575" w:rsidP="00C721AC">
      <w:pPr>
        <w:spacing w:before="120"/>
        <w:rPr>
          <w:sz w:val="20"/>
        </w:rPr>
      </w:pPr>
      <w:r>
        <w:rPr>
          <w:sz w:val="20"/>
        </w:rPr>
        <w:t xml:space="preserve">(Continued from previous page)  </w:t>
      </w:r>
      <w:r>
        <w:rPr>
          <w:sz w:val="20"/>
        </w:rPr>
        <w:separator/>
      </w:r>
    </w:p>
  </w:footnote>
  <w:footnote w:type="continuationNotice" w:id="1">
    <w:p w:rsidR="00D56575" w:rsidRDefault="00D56575" w:rsidP="00C721AC">
      <w:pPr>
        <w:jc w:val="right"/>
        <w:rPr>
          <w:sz w:val="20"/>
        </w:rPr>
      </w:pPr>
      <w:r>
        <w:rPr>
          <w:sz w:val="20"/>
        </w:rPr>
        <w:t>(continued….)</w:t>
      </w:r>
    </w:p>
  </w:footnote>
  <w:footnote w:id="2">
    <w:p w:rsidR="006D5033" w:rsidRPr="00573CB5" w:rsidRDefault="006D5033">
      <w:pPr>
        <w:pStyle w:val="FootnoteText"/>
      </w:pPr>
      <w:r w:rsidRPr="00573CB5">
        <w:rPr>
          <w:rStyle w:val="FootnoteReference"/>
        </w:rPr>
        <w:footnoteRef/>
      </w:r>
      <w:r w:rsidRPr="00573CB5">
        <w:t xml:space="preserve"> </w:t>
      </w:r>
      <w:r w:rsidRPr="00573CB5">
        <w:rPr>
          <w:i/>
        </w:rPr>
        <w:t>Sprint Nextel Corp., Petition for Declaratory Ruling</w:t>
      </w:r>
      <w:r w:rsidRPr="00573CB5">
        <w:t>, Memorandum Opinion and Order and Order of Proposed Modification, 29 FCC Rcd 11549, 11555, para. 23 (2014) (</w:t>
      </w:r>
      <w:r w:rsidRPr="00573CB5">
        <w:rPr>
          <w:i/>
        </w:rPr>
        <w:t>Modification Order</w:t>
      </w:r>
      <w:r w:rsidRPr="00573CB5">
        <w:t>)</w:t>
      </w:r>
      <w:r w:rsidR="00160967" w:rsidRPr="00573CB5">
        <w:t xml:space="preserve"> (</w:t>
      </w:r>
      <w:r w:rsidR="00051172" w:rsidRPr="00573CB5">
        <w:t>instructing the 800 MHz Transition Administrator to provide a true-up report to the Chief of the Public Safety and Homeland Security Bureau “and, if the Bureau Chief determines the report contains no material exceptions, the Bureau may issue a declaratory ruling that Sprint does not owe an anti-windfall payment”</w:t>
      </w:r>
      <w:r w:rsidR="00AB58A9" w:rsidRPr="00573CB5">
        <w:t>)</w:t>
      </w:r>
      <w:r w:rsidRPr="00573CB5">
        <w:t>.</w:t>
      </w:r>
    </w:p>
  </w:footnote>
  <w:footnote w:id="3">
    <w:p w:rsidR="006D5033" w:rsidRPr="00573CB5" w:rsidRDefault="006D5033">
      <w:pPr>
        <w:pStyle w:val="FootnoteText"/>
      </w:pPr>
      <w:r w:rsidRPr="00573CB5">
        <w:rPr>
          <w:rStyle w:val="FootnoteReference"/>
        </w:rPr>
        <w:footnoteRef/>
      </w:r>
      <w:r w:rsidRPr="00573CB5">
        <w:t xml:space="preserve"> </w:t>
      </w:r>
      <w:r w:rsidRPr="00573CB5">
        <w:rPr>
          <w:i/>
        </w:rPr>
        <w:t>Improving Public Safety Communications in the 800 MHz Band</w:t>
      </w:r>
      <w:r w:rsidRPr="00573CB5">
        <w:t>, Report and Order, Fifth Report and Order, Fourth Memorandum Opinion and Order and Order, 19 FCC Rcd 14969 (2004) (</w:t>
      </w:r>
      <w:r w:rsidRPr="00573CB5">
        <w:rPr>
          <w:i/>
        </w:rPr>
        <w:t>800 MHz Report and Order</w:t>
      </w:r>
      <w:r w:rsidRPr="00573CB5">
        <w:t>).</w:t>
      </w:r>
    </w:p>
  </w:footnote>
  <w:footnote w:id="4">
    <w:p w:rsidR="006D5033" w:rsidRPr="00573CB5" w:rsidRDefault="006D5033" w:rsidP="00B45567">
      <w:pPr>
        <w:pStyle w:val="FootnoteText"/>
      </w:pPr>
      <w:r w:rsidRPr="00573CB5">
        <w:rPr>
          <w:rStyle w:val="FootnoteReference"/>
        </w:rPr>
        <w:footnoteRef/>
      </w:r>
      <w:r w:rsidRPr="00573CB5">
        <w:t xml:space="preserve"> </w:t>
      </w:r>
      <w:r w:rsidRPr="00573CB5">
        <w:rPr>
          <w:i/>
        </w:rPr>
        <w:t xml:space="preserve">Modification Order, </w:t>
      </w:r>
      <w:r w:rsidRPr="00573CB5">
        <w:t>29 FCC Rcd at 11557, para. 23.</w:t>
      </w:r>
    </w:p>
  </w:footnote>
  <w:footnote w:id="5">
    <w:p w:rsidR="006D5033" w:rsidRPr="00573CB5" w:rsidRDefault="006D5033" w:rsidP="00B45567">
      <w:pPr>
        <w:pStyle w:val="FootnoteText"/>
      </w:pPr>
      <w:r w:rsidRPr="00573CB5">
        <w:rPr>
          <w:rStyle w:val="FootnoteReference"/>
        </w:rPr>
        <w:footnoteRef/>
      </w:r>
      <w:r w:rsidRPr="00573CB5">
        <w:t xml:space="preserve"> The Transition Administrator (TA) is an independent entity established by the Commission, on the recommendation of 800 MHz rebanding stakeholders, to oversee the rebanding project.</w:t>
      </w:r>
      <w:r w:rsidRPr="00573CB5">
        <w:rPr>
          <w:i/>
        </w:rPr>
        <w:t xml:space="preserve"> 800 MHz Report and Order, </w:t>
      </w:r>
      <w:r w:rsidRPr="00573CB5">
        <w:t>19 FCC Rcd at 14986, para. 27.</w:t>
      </w:r>
    </w:p>
  </w:footnote>
  <w:footnote w:id="6">
    <w:p w:rsidR="006D5033" w:rsidRPr="00573CB5" w:rsidRDefault="006D5033" w:rsidP="00A67B6A">
      <w:pPr>
        <w:pStyle w:val="FootnoteText"/>
      </w:pPr>
      <w:r w:rsidRPr="00573CB5">
        <w:rPr>
          <w:rStyle w:val="FootnoteReference"/>
        </w:rPr>
        <w:footnoteRef/>
      </w:r>
      <w:r w:rsidRPr="00573CB5">
        <w:t xml:space="preserve"> </w:t>
      </w:r>
      <w:r w:rsidRPr="00573CB5">
        <w:rPr>
          <w:i/>
        </w:rPr>
        <w:t>See 800 MHz Report and Order</w:t>
      </w:r>
      <w:r w:rsidRPr="00573CB5">
        <w:t>, 19 FCC Rcd at 14972-74, paras. 2-4.</w:t>
      </w:r>
    </w:p>
  </w:footnote>
  <w:footnote w:id="7">
    <w:p w:rsidR="006D5033" w:rsidRPr="00573CB5" w:rsidRDefault="006D5033">
      <w:pPr>
        <w:pStyle w:val="FootnoteText"/>
      </w:pPr>
      <w:r w:rsidRPr="00573CB5">
        <w:rPr>
          <w:rStyle w:val="FootnoteReference"/>
        </w:rPr>
        <w:footnoteRef/>
      </w:r>
      <w:r w:rsidRPr="00573CB5">
        <w:t xml:space="preserve"> </w:t>
      </w:r>
      <w:r w:rsidRPr="00573CB5">
        <w:rPr>
          <w:i/>
        </w:rPr>
        <w:t>Id.</w:t>
      </w:r>
      <w:r w:rsidRPr="00573CB5">
        <w:t xml:space="preserve"> at 14974, para. 4.</w:t>
      </w:r>
    </w:p>
  </w:footnote>
  <w:footnote w:id="8">
    <w:p w:rsidR="009A7ED6" w:rsidRPr="00573CB5" w:rsidRDefault="009A7ED6" w:rsidP="009A7ED6">
      <w:pPr>
        <w:pStyle w:val="FootnoteText"/>
      </w:pPr>
      <w:r w:rsidRPr="00573CB5">
        <w:rPr>
          <w:rStyle w:val="FootnoteReference"/>
        </w:rPr>
        <w:footnoteRef/>
      </w:r>
      <w:r w:rsidRPr="00573CB5">
        <w:t xml:space="preserve"> </w:t>
      </w:r>
      <w:r w:rsidRPr="00573CB5">
        <w:rPr>
          <w:i/>
        </w:rPr>
        <w:t xml:space="preserve">Id. </w:t>
      </w:r>
      <w:r w:rsidRPr="00573CB5">
        <w:t xml:space="preserve">at </w:t>
      </w:r>
      <w:r w:rsidR="00D71856">
        <w:t>1497</w:t>
      </w:r>
      <w:r w:rsidR="003D72E4">
        <w:t xml:space="preserve">7, para. </w:t>
      </w:r>
      <w:r w:rsidR="00D71856">
        <w:t>11</w:t>
      </w:r>
      <w:r w:rsidR="003D72E4">
        <w:t>.</w:t>
      </w:r>
    </w:p>
  </w:footnote>
  <w:footnote w:id="9">
    <w:p w:rsidR="009A7ED6" w:rsidRPr="00573CB5" w:rsidRDefault="009A7ED6" w:rsidP="009A7ED6">
      <w:pPr>
        <w:pStyle w:val="FootnoteText"/>
      </w:pPr>
      <w:r w:rsidRPr="00573CB5">
        <w:rPr>
          <w:rStyle w:val="FootnoteReference"/>
        </w:rPr>
        <w:footnoteRef/>
      </w:r>
      <w:r w:rsidRPr="00573CB5">
        <w:t xml:space="preserve"> </w:t>
      </w:r>
      <w:r w:rsidRPr="00573CB5">
        <w:rPr>
          <w:i/>
        </w:rPr>
        <w:t xml:space="preserve">Id. </w:t>
      </w:r>
      <w:r w:rsidR="00A90C0E">
        <w:t xml:space="preserve">at </w:t>
      </w:r>
      <w:r w:rsidR="00D71856">
        <w:t xml:space="preserve">15016, para. 75; </w:t>
      </w:r>
      <w:r w:rsidR="00B478E4">
        <w:t xml:space="preserve">15064, </w:t>
      </w:r>
      <w:r w:rsidR="00D71856">
        <w:t>para. 177</w:t>
      </w:r>
      <w:r w:rsidR="00A90C0E">
        <w:t>.</w:t>
      </w:r>
    </w:p>
  </w:footnote>
  <w:footnote w:id="10">
    <w:p w:rsidR="001C0C82" w:rsidRPr="00573CB5" w:rsidRDefault="001C0C82" w:rsidP="001C0C82">
      <w:pPr>
        <w:pStyle w:val="FootnoteText"/>
      </w:pPr>
      <w:r w:rsidRPr="00573CB5">
        <w:rPr>
          <w:rStyle w:val="FootnoteReference"/>
        </w:rPr>
        <w:footnoteRef/>
      </w:r>
      <w:r w:rsidRPr="00573CB5">
        <w:t xml:space="preserve"> </w:t>
      </w:r>
      <w:r w:rsidRPr="00573CB5">
        <w:rPr>
          <w:i/>
        </w:rPr>
        <w:t xml:space="preserve">Id. </w:t>
      </w:r>
      <w:r w:rsidRPr="00573CB5">
        <w:t>at 14974-75, para. 5.</w:t>
      </w:r>
    </w:p>
  </w:footnote>
  <w:footnote w:id="11">
    <w:p w:rsidR="006D5033" w:rsidRPr="00573CB5" w:rsidRDefault="006D5033">
      <w:pPr>
        <w:pStyle w:val="FootnoteText"/>
      </w:pPr>
      <w:r w:rsidRPr="00573CB5">
        <w:rPr>
          <w:rStyle w:val="FootnoteReference"/>
        </w:rPr>
        <w:footnoteRef/>
      </w:r>
      <w:r w:rsidRPr="00573CB5">
        <w:t xml:space="preserve"> </w:t>
      </w:r>
      <w:r w:rsidRPr="00573CB5">
        <w:rPr>
          <w:i/>
        </w:rPr>
        <w:t>Id</w:t>
      </w:r>
      <w:r w:rsidRPr="00573CB5">
        <w:t>. at 14988-89, paras. 32-35.</w:t>
      </w:r>
    </w:p>
  </w:footnote>
  <w:footnote w:id="12">
    <w:p w:rsidR="006D5033" w:rsidRPr="00573CB5" w:rsidRDefault="006D5033">
      <w:pPr>
        <w:pStyle w:val="FootnoteText"/>
      </w:pPr>
      <w:r w:rsidRPr="00573CB5">
        <w:rPr>
          <w:rStyle w:val="FootnoteReference"/>
        </w:rPr>
        <w:footnoteRef/>
      </w:r>
      <w:r w:rsidRPr="00573CB5">
        <w:t xml:space="preserve"> </w:t>
      </w:r>
      <w:r w:rsidR="001C5DD2" w:rsidRPr="00573CB5">
        <w:rPr>
          <w:i/>
        </w:rPr>
        <w:t xml:space="preserve">Id. </w:t>
      </w:r>
      <w:r w:rsidR="001C5DD2" w:rsidRPr="00573CB5">
        <w:t xml:space="preserve">at 15112, para. 297, n.704.  The Commission calculated this amount by estimating the </w:t>
      </w:r>
      <w:r w:rsidR="00924FD9" w:rsidRPr="00573CB5">
        <w:t xml:space="preserve">then-current market </w:t>
      </w:r>
      <w:r w:rsidR="001C5DD2" w:rsidRPr="00573CB5">
        <w:t>value of the 1.9 GHz spectrum a</w:t>
      </w:r>
      <w:r w:rsidR="009876B4" w:rsidRPr="00573CB5">
        <w:t>t</w:t>
      </w:r>
      <w:r w:rsidR="001C5DD2" w:rsidRPr="00573CB5">
        <w:t xml:space="preserve"> $1.70 per MHz-pop </w:t>
      </w:r>
      <w:r w:rsidR="009876B4" w:rsidRPr="00573CB5">
        <w:t xml:space="preserve">and multiplying that </w:t>
      </w:r>
      <w:r w:rsidR="00C42B0C" w:rsidRPr="00573CB5">
        <w:t xml:space="preserve">value </w:t>
      </w:r>
      <w:r w:rsidR="009876B4" w:rsidRPr="00573CB5">
        <w:t xml:space="preserve">by 285,620,000, </w:t>
      </w:r>
      <w:r w:rsidR="001C5DD2" w:rsidRPr="00573CB5">
        <w:t>the total year 2000 population for the United States including possessions</w:t>
      </w:r>
      <w:r w:rsidR="009876B4" w:rsidRPr="00573CB5">
        <w:t xml:space="preserve">.  </w:t>
      </w:r>
    </w:p>
  </w:footnote>
  <w:footnote w:id="13">
    <w:p w:rsidR="006D5033" w:rsidRPr="00573CB5" w:rsidRDefault="006D5033">
      <w:pPr>
        <w:pStyle w:val="FootnoteText"/>
      </w:pPr>
      <w:r w:rsidRPr="00573CB5">
        <w:rPr>
          <w:rStyle w:val="FootnoteReference"/>
        </w:rPr>
        <w:footnoteRef/>
      </w:r>
      <w:r w:rsidRPr="00573CB5">
        <w:t xml:space="preserve"> </w:t>
      </w:r>
      <w:r w:rsidRPr="00573CB5">
        <w:rPr>
          <w:i/>
        </w:rPr>
        <w:t>Improving Public Safety Communications in the 800 MHz Band</w:t>
      </w:r>
      <w:r w:rsidRPr="00573CB5">
        <w:t>, Supplemental Order and Order on Reconsideration, 19 FCC Rcd 25120, 25136, para. 36 (2005)</w:t>
      </w:r>
      <w:r w:rsidR="00654457" w:rsidRPr="00573CB5">
        <w:t xml:space="preserve"> (</w:t>
      </w:r>
      <w:r w:rsidR="00654457" w:rsidRPr="00573CB5">
        <w:rPr>
          <w:i/>
        </w:rPr>
        <w:t>800 MHz Supplemental Order</w:t>
      </w:r>
      <w:r w:rsidR="00654457" w:rsidRPr="00573CB5">
        <w:t xml:space="preserve">).  In the </w:t>
      </w:r>
      <w:r w:rsidR="00654457" w:rsidRPr="00573CB5">
        <w:rPr>
          <w:i/>
        </w:rPr>
        <w:t>800 MHz Report and Order</w:t>
      </w:r>
      <w:r w:rsidR="00654457" w:rsidRPr="00573CB5">
        <w:t xml:space="preserve">, the Commission initially valued the 800 MHz spectrum to be relinquished by Sprint at $1.67 billion, but the Commission revised </w:t>
      </w:r>
      <w:r w:rsidR="00AE1DF6" w:rsidRPr="00573CB5">
        <w:t xml:space="preserve">its </w:t>
      </w:r>
      <w:r w:rsidR="00654457" w:rsidRPr="00573CB5">
        <w:t xml:space="preserve">valuation to $2.05900 billion in the </w:t>
      </w:r>
      <w:r w:rsidR="00654457" w:rsidRPr="00573CB5">
        <w:rPr>
          <w:i/>
        </w:rPr>
        <w:t>800 MHz Supplemental Order</w:t>
      </w:r>
      <w:r w:rsidR="00654457" w:rsidRPr="00573CB5">
        <w:t>.  W</w:t>
      </w:r>
      <w:r w:rsidRPr="00573CB5">
        <w:t>hile Sprint was also required to relinquish 700 MHz Guard Band spectrum rights in forty-two markets (</w:t>
      </w:r>
      <w:r w:rsidRPr="00573CB5">
        <w:rPr>
          <w:i/>
        </w:rPr>
        <w:t>id</w:t>
      </w:r>
      <w:r w:rsidRPr="00573CB5">
        <w:t xml:space="preserve">. at 25126, para. 8), the Commission assigned no monetary value to </w:t>
      </w:r>
      <w:r w:rsidR="00654457" w:rsidRPr="00573CB5">
        <w:t xml:space="preserve">this spectrum, which it </w:t>
      </w:r>
      <w:r w:rsidRPr="00573CB5">
        <w:t xml:space="preserve">determined added </w:t>
      </w:r>
      <w:r w:rsidR="00654457" w:rsidRPr="00573CB5">
        <w:t xml:space="preserve">only </w:t>
      </w:r>
      <w:r w:rsidRPr="00573CB5">
        <w:rPr>
          <w:i/>
        </w:rPr>
        <w:t xml:space="preserve">de minimis </w:t>
      </w:r>
      <w:r w:rsidRPr="00573CB5">
        <w:t xml:space="preserve">value to the overall bundle of spectral and financial benefits that Sprint was contributing.  </w:t>
      </w:r>
      <w:r w:rsidRPr="00573CB5">
        <w:rPr>
          <w:i/>
        </w:rPr>
        <w:t>800 MHz Report and Order</w:t>
      </w:r>
      <w:r w:rsidRPr="00573CB5">
        <w:t>, 19 FCC Rcd at 15121, para. 324.</w:t>
      </w:r>
    </w:p>
  </w:footnote>
  <w:footnote w:id="14">
    <w:p w:rsidR="00751414" w:rsidRPr="00573CB5" w:rsidRDefault="00751414" w:rsidP="00751414">
      <w:pPr>
        <w:pStyle w:val="FootnoteText"/>
      </w:pPr>
      <w:r w:rsidRPr="00573CB5">
        <w:rPr>
          <w:rStyle w:val="FootnoteReference"/>
        </w:rPr>
        <w:footnoteRef/>
      </w:r>
      <w:r w:rsidRPr="00573CB5">
        <w:t xml:space="preserve"> </w:t>
      </w:r>
      <w:r w:rsidRPr="00573CB5">
        <w:rPr>
          <w:i/>
        </w:rPr>
        <w:t>800 MHz Report and Order</w:t>
      </w:r>
      <w:r w:rsidRPr="00573CB5">
        <w:t>, 19 FCC Rcd at 15124, para. 329</w:t>
      </w:r>
      <w:r w:rsidR="00677945" w:rsidRPr="00573CB5">
        <w:t>;</w:t>
      </w:r>
      <w:r w:rsidRPr="00573CB5">
        <w:t xml:space="preserve"> </w:t>
      </w:r>
      <w:r w:rsidRPr="00573CB5">
        <w:rPr>
          <w:i/>
        </w:rPr>
        <w:t>Modification Order,</w:t>
      </w:r>
      <w:r w:rsidRPr="00573CB5">
        <w:t xml:space="preserve"> 29 FCC Rcd at 11553, para. 16 n.37.  </w:t>
      </w:r>
    </w:p>
  </w:footnote>
  <w:footnote w:id="15">
    <w:p w:rsidR="006D5033" w:rsidRPr="00573CB5" w:rsidRDefault="006D5033">
      <w:pPr>
        <w:pStyle w:val="FootnoteText"/>
      </w:pPr>
      <w:r w:rsidRPr="00573CB5">
        <w:rPr>
          <w:rStyle w:val="FootnoteReference"/>
        </w:rPr>
        <w:footnoteRef/>
      </w:r>
      <w:r w:rsidR="00B478E4">
        <w:t xml:space="preserve"> </w:t>
      </w:r>
      <w:r w:rsidRPr="00573CB5">
        <w:rPr>
          <w:i/>
        </w:rPr>
        <w:t>Id.</w:t>
      </w:r>
      <w:r w:rsidR="00677945" w:rsidRPr="00573CB5">
        <w:rPr>
          <w:i/>
        </w:rPr>
        <w:t xml:space="preserve"> </w:t>
      </w:r>
      <w:r w:rsidR="00677945" w:rsidRPr="00573CB5">
        <w:t>at</w:t>
      </w:r>
      <w:r w:rsidR="00751414" w:rsidRPr="00573CB5">
        <w:rPr>
          <w:i/>
        </w:rPr>
        <w:t xml:space="preserve"> </w:t>
      </w:r>
      <w:r w:rsidR="00751414" w:rsidRPr="00573CB5">
        <w:t>paras. 329-330.</w:t>
      </w:r>
    </w:p>
  </w:footnote>
  <w:footnote w:id="16">
    <w:p w:rsidR="006D5033" w:rsidRPr="00573CB5" w:rsidRDefault="006D5033">
      <w:pPr>
        <w:pStyle w:val="FootnoteText"/>
      </w:pPr>
      <w:r w:rsidRPr="00573CB5">
        <w:rPr>
          <w:rStyle w:val="FootnoteReference"/>
        </w:rPr>
        <w:footnoteRef/>
      </w:r>
      <w:r w:rsidRPr="00573CB5">
        <w:t xml:space="preserve"> </w:t>
      </w:r>
      <w:r w:rsidRPr="00573CB5">
        <w:rPr>
          <w:i/>
        </w:rPr>
        <w:t>800 MHz Report and Order,</w:t>
      </w:r>
      <w:r w:rsidRPr="00573CB5">
        <w:t xml:space="preserve"> 19 FCC Rcd at </w:t>
      </w:r>
      <w:r w:rsidR="00474A59" w:rsidRPr="00573CB5">
        <w:t>151</w:t>
      </w:r>
      <w:r w:rsidR="00A356F2" w:rsidRPr="00573CB5">
        <w:t xml:space="preserve">24, paras. </w:t>
      </w:r>
      <w:r w:rsidR="00474A59" w:rsidRPr="00573CB5">
        <w:t>329-</w:t>
      </w:r>
      <w:r w:rsidR="00275A77">
        <w:t>3</w:t>
      </w:r>
      <w:r w:rsidR="00A356F2" w:rsidRPr="00573CB5">
        <w:t>30</w:t>
      </w:r>
      <w:r w:rsidRPr="00573CB5">
        <w:t>.</w:t>
      </w:r>
    </w:p>
  </w:footnote>
  <w:footnote w:id="17">
    <w:p w:rsidR="006D5033" w:rsidRPr="00573CB5" w:rsidRDefault="006D5033">
      <w:pPr>
        <w:pStyle w:val="FootnoteText"/>
      </w:pPr>
      <w:r w:rsidRPr="00573CB5">
        <w:rPr>
          <w:rStyle w:val="FootnoteReference"/>
        </w:rPr>
        <w:footnoteRef/>
      </w:r>
      <w:r w:rsidRPr="00573CB5">
        <w:t xml:space="preserve"> Sprint Nextel Corporation Petition for a Declaratory Ruling, filed Jan. 22, 2013</w:t>
      </w:r>
      <w:r w:rsidR="00FC7446" w:rsidRPr="00573CB5">
        <w:t xml:space="preserve"> (Sprint Petition)</w:t>
      </w:r>
      <w:r w:rsidRPr="00573CB5">
        <w:t xml:space="preserve">. The petition also asked the Commission </w:t>
      </w:r>
      <w:r w:rsidR="00FC7446" w:rsidRPr="00573CB5">
        <w:t xml:space="preserve">to </w:t>
      </w:r>
      <w:r w:rsidRPr="00573CB5">
        <w:t xml:space="preserve">remove a provision in the </w:t>
      </w:r>
      <w:r w:rsidRPr="00573CB5">
        <w:rPr>
          <w:i/>
        </w:rPr>
        <w:t>800 MHz Report and Order</w:t>
      </w:r>
      <w:r w:rsidRPr="00573CB5">
        <w:t xml:space="preserve"> that required Sprint to maintain a</w:t>
      </w:r>
      <w:r w:rsidR="00701685" w:rsidRPr="00573CB5">
        <w:t>n</w:t>
      </w:r>
      <w:r w:rsidRPr="00573CB5">
        <w:t xml:space="preserve"> $850 million minimum balance in the letter of credit that secured Sprint’s performance, and to reduce the balance to $457 million. The Commission granted that request. </w:t>
      </w:r>
      <w:r w:rsidRPr="00573CB5">
        <w:rPr>
          <w:i/>
        </w:rPr>
        <w:t xml:space="preserve">Modification Order, </w:t>
      </w:r>
      <w:r w:rsidRPr="00573CB5">
        <w:t>29 FCC Rcd at 11557, para. 25.</w:t>
      </w:r>
    </w:p>
  </w:footnote>
  <w:footnote w:id="18">
    <w:p w:rsidR="00FC7446" w:rsidRPr="00573CB5" w:rsidRDefault="00FC7446">
      <w:pPr>
        <w:pStyle w:val="FootnoteText"/>
      </w:pPr>
      <w:r w:rsidRPr="00573CB5">
        <w:rPr>
          <w:rStyle w:val="FootnoteReference"/>
        </w:rPr>
        <w:footnoteRef/>
      </w:r>
      <w:r w:rsidRPr="00573CB5">
        <w:t xml:space="preserve"> Sprint Petition at </w:t>
      </w:r>
      <w:r w:rsidR="00CC2221">
        <w:t xml:space="preserve">3, </w:t>
      </w:r>
      <w:r w:rsidR="00B478E4">
        <w:t>Appendix A.</w:t>
      </w:r>
    </w:p>
  </w:footnote>
  <w:footnote w:id="19">
    <w:p w:rsidR="006D5033" w:rsidRPr="00573CB5" w:rsidRDefault="006D5033">
      <w:pPr>
        <w:pStyle w:val="FootnoteText"/>
      </w:pPr>
      <w:r w:rsidRPr="00573CB5">
        <w:rPr>
          <w:rStyle w:val="FootnoteReference"/>
        </w:rPr>
        <w:footnoteRef/>
      </w:r>
      <w:r w:rsidRPr="00573CB5">
        <w:t xml:space="preserve"> </w:t>
      </w:r>
      <w:r w:rsidRPr="00573CB5">
        <w:rPr>
          <w:i/>
        </w:rPr>
        <w:t>Modification Order</w:t>
      </w:r>
      <w:r w:rsidRPr="00573CB5">
        <w:t>, 29 FCC Rcd at 11554-55 para. 17.</w:t>
      </w:r>
    </w:p>
  </w:footnote>
  <w:footnote w:id="20">
    <w:p w:rsidR="006D5033" w:rsidRPr="00573CB5" w:rsidRDefault="006D5033">
      <w:pPr>
        <w:pStyle w:val="FootnoteText"/>
      </w:pPr>
      <w:r w:rsidRPr="00573CB5">
        <w:rPr>
          <w:rStyle w:val="FootnoteReference"/>
        </w:rPr>
        <w:footnoteRef/>
      </w:r>
      <w:r w:rsidRPr="00573CB5">
        <w:t xml:space="preserve"> </w:t>
      </w:r>
      <w:r w:rsidRPr="00573CB5">
        <w:rPr>
          <w:i/>
        </w:rPr>
        <w:t xml:space="preserve">Id. </w:t>
      </w:r>
      <w:r w:rsidRPr="00573CB5">
        <w:t>at 11555, para. 18.</w:t>
      </w:r>
    </w:p>
  </w:footnote>
  <w:footnote w:id="21">
    <w:p w:rsidR="009931B3" w:rsidRPr="00573CB5" w:rsidRDefault="009931B3">
      <w:pPr>
        <w:pStyle w:val="FootnoteText"/>
      </w:pPr>
      <w:r w:rsidRPr="00573CB5">
        <w:rPr>
          <w:rStyle w:val="FootnoteReference"/>
        </w:rPr>
        <w:footnoteRef/>
      </w:r>
      <w:r w:rsidRPr="00573CB5">
        <w:t xml:space="preserve"> </w:t>
      </w:r>
      <w:r w:rsidR="00924FD9" w:rsidRPr="00573CB5">
        <w:rPr>
          <w:i/>
        </w:rPr>
        <w:t xml:space="preserve">Id. </w:t>
      </w:r>
      <w:r w:rsidR="00924FD9" w:rsidRPr="00573CB5">
        <w:t>at 11555, para. 17.</w:t>
      </w:r>
      <w:r w:rsidR="003C10F2" w:rsidRPr="00573CB5">
        <w:t xml:space="preserve"> </w:t>
      </w:r>
    </w:p>
  </w:footnote>
  <w:footnote w:id="22">
    <w:p w:rsidR="006D5033" w:rsidRPr="00573CB5" w:rsidRDefault="006D5033" w:rsidP="00D17E91">
      <w:pPr>
        <w:pStyle w:val="FootnoteText"/>
      </w:pPr>
      <w:r w:rsidRPr="00573CB5">
        <w:rPr>
          <w:rStyle w:val="FootnoteReference"/>
        </w:rPr>
        <w:footnoteRef/>
      </w:r>
      <w:r w:rsidRPr="00573CB5">
        <w:t xml:space="preserve"> </w:t>
      </w:r>
      <w:r w:rsidRPr="00573CB5">
        <w:rPr>
          <w:i/>
        </w:rPr>
        <w:t>Id.</w:t>
      </w:r>
      <w:r w:rsidRPr="00573CB5">
        <w:t xml:space="preserve"> at 11557, para. 23</w:t>
      </w:r>
      <w:r w:rsidR="00924FD9" w:rsidRPr="00573CB5">
        <w:t xml:space="preserve">. The Commission </w:t>
      </w:r>
      <w:r w:rsidR="003C10F2" w:rsidRPr="00573CB5">
        <w:t xml:space="preserve">stated that for Sprint to demonstrate that it had exceeded the $2.8 billion threshold, it would need </w:t>
      </w:r>
      <w:r w:rsidRPr="00573CB5">
        <w:t xml:space="preserve">to </w:t>
      </w:r>
      <w:r w:rsidR="003C10F2" w:rsidRPr="00573CB5">
        <w:t xml:space="preserve">document </w:t>
      </w:r>
      <w:r w:rsidRPr="00573CB5">
        <w:t xml:space="preserve">$1.143 billion in </w:t>
      </w:r>
      <w:r w:rsidR="003C10F2" w:rsidRPr="00573CB5">
        <w:t xml:space="preserve">additional </w:t>
      </w:r>
      <w:r w:rsidRPr="00573CB5">
        <w:t>creditable expenses</w:t>
      </w:r>
      <w:r w:rsidR="003C10F2" w:rsidRPr="00573CB5">
        <w:t xml:space="preserve"> beyond t</w:t>
      </w:r>
      <w:r w:rsidRPr="00573CB5">
        <w:t xml:space="preserve">he $ 1.657 billion in documented creditable expenses Sprint had submitted as of the date of the </w:t>
      </w:r>
      <w:r w:rsidRPr="00573CB5">
        <w:rPr>
          <w:i/>
        </w:rPr>
        <w:t>Modification Order</w:t>
      </w:r>
      <w:r w:rsidRPr="00573CB5">
        <w:t xml:space="preserve">.  </w:t>
      </w:r>
    </w:p>
  </w:footnote>
  <w:footnote w:id="23">
    <w:p w:rsidR="005C01F8" w:rsidRPr="00573CB5" w:rsidRDefault="005C01F8">
      <w:pPr>
        <w:pStyle w:val="FootnoteText"/>
        <w:rPr>
          <w:i/>
        </w:rPr>
      </w:pPr>
      <w:r w:rsidRPr="00573CB5">
        <w:rPr>
          <w:rStyle w:val="FootnoteReference"/>
        </w:rPr>
        <w:footnoteRef/>
      </w:r>
      <w:r w:rsidRPr="00573CB5">
        <w:t xml:space="preserve"> </w:t>
      </w:r>
      <w:r w:rsidR="003C10F2" w:rsidRPr="00573CB5">
        <w:rPr>
          <w:i/>
        </w:rPr>
        <w:t>Id.</w:t>
      </w:r>
    </w:p>
  </w:footnote>
  <w:footnote w:id="24">
    <w:p w:rsidR="00FC7446" w:rsidRPr="00573CB5" w:rsidRDefault="00FC7446">
      <w:pPr>
        <w:pStyle w:val="FootnoteText"/>
      </w:pPr>
      <w:r w:rsidRPr="00573CB5">
        <w:rPr>
          <w:rStyle w:val="FootnoteReference"/>
        </w:rPr>
        <w:footnoteRef/>
      </w:r>
      <w:r w:rsidRPr="00573CB5">
        <w:t xml:space="preserve"> </w:t>
      </w:r>
      <w:r w:rsidR="00CB660F" w:rsidRPr="00573CB5">
        <w:t xml:space="preserve">800 MHz Transition Administrator:  </w:t>
      </w:r>
      <w:r w:rsidR="007E19DD" w:rsidRPr="00573CB5">
        <w:t xml:space="preserve">800 MHz Statement of </w:t>
      </w:r>
      <w:r w:rsidR="00CB660F" w:rsidRPr="00573CB5">
        <w:t>Program Expenditures</w:t>
      </w:r>
      <w:r w:rsidR="007E19DD" w:rsidRPr="00573CB5">
        <w:t xml:space="preserve"> for the Year Ended December 31, 2016 and for the Period from August 6, 2004 (Inception) Through </w:t>
      </w:r>
      <w:r w:rsidR="00CB660F" w:rsidRPr="00573CB5">
        <w:t>Dec</w:t>
      </w:r>
      <w:r w:rsidR="007E19DD" w:rsidRPr="00573CB5">
        <w:t xml:space="preserve">ember </w:t>
      </w:r>
      <w:r w:rsidR="00CB660F" w:rsidRPr="00573CB5">
        <w:t>31, 2016</w:t>
      </w:r>
      <w:r w:rsidR="007E19DD" w:rsidRPr="00573CB5">
        <w:t xml:space="preserve">, filed June 2, 2007, at </w:t>
      </w:r>
      <w:r w:rsidR="00DB0A69" w:rsidRPr="00573CB5">
        <w:t xml:space="preserve">11, </w:t>
      </w:r>
      <w:r w:rsidR="007E19DD" w:rsidRPr="00573CB5">
        <w:t xml:space="preserve">17 </w:t>
      </w:r>
      <w:r w:rsidR="00CB660F" w:rsidRPr="00573CB5">
        <w:t xml:space="preserve">(2016 Financial Statement).  </w:t>
      </w:r>
      <w:r w:rsidR="00416D6F" w:rsidRPr="00573CB5">
        <w:t>The TA stated that the 2016 Financial Statement</w:t>
      </w:r>
      <w:r w:rsidR="00127318" w:rsidRPr="00573CB5">
        <w:t xml:space="preserve">, which includes an independent audit of Sprint’s </w:t>
      </w:r>
      <w:r w:rsidR="00407EA5" w:rsidRPr="00573CB5">
        <w:t xml:space="preserve">800 MHz rebanding </w:t>
      </w:r>
      <w:r w:rsidR="00127318" w:rsidRPr="00573CB5">
        <w:t xml:space="preserve">expenses, is intended </w:t>
      </w:r>
      <w:r w:rsidR="00416D6F" w:rsidRPr="00573CB5">
        <w:t xml:space="preserve">to serve as the </w:t>
      </w:r>
      <w:r w:rsidR="00674571" w:rsidRPr="00573CB5">
        <w:t>tr</w:t>
      </w:r>
      <w:r w:rsidR="00416D6F" w:rsidRPr="00573CB5">
        <w:t xml:space="preserve">ue-up report called for by the </w:t>
      </w:r>
      <w:r w:rsidR="00416D6F" w:rsidRPr="00573CB5">
        <w:rPr>
          <w:i/>
        </w:rPr>
        <w:t xml:space="preserve">Modification Order.  Id. </w:t>
      </w:r>
      <w:r w:rsidR="00416D6F" w:rsidRPr="00573CB5">
        <w:t xml:space="preserve">at 4.  </w:t>
      </w:r>
      <w:r w:rsidR="00416D6F" w:rsidRPr="00573CB5">
        <w:rPr>
          <w:i/>
        </w:rPr>
        <w:t xml:space="preserve"> </w:t>
      </w:r>
    </w:p>
  </w:footnote>
  <w:footnote w:id="25">
    <w:p w:rsidR="006D5033" w:rsidRPr="00573CB5" w:rsidRDefault="006D5033">
      <w:pPr>
        <w:pStyle w:val="FootnoteText"/>
      </w:pPr>
      <w:r w:rsidRPr="00573CB5">
        <w:rPr>
          <w:rStyle w:val="FootnoteReference"/>
        </w:rPr>
        <w:footnoteRef/>
      </w:r>
      <w:r w:rsidRPr="00573CB5">
        <w:t xml:space="preserve"> </w:t>
      </w:r>
      <w:r w:rsidRPr="00573CB5">
        <w:rPr>
          <w:i/>
        </w:rPr>
        <w:t>800 MHz Report and Order,</w:t>
      </w:r>
      <w:r w:rsidRPr="00573CB5">
        <w:t xml:space="preserve"> 19 FCC Rcd at 14987, para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A6" w:rsidRDefault="00C175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33" w:rsidRDefault="006D5033" w:rsidP="00810B6F">
    <w:pPr>
      <w:pStyle w:val="Header"/>
      <w:rPr>
        <w:b w:val="0"/>
      </w:rPr>
    </w:pPr>
    <w:r>
      <w:tab/>
      <w:t>Federal Communications Commission</w:t>
    </w:r>
    <w:r>
      <w:tab/>
    </w:r>
    <w:r w:rsidR="00573CB5">
      <w:t>DA 17-1004</w:t>
    </w:r>
  </w:p>
  <w:p w:rsidR="006D5033" w:rsidRDefault="006D5033">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900EE3B" wp14:editId="33C03D9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82412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6D5033" w:rsidRDefault="006D503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33" w:rsidRDefault="006D5033" w:rsidP="00810B6F">
    <w:pPr>
      <w:pStyle w:val="Header"/>
      <w:rPr>
        <w:b w:val="0"/>
      </w:rPr>
    </w:pPr>
    <w:r>
      <w:rPr>
        <w:noProof/>
      </w:rPr>
      <mc:AlternateContent>
        <mc:Choice Requires="wps">
          <w:drawing>
            <wp:anchor distT="0" distB="0" distL="114300" distR="114300" simplePos="0" relativeHeight="251658240" behindDoc="1" locked="0" layoutInCell="0" allowOverlap="1" wp14:anchorId="710813A2" wp14:editId="5DE6341F">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D8FD24"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573CB5">
      <w:t>DA 17-1004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58"/>
    <w:rsid w:val="000111DB"/>
    <w:rsid w:val="00012CF4"/>
    <w:rsid w:val="00012EE9"/>
    <w:rsid w:val="000213CC"/>
    <w:rsid w:val="00036039"/>
    <w:rsid w:val="00036CC4"/>
    <w:rsid w:val="00037F90"/>
    <w:rsid w:val="00042C6A"/>
    <w:rsid w:val="00051172"/>
    <w:rsid w:val="00081B92"/>
    <w:rsid w:val="000875BF"/>
    <w:rsid w:val="00094210"/>
    <w:rsid w:val="000967CB"/>
    <w:rsid w:val="000967F2"/>
    <w:rsid w:val="00096D8C"/>
    <w:rsid w:val="000A7F4A"/>
    <w:rsid w:val="000C0B65"/>
    <w:rsid w:val="000C7547"/>
    <w:rsid w:val="000D1081"/>
    <w:rsid w:val="000D1B03"/>
    <w:rsid w:val="000D3FA8"/>
    <w:rsid w:val="000D6B1B"/>
    <w:rsid w:val="000E05FE"/>
    <w:rsid w:val="000E117D"/>
    <w:rsid w:val="000E3D42"/>
    <w:rsid w:val="000F0269"/>
    <w:rsid w:val="000F084F"/>
    <w:rsid w:val="000F79A0"/>
    <w:rsid w:val="001018C8"/>
    <w:rsid w:val="00115886"/>
    <w:rsid w:val="00122BD5"/>
    <w:rsid w:val="00126277"/>
    <w:rsid w:val="00127318"/>
    <w:rsid w:val="00133F79"/>
    <w:rsid w:val="00160967"/>
    <w:rsid w:val="0016378C"/>
    <w:rsid w:val="00166C9D"/>
    <w:rsid w:val="00171751"/>
    <w:rsid w:val="001736B9"/>
    <w:rsid w:val="00194A66"/>
    <w:rsid w:val="001C0C82"/>
    <w:rsid w:val="001C1BAA"/>
    <w:rsid w:val="001C5DD2"/>
    <w:rsid w:val="001D6BCF"/>
    <w:rsid w:val="001E01CA"/>
    <w:rsid w:val="001E0561"/>
    <w:rsid w:val="001E2977"/>
    <w:rsid w:val="002013D6"/>
    <w:rsid w:val="00210D38"/>
    <w:rsid w:val="0024357B"/>
    <w:rsid w:val="002629BA"/>
    <w:rsid w:val="0026667F"/>
    <w:rsid w:val="00275A77"/>
    <w:rsid w:val="00275CF5"/>
    <w:rsid w:val="0028301F"/>
    <w:rsid w:val="00285017"/>
    <w:rsid w:val="002A05F2"/>
    <w:rsid w:val="002A2D2E"/>
    <w:rsid w:val="002C00E8"/>
    <w:rsid w:val="002C7CB6"/>
    <w:rsid w:val="002D646F"/>
    <w:rsid w:val="002E7DAA"/>
    <w:rsid w:val="002F3054"/>
    <w:rsid w:val="002F3F1C"/>
    <w:rsid w:val="003046E4"/>
    <w:rsid w:val="00307736"/>
    <w:rsid w:val="00307953"/>
    <w:rsid w:val="0033113F"/>
    <w:rsid w:val="0033116E"/>
    <w:rsid w:val="003319B1"/>
    <w:rsid w:val="00343749"/>
    <w:rsid w:val="003440AC"/>
    <w:rsid w:val="00351661"/>
    <w:rsid w:val="0035326E"/>
    <w:rsid w:val="00361CD0"/>
    <w:rsid w:val="00363E92"/>
    <w:rsid w:val="003660ED"/>
    <w:rsid w:val="00384C53"/>
    <w:rsid w:val="003A322B"/>
    <w:rsid w:val="003A6F41"/>
    <w:rsid w:val="003B0550"/>
    <w:rsid w:val="003B694F"/>
    <w:rsid w:val="003C10F2"/>
    <w:rsid w:val="003C5811"/>
    <w:rsid w:val="003C6A32"/>
    <w:rsid w:val="003D72E4"/>
    <w:rsid w:val="003E415D"/>
    <w:rsid w:val="003E703C"/>
    <w:rsid w:val="003F171C"/>
    <w:rsid w:val="003F5D69"/>
    <w:rsid w:val="00403AC8"/>
    <w:rsid w:val="00407EA5"/>
    <w:rsid w:val="00411601"/>
    <w:rsid w:val="00412FC5"/>
    <w:rsid w:val="00416D6F"/>
    <w:rsid w:val="00417EF7"/>
    <w:rsid w:val="00422276"/>
    <w:rsid w:val="004242F1"/>
    <w:rsid w:val="00445A00"/>
    <w:rsid w:val="004518A3"/>
    <w:rsid w:val="00451B0F"/>
    <w:rsid w:val="00452795"/>
    <w:rsid w:val="00457B95"/>
    <w:rsid w:val="004652F9"/>
    <w:rsid w:val="0047086B"/>
    <w:rsid w:val="00474A59"/>
    <w:rsid w:val="0049492F"/>
    <w:rsid w:val="0049618C"/>
    <w:rsid w:val="004B0E3C"/>
    <w:rsid w:val="004C2EE3"/>
    <w:rsid w:val="004E4A22"/>
    <w:rsid w:val="004E5C3F"/>
    <w:rsid w:val="004E5F0A"/>
    <w:rsid w:val="004F33F5"/>
    <w:rsid w:val="00511968"/>
    <w:rsid w:val="0052286F"/>
    <w:rsid w:val="00531996"/>
    <w:rsid w:val="00533C93"/>
    <w:rsid w:val="005368E2"/>
    <w:rsid w:val="00537083"/>
    <w:rsid w:val="0055614C"/>
    <w:rsid w:val="00556F6F"/>
    <w:rsid w:val="00561D2E"/>
    <w:rsid w:val="00564BF6"/>
    <w:rsid w:val="00570443"/>
    <w:rsid w:val="00573CB5"/>
    <w:rsid w:val="005A0373"/>
    <w:rsid w:val="005A2123"/>
    <w:rsid w:val="005B0397"/>
    <w:rsid w:val="005B4CDC"/>
    <w:rsid w:val="005B7F43"/>
    <w:rsid w:val="005C01F8"/>
    <w:rsid w:val="005D40AC"/>
    <w:rsid w:val="005D6E65"/>
    <w:rsid w:val="005E14C2"/>
    <w:rsid w:val="00607BA5"/>
    <w:rsid w:val="0061180A"/>
    <w:rsid w:val="00616B3A"/>
    <w:rsid w:val="00626EB6"/>
    <w:rsid w:val="00630E86"/>
    <w:rsid w:val="00651CCF"/>
    <w:rsid w:val="00652901"/>
    <w:rsid w:val="00654457"/>
    <w:rsid w:val="00655D03"/>
    <w:rsid w:val="00665666"/>
    <w:rsid w:val="00667AA4"/>
    <w:rsid w:val="00670852"/>
    <w:rsid w:val="00672A89"/>
    <w:rsid w:val="00674571"/>
    <w:rsid w:val="006746AE"/>
    <w:rsid w:val="00675C82"/>
    <w:rsid w:val="00676D2E"/>
    <w:rsid w:val="00677945"/>
    <w:rsid w:val="00683388"/>
    <w:rsid w:val="00683F84"/>
    <w:rsid w:val="006A6A81"/>
    <w:rsid w:val="006D5033"/>
    <w:rsid w:val="006D590E"/>
    <w:rsid w:val="006E02EA"/>
    <w:rsid w:val="006E6696"/>
    <w:rsid w:val="006F7228"/>
    <w:rsid w:val="006F7393"/>
    <w:rsid w:val="00701685"/>
    <w:rsid w:val="0070224F"/>
    <w:rsid w:val="00704980"/>
    <w:rsid w:val="00706819"/>
    <w:rsid w:val="007115F7"/>
    <w:rsid w:val="00751414"/>
    <w:rsid w:val="00754BA9"/>
    <w:rsid w:val="00761C05"/>
    <w:rsid w:val="007646DE"/>
    <w:rsid w:val="00772DCB"/>
    <w:rsid w:val="00774529"/>
    <w:rsid w:val="00775632"/>
    <w:rsid w:val="007759A2"/>
    <w:rsid w:val="0078403C"/>
    <w:rsid w:val="00785689"/>
    <w:rsid w:val="0079754B"/>
    <w:rsid w:val="007A1E6D"/>
    <w:rsid w:val="007A46C2"/>
    <w:rsid w:val="007A6EC8"/>
    <w:rsid w:val="007B0EB2"/>
    <w:rsid w:val="007C5528"/>
    <w:rsid w:val="007E19DD"/>
    <w:rsid w:val="007E55C7"/>
    <w:rsid w:val="00810B6F"/>
    <w:rsid w:val="0081746B"/>
    <w:rsid w:val="00822CE0"/>
    <w:rsid w:val="008402F3"/>
    <w:rsid w:val="00841AB1"/>
    <w:rsid w:val="00867DD7"/>
    <w:rsid w:val="00872081"/>
    <w:rsid w:val="008861B1"/>
    <w:rsid w:val="008A685B"/>
    <w:rsid w:val="008A6AC1"/>
    <w:rsid w:val="008B2EC6"/>
    <w:rsid w:val="008C35FB"/>
    <w:rsid w:val="008C68F1"/>
    <w:rsid w:val="00921803"/>
    <w:rsid w:val="00924FD9"/>
    <w:rsid w:val="00925D15"/>
    <w:rsid w:val="00926503"/>
    <w:rsid w:val="00934B0A"/>
    <w:rsid w:val="00935201"/>
    <w:rsid w:val="00944F46"/>
    <w:rsid w:val="00971FEA"/>
    <w:rsid w:val="009726D8"/>
    <w:rsid w:val="00973FF8"/>
    <w:rsid w:val="009767C8"/>
    <w:rsid w:val="009876B4"/>
    <w:rsid w:val="009920BA"/>
    <w:rsid w:val="009931B3"/>
    <w:rsid w:val="009A7ED6"/>
    <w:rsid w:val="009A7F05"/>
    <w:rsid w:val="009F76DB"/>
    <w:rsid w:val="00A039A3"/>
    <w:rsid w:val="00A21747"/>
    <w:rsid w:val="00A259F5"/>
    <w:rsid w:val="00A32C3B"/>
    <w:rsid w:val="00A356F2"/>
    <w:rsid w:val="00A40C97"/>
    <w:rsid w:val="00A45F4F"/>
    <w:rsid w:val="00A51936"/>
    <w:rsid w:val="00A600A9"/>
    <w:rsid w:val="00A67B6A"/>
    <w:rsid w:val="00A72CCB"/>
    <w:rsid w:val="00A8695B"/>
    <w:rsid w:val="00A90C0E"/>
    <w:rsid w:val="00A95428"/>
    <w:rsid w:val="00AA55B7"/>
    <w:rsid w:val="00AA5B9E"/>
    <w:rsid w:val="00AA6C0A"/>
    <w:rsid w:val="00AB2005"/>
    <w:rsid w:val="00AB2407"/>
    <w:rsid w:val="00AB53DF"/>
    <w:rsid w:val="00AB58A9"/>
    <w:rsid w:val="00AE1DF6"/>
    <w:rsid w:val="00AE2266"/>
    <w:rsid w:val="00AE2388"/>
    <w:rsid w:val="00AF1CEA"/>
    <w:rsid w:val="00AF7C40"/>
    <w:rsid w:val="00B07E5C"/>
    <w:rsid w:val="00B30E9D"/>
    <w:rsid w:val="00B43AEB"/>
    <w:rsid w:val="00B45567"/>
    <w:rsid w:val="00B466BC"/>
    <w:rsid w:val="00B478E4"/>
    <w:rsid w:val="00B60858"/>
    <w:rsid w:val="00B60B49"/>
    <w:rsid w:val="00B811F7"/>
    <w:rsid w:val="00B96845"/>
    <w:rsid w:val="00B97AA7"/>
    <w:rsid w:val="00BA5DC6"/>
    <w:rsid w:val="00BA6196"/>
    <w:rsid w:val="00BC6D8C"/>
    <w:rsid w:val="00BE0BCD"/>
    <w:rsid w:val="00C10A7A"/>
    <w:rsid w:val="00C1548A"/>
    <w:rsid w:val="00C175A6"/>
    <w:rsid w:val="00C34006"/>
    <w:rsid w:val="00C426B1"/>
    <w:rsid w:val="00C42B0C"/>
    <w:rsid w:val="00C4787B"/>
    <w:rsid w:val="00C631A1"/>
    <w:rsid w:val="00C66160"/>
    <w:rsid w:val="00C70EEE"/>
    <w:rsid w:val="00C721AC"/>
    <w:rsid w:val="00C90D6A"/>
    <w:rsid w:val="00CA247E"/>
    <w:rsid w:val="00CB36B3"/>
    <w:rsid w:val="00CB660F"/>
    <w:rsid w:val="00CC2221"/>
    <w:rsid w:val="00CC487E"/>
    <w:rsid w:val="00CC72B6"/>
    <w:rsid w:val="00CC7DFD"/>
    <w:rsid w:val="00CD4744"/>
    <w:rsid w:val="00CD6EE7"/>
    <w:rsid w:val="00D0218D"/>
    <w:rsid w:val="00D17E91"/>
    <w:rsid w:val="00D25FB5"/>
    <w:rsid w:val="00D44223"/>
    <w:rsid w:val="00D462F7"/>
    <w:rsid w:val="00D56575"/>
    <w:rsid w:val="00D5683F"/>
    <w:rsid w:val="00D71856"/>
    <w:rsid w:val="00D7347D"/>
    <w:rsid w:val="00D75E14"/>
    <w:rsid w:val="00D85076"/>
    <w:rsid w:val="00D92157"/>
    <w:rsid w:val="00D971A4"/>
    <w:rsid w:val="00DA2529"/>
    <w:rsid w:val="00DB0A69"/>
    <w:rsid w:val="00DB130A"/>
    <w:rsid w:val="00DB1B06"/>
    <w:rsid w:val="00DB2EBB"/>
    <w:rsid w:val="00DB3B8A"/>
    <w:rsid w:val="00DC10A1"/>
    <w:rsid w:val="00DC1143"/>
    <w:rsid w:val="00DC36FF"/>
    <w:rsid w:val="00DC655F"/>
    <w:rsid w:val="00DD0B59"/>
    <w:rsid w:val="00DD7EBD"/>
    <w:rsid w:val="00DF62B6"/>
    <w:rsid w:val="00DF7507"/>
    <w:rsid w:val="00E07225"/>
    <w:rsid w:val="00E13DBC"/>
    <w:rsid w:val="00E15AE5"/>
    <w:rsid w:val="00E208AF"/>
    <w:rsid w:val="00E21B16"/>
    <w:rsid w:val="00E346F7"/>
    <w:rsid w:val="00E36792"/>
    <w:rsid w:val="00E4178D"/>
    <w:rsid w:val="00E538E9"/>
    <w:rsid w:val="00E5409F"/>
    <w:rsid w:val="00E733E3"/>
    <w:rsid w:val="00E751AD"/>
    <w:rsid w:val="00E827A4"/>
    <w:rsid w:val="00EA1AE8"/>
    <w:rsid w:val="00EC3A23"/>
    <w:rsid w:val="00EC4BBC"/>
    <w:rsid w:val="00EE6488"/>
    <w:rsid w:val="00EE733F"/>
    <w:rsid w:val="00EE7FD6"/>
    <w:rsid w:val="00EF3086"/>
    <w:rsid w:val="00EF35B6"/>
    <w:rsid w:val="00EF5D73"/>
    <w:rsid w:val="00F021FA"/>
    <w:rsid w:val="00F02A90"/>
    <w:rsid w:val="00F041D4"/>
    <w:rsid w:val="00F07B64"/>
    <w:rsid w:val="00F131BC"/>
    <w:rsid w:val="00F200D1"/>
    <w:rsid w:val="00F23765"/>
    <w:rsid w:val="00F2530D"/>
    <w:rsid w:val="00F44C4A"/>
    <w:rsid w:val="00F46A57"/>
    <w:rsid w:val="00F545D1"/>
    <w:rsid w:val="00F62E97"/>
    <w:rsid w:val="00F630DD"/>
    <w:rsid w:val="00F64209"/>
    <w:rsid w:val="00F70CCA"/>
    <w:rsid w:val="00F8069C"/>
    <w:rsid w:val="00F82928"/>
    <w:rsid w:val="00F871A1"/>
    <w:rsid w:val="00F93BF5"/>
    <w:rsid w:val="00F96238"/>
    <w:rsid w:val="00FA0F9B"/>
    <w:rsid w:val="00FB592F"/>
    <w:rsid w:val="00FC25B7"/>
    <w:rsid w:val="00FC7446"/>
    <w:rsid w:val="00FD394B"/>
    <w:rsid w:val="00FF0D49"/>
    <w:rsid w:val="00FF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basedOn w:val="DefaultParagraphFont"/>
    <w:link w:val="Footer"/>
    <w:uiPriority w:val="99"/>
    <w:rsid w:val="006D590E"/>
    <w:rPr>
      <w:snapToGrid w:val="0"/>
      <w:kern w:val="28"/>
      <w:sz w:val="22"/>
    </w:rPr>
  </w:style>
  <w:style w:type="character" w:styleId="CommentReference">
    <w:name w:val="annotation reference"/>
    <w:basedOn w:val="DefaultParagraphFont"/>
    <w:rsid w:val="00115886"/>
    <w:rPr>
      <w:sz w:val="16"/>
      <w:szCs w:val="16"/>
    </w:rPr>
  </w:style>
  <w:style w:type="paragraph" w:styleId="CommentText">
    <w:name w:val="annotation text"/>
    <w:basedOn w:val="Normal"/>
    <w:link w:val="CommentTextChar"/>
    <w:rsid w:val="00115886"/>
    <w:rPr>
      <w:sz w:val="20"/>
    </w:rPr>
  </w:style>
  <w:style w:type="character" w:customStyle="1" w:styleId="CommentTextChar">
    <w:name w:val="Comment Text Char"/>
    <w:basedOn w:val="DefaultParagraphFont"/>
    <w:link w:val="CommentText"/>
    <w:rsid w:val="00115886"/>
    <w:rPr>
      <w:snapToGrid w:val="0"/>
      <w:kern w:val="28"/>
    </w:rPr>
  </w:style>
  <w:style w:type="paragraph" w:styleId="CommentSubject">
    <w:name w:val="annotation subject"/>
    <w:basedOn w:val="CommentText"/>
    <w:next w:val="CommentText"/>
    <w:link w:val="CommentSubjectChar"/>
    <w:rsid w:val="00115886"/>
    <w:rPr>
      <w:b/>
      <w:bCs/>
    </w:rPr>
  </w:style>
  <w:style w:type="character" w:customStyle="1" w:styleId="CommentSubjectChar">
    <w:name w:val="Comment Subject Char"/>
    <w:basedOn w:val="CommentTextChar"/>
    <w:link w:val="CommentSubject"/>
    <w:rsid w:val="00115886"/>
    <w:rPr>
      <w:b/>
      <w:bCs/>
      <w:snapToGrid w:val="0"/>
      <w:kern w:val="28"/>
    </w:rPr>
  </w:style>
  <w:style w:type="paragraph" w:styleId="BalloonText">
    <w:name w:val="Balloon Text"/>
    <w:basedOn w:val="Normal"/>
    <w:link w:val="BalloonTextChar"/>
    <w:rsid w:val="00115886"/>
    <w:rPr>
      <w:rFonts w:ascii="Segoe UI" w:hAnsi="Segoe UI" w:cs="Segoe UI"/>
      <w:sz w:val="18"/>
      <w:szCs w:val="18"/>
    </w:rPr>
  </w:style>
  <w:style w:type="character" w:customStyle="1" w:styleId="BalloonTextChar">
    <w:name w:val="Balloon Text Char"/>
    <w:basedOn w:val="DefaultParagraphFont"/>
    <w:link w:val="BalloonText"/>
    <w:rsid w:val="00115886"/>
    <w:rPr>
      <w:rFonts w:ascii="Segoe UI" w:hAnsi="Segoe UI" w:cs="Segoe UI"/>
      <w:snapToGrid w:val="0"/>
      <w:kern w:val="28"/>
      <w:sz w:val="18"/>
      <w:szCs w:val="18"/>
    </w:rPr>
  </w:style>
  <w:style w:type="paragraph" w:styleId="Revision">
    <w:name w:val="Revision"/>
    <w:hidden/>
    <w:uiPriority w:val="99"/>
    <w:semiHidden/>
    <w:rsid w:val="00D462F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basedOn w:val="DefaultParagraphFont"/>
    <w:link w:val="Footer"/>
    <w:uiPriority w:val="99"/>
    <w:rsid w:val="006D590E"/>
    <w:rPr>
      <w:snapToGrid w:val="0"/>
      <w:kern w:val="28"/>
      <w:sz w:val="22"/>
    </w:rPr>
  </w:style>
  <w:style w:type="character" w:styleId="CommentReference">
    <w:name w:val="annotation reference"/>
    <w:basedOn w:val="DefaultParagraphFont"/>
    <w:rsid w:val="00115886"/>
    <w:rPr>
      <w:sz w:val="16"/>
      <w:szCs w:val="16"/>
    </w:rPr>
  </w:style>
  <w:style w:type="paragraph" w:styleId="CommentText">
    <w:name w:val="annotation text"/>
    <w:basedOn w:val="Normal"/>
    <w:link w:val="CommentTextChar"/>
    <w:rsid w:val="00115886"/>
    <w:rPr>
      <w:sz w:val="20"/>
    </w:rPr>
  </w:style>
  <w:style w:type="character" w:customStyle="1" w:styleId="CommentTextChar">
    <w:name w:val="Comment Text Char"/>
    <w:basedOn w:val="DefaultParagraphFont"/>
    <w:link w:val="CommentText"/>
    <w:rsid w:val="00115886"/>
    <w:rPr>
      <w:snapToGrid w:val="0"/>
      <w:kern w:val="28"/>
    </w:rPr>
  </w:style>
  <w:style w:type="paragraph" w:styleId="CommentSubject">
    <w:name w:val="annotation subject"/>
    <w:basedOn w:val="CommentText"/>
    <w:next w:val="CommentText"/>
    <w:link w:val="CommentSubjectChar"/>
    <w:rsid w:val="00115886"/>
    <w:rPr>
      <w:b/>
      <w:bCs/>
    </w:rPr>
  </w:style>
  <w:style w:type="character" w:customStyle="1" w:styleId="CommentSubjectChar">
    <w:name w:val="Comment Subject Char"/>
    <w:basedOn w:val="CommentTextChar"/>
    <w:link w:val="CommentSubject"/>
    <w:rsid w:val="00115886"/>
    <w:rPr>
      <w:b/>
      <w:bCs/>
      <w:snapToGrid w:val="0"/>
      <w:kern w:val="28"/>
    </w:rPr>
  </w:style>
  <w:style w:type="paragraph" w:styleId="BalloonText">
    <w:name w:val="Balloon Text"/>
    <w:basedOn w:val="Normal"/>
    <w:link w:val="BalloonTextChar"/>
    <w:rsid w:val="00115886"/>
    <w:rPr>
      <w:rFonts w:ascii="Segoe UI" w:hAnsi="Segoe UI" w:cs="Segoe UI"/>
      <w:sz w:val="18"/>
      <w:szCs w:val="18"/>
    </w:rPr>
  </w:style>
  <w:style w:type="character" w:customStyle="1" w:styleId="BalloonTextChar">
    <w:name w:val="Balloon Text Char"/>
    <w:basedOn w:val="DefaultParagraphFont"/>
    <w:link w:val="BalloonText"/>
    <w:rsid w:val="00115886"/>
    <w:rPr>
      <w:rFonts w:ascii="Segoe UI" w:hAnsi="Segoe UI" w:cs="Segoe UI"/>
      <w:snapToGrid w:val="0"/>
      <w:kern w:val="28"/>
      <w:sz w:val="18"/>
      <w:szCs w:val="18"/>
    </w:rPr>
  </w:style>
  <w:style w:type="paragraph" w:styleId="Revision">
    <w:name w:val="Revision"/>
    <w:hidden/>
    <w:uiPriority w:val="99"/>
    <w:semiHidden/>
    <w:rsid w:val="00D462F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7069</Characters>
  <Application>Microsoft Office Word</Application>
  <DocSecurity>0</DocSecurity>
  <Lines>120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2017-10-12T15:19:00Z</dcterms:created>
  <dcterms:modified xsi:type="dcterms:W3CDTF">2017-10-12T15:19:00Z</dcterms:modified>
  <cp:category> </cp:category>
  <cp:contentStatus> </cp:contentStatus>
</cp:coreProperties>
</file>