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150" w:rsidRPr="009614B0" w:rsidRDefault="00750150" w:rsidP="00850D55">
      <w:pPr>
        <w:ind w:left="5040"/>
        <w:jc w:val="center"/>
        <w:rPr>
          <w:b/>
          <w:szCs w:val="22"/>
        </w:rPr>
      </w:pPr>
      <w:bookmarkStart w:id="0" w:name="_GoBack"/>
      <w:bookmarkEnd w:id="0"/>
      <w:r w:rsidRPr="009614B0">
        <w:rPr>
          <w:b/>
          <w:szCs w:val="22"/>
        </w:rPr>
        <w:t>DA 1</w:t>
      </w:r>
      <w:r w:rsidR="00F41547" w:rsidRPr="009614B0">
        <w:rPr>
          <w:b/>
          <w:szCs w:val="22"/>
        </w:rPr>
        <w:t>7</w:t>
      </w:r>
      <w:r w:rsidRPr="009614B0">
        <w:rPr>
          <w:b/>
          <w:szCs w:val="22"/>
        </w:rPr>
        <w:t>-</w:t>
      </w:r>
      <w:r w:rsidR="009D3FC9">
        <w:rPr>
          <w:b/>
          <w:szCs w:val="22"/>
        </w:rPr>
        <w:t>1015</w:t>
      </w:r>
    </w:p>
    <w:p w:rsidR="00750150" w:rsidRPr="009614B0" w:rsidRDefault="00F41547" w:rsidP="00C86C27">
      <w:pPr>
        <w:spacing w:after="120"/>
        <w:ind w:left="6480"/>
        <w:jc w:val="center"/>
        <w:rPr>
          <w:b/>
          <w:szCs w:val="22"/>
        </w:rPr>
      </w:pPr>
      <w:r w:rsidRPr="009614B0">
        <w:rPr>
          <w:b/>
          <w:szCs w:val="22"/>
        </w:rPr>
        <w:t xml:space="preserve">Released:  </w:t>
      </w:r>
      <w:r w:rsidR="00E3513F" w:rsidRPr="009614B0">
        <w:rPr>
          <w:b/>
          <w:szCs w:val="22"/>
        </w:rPr>
        <w:t xml:space="preserve">October </w:t>
      </w:r>
      <w:r w:rsidR="009D3FC9">
        <w:rPr>
          <w:b/>
          <w:szCs w:val="22"/>
        </w:rPr>
        <w:t>16</w:t>
      </w:r>
      <w:r w:rsidRPr="009614B0">
        <w:rPr>
          <w:b/>
          <w:szCs w:val="22"/>
        </w:rPr>
        <w:t>, 2017</w:t>
      </w:r>
    </w:p>
    <w:p w:rsidR="00750150" w:rsidRPr="009614B0" w:rsidRDefault="00E018D5" w:rsidP="00750150">
      <w:pPr>
        <w:spacing w:after="240"/>
        <w:jc w:val="center"/>
        <w:rPr>
          <w:b/>
          <w:caps/>
          <w:szCs w:val="22"/>
        </w:rPr>
      </w:pPr>
      <w:r w:rsidRPr="009614B0">
        <w:rPr>
          <w:b/>
          <w:caps/>
          <w:szCs w:val="22"/>
        </w:rPr>
        <w:t xml:space="preserve">INCENTIVE AUCTION TASK FORCE </w:t>
      </w:r>
      <w:r w:rsidR="00875A4B" w:rsidRPr="009614B0">
        <w:rPr>
          <w:b/>
          <w:caps/>
          <w:szCs w:val="22"/>
        </w:rPr>
        <w:t xml:space="preserve">AND MEDIA BUREAU </w:t>
      </w:r>
      <w:r w:rsidR="005641CE" w:rsidRPr="009614B0">
        <w:rPr>
          <w:b/>
          <w:caps/>
          <w:szCs w:val="22"/>
        </w:rPr>
        <w:t xml:space="preserve">ANNOUNCE </w:t>
      </w:r>
      <w:r w:rsidR="0060582D" w:rsidRPr="009614B0">
        <w:rPr>
          <w:b/>
          <w:caps/>
          <w:szCs w:val="22"/>
        </w:rPr>
        <w:t xml:space="preserve">THE INITIAL </w:t>
      </w:r>
      <w:r w:rsidR="00367EFD">
        <w:rPr>
          <w:b/>
          <w:caps/>
          <w:szCs w:val="22"/>
        </w:rPr>
        <w:t xml:space="preserve">REIMBURSEMENT </w:t>
      </w:r>
      <w:r w:rsidR="0060582D" w:rsidRPr="009614B0">
        <w:rPr>
          <w:b/>
          <w:caps/>
          <w:szCs w:val="22"/>
        </w:rPr>
        <w:t>ALLOCATION</w:t>
      </w:r>
      <w:r w:rsidR="00C7091D" w:rsidRPr="009614B0">
        <w:rPr>
          <w:b/>
          <w:caps/>
          <w:szCs w:val="22"/>
        </w:rPr>
        <w:t xml:space="preserve"> for </w:t>
      </w:r>
      <w:r w:rsidR="00367EFD">
        <w:rPr>
          <w:b/>
          <w:caps/>
          <w:szCs w:val="22"/>
        </w:rPr>
        <w:t>Eligible BROADCASTERS</w:t>
      </w:r>
      <w:r w:rsidR="00C7091D" w:rsidRPr="009614B0">
        <w:rPr>
          <w:b/>
          <w:caps/>
          <w:szCs w:val="22"/>
        </w:rPr>
        <w:t xml:space="preserve"> and MVPDs</w:t>
      </w:r>
      <w:r w:rsidR="00241C4F" w:rsidRPr="009614B0">
        <w:rPr>
          <w:b/>
          <w:caps/>
          <w:szCs w:val="22"/>
        </w:rPr>
        <w:t xml:space="preserve"> </w:t>
      </w:r>
    </w:p>
    <w:p w:rsidR="00750150" w:rsidRPr="009614B0" w:rsidRDefault="00750150" w:rsidP="00750150">
      <w:pPr>
        <w:jc w:val="center"/>
        <w:rPr>
          <w:b/>
          <w:szCs w:val="22"/>
        </w:rPr>
      </w:pPr>
      <w:r w:rsidRPr="009614B0">
        <w:rPr>
          <w:b/>
          <w:szCs w:val="22"/>
        </w:rPr>
        <w:t>MB Docket No. 16-306</w:t>
      </w:r>
    </w:p>
    <w:p w:rsidR="00750150" w:rsidRPr="001806AE" w:rsidRDefault="001D7681" w:rsidP="001806AE">
      <w:pPr>
        <w:spacing w:after="120"/>
        <w:jc w:val="center"/>
        <w:rPr>
          <w:b/>
          <w:szCs w:val="22"/>
        </w:rPr>
      </w:pPr>
      <w:r w:rsidRPr="009614B0">
        <w:rPr>
          <w:b/>
          <w:szCs w:val="22"/>
        </w:rPr>
        <w:t>GN Docket No. 12-26</w:t>
      </w:r>
      <w:r w:rsidR="001806AE">
        <w:rPr>
          <w:b/>
          <w:szCs w:val="22"/>
        </w:rPr>
        <w:t>8</w:t>
      </w:r>
    </w:p>
    <w:p w:rsidR="00CC144D" w:rsidRDefault="00AF24FE" w:rsidP="00090364">
      <w:pPr>
        <w:spacing w:after="220"/>
        <w:ind w:firstLine="720"/>
        <w:rPr>
          <w:szCs w:val="22"/>
        </w:rPr>
      </w:pPr>
      <w:r>
        <w:rPr>
          <w:szCs w:val="22"/>
        </w:rPr>
        <w:t>T</w:t>
      </w:r>
      <w:r w:rsidR="00CC144D" w:rsidRPr="009614B0">
        <w:rPr>
          <w:szCs w:val="22"/>
        </w:rPr>
        <w:t xml:space="preserve">he Incentive Auction Task Force and </w:t>
      </w:r>
      <w:r w:rsidR="009E1DD1" w:rsidRPr="009614B0">
        <w:rPr>
          <w:szCs w:val="22"/>
        </w:rPr>
        <w:t xml:space="preserve">the Media Bureau </w:t>
      </w:r>
      <w:r w:rsidR="00935F6C" w:rsidRPr="009614B0">
        <w:rPr>
          <w:szCs w:val="22"/>
        </w:rPr>
        <w:t>(Bureau)</w:t>
      </w:r>
      <w:r w:rsidR="00935F6C">
        <w:rPr>
          <w:szCs w:val="22"/>
        </w:rPr>
        <w:t xml:space="preserve"> </w:t>
      </w:r>
      <w:r w:rsidR="00CC144D" w:rsidRPr="009614B0">
        <w:rPr>
          <w:szCs w:val="22"/>
        </w:rPr>
        <w:t xml:space="preserve">announce </w:t>
      </w:r>
      <w:r w:rsidR="00935F6C">
        <w:rPr>
          <w:szCs w:val="22"/>
        </w:rPr>
        <w:t>th</w:t>
      </w:r>
      <w:r w:rsidR="00935E92">
        <w:rPr>
          <w:szCs w:val="22"/>
        </w:rPr>
        <w:t>e</w:t>
      </w:r>
      <w:r w:rsidR="00935F6C">
        <w:rPr>
          <w:szCs w:val="22"/>
        </w:rPr>
        <w:t xml:space="preserve"> </w:t>
      </w:r>
      <w:r w:rsidR="00935E92">
        <w:rPr>
          <w:szCs w:val="22"/>
        </w:rPr>
        <w:t xml:space="preserve">issuance </w:t>
      </w:r>
      <w:r w:rsidR="00D670F7">
        <w:rPr>
          <w:szCs w:val="22"/>
        </w:rPr>
        <w:t xml:space="preserve">today </w:t>
      </w:r>
      <w:r w:rsidR="00935E92">
        <w:rPr>
          <w:szCs w:val="22"/>
        </w:rPr>
        <w:t xml:space="preserve">of </w:t>
      </w:r>
      <w:r w:rsidR="00CC144D" w:rsidRPr="009614B0">
        <w:rPr>
          <w:szCs w:val="22"/>
        </w:rPr>
        <w:t xml:space="preserve">an initial allocation </w:t>
      </w:r>
      <w:r w:rsidR="0019642C">
        <w:rPr>
          <w:szCs w:val="22"/>
        </w:rPr>
        <w:t xml:space="preserve">of </w:t>
      </w:r>
      <w:r w:rsidR="00935E92">
        <w:rPr>
          <w:szCs w:val="22"/>
        </w:rPr>
        <w:t xml:space="preserve">the TV Broadcaster Relocation Fund (Fund) </w:t>
      </w:r>
      <w:r w:rsidR="00CC144D" w:rsidRPr="009614B0">
        <w:rPr>
          <w:szCs w:val="22"/>
        </w:rPr>
        <w:t xml:space="preserve">in the </w:t>
      </w:r>
      <w:r w:rsidR="00191F4F">
        <w:rPr>
          <w:szCs w:val="22"/>
        </w:rPr>
        <w:t xml:space="preserve">total </w:t>
      </w:r>
      <w:r w:rsidR="00CC144D" w:rsidRPr="009614B0">
        <w:rPr>
          <w:szCs w:val="22"/>
        </w:rPr>
        <w:t xml:space="preserve">amount of </w:t>
      </w:r>
      <w:r w:rsidR="00CC144D">
        <w:rPr>
          <w:szCs w:val="22"/>
        </w:rPr>
        <w:t xml:space="preserve">$1 billion </w:t>
      </w:r>
      <w:r w:rsidR="00935F6C">
        <w:rPr>
          <w:szCs w:val="22"/>
        </w:rPr>
        <w:t xml:space="preserve">to </w:t>
      </w:r>
      <w:r w:rsidR="00B86087">
        <w:rPr>
          <w:szCs w:val="22"/>
        </w:rPr>
        <w:t xml:space="preserve">begin to </w:t>
      </w:r>
      <w:r w:rsidR="00935F6C">
        <w:rPr>
          <w:szCs w:val="22"/>
        </w:rPr>
        <w:t>reimburse</w:t>
      </w:r>
      <w:r w:rsidR="009E4FE5">
        <w:rPr>
          <w:szCs w:val="22"/>
        </w:rPr>
        <w:t xml:space="preserve"> </w:t>
      </w:r>
      <w:r w:rsidR="00935F6C" w:rsidRPr="009614B0">
        <w:rPr>
          <w:szCs w:val="22"/>
        </w:rPr>
        <w:t xml:space="preserve">eligible </w:t>
      </w:r>
      <w:r w:rsidR="005D032C">
        <w:rPr>
          <w:szCs w:val="22"/>
        </w:rPr>
        <w:t xml:space="preserve">full power and Class A </w:t>
      </w:r>
      <w:r w:rsidR="00935F6C" w:rsidRPr="009614B0">
        <w:rPr>
          <w:szCs w:val="22"/>
        </w:rPr>
        <w:t>broadcasters and multichannel video programming distributors (MVPDs</w:t>
      </w:r>
      <w:r w:rsidR="00C97CC6">
        <w:rPr>
          <w:szCs w:val="22"/>
        </w:rPr>
        <w:t>)</w:t>
      </w:r>
      <w:r w:rsidR="005D032C">
        <w:rPr>
          <w:szCs w:val="22"/>
        </w:rPr>
        <w:t xml:space="preserve"> </w:t>
      </w:r>
      <w:r w:rsidR="00C97CC6">
        <w:rPr>
          <w:szCs w:val="22"/>
        </w:rPr>
        <w:t>(</w:t>
      </w:r>
      <w:r w:rsidR="00513895">
        <w:rPr>
          <w:szCs w:val="22"/>
        </w:rPr>
        <w:t xml:space="preserve">together, </w:t>
      </w:r>
      <w:r w:rsidR="00363F80">
        <w:rPr>
          <w:szCs w:val="22"/>
        </w:rPr>
        <w:t>E</w:t>
      </w:r>
      <w:r w:rsidR="005D032C">
        <w:rPr>
          <w:szCs w:val="22"/>
        </w:rPr>
        <w:t xml:space="preserve">ligible </w:t>
      </w:r>
      <w:r w:rsidR="00363F80">
        <w:rPr>
          <w:szCs w:val="22"/>
        </w:rPr>
        <w:t>E</w:t>
      </w:r>
      <w:r w:rsidR="005D032C">
        <w:rPr>
          <w:szCs w:val="22"/>
        </w:rPr>
        <w:t>ntities</w:t>
      </w:r>
      <w:r w:rsidR="00935F6C" w:rsidRPr="009614B0">
        <w:rPr>
          <w:szCs w:val="22"/>
        </w:rPr>
        <w:t>)</w:t>
      </w:r>
      <w:r w:rsidR="00363F80">
        <w:rPr>
          <w:szCs w:val="22"/>
        </w:rPr>
        <w:t>,</w:t>
      </w:r>
      <w:r w:rsidR="009E4FE5">
        <w:rPr>
          <w:szCs w:val="22"/>
        </w:rPr>
        <w:t xml:space="preserve"> for expenses related to the construction of </w:t>
      </w:r>
      <w:r w:rsidR="00B315D5">
        <w:rPr>
          <w:szCs w:val="22"/>
        </w:rPr>
        <w:t xml:space="preserve">station </w:t>
      </w:r>
      <w:r w:rsidR="009E4FE5">
        <w:rPr>
          <w:szCs w:val="22"/>
        </w:rPr>
        <w:t>facilities</w:t>
      </w:r>
      <w:r w:rsidR="00B315D5">
        <w:rPr>
          <w:szCs w:val="22"/>
        </w:rPr>
        <w:t xml:space="preserve"> on reassigned channels</w:t>
      </w:r>
      <w:r w:rsidR="00935F6C" w:rsidRPr="009614B0">
        <w:rPr>
          <w:szCs w:val="22"/>
        </w:rPr>
        <w:t>.</w:t>
      </w:r>
      <w:r w:rsidR="00935F6C" w:rsidRPr="009614B0">
        <w:rPr>
          <w:rStyle w:val="FootnoteReference"/>
          <w:sz w:val="22"/>
          <w:szCs w:val="22"/>
        </w:rPr>
        <w:footnoteReference w:id="2"/>
      </w:r>
      <w:r w:rsidR="00CC144D" w:rsidRPr="009614B0">
        <w:rPr>
          <w:szCs w:val="22"/>
        </w:rPr>
        <w:t xml:space="preserve"> </w:t>
      </w:r>
      <w:r w:rsidR="00CC144D">
        <w:rPr>
          <w:szCs w:val="22"/>
        </w:rPr>
        <w:t xml:space="preserve"> </w:t>
      </w:r>
      <w:r w:rsidR="007F6DA2">
        <w:rPr>
          <w:szCs w:val="22"/>
        </w:rPr>
        <w:t>The Bureau will continue to monitor closely the draw-down of Fund amounts and allocate a</w:t>
      </w:r>
      <w:r w:rsidR="00BF0731">
        <w:rPr>
          <w:szCs w:val="22"/>
        </w:rPr>
        <w:t xml:space="preserve">dditional </w:t>
      </w:r>
      <w:r w:rsidR="007F6DA2">
        <w:rPr>
          <w:szCs w:val="22"/>
        </w:rPr>
        <w:t xml:space="preserve">amounts </w:t>
      </w:r>
      <w:r w:rsidR="00BF0731">
        <w:rPr>
          <w:szCs w:val="22"/>
        </w:rPr>
        <w:t>later in the transition period.</w:t>
      </w:r>
    </w:p>
    <w:p w:rsidR="002169A2" w:rsidRDefault="002B0537" w:rsidP="00090364">
      <w:pPr>
        <w:spacing w:after="220"/>
        <w:ind w:firstLine="720"/>
        <w:rPr>
          <w:szCs w:val="22"/>
        </w:rPr>
      </w:pPr>
      <w:r>
        <w:rPr>
          <w:i/>
        </w:rPr>
        <w:t xml:space="preserve">Background.  </w:t>
      </w:r>
      <w:r w:rsidR="00B975D8">
        <w:rPr>
          <w:rFonts w:ascii="TimesNewRoman" w:hAnsi="TimesNewRoman" w:cs="TimesNewRoman"/>
          <w:sz w:val="24"/>
          <w:szCs w:val="24"/>
        </w:rPr>
        <w:t>T</w:t>
      </w:r>
      <w:r w:rsidR="00B975D8" w:rsidRPr="00E94F75">
        <w:rPr>
          <w:rFonts w:ascii="TimesNewRoman" w:hAnsi="TimesNewRoman" w:cs="TimesNewRoman"/>
          <w:snapToGrid/>
          <w:kern w:val="0"/>
          <w:szCs w:val="22"/>
        </w:rPr>
        <w:t>he Spectrum Act requires the Commission to “reimburse costs reasonably incurred” by broadcast television licensees that are involuntarily reassigned to new</w:t>
      </w:r>
      <w:r w:rsidR="00B975D8" w:rsidRPr="00E94F75">
        <w:rPr>
          <w:rFonts w:ascii="TimesNewRoman" w:hAnsi="TimesNewRoman" w:cs="TimesNewRoman"/>
          <w:szCs w:val="22"/>
        </w:rPr>
        <w:t xml:space="preserve"> </w:t>
      </w:r>
      <w:r w:rsidR="00B975D8" w:rsidRPr="00E94F75">
        <w:rPr>
          <w:rFonts w:ascii="TimesNewRoman" w:hAnsi="TimesNewRoman" w:cs="TimesNewRoman"/>
          <w:snapToGrid/>
          <w:kern w:val="0"/>
          <w:szCs w:val="22"/>
        </w:rPr>
        <w:t xml:space="preserve">channels as a </w:t>
      </w:r>
      <w:r w:rsidR="00B975D8" w:rsidRPr="00E94F75">
        <w:rPr>
          <w:rFonts w:ascii="TimesNewRoman" w:hAnsi="TimesNewRoman" w:cs="TimesNewRoman"/>
          <w:szCs w:val="22"/>
        </w:rPr>
        <w:t xml:space="preserve">result of the repacking process </w:t>
      </w:r>
      <w:r w:rsidR="00B975D8" w:rsidRPr="00E94F75">
        <w:rPr>
          <w:rFonts w:ascii="TimesNewRoman" w:hAnsi="TimesNewRoman" w:cs="TimesNewRoman"/>
          <w:snapToGrid/>
          <w:kern w:val="0"/>
          <w:szCs w:val="22"/>
        </w:rPr>
        <w:t>and by MVPDs in order to continue carrying the signals of licensees</w:t>
      </w:r>
      <w:r w:rsidR="00B975D8">
        <w:rPr>
          <w:rFonts w:ascii="TimesNewRoman" w:hAnsi="TimesNewRoman" w:cs="TimesNewRoman"/>
        </w:rPr>
        <w:t xml:space="preserve"> </w:t>
      </w:r>
      <w:r w:rsidR="00B975D8" w:rsidRPr="00E94F75">
        <w:rPr>
          <w:rFonts w:ascii="TimesNewRoman" w:hAnsi="TimesNewRoman" w:cs="TimesNewRoman"/>
          <w:szCs w:val="22"/>
        </w:rPr>
        <w:t>reassigned to new channels as a result of the incentive auction and repacking process.</w:t>
      </w:r>
      <w:r w:rsidR="00B975D8">
        <w:rPr>
          <w:rStyle w:val="FootnoteReference"/>
          <w:rFonts w:cs="TimesNewRoman"/>
          <w:szCs w:val="22"/>
        </w:rPr>
        <w:footnoteReference w:id="3"/>
      </w:r>
      <w:r w:rsidR="00B975D8" w:rsidRPr="00E94F75">
        <w:rPr>
          <w:rFonts w:ascii="TimesNewRoman" w:hAnsi="TimesNewRoman" w:cs="TimesNewRoman"/>
          <w:szCs w:val="22"/>
        </w:rPr>
        <w:t xml:space="preserve">  </w:t>
      </w:r>
      <w:r w:rsidR="00B975D8">
        <w:t xml:space="preserve">In doing so, the Commission intends </w:t>
      </w:r>
      <w:r w:rsidR="004E5F75">
        <w:t xml:space="preserve">to </w:t>
      </w:r>
      <w:r w:rsidR="00743A95">
        <w:t xml:space="preserve">be a </w:t>
      </w:r>
      <w:r w:rsidR="00093785">
        <w:t xml:space="preserve">prudent </w:t>
      </w:r>
      <w:r w:rsidR="00743A95">
        <w:t xml:space="preserve">steward of </w:t>
      </w:r>
      <w:r w:rsidR="00BD6600">
        <w:t>taxpayer</w:t>
      </w:r>
      <w:r w:rsidR="00743A95">
        <w:t xml:space="preserve"> money </w:t>
      </w:r>
      <w:r w:rsidR="004E5F75">
        <w:t xml:space="preserve">by carefully evaluating cost estimates and invoices </w:t>
      </w:r>
      <w:r w:rsidR="00743A95">
        <w:t xml:space="preserve">when administering the </w:t>
      </w:r>
      <w:r w:rsidR="00BA25DC">
        <w:t>Fund</w:t>
      </w:r>
      <w:r w:rsidR="00BA25DC" w:rsidRPr="00BA25DC">
        <w:t xml:space="preserve"> </w:t>
      </w:r>
      <w:r w:rsidR="004E5F75">
        <w:t>to prevent waste, fraud</w:t>
      </w:r>
      <w:r w:rsidR="007B7E6E">
        <w:t>,</w:t>
      </w:r>
      <w:r w:rsidR="004E5F75">
        <w:t xml:space="preserve"> and abuse</w:t>
      </w:r>
      <w:r w:rsidR="00743A95">
        <w:t>.</w:t>
      </w:r>
      <w:r w:rsidR="008911F2" w:rsidRPr="00443729">
        <w:rPr>
          <w:rStyle w:val="FootnoteReference"/>
          <w:sz w:val="22"/>
          <w:szCs w:val="22"/>
        </w:rPr>
        <w:footnoteReference w:id="4"/>
      </w:r>
      <w:r w:rsidR="00BA25DC">
        <w:t xml:space="preserve">  </w:t>
      </w:r>
    </w:p>
    <w:p w:rsidR="007B7DAF" w:rsidRDefault="00B975D8" w:rsidP="00090364">
      <w:pPr>
        <w:spacing w:after="220"/>
        <w:ind w:firstLine="720"/>
      </w:pPr>
      <w:r>
        <w:rPr>
          <w:szCs w:val="22"/>
        </w:rPr>
        <w:t>T</w:t>
      </w:r>
      <w:r w:rsidR="00217161" w:rsidRPr="009614B0">
        <w:rPr>
          <w:szCs w:val="22"/>
        </w:rPr>
        <w:t xml:space="preserve">he </w:t>
      </w:r>
      <w:r w:rsidR="00217161" w:rsidRPr="009614B0">
        <w:rPr>
          <w:i/>
          <w:szCs w:val="22"/>
        </w:rPr>
        <w:t xml:space="preserve">Incentive Auction </w:t>
      </w:r>
      <w:r w:rsidR="00C66DD9">
        <w:rPr>
          <w:i/>
          <w:szCs w:val="22"/>
        </w:rPr>
        <w:t>R&amp;O</w:t>
      </w:r>
      <w:r w:rsidR="00217161" w:rsidRPr="009614B0">
        <w:rPr>
          <w:szCs w:val="22"/>
        </w:rPr>
        <w:t xml:space="preserve"> set forth the process for reimbursing </w:t>
      </w:r>
      <w:r w:rsidR="007D306E">
        <w:rPr>
          <w:szCs w:val="22"/>
        </w:rPr>
        <w:t>Eligible Entities</w:t>
      </w:r>
      <w:r w:rsidR="00217161" w:rsidRPr="009614B0">
        <w:rPr>
          <w:szCs w:val="22"/>
        </w:rPr>
        <w:t>.</w:t>
      </w:r>
      <w:r w:rsidR="00DF2AB9" w:rsidRPr="009614B0">
        <w:rPr>
          <w:rStyle w:val="FootnoteReference"/>
          <w:sz w:val="22"/>
          <w:szCs w:val="22"/>
        </w:rPr>
        <w:footnoteReference w:id="5"/>
      </w:r>
      <w:r w:rsidR="00DF2AB9" w:rsidRPr="009614B0">
        <w:rPr>
          <w:szCs w:val="22"/>
        </w:rPr>
        <w:t xml:space="preserve">  </w:t>
      </w:r>
      <w:r w:rsidR="00BA25DC">
        <w:t>The Commission de</w:t>
      </w:r>
      <w:r w:rsidR="00367EFD">
        <w:t>cided</w:t>
      </w:r>
      <w:r w:rsidR="00BA25DC">
        <w:t xml:space="preserve"> to allocate funding in tranches, including an initial allocation to help stations cover upfront </w:t>
      </w:r>
      <w:r w:rsidR="007D306E">
        <w:t xml:space="preserve">expenditures </w:t>
      </w:r>
      <w:r w:rsidR="00967C36">
        <w:t>(such as planning, engineering studies, etc.)</w:t>
      </w:r>
      <w:r w:rsidR="00BA25DC">
        <w:t xml:space="preserve">, equipment down payments, and </w:t>
      </w:r>
      <w:r w:rsidR="007D306E">
        <w:t>other ancillary charges</w:t>
      </w:r>
      <w:r w:rsidR="00BA25DC">
        <w:t xml:space="preserve">.  This approach </w:t>
      </w:r>
      <w:r w:rsidR="00967C36">
        <w:t>seeks to provide</w:t>
      </w:r>
      <w:r w:rsidR="00BA25DC">
        <w:t xml:space="preserve"> </w:t>
      </w:r>
      <w:r w:rsidR="007B7E6E">
        <w:t xml:space="preserve">Eligible Entities </w:t>
      </w:r>
      <w:r w:rsidR="00967C36">
        <w:t xml:space="preserve">with </w:t>
      </w:r>
      <w:r w:rsidR="00BA25DC">
        <w:t xml:space="preserve">access to the funding necessary to </w:t>
      </w:r>
      <w:r w:rsidR="00511EFA">
        <w:t xml:space="preserve">timely </w:t>
      </w:r>
      <w:r w:rsidR="00BA25DC">
        <w:t xml:space="preserve">begin their relocation work </w:t>
      </w:r>
      <w:r w:rsidR="00367EFD">
        <w:t xml:space="preserve">while avoiding </w:t>
      </w:r>
      <w:r w:rsidR="00BA25DC">
        <w:t>undue financial burden.</w:t>
      </w:r>
      <w:r w:rsidR="00715CBA">
        <w:rPr>
          <w:rStyle w:val="FootnoteReference"/>
        </w:rPr>
        <w:footnoteReference w:id="6"/>
      </w:r>
      <w:r w:rsidR="00BA25DC">
        <w:t xml:space="preserve"> </w:t>
      </w:r>
      <w:r w:rsidR="002611E6">
        <w:t xml:space="preserve"> </w:t>
      </w:r>
      <w:r w:rsidR="00EA7470">
        <w:t>M</w:t>
      </w:r>
      <w:r w:rsidR="002611E6">
        <w:t xml:space="preserve">aking </w:t>
      </w:r>
      <w:r w:rsidR="00EA7470">
        <w:t xml:space="preserve">allocations </w:t>
      </w:r>
      <w:r w:rsidR="00EF7AFB">
        <w:t xml:space="preserve">in more than one tranche </w:t>
      </w:r>
      <w:r w:rsidR="00513895">
        <w:t xml:space="preserve">also </w:t>
      </w:r>
      <w:r w:rsidR="00093785">
        <w:t>takes into account that the estimates of m</w:t>
      </w:r>
      <w:r w:rsidR="00DF25A8">
        <w:t>any</w:t>
      </w:r>
      <w:r w:rsidR="00093785">
        <w:t xml:space="preserve"> </w:t>
      </w:r>
      <w:r w:rsidR="00363F80">
        <w:t>Eligible Entities</w:t>
      </w:r>
      <w:r w:rsidR="00093785">
        <w:t xml:space="preserve"> </w:t>
      </w:r>
      <w:r w:rsidR="00DF25A8">
        <w:t>may</w:t>
      </w:r>
      <w:r w:rsidR="00093785">
        <w:t xml:space="preserve"> be refined and change over time as </w:t>
      </w:r>
      <w:r w:rsidR="00947ED8">
        <w:t>they</w:t>
      </w:r>
      <w:r w:rsidR="00EF7AFB">
        <w:t xml:space="preserve"> </w:t>
      </w:r>
      <w:r w:rsidR="00093785">
        <w:t>move forward with planning, provisioning</w:t>
      </w:r>
      <w:r w:rsidR="00045290">
        <w:t>,</w:t>
      </w:r>
      <w:r w:rsidR="00093785">
        <w:t xml:space="preserve"> and construction</w:t>
      </w:r>
      <w:r w:rsidR="00DF25A8">
        <w:t>.  This approach</w:t>
      </w:r>
      <w:r w:rsidR="00093785">
        <w:t xml:space="preserve"> </w:t>
      </w:r>
      <w:r w:rsidR="00093785">
        <w:lastRenderedPageBreak/>
        <w:t xml:space="preserve">allows the Bureau to </w:t>
      </w:r>
      <w:r w:rsidR="000B5D98">
        <w:t xml:space="preserve">review such changes and </w:t>
      </w:r>
      <w:r w:rsidR="00093785">
        <w:t xml:space="preserve">make </w:t>
      </w:r>
      <w:r w:rsidR="007C45DC">
        <w:t xml:space="preserve">additional </w:t>
      </w:r>
      <w:r w:rsidR="00093785">
        <w:t xml:space="preserve">allocations based upon the most accurate and complete information available.  </w:t>
      </w:r>
      <w:r w:rsidR="00511EFA">
        <w:t xml:space="preserve">Issuing multiple </w:t>
      </w:r>
      <w:r w:rsidR="007B7DAF">
        <w:t xml:space="preserve">allocations also </w:t>
      </w:r>
      <w:r w:rsidR="00487A6D">
        <w:rPr>
          <w:szCs w:val="22"/>
        </w:rPr>
        <w:t>provide</w:t>
      </w:r>
      <w:r w:rsidR="009F365D">
        <w:rPr>
          <w:szCs w:val="22"/>
        </w:rPr>
        <w:t>s</w:t>
      </w:r>
      <w:r w:rsidR="00487A6D">
        <w:rPr>
          <w:szCs w:val="22"/>
        </w:rPr>
        <w:t xml:space="preserve"> </w:t>
      </w:r>
      <w:r w:rsidR="00EF7AFB">
        <w:rPr>
          <w:szCs w:val="22"/>
        </w:rPr>
        <w:t xml:space="preserve">the Bureau </w:t>
      </w:r>
      <w:r w:rsidR="005D032C">
        <w:rPr>
          <w:szCs w:val="22"/>
        </w:rPr>
        <w:t xml:space="preserve">with </w:t>
      </w:r>
      <w:r w:rsidR="00487A6D">
        <w:rPr>
          <w:szCs w:val="22"/>
        </w:rPr>
        <w:t>flexibility to monitor</w:t>
      </w:r>
      <w:r w:rsidR="00487A6D" w:rsidRPr="009614B0">
        <w:rPr>
          <w:szCs w:val="22"/>
        </w:rPr>
        <w:t xml:space="preserve"> </w:t>
      </w:r>
      <w:r w:rsidR="004E5F75">
        <w:rPr>
          <w:szCs w:val="22"/>
        </w:rPr>
        <w:t xml:space="preserve">closely </w:t>
      </w:r>
      <w:r w:rsidR="00487A6D" w:rsidRPr="009614B0">
        <w:rPr>
          <w:szCs w:val="22"/>
        </w:rPr>
        <w:t xml:space="preserve">the draw-down of funds and </w:t>
      </w:r>
      <w:r w:rsidR="00487A6D">
        <w:rPr>
          <w:szCs w:val="22"/>
        </w:rPr>
        <w:t xml:space="preserve">make </w:t>
      </w:r>
      <w:r w:rsidR="00487A6D" w:rsidRPr="009614B0">
        <w:rPr>
          <w:szCs w:val="22"/>
        </w:rPr>
        <w:t>any necessary adjustments prior to a subsequent allocation.</w:t>
      </w:r>
      <w:r w:rsidR="00487A6D">
        <w:rPr>
          <w:rStyle w:val="FootnoteReference"/>
          <w:szCs w:val="22"/>
        </w:rPr>
        <w:footnoteReference w:id="7"/>
      </w:r>
      <w:r w:rsidR="00487A6D" w:rsidRPr="009614B0">
        <w:rPr>
          <w:szCs w:val="22"/>
        </w:rPr>
        <w:t xml:space="preserve">  </w:t>
      </w:r>
      <w:r w:rsidR="00F211DB">
        <w:t xml:space="preserve">This </w:t>
      </w:r>
      <w:r w:rsidR="00EF7AFB">
        <w:t xml:space="preserve">staged </w:t>
      </w:r>
      <w:r w:rsidR="002169A2">
        <w:t xml:space="preserve">process </w:t>
      </w:r>
      <w:r w:rsidR="00EA7470">
        <w:t>will</w:t>
      </w:r>
      <w:r w:rsidR="00191F4F">
        <w:t xml:space="preserve"> </w:t>
      </w:r>
      <w:r w:rsidR="002169A2">
        <w:t xml:space="preserve">therefore </w:t>
      </w:r>
      <w:r w:rsidR="007B7DAF">
        <w:t>permit us to make timely allocations to keep the process moving forward</w:t>
      </w:r>
      <w:r w:rsidR="00143986">
        <w:t>,</w:t>
      </w:r>
      <w:r w:rsidR="007B7DAF">
        <w:t xml:space="preserve"> while </w:t>
      </w:r>
      <w:r w:rsidR="00143986">
        <w:t xml:space="preserve">reducing </w:t>
      </w:r>
      <w:r w:rsidR="00F211DB">
        <w:t xml:space="preserve">the likelihood that excess funds are allocated </w:t>
      </w:r>
      <w:r w:rsidR="009067CE">
        <w:t xml:space="preserve">that </w:t>
      </w:r>
      <w:r w:rsidR="00F211DB">
        <w:t xml:space="preserve">would require </w:t>
      </w:r>
      <w:r w:rsidR="00B35DFA">
        <w:t>the Commission to reduce</w:t>
      </w:r>
      <w:r w:rsidR="00F211DB">
        <w:t xml:space="preserve"> future allocations or </w:t>
      </w:r>
      <w:r w:rsidR="00B35DFA">
        <w:t xml:space="preserve">claw-back </w:t>
      </w:r>
      <w:r w:rsidR="00F211DB">
        <w:t>payments</w:t>
      </w:r>
      <w:r w:rsidR="009F365D">
        <w:t xml:space="preserve"> that have already been drawn down</w:t>
      </w:r>
      <w:r w:rsidR="00DF25A8">
        <w:t>.</w:t>
      </w:r>
      <w:r w:rsidR="007B7DAF">
        <w:t xml:space="preserve">  </w:t>
      </w:r>
      <w:r w:rsidR="00FA2832">
        <w:t>In addition, t</w:t>
      </w:r>
      <w:r w:rsidR="00DF25A8">
        <w:t>he</w:t>
      </w:r>
      <w:r w:rsidR="00EF7AFB">
        <w:t xml:space="preserve"> Fund management challenge </w:t>
      </w:r>
      <w:r w:rsidR="009067CE">
        <w:t xml:space="preserve">of </w:t>
      </w:r>
      <w:r w:rsidR="00DF25A8">
        <w:t>avoid</w:t>
      </w:r>
      <w:r w:rsidR="009067CE">
        <w:t>ing</w:t>
      </w:r>
      <w:r w:rsidR="00DF25A8">
        <w:t xml:space="preserve"> </w:t>
      </w:r>
      <w:r w:rsidR="00CC3F1B">
        <w:t xml:space="preserve">allocation reductions </w:t>
      </w:r>
      <w:r w:rsidR="009067CE">
        <w:t xml:space="preserve">and </w:t>
      </w:r>
      <w:r w:rsidR="00CC3F1B">
        <w:t>claw</w:t>
      </w:r>
      <w:r w:rsidR="007D306E">
        <w:t>-</w:t>
      </w:r>
      <w:r w:rsidR="00CC3F1B">
        <w:t xml:space="preserve">backs while </w:t>
      </w:r>
      <w:r w:rsidR="00EF7AFB">
        <w:t xml:space="preserve">assuring that </w:t>
      </w:r>
      <w:r w:rsidR="000B5D98">
        <w:t xml:space="preserve">we allocate funds fairly </w:t>
      </w:r>
      <w:r w:rsidR="00CC3F1B">
        <w:t xml:space="preserve">and consistently </w:t>
      </w:r>
      <w:r w:rsidR="000B5D98">
        <w:t xml:space="preserve">across all </w:t>
      </w:r>
      <w:r w:rsidR="00363F80">
        <w:t>Eligible Entities</w:t>
      </w:r>
      <w:r w:rsidR="00DF25A8">
        <w:t xml:space="preserve"> </w:t>
      </w:r>
      <w:r w:rsidR="00CC3F1B">
        <w:t xml:space="preserve">is </w:t>
      </w:r>
      <w:r w:rsidR="009F365D">
        <w:t xml:space="preserve">magnified </w:t>
      </w:r>
      <w:r w:rsidR="00CC3F1B">
        <w:t>by the estimated</w:t>
      </w:r>
      <w:r w:rsidR="00C3469F">
        <w:t xml:space="preserve"> total</w:t>
      </w:r>
      <w:r w:rsidR="00CC3F1B">
        <w:t xml:space="preserve"> demand on the Fund</w:t>
      </w:r>
      <w:r w:rsidR="006C1594">
        <w:t>,</w:t>
      </w:r>
      <w:r w:rsidR="004F4BAF">
        <w:rPr>
          <w:rStyle w:val="FootnoteReference"/>
        </w:rPr>
        <w:footnoteReference w:id="8"/>
      </w:r>
      <w:r w:rsidR="009067CE">
        <w:t xml:space="preserve"> and the possibility that demand </w:t>
      </w:r>
      <w:r w:rsidR="006A4D74">
        <w:t xml:space="preserve">against the Fund </w:t>
      </w:r>
      <w:r w:rsidR="009067CE">
        <w:t>will increase over time</w:t>
      </w:r>
      <w:r w:rsidR="006A4D74">
        <w:t xml:space="preserve"> as more granular information becomes available</w:t>
      </w:r>
      <w:r w:rsidR="00F211DB">
        <w:t>.</w:t>
      </w:r>
      <w:r w:rsidR="00BA25DC">
        <w:t xml:space="preserve"> </w:t>
      </w:r>
    </w:p>
    <w:p w:rsidR="00BA25DC" w:rsidRDefault="007B7DAF" w:rsidP="00090364">
      <w:pPr>
        <w:spacing w:after="220"/>
        <w:ind w:firstLine="720"/>
      </w:pPr>
      <w:r>
        <w:rPr>
          <w:szCs w:val="22"/>
        </w:rPr>
        <w:t>A</w:t>
      </w:r>
      <w:r w:rsidR="00487A6D">
        <w:rPr>
          <w:szCs w:val="22"/>
        </w:rPr>
        <w:t xml:space="preserve">s </w:t>
      </w:r>
      <w:r>
        <w:rPr>
          <w:szCs w:val="22"/>
        </w:rPr>
        <w:t xml:space="preserve">also </w:t>
      </w:r>
      <w:r w:rsidR="00487A6D" w:rsidRPr="0060582D">
        <w:rPr>
          <w:szCs w:val="22"/>
        </w:rPr>
        <w:t xml:space="preserve">contemplated </w:t>
      </w:r>
      <w:r w:rsidR="00487A6D">
        <w:rPr>
          <w:szCs w:val="22"/>
        </w:rPr>
        <w:t>i</w:t>
      </w:r>
      <w:r w:rsidR="00487A6D" w:rsidRPr="0060582D">
        <w:rPr>
          <w:szCs w:val="22"/>
        </w:rPr>
        <w:t xml:space="preserve">n the </w:t>
      </w:r>
      <w:r w:rsidR="00487A6D" w:rsidRPr="001516F3">
        <w:rPr>
          <w:i/>
          <w:szCs w:val="22"/>
        </w:rPr>
        <w:t>Incentive Auction R&amp;O</w:t>
      </w:r>
      <w:r w:rsidR="00487A6D" w:rsidRPr="0060582D">
        <w:rPr>
          <w:szCs w:val="22"/>
        </w:rPr>
        <w:t xml:space="preserve">, </w:t>
      </w:r>
      <w:r w:rsidR="00487A6D">
        <w:rPr>
          <w:szCs w:val="22"/>
        </w:rPr>
        <w:t xml:space="preserve">the initial allocation </w:t>
      </w:r>
      <w:r>
        <w:rPr>
          <w:szCs w:val="22"/>
        </w:rPr>
        <w:t xml:space="preserve">we </w:t>
      </w:r>
      <w:r w:rsidR="000B5D98">
        <w:rPr>
          <w:szCs w:val="22"/>
        </w:rPr>
        <w:t>a</w:t>
      </w:r>
      <w:r>
        <w:rPr>
          <w:szCs w:val="22"/>
        </w:rPr>
        <w:t xml:space="preserve">re making today </w:t>
      </w:r>
      <w:r w:rsidR="00487A6D">
        <w:rPr>
          <w:szCs w:val="22"/>
        </w:rPr>
        <w:t>will give</w:t>
      </w:r>
      <w:r w:rsidR="00487A6D" w:rsidRPr="0060582D">
        <w:rPr>
          <w:szCs w:val="22"/>
        </w:rPr>
        <w:t xml:space="preserve"> </w:t>
      </w:r>
      <w:r w:rsidR="00B07B42">
        <w:rPr>
          <w:szCs w:val="22"/>
        </w:rPr>
        <w:t xml:space="preserve">noncommercial educational broadcasters (NCEs) </w:t>
      </w:r>
      <w:r w:rsidR="00487A6D">
        <w:rPr>
          <w:szCs w:val="22"/>
        </w:rPr>
        <w:t xml:space="preserve">access to </w:t>
      </w:r>
      <w:r>
        <w:rPr>
          <w:szCs w:val="22"/>
        </w:rPr>
        <w:t>10</w:t>
      </w:r>
      <w:r w:rsidR="00487A6D">
        <w:rPr>
          <w:szCs w:val="22"/>
        </w:rPr>
        <w:t xml:space="preserve"> percent more </w:t>
      </w:r>
      <w:r w:rsidR="00487A6D" w:rsidRPr="0060582D">
        <w:rPr>
          <w:szCs w:val="22"/>
        </w:rPr>
        <w:t xml:space="preserve">of their </w:t>
      </w:r>
      <w:r w:rsidR="00947ED8">
        <w:rPr>
          <w:szCs w:val="22"/>
        </w:rPr>
        <w:t xml:space="preserve">currently </w:t>
      </w:r>
      <w:r w:rsidR="00487A6D" w:rsidRPr="0060582D">
        <w:rPr>
          <w:szCs w:val="22"/>
        </w:rPr>
        <w:t>estimated</w:t>
      </w:r>
      <w:r w:rsidR="00947ED8" w:rsidRPr="00947ED8">
        <w:rPr>
          <w:szCs w:val="22"/>
        </w:rPr>
        <w:t xml:space="preserve"> </w:t>
      </w:r>
      <w:r w:rsidR="00947ED8">
        <w:rPr>
          <w:szCs w:val="22"/>
        </w:rPr>
        <w:t>total</w:t>
      </w:r>
      <w:r w:rsidR="00487A6D" w:rsidRPr="0060582D">
        <w:rPr>
          <w:szCs w:val="22"/>
        </w:rPr>
        <w:t xml:space="preserve"> costs</w:t>
      </w:r>
      <w:r w:rsidR="00487A6D">
        <w:rPr>
          <w:szCs w:val="22"/>
        </w:rPr>
        <w:t>, as compared to commercial stations and MVPDs,</w:t>
      </w:r>
      <w:r w:rsidR="00487A6D" w:rsidRPr="0060582D">
        <w:rPr>
          <w:szCs w:val="22"/>
        </w:rPr>
        <w:t xml:space="preserve"> due to </w:t>
      </w:r>
      <w:r w:rsidR="00487A6D">
        <w:rPr>
          <w:szCs w:val="22"/>
        </w:rPr>
        <w:t xml:space="preserve">their </w:t>
      </w:r>
      <w:r w:rsidR="00487A6D" w:rsidRPr="0060582D">
        <w:rPr>
          <w:szCs w:val="22"/>
        </w:rPr>
        <w:t>“unique funding constraints</w:t>
      </w:r>
      <w:r w:rsidR="00487A6D">
        <w:rPr>
          <w:szCs w:val="22"/>
        </w:rPr>
        <w:t>.”</w:t>
      </w:r>
      <w:r w:rsidR="00487A6D" w:rsidRPr="009614B0">
        <w:rPr>
          <w:rStyle w:val="FootnoteReference"/>
          <w:sz w:val="22"/>
          <w:szCs w:val="22"/>
        </w:rPr>
        <w:footnoteReference w:id="9"/>
      </w:r>
      <w:r w:rsidR="00487A6D">
        <w:rPr>
          <w:szCs w:val="22"/>
        </w:rPr>
        <w:t xml:space="preserve">  </w:t>
      </w:r>
      <w:r w:rsidR="002C13A1">
        <w:t>A</w:t>
      </w:r>
      <w:r w:rsidR="002C13A1" w:rsidRPr="002C13A1">
        <w:t xml:space="preserve">t the end of the program, </w:t>
      </w:r>
      <w:r w:rsidR="0019642C">
        <w:t xml:space="preserve">all </w:t>
      </w:r>
      <w:r w:rsidR="00626385">
        <w:t xml:space="preserve">Eligible </w:t>
      </w:r>
      <w:r w:rsidR="0019642C">
        <w:t>Entities are to</w:t>
      </w:r>
      <w:r w:rsidR="00626385">
        <w:t xml:space="preserve"> provide information regarding any actual or remaining estimated costs and</w:t>
      </w:r>
      <w:r w:rsidR="00F273F1">
        <w:t>, if appropriate,</w:t>
      </w:r>
      <w:r w:rsidR="00626385">
        <w:t xml:space="preserve"> will be issued a </w:t>
      </w:r>
      <w:r w:rsidR="002C13A1" w:rsidRPr="002C13A1">
        <w:t xml:space="preserve">final allocation percentage </w:t>
      </w:r>
      <w:r w:rsidR="0019642C">
        <w:t xml:space="preserve">out of </w:t>
      </w:r>
      <w:r w:rsidR="002C13A1" w:rsidRPr="002C13A1">
        <w:t>the remainder of the Fund.</w:t>
      </w:r>
      <w:r w:rsidR="002C13A1">
        <w:t xml:space="preserve"> </w:t>
      </w:r>
      <w:r w:rsidR="00F273F1">
        <w:t xml:space="preserve"> </w:t>
      </w:r>
      <w:r w:rsidR="00F273F1" w:rsidRPr="00CC27BF">
        <w:rPr>
          <w:szCs w:val="22"/>
        </w:rPr>
        <w:t>If overpayment is discovered</w:t>
      </w:r>
      <w:r w:rsidR="0019642C">
        <w:rPr>
          <w:szCs w:val="22"/>
        </w:rPr>
        <w:t>,</w:t>
      </w:r>
      <w:r w:rsidR="00F273F1" w:rsidRPr="00CC27BF">
        <w:rPr>
          <w:szCs w:val="22"/>
        </w:rPr>
        <w:t xml:space="preserve"> entities will be required to return the excess </w:t>
      </w:r>
      <w:r w:rsidR="009F365D">
        <w:rPr>
          <w:szCs w:val="22"/>
        </w:rPr>
        <w:t xml:space="preserve">funds </w:t>
      </w:r>
      <w:r w:rsidR="00F273F1" w:rsidRPr="00CC27BF">
        <w:rPr>
          <w:szCs w:val="22"/>
        </w:rPr>
        <w:t>to the Commission.</w:t>
      </w:r>
      <w:r w:rsidR="00F273F1" w:rsidRPr="00CC27BF">
        <w:rPr>
          <w:rStyle w:val="FootnoteReference"/>
        </w:rPr>
        <w:footnoteReference w:id="10"/>
      </w:r>
      <w:r w:rsidR="00F273F1">
        <w:rPr>
          <w:szCs w:val="22"/>
        </w:rPr>
        <w:t xml:space="preserve">  </w:t>
      </w:r>
      <w:r w:rsidR="00513AC9">
        <w:rPr>
          <w:szCs w:val="22"/>
        </w:rPr>
        <w:t xml:space="preserve"> </w:t>
      </w:r>
    </w:p>
    <w:p w:rsidR="00BA1B87" w:rsidRDefault="002B0537" w:rsidP="00BA25DC">
      <w:pPr>
        <w:ind w:firstLine="720"/>
        <w:rPr>
          <w:szCs w:val="22"/>
        </w:rPr>
      </w:pPr>
      <w:r>
        <w:rPr>
          <w:i/>
          <w:szCs w:val="22"/>
        </w:rPr>
        <w:t xml:space="preserve">Review of Reimbursement Estimates.  </w:t>
      </w:r>
      <w:r w:rsidR="00363F80">
        <w:rPr>
          <w:szCs w:val="22"/>
        </w:rPr>
        <w:t>Eligible Entities</w:t>
      </w:r>
      <w:r w:rsidR="00F23750">
        <w:rPr>
          <w:szCs w:val="22"/>
        </w:rPr>
        <w:t xml:space="preserve"> have </w:t>
      </w:r>
      <w:r w:rsidR="007F3C8C" w:rsidRPr="009614B0">
        <w:rPr>
          <w:szCs w:val="22"/>
        </w:rPr>
        <w:t xml:space="preserve">submitted </w:t>
      </w:r>
      <w:r w:rsidR="00DA0483" w:rsidRPr="009614B0">
        <w:rPr>
          <w:szCs w:val="22"/>
        </w:rPr>
        <w:t>estimate</w:t>
      </w:r>
      <w:r w:rsidR="00B001D7">
        <w:rPr>
          <w:szCs w:val="22"/>
        </w:rPr>
        <w:t>s</w:t>
      </w:r>
      <w:r w:rsidR="003611A1">
        <w:rPr>
          <w:szCs w:val="22"/>
        </w:rPr>
        <w:t xml:space="preserve"> on the </w:t>
      </w:r>
      <w:r w:rsidR="009F365D">
        <w:rPr>
          <w:noProof/>
        </w:rPr>
        <w:t>Form 2100, Schedule 399 (</w:t>
      </w:r>
      <w:r w:rsidR="003611A1">
        <w:rPr>
          <w:szCs w:val="22"/>
        </w:rPr>
        <w:t>Reimbursement Form</w:t>
      </w:r>
      <w:r w:rsidR="009F365D">
        <w:rPr>
          <w:szCs w:val="22"/>
        </w:rPr>
        <w:t>)</w:t>
      </w:r>
      <w:r w:rsidR="00781C2C">
        <w:rPr>
          <w:szCs w:val="22"/>
        </w:rPr>
        <w:t>,</w:t>
      </w:r>
      <w:r w:rsidR="00DA0483" w:rsidRPr="009614B0">
        <w:rPr>
          <w:szCs w:val="22"/>
        </w:rPr>
        <w:t xml:space="preserve"> </w:t>
      </w:r>
      <w:r w:rsidR="00B001D7">
        <w:rPr>
          <w:szCs w:val="22"/>
        </w:rPr>
        <w:t xml:space="preserve">of the </w:t>
      </w:r>
      <w:r w:rsidR="007D306E">
        <w:rPr>
          <w:szCs w:val="22"/>
        </w:rPr>
        <w:t>expenditures</w:t>
      </w:r>
      <w:r w:rsidR="007D306E" w:rsidRPr="009614B0">
        <w:rPr>
          <w:szCs w:val="22"/>
        </w:rPr>
        <w:t xml:space="preserve"> </w:t>
      </w:r>
      <w:r w:rsidR="004B0DE5">
        <w:rPr>
          <w:szCs w:val="22"/>
        </w:rPr>
        <w:t xml:space="preserve">they expect to incur as a result of </w:t>
      </w:r>
      <w:r w:rsidR="00B019D4" w:rsidRPr="009614B0">
        <w:rPr>
          <w:szCs w:val="22"/>
        </w:rPr>
        <w:t>the post-auction repack</w:t>
      </w:r>
      <w:r w:rsidR="003611A1">
        <w:rPr>
          <w:szCs w:val="22"/>
        </w:rPr>
        <w:t>.</w:t>
      </w:r>
      <w:r w:rsidR="001730CD" w:rsidRPr="001730CD">
        <w:t xml:space="preserve"> </w:t>
      </w:r>
      <w:r w:rsidR="004B0438" w:rsidRPr="009614B0">
        <w:rPr>
          <w:szCs w:val="22"/>
        </w:rPr>
        <w:t xml:space="preserve"> </w:t>
      </w:r>
      <w:r w:rsidR="00897666">
        <w:t xml:space="preserve">The aggregate of </w:t>
      </w:r>
      <w:r w:rsidR="00363F80">
        <w:t>Eligible Entities</w:t>
      </w:r>
      <w:r w:rsidR="009D071A">
        <w:t>’</w:t>
      </w:r>
      <w:r w:rsidR="00897666">
        <w:t xml:space="preserve"> original estimates of demand on the Fund</w:t>
      </w:r>
      <w:r w:rsidR="00B07B42">
        <w:t>,</w:t>
      </w:r>
      <w:r w:rsidR="00897666">
        <w:t xml:space="preserve"> </w:t>
      </w:r>
      <w:r w:rsidR="000B5D98">
        <w:t xml:space="preserve">as of July 14, 2017, </w:t>
      </w:r>
      <w:r w:rsidR="00897666">
        <w:t xml:space="preserve">was </w:t>
      </w:r>
      <w:r w:rsidR="00897666" w:rsidRPr="00F650CA">
        <w:t>$2,115,328,744.33</w:t>
      </w:r>
      <w:r w:rsidR="00897666">
        <w:t>, which did not include estimates for certain stations that received a waiver of the initial estimate filing deadline</w:t>
      </w:r>
      <w:r w:rsidR="00BA1B87">
        <w:t xml:space="preserve"> and a number of MVPDs</w:t>
      </w:r>
      <w:r w:rsidR="00897666">
        <w:t xml:space="preserve">.  </w:t>
      </w:r>
      <w:r w:rsidR="00F23750">
        <w:t xml:space="preserve">That aggregate amount </w:t>
      </w:r>
      <w:r w:rsidR="001535F1">
        <w:t xml:space="preserve">of initial submissions </w:t>
      </w:r>
      <w:r w:rsidR="00F23750">
        <w:t xml:space="preserve">increased </w:t>
      </w:r>
      <w:r w:rsidR="00EF7AFB" w:rsidRPr="00DD3E3C">
        <w:t xml:space="preserve">to </w:t>
      </w:r>
      <w:r w:rsidR="0025649D" w:rsidRPr="00DD3E3C">
        <w:t>$2,139,861,869.68</w:t>
      </w:r>
      <w:r w:rsidR="0025649D" w:rsidRPr="00DD3E3C" w:rsidDel="006A4D74">
        <w:t xml:space="preserve"> </w:t>
      </w:r>
      <w:r w:rsidR="00EF7AFB" w:rsidRPr="00DD3E3C">
        <w:t>as</w:t>
      </w:r>
      <w:r w:rsidR="00EF7AFB">
        <w:t xml:space="preserve"> a result of estimates submitted after July 14, 2017</w:t>
      </w:r>
      <w:r w:rsidR="00F23750">
        <w:t>.</w:t>
      </w:r>
      <w:r w:rsidR="00BA1B87">
        <w:rPr>
          <w:rStyle w:val="FootnoteReference"/>
        </w:rPr>
        <w:footnoteReference w:id="11"/>
      </w:r>
      <w:r w:rsidR="00F23750">
        <w:t xml:space="preserve">  </w:t>
      </w:r>
      <w:r w:rsidR="00DA0483">
        <w:rPr>
          <w:szCs w:val="22"/>
        </w:rPr>
        <w:t xml:space="preserve"> </w:t>
      </w:r>
    </w:p>
    <w:p w:rsidR="00BA1B87" w:rsidRDefault="00BA1B87" w:rsidP="00BA25DC">
      <w:pPr>
        <w:ind w:firstLine="720"/>
        <w:rPr>
          <w:szCs w:val="22"/>
        </w:rPr>
      </w:pPr>
    </w:p>
    <w:p w:rsidR="00E434BC" w:rsidRDefault="00263D06" w:rsidP="00090364">
      <w:pPr>
        <w:spacing w:after="220"/>
        <w:ind w:firstLine="720"/>
        <w:rPr>
          <w:szCs w:val="22"/>
        </w:rPr>
      </w:pPr>
      <w:r>
        <w:t xml:space="preserve">To assist the </w:t>
      </w:r>
      <w:r w:rsidRPr="008F5E86">
        <w:t xml:space="preserve">Commission </w:t>
      </w:r>
      <w:r w:rsidR="00B62C55">
        <w:t xml:space="preserve">in its efforts </w:t>
      </w:r>
      <w:r>
        <w:t xml:space="preserve">to </w:t>
      </w:r>
      <w:r w:rsidR="00B62C55">
        <w:t xml:space="preserve">reimburse </w:t>
      </w:r>
      <w:r>
        <w:t xml:space="preserve">Eligible Entities, to allocate the Fund fairly across all Eligible Entities, and to be a prudent steward of taxpayer money, </w:t>
      </w:r>
      <w:r>
        <w:rPr>
          <w:szCs w:val="22"/>
        </w:rPr>
        <w:t>t</w:t>
      </w:r>
      <w:r w:rsidR="00897666">
        <w:t xml:space="preserve">he </w:t>
      </w:r>
      <w:r w:rsidR="0025649D">
        <w:t xml:space="preserve">Commission engaged the services of a contractor with </w:t>
      </w:r>
      <w:r w:rsidR="00FA0000">
        <w:t>extensive</w:t>
      </w:r>
      <w:r w:rsidR="0025649D">
        <w:t xml:space="preserve"> </w:t>
      </w:r>
      <w:r>
        <w:t xml:space="preserve">experience in television </w:t>
      </w:r>
      <w:r w:rsidR="0025649D">
        <w:t xml:space="preserve">broadcast engineering </w:t>
      </w:r>
      <w:r w:rsidR="008D5BBC">
        <w:t xml:space="preserve">services </w:t>
      </w:r>
      <w:r w:rsidR="0025649D">
        <w:t xml:space="preserve">and </w:t>
      </w:r>
      <w:r w:rsidR="0025649D">
        <w:lastRenderedPageBreak/>
        <w:t>Federal fund management (</w:t>
      </w:r>
      <w:r w:rsidR="002851B2">
        <w:t>Fund Administrator</w:t>
      </w:r>
      <w:r w:rsidR="0025649D">
        <w:t>).</w:t>
      </w:r>
      <w:r w:rsidR="00FC4C07" w:rsidRPr="009614B0">
        <w:rPr>
          <w:szCs w:val="22"/>
          <w:vertAlign w:val="superscript"/>
        </w:rPr>
        <w:footnoteReference w:id="12"/>
      </w:r>
      <w:r w:rsidR="0025649D">
        <w:t xml:space="preserve"> </w:t>
      </w:r>
      <w:r w:rsidR="00FC4C07">
        <w:t xml:space="preserve"> </w:t>
      </w:r>
      <w:r w:rsidR="0025649D">
        <w:t xml:space="preserve">The </w:t>
      </w:r>
      <w:r w:rsidR="002851B2">
        <w:t>Fund Administrator</w:t>
      </w:r>
      <w:r w:rsidR="004A7B09">
        <w:t xml:space="preserve"> </w:t>
      </w:r>
      <w:r w:rsidR="00897666">
        <w:t xml:space="preserve">reviewed </w:t>
      </w:r>
      <w:r w:rsidR="004A7B09">
        <w:t xml:space="preserve">the </w:t>
      </w:r>
      <w:r w:rsidR="00897666">
        <w:t xml:space="preserve">Reimbursement Forms and the </w:t>
      </w:r>
      <w:r w:rsidR="00514460">
        <w:t xml:space="preserve">accompanying supporting </w:t>
      </w:r>
      <w:r w:rsidR="00897666">
        <w:t xml:space="preserve">documentation </w:t>
      </w:r>
      <w:r w:rsidR="00F94788">
        <w:t xml:space="preserve">to </w:t>
      </w:r>
      <w:r w:rsidR="004A7B09">
        <w:t xml:space="preserve">validate </w:t>
      </w:r>
      <w:r w:rsidR="00F94788">
        <w:t xml:space="preserve">that the estimates </w:t>
      </w:r>
      <w:r w:rsidR="008963DD">
        <w:t>reflect</w:t>
      </w:r>
      <w:r w:rsidR="00F94788">
        <w:t xml:space="preserve"> costs </w:t>
      </w:r>
      <w:r w:rsidR="004A7B09">
        <w:t xml:space="preserve">that may be </w:t>
      </w:r>
      <w:r w:rsidR="00F94788">
        <w:t xml:space="preserve">reasonably incurred to </w:t>
      </w:r>
      <w:r w:rsidR="008963DD">
        <w:t xml:space="preserve">relocate television service from a station’s original channel to </w:t>
      </w:r>
      <w:r w:rsidR="0060675B">
        <w:t xml:space="preserve">its </w:t>
      </w:r>
      <w:r w:rsidR="008963DD">
        <w:t xml:space="preserve">reassigned </w:t>
      </w:r>
      <w:r w:rsidR="00F94788">
        <w:t xml:space="preserve">channel or, in the case of MVPDs, to </w:t>
      </w:r>
      <w:r w:rsidR="008963DD">
        <w:t xml:space="preserve">continue to </w:t>
      </w:r>
      <w:r w:rsidR="00F94788">
        <w:t xml:space="preserve">carry the </w:t>
      </w:r>
      <w:r w:rsidR="008963DD">
        <w:t xml:space="preserve">broadcast </w:t>
      </w:r>
      <w:r w:rsidR="00F94788">
        <w:t xml:space="preserve">signal </w:t>
      </w:r>
      <w:r w:rsidR="00B62C55">
        <w:t xml:space="preserve">of a </w:t>
      </w:r>
      <w:r w:rsidR="00730C33">
        <w:t>reassigned broadcast station</w:t>
      </w:r>
      <w:r w:rsidR="00897666">
        <w:t>.</w:t>
      </w:r>
      <w:r w:rsidR="00897666" w:rsidRPr="00277A5B">
        <w:t xml:space="preserve"> </w:t>
      </w:r>
      <w:r w:rsidR="00897666">
        <w:t xml:space="preserve"> Requests for </w:t>
      </w:r>
      <w:r w:rsidR="00EC1B08">
        <w:t xml:space="preserve">additional </w:t>
      </w:r>
      <w:r w:rsidR="00897666">
        <w:t xml:space="preserve">information were sent to entities </w:t>
      </w:r>
      <w:r w:rsidR="00FD3F71">
        <w:t>where reasonableness could not be determined</w:t>
      </w:r>
      <w:r w:rsidR="005D6FFC">
        <w:t>, where necessary documentation appeared to be missing,</w:t>
      </w:r>
      <w:r w:rsidR="00FD3F71">
        <w:t xml:space="preserve"> or where the </w:t>
      </w:r>
      <w:r w:rsidR="00897666">
        <w:t>request</w:t>
      </w:r>
      <w:r w:rsidR="00BD6600">
        <w:t>ed</w:t>
      </w:r>
      <w:r w:rsidR="00897666">
        <w:t xml:space="preserve"> reimbursement </w:t>
      </w:r>
      <w:r w:rsidR="005D6FFC">
        <w:t>appeared to be</w:t>
      </w:r>
      <w:r w:rsidR="00897666">
        <w:t xml:space="preserve"> </w:t>
      </w:r>
      <w:r w:rsidR="00897666" w:rsidRPr="00277A5B">
        <w:t>excessive</w:t>
      </w:r>
      <w:r w:rsidR="00513AC9">
        <w:t>.</w:t>
      </w:r>
      <w:r w:rsidR="006C1594">
        <w:t xml:space="preserve"> </w:t>
      </w:r>
      <w:r w:rsidR="00513AC9">
        <w:t xml:space="preserve"> </w:t>
      </w:r>
      <w:r w:rsidR="00FD3F71">
        <w:rPr>
          <w:szCs w:val="22"/>
        </w:rPr>
        <w:t xml:space="preserve">After </w:t>
      </w:r>
      <w:r w:rsidR="00A6556E">
        <w:rPr>
          <w:szCs w:val="22"/>
        </w:rPr>
        <w:t xml:space="preserve">the </w:t>
      </w:r>
      <w:r w:rsidR="00CB39CD">
        <w:rPr>
          <w:szCs w:val="22"/>
        </w:rPr>
        <w:t xml:space="preserve">Fund Administrator </w:t>
      </w:r>
      <w:r w:rsidR="00FD3F71">
        <w:rPr>
          <w:szCs w:val="22"/>
        </w:rPr>
        <w:t>complet</w:t>
      </w:r>
      <w:r w:rsidR="00CB39CD">
        <w:rPr>
          <w:szCs w:val="22"/>
        </w:rPr>
        <w:t>ed</w:t>
      </w:r>
      <w:r w:rsidR="00514460">
        <w:rPr>
          <w:szCs w:val="22"/>
        </w:rPr>
        <w:t xml:space="preserve"> </w:t>
      </w:r>
      <w:r w:rsidR="00AE28BA">
        <w:rPr>
          <w:szCs w:val="22"/>
        </w:rPr>
        <w:t>its</w:t>
      </w:r>
      <w:r w:rsidR="00A94531">
        <w:rPr>
          <w:szCs w:val="22"/>
        </w:rPr>
        <w:t xml:space="preserve"> review of the estimates, </w:t>
      </w:r>
      <w:r w:rsidR="00AE28BA">
        <w:rPr>
          <w:szCs w:val="22"/>
        </w:rPr>
        <w:t>and the Bureau reviewed and verified its recommendations</w:t>
      </w:r>
      <w:r w:rsidR="00610DF8">
        <w:rPr>
          <w:szCs w:val="22"/>
        </w:rPr>
        <w:t xml:space="preserve">, the </w:t>
      </w:r>
      <w:r w:rsidR="00146BAC">
        <w:rPr>
          <w:szCs w:val="22"/>
        </w:rPr>
        <w:t>aggregate</w:t>
      </w:r>
      <w:r w:rsidR="00625CC0" w:rsidRPr="009614B0">
        <w:rPr>
          <w:szCs w:val="22"/>
        </w:rPr>
        <w:t xml:space="preserve"> </w:t>
      </w:r>
      <w:r w:rsidR="004B0438" w:rsidRPr="009614B0">
        <w:rPr>
          <w:szCs w:val="22"/>
        </w:rPr>
        <w:t>reimbursement</w:t>
      </w:r>
      <w:r w:rsidR="00610DF8" w:rsidRPr="00610DF8">
        <w:rPr>
          <w:szCs w:val="22"/>
        </w:rPr>
        <w:t xml:space="preserve"> </w:t>
      </w:r>
      <w:r w:rsidR="00610DF8" w:rsidRPr="009614B0">
        <w:rPr>
          <w:szCs w:val="22"/>
        </w:rPr>
        <w:t>demand</w:t>
      </w:r>
      <w:r w:rsidR="00610DF8" w:rsidRPr="00610DF8">
        <w:rPr>
          <w:szCs w:val="22"/>
        </w:rPr>
        <w:t xml:space="preserve"> </w:t>
      </w:r>
      <w:r w:rsidR="00610DF8">
        <w:rPr>
          <w:szCs w:val="22"/>
        </w:rPr>
        <w:t>for the purposes of the initial allocation</w:t>
      </w:r>
      <w:r w:rsidR="00FD621E">
        <w:rPr>
          <w:szCs w:val="22"/>
        </w:rPr>
        <w:t>,</w:t>
      </w:r>
      <w:r w:rsidR="004B0438" w:rsidRPr="009614B0">
        <w:rPr>
          <w:szCs w:val="22"/>
        </w:rPr>
        <w:t xml:space="preserve"> </w:t>
      </w:r>
      <w:r w:rsidR="00237CEE">
        <w:rPr>
          <w:szCs w:val="22"/>
        </w:rPr>
        <w:t xml:space="preserve">as of </w:t>
      </w:r>
      <w:r w:rsidR="003C4D0B">
        <w:rPr>
          <w:szCs w:val="22"/>
        </w:rPr>
        <w:t xml:space="preserve">October </w:t>
      </w:r>
      <w:r w:rsidR="006C1594">
        <w:rPr>
          <w:szCs w:val="22"/>
        </w:rPr>
        <w:t>10</w:t>
      </w:r>
      <w:r w:rsidR="003C4D0B">
        <w:rPr>
          <w:szCs w:val="22"/>
        </w:rPr>
        <w:t>, 2017</w:t>
      </w:r>
      <w:r w:rsidR="00FD621E">
        <w:rPr>
          <w:szCs w:val="22"/>
        </w:rPr>
        <w:t>,</w:t>
      </w:r>
      <w:r w:rsidR="003C4D0B">
        <w:rPr>
          <w:szCs w:val="22"/>
        </w:rPr>
        <w:t xml:space="preserve"> </w:t>
      </w:r>
      <w:r w:rsidR="00610DF8">
        <w:rPr>
          <w:szCs w:val="22"/>
        </w:rPr>
        <w:t xml:space="preserve">was </w:t>
      </w:r>
      <w:r w:rsidR="00610DF8" w:rsidRPr="00C57667">
        <w:rPr>
          <w:szCs w:val="22"/>
        </w:rPr>
        <w:t>$</w:t>
      </w:r>
      <w:bookmarkStart w:id="1" w:name="_Hlk495482314"/>
      <w:r w:rsidR="00AB62BD" w:rsidRPr="00C57667">
        <w:rPr>
          <w:szCs w:val="22"/>
        </w:rPr>
        <w:t>1,863,971,470.42</w:t>
      </w:r>
      <w:bookmarkEnd w:id="1"/>
      <w:r w:rsidR="008810C4">
        <w:rPr>
          <w:szCs w:val="22"/>
        </w:rPr>
        <w:t>.</w:t>
      </w:r>
      <w:r w:rsidR="005D6FFC">
        <w:rPr>
          <w:rStyle w:val="FootnoteReference"/>
          <w:szCs w:val="22"/>
        </w:rPr>
        <w:footnoteReference w:id="13"/>
      </w:r>
      <w:r w:rsidR="006C23ED">
        <w:rPr>
          <w:szCs w:val="22"/>
        </w:rPr>
        <w:t xml:space="preserve">  </w:t>
      </w:r>
      <w:r w:rsidR="00D670F7">
        <w:t xml:space="preserve">Each </w:t>
      </w:r>
      <w:r w:rsidR="00FD621E">
        <w:t>E</w:t>
      </w:r>
      <w:r w:rsidR="00FD621E">
        <w:rPr>
          <w:szCs w:val="22"/>
        </w:rPr>
        <w:t xml:space="preserve">ligible Entity </w:t>
      </w:r>
      <w:r w:rsidR="00D670F7">
        <w:rPr>
          <w:szCs w:val="22"/>
        </w:rPr>
        <w:t xml:space="preserve">will receive </w:t>
      </w:r>
      <w:r w:rsidR="00514460">
        <w:rPr>
          <w:szCs w:val="22"/>
        </w:rPr>
        <w:t xml:space="preserve">a </w:t>
      </w:r>
      <w:r w:rsidR="00D670F7">
        <w:rPr>
          <w:szCs w:val="22"/>
        </w:rPr>
        <w:t xml:space="preserve">direct </w:t>
      </w:r>
      <w:r w:rsidR="0082436E">
        <w:rPr>
          <w:szCs w:val="22"/>
        </w:rPr>
        <w:t>e</w:t>
      </w:r>
      <w:r w:rsidR="00F2037F">
        <w:rPr>
          <w:szCs w:val="22"/>
        </w:rPr>
        <w:t>-</w:t>
      </w:r>
      <w:r w:rsidR="0082436E">
        <w:rPr>
          <w:szCs w:val="22"/>
        </w:rPr>
        <w:t xml:space="preserve">mail </w:t>
      </w:r>
      <w:r w:rsidR="00D670F7">
        <w:rPr>
          <w:szCs w:val="22"/>
        </w:rPr>
        <w:t xml:space="preserve">communication </w:t>
      </w:r>
      <w:r w:rsidR="006A29B6">
        <w:rPr>
          <w:szCs w:val="22"/>
        </w:rPr>
        <w:t xml:space="preserve">on behalf of the Bureau </w:t>
      </w:r>
      <w:r w:rsidR="00D670F7">
        <w:rPr>
          <w:szCs w:val="22"/>
        </w:rPr>
        <w:t xml:space="preserve">describing the </w:t>
      </w:r>
      <w:r w:rsidR="00237CEE">
        <w:rPr>
          <w:szCs w:val="22"/>
        </w:rPr>
        <w:t>results</w:t>
      </w:r>
      <w:r w:rsidR="00D670F7">
        <w:rPr>
          <w:szCs w:val="22"/>
        </w:rPr>
        <w:t xml:space="preserve"> of the reasonableness review</w:t>
      </w:r>
      <w:r w:rsidR="00514460">
        <w:rPr>
          <w:szCs w:val="22"/>
        </w:rPr>
        <w:t>, which will include</w:t>
      </w:r>
      <w:r w:rsidR="00340126">
        <w:rPr>
          <w:szCs w:val="22"/>
        </w:rPr>
        <w:t>:</w:t>
      </w:r>
      <w:r w:rsidR="004A7B09">
        <w:rPr>
          <w:szCs w:val="22"/>
        </w:rPr>
        <w:t xml:space="preserve"> </w:t>
      </w:r>
      <w:r w:rsidR="00340126">
        <w:rPr>
          <w:szCs w:val="22"/>
        </w:rPr>
        <w:t xml:space="preserve">the aggregate verified amount for that entity’s submitted </w:t>
      </w:r>
      <w:r w:rsidR="0082436E">
        <w:rPr>
          <w:szCs w:val="22"/>
        </w:rPr>
        <w:t>estimate;</w:t>
      </w:r>
      <w:r w:rsidR="00340126">
        <w:rPr>
          <w:szCs w:val="22"/>
        </w:rPr>
        <w:t xml:space="preserve"> </w:t>
      </w:r>
      <w:r w:rsidR="004A7B09">
        <w:rPr>
          <w:szCs w:val="22"/>
        </w:rPr>
        <w:t>where adjustments</w:t>
      </w:r>
      <w:r w:rsidR="00513895">
        <w:rPr>
          <w:szCs w:val="22"/>
        </w:rPr>
        <w:t xml:space="preserve"> (if any)</w:t>
      </w:r>
      <w:r w:rsidR="004A7B09">
        <w:rPr>
          <w:szCs w:val="22"/>
        </w:rPr>
        <w:t xml:space="preserve"> were made</w:t>
      </w:r>
      <w:r w:rsidR="0082436E">
        <w:rPr>
          <w:szCs w:val="22"/>
        </w:rPr>
        <w:t>;</w:t>
      </w:r>
      <w:r w:rsidR="00340126">
        <w:rPr>
          <w:szCs w:val="22"/>
        </w:rPr>
        <w:t xml:space="preserve"> and</w:t>
      </w:r>
      <w:r w:rsidR="004A7B09">
        <w:rPr>
          <w:szCs w:val="22"/>
        </w:rPr>
        <w:t xml:space="preserve"> the rationale and amount of the modification to </w:t>
      </w:r>
      <w:r w:rsidR="00340126">
        <w:rPr>
          <w:szCs w:val="22"/>
        </w:rPr>
        <w:t>any</w:t>
      </w:r>
      <w:r w:rsidR="004A7B09">
        <w:rPr>
          <w:szCs w:val="22"/>
        </w:rPr>
        <w:t xml:space="preserve"> cost estimate line item</w:t>
      </w:r>
      <w:r w:rsidR="00340126">
        <w:rPr>
          <w:szCs w:val="22"/>
        </w:rPr>
        <w:t>s</w:t>
      </w:r>
      <w:r w:rsidR="00D670F7">
        <w:rPr>
          <w:szCs w:val="22"/>
        </w:rPr>
        <w:t>.</w:t>
      </w:r>
    </w:p>
    <w:p w:rsidR="004268DC" w:rsidRDefault="004268DC" w:rsidP="00090364">
      <w:pPr>
        <w:spacing w:after="220"/>
        <w:ind w:firstLine="720"/>
        <w:rPr>
          <w:szCs w:val="22"/>
        </w:rPr>
      </w:pPr>
      <w:r w:rsidRPr="00324FED">
        <w:rPr>
          <w:szCs w:val="22"/>
        </w:rPr>
        <w:t xml:space="preserve">We emphasize that the </w:t>
      </w:r>
      <w:r>
        <w:rPr>
          <w:szCs w:val="22"/>
        </w:rPr>
        <w:t xml:space="preserve">verified estimates </w:t>
      </w:r>
      <w:r w:rsidRPr="00324FED">
        <w:rPr>
          <w:szCs w:val="22"/>
        </w:rPr>
        <w:t>use</w:t>
      </w:r>
      <w:r>
        <w:rPr>
          <w:szCs w:val="22"/>
        </w:rPr>
        <w:t>d</w:t>
      </w:r>
      <w:r w:rsidRPr="00324FED">
        <w:rPr>
          <w:szCs w:val="22"/>
        </w:rPr>
        <w:t xml:space="preserve"> for purposes of this initial allocation </w:t>
      </w:r>
      <w:r>
        <w:rPr>
          <w:szCs w:val="22"/>
        </w:rPr>
        <w:t>are likely to rise</w:t>
      </w:r>
      <w:r w:rsidRPr="00324FED">
        <w:rPr>
          <w:szCs w:val="22"/>
        </w:rPr>
        <w:t xml:space="preserve"> as Eligible Entities are able to produce adequate justification for their unverified initial estimates and refine and supplement their estimates as their construction planning and execution continues</w:t>
      </w:r>
      <w:r>
        <w:rPr>
          <w:szCs w:val="22"/>
        </w:rPr>
        <w:t>,</w:t>
      </w:r>
      <w:r w:rsidRPr="0040141E">
        <w:rPr>
          <w:szCs w:val="22"/>
        </w:rPr>
        <w:t xml:space="preserve"> </w:t>
      </w:r>
      <w:r>
        <w:rPr>
          <w:szCs w:val="22"/>
        </w:rPr>
        <w:t>including, for instance, as stations more fully evaluate</w:t>
      </w:r>
      <w:r w:rsidRPr="00324FED">
        <w:rPr>
          <w:szCs w:val="22"/>
        </w:rPr>
        <w:t xml:space="preserve"> tower and rigging needs, </w:t>
      </w:r>
      <w:r>
        <w:rPr>
          <w:szCs w:val="22"/>
        </w:rPr>
        <w:t xml:space="preserve">incur </w:t>
      </w:r>
      <w:r w:rsidRPr="00324FED">
        <w:rPr>
          <w:szCs w:val="22"/>
        </w:rPr>
        <w:t>engineering and other consulting cost</w:t>
      </w:r>
      <w:r>
        <w:rPr>
          <w:szCs w:val="22"/>
        </w:rPr>
        <w:t>s</w:t>
      </w:r>
      <w:r w:rsidRPr="00324FED">
        <w:rPr>
          <w:szCs w:val="22"/>
        </w:rPr>
        <w:t xml:space="preserve">, and </w:t>
      </w:r>
      <w:r>
        <w:rPr>
          <w:szCs w:val="22"/>
        </w:rPr>
        <w:t>realize the impact of</w:t>
      </w:r>
      <w:r w:rsidRPr="00324FED">
        <w:rPr>
          <w:szCs w:val="22"/>
        </w:rPr>
        <w:t xml:space="preserve"> cost increases in equipment and services over the </w:t>
      </w:r>
      <w:r>
        <w:rPr>
          <w:szCs w:val="22"/>
        </w:rPr>
        <w:t>three</w:t>
      </w:r>
      <w:r w:rsidRPr="00324FED">
        <w:rPr>
          <w:szCs w:val="22"/>
        </w:rPr>
        <w:t>-year transition period.</w:t>
      </w:r>
      <w:r>
        <w:rPr>
          <w:rStyle w:val="FootnoteReference"/>
          <w:szCs w:val="22"/>
        </w:rPr>
        <w:footnoteReference w:id="14"/>
      </w:r>
    </w:p>
    <w:p w:rsidR="005D1582" w:rsidRDefault="002B0537" w:rsidP="00090364">
      <w:pPr>
        <w:spacing w:after="220"/>
        <w:ind w:firstLine="720"/>
        <w:rPr>
          <w:szCs w:val="22"/>
        </w:rPr>
      </w:pPr>
      <w:r>
        <w:rPr>
          <w:i/>
          <w:szCs w:val="22"/>
        </w:rPr>
        <w:t xml:space="preserve">Initial Allocation.  </w:t>
      </w:r>
      <w:r w:rsidR="00514460">
        <w:rPr>
          <w:szCs w:val="22"/>
        </w:rPr>
        <w:t xml:space="preserve">In accordance with what </w:t>
      </w:r>
      <w:r w:rsidR="00487A6D">
        <w:rPr>
          <w:szCs w:val="22"/>
        </w:rPr>
        <w:t xml:space="preserve">the Commission </w:t>
      </w:r>
      <w:r w:rsidR="003C4D0B">
        <w:rPr>
          <w:szCs w:val="22"/>
        </w:rPr>
        <w:t xml:space="preserve">has previously </w:t>
      </w:r>
      <w:r w:rsidR="00BF0731">
        <w:rPr>
          <w:szCs w:val="22"/>
        </w:rPr>
        <w:t>stated,</w:t>
      </w:r>
      <w:r w:rsidR="007A21B5" w:rsidRPr="009614B0">
        <w:rPr>
          <w:rStyle w:val="FootnoteReference"/>
          <w:sz w:val="22"/>
          <w:szCs w:val="22"/>
        </w:rPr>
        <w:footnoteReference w:id="15"/>
      </w:r>
      <w:r w:rsidR="00BF0731">
        <w:rPr>
          <w:szCs w:val="22"/>
        </w:rPr>
        <w:t xml:space="preserve"> w</w:t>
      </w:r>
      <w:r w:rsidR="00BF0731" w:rsidRPr="009614B0">
        <w:rPr>
          <w:szCs w:val="22"/>
        </w:rPr>
        <w:t xml:space="preserve">e </w:t>
      </w:r>
      <w:r w:rsidR="00BF0731">
        <w:rPr>
          <w:szCs w:val="22"/>
        </w:rPr>
        <w:t xml:space="preserve">will initially allocate </w:t>
      </w:r>
      <w:r w:rsidR="00A306CC">
        <w:rPr>
          <w:szCs w:val="22"/>
        </w:rPr>
        <w:t xml:space="preserve">approximately </w:t>
      </w:r>
      <w:r w:rsidR="00BF0731">
        <w:rPr>
          <w:szCs w:val="22"/>
        </w:rPr>
        <w:t>$</w:t>
      </w:r>
      <w:r w:rsidR="003A767A">
        <w:rPr>
          <w:szCs w:val="22"/>
        </w:rPr>
        <w:t>1 billion</w:t>
      </w:r>
      <w:r w:rsidR="00BF0731">
        <w:rPr>
          <w:szCs w:val="22"/>
        </w:rPr>
        <w:t>,</w:t>
      </w:r>
      <w:r w:rsidR="00A306CC" w:rsidRPr="009614B0">
        <w:rPr>
          <w:rStyle w:val="FootnoteReference"/>
          <w:sz w:val="22"/>
          <w:szCs w:val="22"/>
        </w:rPr>
        <w:footnoteReference w:id="16"/>
      </w:r>
      <w:r w:rsidR="00BF0731">
        <w:rPr>
          <w:szCs w:val="22"/>
        </w:rPr>
        <w:t xml:space="preserve"> which we believe </w:t>
      </w:r>
      <w:r w:rsidR="00FD0EA0">
        <w:rPr>
          <w:szCs w:val="22"/>
        </w:rPr>
        <w:t xml:space="preserve">will </w:t>
      </w:r>
      <w:r w:rsidR="00F54EA2">
        <w:rPr>
          <w:szCs w:val="22"/>
        </w:rPr>
        <w:t xml:space="preserve">be sufficient to meet </w:t>
      </w:r>
      <w:r w:rsidR="001E71DF">
        <w:rPr>
          <w:szCs w:val="22"/>
        </w:rPr>
        <w:t>anticipated</w:t>
      </w:r>
      <w:r w:rsidR="00BF0731" w:rsidRPr="009614B0">
        <w:rPr>
          <w:szCs w:val="22"/>
        </w:rPr>
        <w:t xml:space="preserve"> near-term </w:t>
      </w:r>
      <w:r w:rsidR="00AB34A9">
        <w:rPr>
          <w:szCs w:val="22"/>
        </w:rPr>
        <w:t>expenditures</w:t>
      </w:r>
      <w:r w:rsidR="00BF0731">
        <w:rPr>
          <w:szCs w:val="22"/>
        </w:rPr>
        <w:t>.</w:t>
      </w:r>
      <w:r w:rsidR="005D6FFC">
        <w:rPr>
          <w:szCs w:val="22"/>
        </w:rPr>
        <w:t xml:space="preserve"> </w:t>
      </w:r>
      <w:r w:rsidR="00A306CC">
        <w:rPr>
          <w:szCs w:val="22"/>
        </w:rPr>
        <w:t xml:space="preserve"> </w:t>
      </w:r>
      <w:r w:rsidR="005D6FFC">
        <w:rPr>
          <w:szCs w:val="22"/>
        </w:rPr>
        <w:t>Based on the total verified aggregate demand on the Fund</w:t>
      </w:r>
      <w:r w:rsidR="00FD621E">
        <w:rPr>
          <w:szCs w:val="22"/>
        </w:rPr>
        <w:t>,</w:t>
      </w:r>
      <w:r w:rsidR="003C4D0B">
        <w:rPr>
          <w:szCs w:val="22"/>
        </w:rPr>
        <w:t xml:space="preserve"> as of October</w:t>
      </w:r>
      <w:r w:rsidR="00AB62BD">
        <w:rPr>
          <w:szCs w:val="22"/>
        </w:rPr>
        <w:t xml:space="preserve"> </w:t>
      </w:r>
      <w:r w:rsidR="006C1594">
        <w:rPr>
          <w:szCs w:val="22"/>
        </w:rPr>
        <w:t>10</w:t>
      </w:r>
      <w:r w:rsidR="003C4D0B">
        <w:rPr>
          <w:szCs w:val="22"/>
        </w:rPr>
        <w:t>, 2017</w:t>
      </w:r>
      <w:r>
        <w:rPr>
          <w:szCs w:val="22"/>
        </w:rPr>
        <w:t>,</w:t>
      </w:r>
      <w:r w:rsidR="005D6FFC">
        <w:rPr>
          <w:szCs w:val="22"/>
        </w:rPr>
        <w:t xml:space="preserve"> the </w:t>
      </w:r>
      <w:r w:rsidR="005D6FFC" w:rsidRPr="009614B0">
        <w:rPr>
          <w:szCs w:val="22"/>
        </w:rPr>
        <w:t>initial</w:t>
      </w:r>
      <w:r w:rsidR="005D6FFC">
        <w:rPr>
          <w:szCs w:val="22"/>
        </w:rPr>
        <w:t xml:space="preserve"> </w:t>
      </w:r>
      <w:r w:rsidR="005D6FFC" w:rsidRPr="009614B0">
        <w:rPr>
          <w:szCs w:val="22"/>
        </w:rPr>
        <w:t xml:space="preserve">allocation will </w:t>
      </w:r>
      <w:r w:rsidR="005D6FFC">
        <w:rPr>
          <w:szCs w:val="22"/>
        </w:rPr>
        <w:t>give</w:t>
      </w:r>
      <w:r w:rsidR="005D6FFC" w:rsidRPr="009614B0">
        <w:rPr>
          <w:szCs w:val="22"/>
        </w:rPr>
        <w:t xml:space="preserve"> commercial stations and </w:t>
      </w:r>
      <w:r w:rsidR="005D6FFC">
        <w:rPr>
          <w:szCs w:val="22"/>
        </w:rPr>
        <w:t>MVPDs</w:t>
      </w:r>
      <w:r w:rsidR="005D6FFC" w:rsidRPr="009614B0">
        <w:rPr>
          <w:szCs w:val="22"/>
        </w:rPr>
        <w:t xml:space="preserve"> access to approximately </w:t>
      </w:r>
      <w:r w:rsidR="006C1594">
        <w:rPr>
          <w:szCs w:val="22"/>
        </w:rPr>
        <w:t>52</w:t>
      </w:r>
      <w:r w:rsidR="005D6FFC">
        <w:rPr>
          <w:szCs w:val="22"/>
        </w:rPr>
        <w:t xml:space="preserve"> percent</w:t>
      </w:r>
      <w:r w:rsidR="005D6FFC" w:rsidRPr="009614B0">
        <w:rPr>
          <w:szCs w:val="22"/>
        </w:rPr>
        <w:t xml:space="preserve"> of </w:t>
      </w:r>
      <w:r w:rsidR="005D6FFC">
        <w:rPr>
          <w:szCs w:val="22"/>
        </w:rPr>
        <w:t xml:space="preserve">their currently </w:t>
      </w:r>
      <w:r w:rsidR="005D6FFC" w:rsidRPr="009614B0">
        <w:rPr>
          <w:szCs w:val="22"/>
        </w:rPr>
        <w:t xml:space="preserve">estimated </w:t>
      </w:r>
      <w:r w:rsidR="00E67BC3">
        <w:rPr>
          <w:szCs w:val="22"/>
        </w:rPr>
        <w:t xml:space="preserve">and verified </w:t>
      </w:r>
      <w:r w:rsidR="005D6FFC" w:rsidRPr="009614B0">
        <w:rPr>
          <w:szCs w:val="22"/>
        </w:rPr>
        <w:t xml:space="preserve">costs, and </w:t>
      </w:r>
      <w:r w:rsidR="005D6FFC">
        <w:rPr>
          <w:szCs w:val="22"/>
        </w:rPr>
        <w:t>NCEs</w:t>
      </w:r>
      <w:r w:rsidR="005D6FFC" w:rsidRPr="009614B0">
        <w:rPr>
          <w:szCs w:val="22"/>
        </w:rPr>
        <w:t xml:space="preserve"> access to approximately </w:t>
      </w:r>
      <w:r w:rsidR="00C76B1B">
        <w:rPr>
          <w:szCs w:val="22"/>
        </w:rPr>
        <w:t>62</w:t>
      </w:r>
      <w:r w:rsidR="005D6FFC" w:rsidRPr="0079127A">
        <w:rPr>
          <w:szCs w:val="22"/>
        </w:rPr>
        <w:t xml:space="preserve"> </w:t>
      </w:r>
      <w:r w:rsidR="005D6FFC">
        <w:rPr>
          <w:szCs w:val="22"/>
        </w:rPr>
        <w:t>percent</w:t>
      </w:r>
      <w:r w:rsidR="005D6FFC" w:rsidRPr="009614B0">
        <w:rPr>
          <w:szCs w:val="22"/>
        </w:rPr>
        <w:t xml:space="preserve"> of </w:t>
      </w:r>
      <w:r w:rsidR="005D6FFC">
        <w:rPr>
          <w:szCs w:val="22"/>
        </w:rPr>
        <w:t>their current</w:t>
      </w:r>
      <w:r w:rsidR="00E67BC3">
        <w:rPr>
          <w:szCs w:val="22"/>
        </w:rPr>
        <w:t>ly</w:t>
      </w:r>
      <w:r w:rsidR="005D6FFC">
        <w:rPr>
          <w:szCs w:val="22"/>
        </w:rPr>
        <w:t xml:space="preserve"> </w:t>
      </w:r>
      <w:r w:rsidR="005D6FFC" w:rsidRPr="009614B0">
        <w:rPr>
          <w:szCs w:val="22"/>
        </w:rPr>
        <w:t xml:space="preserve">estimated </w:t>
      </w:r>
      <w:r w:rsidR="00E67BC3">
        <w:rPr>
          <w:szCs w:val="22"/>
        </w:rPr>
        <w:t xml:space="preserve">and verified </w:t>
      </w:r>
      <w:r w:rsidR="005D6FFC" w:rsidRPr="009614B0">
        <w:rPr>
          <w:szCs w:val="22"/>
        </w:rPr>
        <w:t>costs.</w:t>
      </w:r>
      <w:r w:rsidR="005D6FFC">
        <w:rPr>
          <w:szCs w:val="22"/>
        </w:rPr>
        <w:t xml:space="preserve"> </w:t>
      </w:r>
      <w:r w:rsidR="00BF0731">
        <w:rPr>
          <w:szCs w:val="22"/>
        </w:rPr>
        <w:t xml:space="preserve"> </w:t>
      </w:r>
      <w:r w:rsidR="00561EE8">
        <w:rPr>
          <w:szCs w:val="22"/>
        </w:rPr>
        <w:t xml:space="preserve">The </w:t>
      </w:r>
      <w:r w:rsidR="0082436E">
        <w:rPr>
          <w:szCs w:val="22"/>
        </w:rPr>
        <w:t xml:space="preserve">Bureau, in consultation with the </w:t>
      </w:r>
      <w:r w:rsidR="003035D3">
        <w:rPr>
          <w:szCs w:val="22"/>
        </w:rPr>
        <w:t>Fund Administrator</w:t>
      </w:r>
      <w:r w:rsidR="00194FA4">
        <w:rPr>
          <w:szCs w:val="22"/>
        </w:rPr>
        <w:t>,</w:t>
      </w:r>
      <w:r w:rsidR="000F6696">
        <w:rPr>
          <w:szCs w:val="22"/>
        </w:rPr>
        <w:t xml:space="preserve"> </w:t>
      </w:r>
      <w:r w:rsidR="00AB34A9">
        <w:rPr>
          <w:szCs w:val="22"/>
        </w:rPr>
        <w:t xml:space="preserve">considered the reimbursement demand by discrete cost categories, including the estimated expenditures </w:t>
      </w:r>
      <w:r w:rsidR="004C78C4">
        <w:rPr>
          <w:szCs w:val="22"/>
        </w:rPr>
        <w:t>anticipated</w:t>
      </w:r>
      <w:r w:rsidR="00AB34A9">
        <w:rPr>
          <w:szCs w:val="22"/>
        </w:rPr>
        <w:t xml:space="preserve"> to be incurred as up-front costs, down payments on equipment</w:t>
      </w:r>
      <w:r w:rsidR="00561EE8">
        <w:rPr>
          <w:szCs w:val="22"/>
        </w:rPr>
        <w:t>,</w:t>
      </w:r>
      <w:r w:rsidR="00AB34A9">
        <w:rPr>
          <w:szCs w:val="22"/>
        </w:rPr>
        <w:t xml:space="preserve"> and other associated starting costs, as well as </w:t>
      </w:r>
      <w:r w:rsidR="00561EE8">
        <w:rPr>
          <w:szCs w:val="22"/>
        </w:rPr>
        <w:t xml:space="preserve">other “pre-implementation” </w:t>
      </w:r>
      <w:r w:rsidR="004C78C4">
        <w:rPr>
          <w:szCs w:val="22"/>
        </w:rPr>
        <w:t xml:space="preserve">and “early implementation” </w:t>
      </w:r>
      <w:r w:rsidR="00561EE8">
        <w:rPr>
          <w:szCs w:val="22"/>
        </w:rPr>
        <w:t>costs billed in the ordinary course of trade</w:t>
      </w:r>
      <w:r w:rsidR="0037211A">
        <w:rPr>
          <w:szCs w:val="22"/>
        </w:rPr>
        <w:t xml:space="preserve">. </w:t>
      </w:r>
      <w:r w:rsidR="000F6696">
        <w:rPr>
          <w:szCs w:val="22"/>
        </w:rPr>
        <w:t xml:space="preserve"> </w:t>
      </w:r>
      <w:r w:rsidR="003A767A">
        <w:rPr>
          <w:szCs w:val="22"/>
        </w:rPr>
        <w:t xml:space="preserve">Based on an analysis of the various cost categories, equipment costs that require partial down payments or full pre-payment </w:t>
      </w:r>
      <w:r w:rsidR="007C63A3">
        <w:rPr>
          <w:szCs w:val="22"/>
        </w:rPr>
        <w:t>combined with</w:t>
      </w:r>
      <w:r w:rsidR="00194FA4">
        <w:rPr>
          <w:szCs w:val="22"/>
        </w:rPr>
        <w:t xml:space="preserve"> up-front, labor costs </w:t>
      </w:r>
      <w:r w:rsidR="003A767A">
        <w:rPr>
          <w:szCs w:val="22"/>
        </w:rPr>
        <w:t>are expected to be less than</w:t>
      </w:r>
      <w:r w:rsidR="00452DC3">
        <w:rPr>
          <w:szCs w:val="22"/>
        </w:rPr>
        <w:t xml:space="preserve"> </w:t>
      </w:r>
      <w:r w:rsidR="00452DC3" w:rsidRPr="00452DC3">
        <w:rPr>
          <w:szCs w:val="22"/>
        </w:rPr>
        <w:t>the $1 billion included in this initial allocation</w:t>
      </w:r>
      <w:r w:rsidR="003A767A">
        <w:rPr>
          <w:szCs w:val="22"/>
        </w:rPr>
        <w:t xml:space="preserve">. </w:t>
      </w:r>
      <w:r w:rsidR="00B33D93">
        <w:rPr>
          <w:szCs w:val="22"/>
        </w:rPr>
        <w:t xml:space="preserve"> </w:t>
      </w:r>
      <w:r w:rsidR="0057529C">
        <w:rPr>
          <w:szCs w:val="22"/>
        </w:rPr>
        <w:t xml:space="preserve">Additionally, the Bureau considered the initial allocation in light of the </w:t>
      </w:r>
      <w:r w:rsidR="004C78C4">
        <w:rPr>
          <w:szCs w:val="22"/>
        </w:rPr>
        <w:t xml:space="preserve">estimated </w:t>
      </w:r>
      <w:r w:rsidR="0057529C">
        <w:rPr>
          <w:szCs w:val="22"/>
        </w:rPr>
        <w:t xml:space="preserve">funding needs </w:t>
      </w:r>
      <w:r w:rsidR="004C78C4">
        <w:rPr>
          <w:szCs w:val="22"/>
        </w:rPr>
        <w:t xml:space="preserve">as requested by </w:t>
      </w:r>
      <w:r w:rsidR="0057529C">
        <w:rPr>
          <w:szCs w:val="22"/>
        </w:rPr>
        <w:t>stations assigned to the ear</w:t>
      </w:r>
      <w:r w:rsidR="005D1582">
        <w:rPr>
          <w:szCs w:val="22"/>
        </w:rPr>
        <w:t>liest phases of the transition.</w:t>
      </w:r>
      <w:r w:rsidR="00514460">
        <w:rPr>
          <w:szCs w:val="22"/>
        </w:rPr>
        <w:t xml:space="preserve"> </w:t>
      </w:r>
      <w:r w:rsidR="005D1582">
        <w:rPr>
          <w:szCs w:val="22"/>
        </w:rPr>
        <w:t xml:space="preserve"> This</w:t>
      </w:r>
      <w:r w:rsidR="00062C17">
        <w:rPr>
          <w:szCs w:val="22"/>
        </w:rPr>
        <w:t xml:space="preserve"> analysis </w:t>
      </w:r>
      <w:r w:rsidR="004C78C4">
        <w:rPr>
          <w:szCs w:val="22"/>
        </w:rPr>
        <w:t>validates</w:t>
      </w:r>
      <w:r w:rsidR="00561EE8">
        <w:rPr>
          <w:szCs w:val="22"/>
        </w:rPr>
        <w:t xml:space="preserve"> </w:t>
      </w:r>
      <w:r w:rsidR="00062C17">
        <w:rPr>
          <w:szCs w:val="22"/>
        </w:rPr>
        <w:t xml:space="preserve">the Commission’s original determination that </w:t>
      </w:r>
      <w:r w:rsidR="0046164A">
        <w:rPr>
          <w:szCs w:val="22"/>
        </w:rPr>
        <w:t xml:space="preserve">an </w:t>
      </w:r>
      <w:r w:rsidR="00062C17">
        <w:rPr>
          <w:szCs w:val="22"/>
        </w:rPr>
        <w:t xml:space="preserve">initial allocation </w:t>
      </w:r>
      <w:r w:rsidR="0046164A">
        <w:rPr>
          <w:szCs w:val="22"/>
        </w:rPr>
        <w:t xml:space="preserve">of </w:t>
      </w:r>
      <w:r w:rsidR="00062C17">
        <w:rPr>
          <w:szCs w:val="22"/>
        </w:rPr>
        <w:t>$1 billion</w:t>
      </w:r>
      <w:r w:rsidR="0046164A">
        <w:rPr>
          <w:szCs w:val="22"/>
        </w:rPr>
        <w:t xml:space="preserve"> is reasonable</w:t>
      </w:r>
      <w:r w:rsidR="00062C17">
        <w:rPr>
          <w:szCs w:val="22"/>
        </w:rPr>
        <w:t>.</w:t>
      </w:r>
      <w:r w:rsidR="00B33D93">
        <w:rPr>
          <w:szCs w:val="22"/>
        </w:rPr>
        <w:t xml:space="preserve">  We </w:t>
      </w:r>
      <w:r w:rsidR="00514460">
        <w:rPr>
          <w:szCs w:val="22"/>
        </w:rPr>
        <w:t>emphasize</w:t>
      </w:r>
      <w:r w:rsidR="00B33D93">
        <w:rPr>
          <w:szCs w:val="22"/>
        </w:rPr>
        <w:t xml:space="preserve"> that </w:t>
      </w:r>
      <w:r w:rsidR="00514460">
        <w:rPr>
          <w:szCs w:val="22"/>
        </w:rPr>
        <w:t>E</w:t>
      </w:r>
      <w:r w:rsidR="00B33D93">
        <w:rPr>
          <w:szCs w:val="22"/>
        </w:rPr>
        <w:t xml:space="preserve">ligible </w:t>
      </w:r>
      <w:r w:rsidR="00514460">
        <w:rPr>
          <w:szCs w:val="22"/>
        </w:rPr>
        <w:t>E</w:t>
      </w:r>
      <w:r w:rsidR="00B33D93">
        <w:rPr>
          <w:szCs w:val="22"/>
        </w:rPr>
        <w:t>ntities can submit cost documentation for reimbursement for any reimbursable expense they incur; they are not limited to requesting reimbursement only for up-front or “early implementation” costs</w:t>
      </w:r>
      <w:r w:rsidR="00A2736E">
        <w:rPr>
          <w:szCs w:val="22"/>
        </w:rPr>
        <w:t xml:space="preserve"> following th</w:t>
      </w:r>
      <w:r w:rsidR="00CB4E69">
        <w:rPr>
          <w:szCs w:val="22"/>
        </w:rPr>
        <w:t>is</w:t>
      </w:r>
      <w:r w:rsidR="00A2736E">
        <w:rPr>
          <w:szCs w:val="22"/>
        </w:rPr>
        <w:t xml:space="preserve"> initial allocation</w:t>
      </w:r>
      <w:r w:rsidR="00B33D93">
        <w:rPr>
          <w:szCs w:val="22"/>
        </w:rPr>
        <w:t>.</w:t>
      </w:r>
    </w:p>
    <w:p w:rsidR="002843A1" w:rsidRDefault="0037211A" w:rsidP="00090364">
      <w:pPr>
        <w:spacing w:after="220"/>
        <w:ind w:firstLine="720"/>
        <w:rPr>
          <w:szCs w:val="22"/>
        </w:rPr>
      </w:pPr>
      <w:r>
        <w:rPr>
          <w:szCs w:val="22"/>
        </w:rPr>
        <w:t xml:space="preserve">The initial allocation made today does not reflect the total estimated </w:t>
      </w:r>
      <w:r w:rsidR="00793C19">
        <w:rPr>
          <w:szCs w:val="22"/>
        </w:rPr>
        <w:t>reimbursement</w:t>
      </w:r>
      <w:r>
        <w:rPr>
          <w:szCs w:val="22"/>
        </w:rPr>
        <w:t xml:space="preserve"> </w:t>
      </w:r>
      <w:r w:rsidR="005D1582">
        <w:rPr>
          <w:szCs w:val="22"/>
        </w:rPr>
        <w:t xml:space="preserve">for Eligible Entities’ actual </w:t>
      </w:r>
      <w:r>
        <w:rPr>
          <w:szCs w:val="22"/>
        </w:rPr>
        <w:t>costs</w:t>
      </w:r>
      <w:r w:rsidR="005D1582">
        <w:rPr>
          <w:szCs w:val="22"/>
        </w:rPr>
        <w:t>; rather</w:t>
      </w:r>
      <w:r w:rsidR="00883817">
        <w:rPr>
          <w:szCs w:val="22"/>
        </w:rPr>
        <w:t>,</w:t>
      </w:r>
      <w:r w:rsidR="005D1582">
        <w:rPr>
          <w:szCs w:val="22"/>
        </w:rPr>
        <w:t xml:space="preserve"> </w:t>
      </w:r>
      <w:r w:rsidR="00F05BB4">
        <w:rPr>
          <w:szCs w:val="22"/>
        </w:rPr>
        <w:t>it</w:t>
      </w:r>
      <w:r w:rsidR="005D1582">
        <w:rPr>
          <w:szCs w:val="22"/>
        </w:rPr>
        <w:t xml:space="preserve"> is intended to provide entities with </w:t>
      </w:r>
      <w:r w:rsidR="00F05BB4">
        <w:rPr>
          <w:szCs w:val="22"/>
        </w:rPr>
        <w:t>access to reimbursement funding sufficient</w:t>
      </w:r>
      <w:r w:rsidR="005D1582">
        <w:rPr>
          <w:szCs w:val="22"/>
        </w:rPr>
        <w:t xml:space="preserve"> to begin the transition process</w:t>
      </w:r>
      <w:r w:rsidR="00F05BB4">
        <w:rPr>
          <w:szCs w:val="22"/>
        </w:rPr>
        <w:t xml:space="preserve">, while preserving flexibility to respond to </w:t>
      </w:r>
      <w:r w:rsidR="006C26FB">
        <w:rPr>
          <w:szCs w:val="22"/>
        </w:rPr>
        <w:t>unforeseen changes that may arise while undertaking transition activities</w:t>
      </w:r>
      <w:r w:rsidR="005D1582">
        <w:rPr>
          <w:szCs w:val="22"/>
        </w:rPr>
        <w:t>.</w:t>
      </w:r>
      <w:r w:rsidR="00514460">
        <w:rPr>
          <w:szCs w:val="22"/>
        </w:rPr>
        <w:t xml:space="preserve"> </w:t>
      </w:r>
      <w:r w:rsidR="005D1582">
        <w:rPr>
          <w:szCs w:val="22"/>
        </w:rPr>
        <w:t xml:space="preserve"> </w:t>
      </w:r>
      <w:r w:rsidR="00793C19">
        <w:rPr>
          <w:szCs w:val="22"/>
        </w:rPr>
        <w:t>T</w:t>
      </w:r>
      <w:r w:rsidR="00487A6D" w:rsidRPr="00270E39">
        <w:t>he timing and amount of a subsequent allocation</w:t>
      </w:r>
      <w:r w:rsidR="0082436E">
        <w:t xml:space="preserve"> or allocations</w:t>
      </w:r>
      <w:r w:rsidR="00487A6D" w:rsidRPr="00270E39">
        <w:t xml:space="preserve"> will be based on </w:t>
      </w:r>
      <w:r w:rsidR="003C4D0B">
        <w:t xml:space="preserve">careful and continual </w:t>
      </w:r>
      <w:r w:rsidR="00487A6D" w:rsidRPr="00270E39">
        <w:t xml:space="preserve">monitoring </w:t>
      </w:r>
      <w:r w:rsidR="00FD621E">
        <w:t xml:space="preserve">of </w:t>
      </w:r>
      <w:r w:rsidR="00487A6D" w:rsidRPr="00270E39">
        <w:t>the draw-down amounts</w:t>
      </w:r>
      <w:r w:rsidR="003C4D0B">
        <w:t xml:space="preserve"> </w:t>
      </w:r>
      <w:r w:rsidR="00EB2A42">
        <w:t xml:space="preserve">as well as </w:t>
      </w:r>
      <w:r w:rsidR="008D0E87">
        <w:t>revisions</w:t>
      </w:r>
      <w:r w:rsidR="00EB2A42">
        <w:t xml:space="preserve"> to initial cost estimates as more refined data becomes available, </w:t>
      </w:r>
      <w:r w:rsidR="003C4D0B">
        <w:t xml:space="preserve">so that an additional allocation can be made </w:t>
      </w:r>
      <w:r w:rsidR="00341AC9">
        <w:t xml:space="preserve">promptly when it appears that </w:t>
      </w:r>
      <w:r w:rsidR="00363F80">
        <w:t>Eligible Entities</w:t>
      </w:r>
      <w:r w:rsidR="00341AC9">
        <w:t xml:space="preserve"> are </w:t>
      </w:r>
      <w:r w:rsidR="001E71DF">
        <w:t xml:space="preserve">beginning </w:t>
      </w:r>
      <w:r w:rsidR="00341AC9">
        <w:t xml:space="preserve">to incur </w:t>
      </w:r>
      <w:r>
        <w:t xml:space="preserve">eligible </w:t>
      </w:r>
      <w:r w:rsidR="00341AC9">
        <w:t xml:space="preserve">costs beyond </w:t>
      </w:r>
      <w:r w:rsidR="00514460">
        <w:t xml:space="preserve">that which </w:t>
      </w:r>
      <w:r w:rsidR="00341AC9">
        <w:t>can be covered by the prior allocation</w:t>
      </w:r>
      <w:r w:rsidR="00487A6D" w:rsidRPr="00270E39">
        <w:t>.  It is therefore especially important that entities seeking reimbursement timely submit invoices after incurring costs.</w:t>
      </w:r>
      <w:r w:rsidR="00487A6D">
        <w:t xml:space="preserve">  </w:t>
      </w:r>
      <w:r w:rsidR="006C23ED">
        <w:rPr>
          <w:szCs w:val="22"/>
        </w:rPr>
        <w:t xml:space="preserve">We </w:t>
      </w:r>
      <w:r w:rsidR="00341AC9">
        <w:rPr>
          <w:szCs w:val="22"/>
        </w:rPr>
        <w:t xml:space="preserve">will be guided by what the facts show as the reimbursement process unfolds, but currently </w:t>
      </w:r>
      <w:r w:rsidR="006C23ED">
        <w:rPr>
          <w:szCs w:val="22"/>
        </w:rPr>
        <w:t xml:space="preserve">anticipate making a second allocation in </w:t>
      </w:r>
      <w:r w:rsidR="004268DC">
        <w:rPr>
          <w:szCs w:val="22"/>
        </w:rPr>
        <w:t>the near future</w:t>
      </w:r>
      <w:r w:rsidR="00341AC9">
        <w:rPr>
          <w:szCs w:val="22"/>
        </w:rPr>
        <w:t>,</w:t>
      </w:r>
      <w:r w:rsidR="006C23ED">
        <w:rPr>
          <w:szCs w:val="22"/>
        </w:rPr>
        <w:t xml:space="preserve"> and </w:t>
      </w:r>
      <w:r w:rsidR="00EA7470">
        <w:rPr>
          <w:szCs w:val="22"/>
        </w:rPr>
        <w:t>well</w:t>
      </w:r>
      <w:r w:rsidR="006C23ED">
        <w:rPr>
          <w:szCs w:val="22"/>
        </w:rPr>
        <w:t xml:space="preserve"> in advance of the first phase testing period.</w:t>
      </w:r>
      <w:r w:rsidR="004F5827">
        <w:rPr>
          <w:rStyle w:val="FootnoteReference"/>
          <w:szCs w:val="22"/>
        </w:rPr>
        <w:footnoteReference w:id="17"/>
      </w:r>
      <w:r w:rsidR="006C23ED">
        <w:rPr>
          <w:szCs w:val="22"/>
        </w:rPr>
        <w:t xml:space="preserve">  </w:t>
      </w:r>
    </w:p>
    <w:p w:rsidR="00E0730C" w:rsidRDefault="002B0537" w:rsidP="00E0730C">
      <w:pPr>
        <w:autoSpaceDE w:val="0"/>
        <w:autoSpaceDN w:val="0"/>
        <w:spacing w:after="220"/>
        <w:ind w:firstLine="720"/>
        <w:rPr>
          <w:szCs w:val="22"/>
        </w:rPr>
      </w:pPr>
      <w:r>
        <w:rPr>
          <w:i/>
          <w:szCs w:val="22"/>
        </w:rPr>
        <w:t xml:space="preserve">Individual Allocation Amounts.  </w:t>
      </w:r>
      <w:r w:rsidR="00DA646D" w:rsidRPr="009614B0">
        <w:rPr>
          <w:szCs w:val="22"/>
        </w:rPr>
        <w:t xml:space="preserve">Stations and MVPDs </w:t>
      </w:r>
      <w:r w:rsidR="001E71DF">
        <w:rPr>
          <w:szCs w:val="22"/>
        </w:rPr>
        <w:t xml:space="preserve">may </w:t>
      </w:r>
      <w:r w:rsidR="00DA646D" w:rsidRPr="009614B0">
        <w:rPr>
          <w:szCs w:val="22"/>
        </w:rPr>
        <w:t>view</w:t>
      </w:r>
      <w:r w:rsidR="001806AE">
        <w:rPr>
          <w:szCs w:val="22"/>
        </w:rPr>
        <w:t xml:space="preserve"> </w:t>
      </w:r>
      <w:r w:rsidR="00DA646D" w:rsidRPr="009614B0">
        <w:rPr>
          <w:szCs w:val="22"/>
        </w:rPr>
        <w:t xml:space="preserve">their individual allocations </w:t>
      </w:r>
      <w:r w:rsidR="00437944">
        <w:rPr>
          <w:szCs w:val="22"/>
        </w:rPr>
        <w:t>in</w:t>
      </w:r>
      <w:r w:rsidR="00DA646D" w:rsidRPr="009614B0">
        <w:rPr>
          <w:szCs w:val="22"/>
        </w:rPr>
        <w:t xml:space="preserve"> the CORES Incentive Auction Financial Module pursuant to the procedures outlined in the </w:t>
      </w:r>
      <w:r w:rsidR="00DA646D" w:rsidRPr="009614B0">
        <w:rPr>
          <w:i/>
          <w:szCs w:val="22"/>
        </w:rPr>
        <w:t>Financial Procedures Public Notice</w:t>
      </w:r>
      <w:r w:rsidR="00DA646D" w:rsidRPr="009614B0">
        <w:rPr>
          <w:szCs w:val="22"/>
        </w:rPr>
        <w:t>.</w:t>
      </w:r>
      <w:r w:rsidR="00C14231" w:rsidRPr="009614B0">
        <w:rPr>
          <w:rStyle w:val="FootnoteReference"/>
          <w:sz w:val="22"/>
          <w:szCs w:val="22"/>
        </w:rPr>
        <w:footnoteReference w:id="18"/>
      </w:r>
      <w:r w:rsidR="006C23ED">
        <w:rPr>
          <w:szCs w:val="22"/>
        </w:rPr>
        <w:t xml:space="preserve">  </w:t>
      </w:r>
      <w:r w:rsidR="006C23ED" w:rsidRPr="00C935DC">
        <w:t>Authori</w:t>
      </w:r>
      <w:r w:rsidR="00804993">
        <w:t xml:space="preserve">zed Agent(s) for </w:t>
      </w:r>
      <w:r w:rsidR="00363F80">
        <w:t>Eligible Entities</w:t>
      </w:r>
      <w:r w:rsidR="006C23ED" w:rsidRPr="00C935DC">
        <w:t xml:space="preserve"> will be able to view the exact amount allocated to them</w:t>
      </w:r>
      <w:r w:rsidR="00FD0EA0">
        <w:t xml:space="preserve"> </w:t>
      </w:r>
      <w:r w:rsidR="006C23ED" w:rsidRPr="00C935DC">
        <w:t>in the Auction Payments component of the CORES Incentive Auction Financial Module.</w:t>
      </w:r>
      <w:r w:rsidR="00EB2A42">
        <w:rPr>
          <w:rStyle w:val="FootnoteReference"/>
        </w:rPr>
        <w:footnoteReference w:id="19"/>
      </w:r>
      <w:r w:rsidR="001806AE">
        <w:rPr>
          <w:szCs w:val="22"/>
        </w:rPr>
        <w:t xml:space="preserve">  </w:t>
      </w:r>
      <w:r w:rsidR="00363F80">
        <w:rPr>
          <w:szCs w:val="22"/>
        </w:rPr>
        <w:t>Eligible Entities</w:t>
      </w:r>
      <w:r w:rsidR="001806AE" w:rsidRPr="009614B0">
        <w:rPr>
          <w:szCs w:val="22"/>
        </w:rPr>
        <w:t xml:space="preserve"> </w:t>
      </w:r>
      <w:r w:rsidR="001806AE">
        <w:rPr>
          <w:szCs w:val="22"/>
        </w:rPr>
        <w:t>may</w:t>
      </w:r>
      <w:r w:rsidR="00FD0EA0">
        <w:rPr>
          <w:szCs w:val="22"/>
        </w:rPr>
        <w:t xml:space="preserve"> </w:t>
      </w:r>
      <w:r w:rsidR="0036489B">
        <w:rPr>
          <w:szCs w:val="22"/>
        </w:rPr>
        <w:t>immediately begin</w:t>
      </w:r>
      <w:r w:rsidR="001806AE">
        <w:rPr>
          <w:szCs w:val="22"/>
        </w:rPr>
        <w:t xml:space="preserve"> </w:t>
      </w:r>
      <w:r w:rsidR="00341AC9">
        <w:rPr>
          <w:szCs w:val="22"/>
        </w:rPr>
        <w:t xml:space="preserve">submitting </w:t>
      </w:r>
      <w:r w:rsidR="00BE6CD8">
        <w:rPr>
          <w:szCs w:val="22"/>
        </w:rPr>
        <w:t>documentation</w:t>
      </w:r>
      <w:r w:rsidR="00341AC9">
        <w:rPr>
          <w:szCs w:val="22"/>
        </w:rPr>
        <w:t xml:space="preserve"> of actual expenses incurred</w:t>
      </w:r>
      <w:r w:rsidR="001065D7">
        <w:rPr>
          <w:szCs w:val="22"/>
        </w:rPr>
        <w:t xml:space="preserve"> </w:t>
      </w:r>
      <w:r w:rsidR="00341AC9">
        <w:rPr>
          <w:szCs w:val="22"/>
        </w:rPr>
        <w:t xml:space="preserve">for approval to be </w:t>
      </w:r>
      <w:r w:rsidR="001806AE">
        <w:rPr>
          <w:szCs w:val="22"/>
        </w:rPr>
        <w:t>draw</w:t>
      </w:r>
      <w:r w:rsidR="00341AC9">
        <w:rPr>
          <w:szCs w:val="22"/>
        </w:rPr>
        <w:t>n</w:t>
      </w:r>
      <w:r w:rsidR="001806AE">
        <w:rPr>
          <w:szCs w:val="22"/>
        </w:rPr>
        <w:t xml:space="preserve"> down against their individual allocations by uploading invoices </w:t>
      </w:r>
      <w:r w:rsidR="0036489B">
        <w:rPr>
          <w:szCs w:val="22"/>
        </w:rPr>
        <w:t xml:space="preserve">or receipts </w:t>
      </w:r>
      <w:r w:rsidR="00293D4F">
        <w:rPr>
          <w:szCs w:val="22"/>
        </w:rPr>
        <w:t>and resubmitting the Reimbursement Form</w:t>
      </w:r>
      <w:r w:rsidR="00437944">
        <w:rPr>
          <w:szCs w:val="22"/>
        </w:rPr>
        <w:t xml:space="preserve"> in </w:t>
      </w:r>
      <w:r w:rsidR="00781CA1">
        <w:rPr>
          <w:szCs w:val="22"/>
        </w:rPr>
        <w:t>t</w:t>
      </w:r>
      <w:r w:rsidR="00781CA1" w:rsidRPr="00781CA1">
        <w:rPr>
          <w:szCs w:val="22"/>
        </w:rPr>
        <w:t>he</w:t>
      </w:r>
      <w:r w:rsidR="00781CA1">
        <w:rPr>
          <w:szCs w:val="22"/>
        </w:rPr>
        <w:t xml:space="preserve"> Bureau’s</w:t>
      </w:r>
      <w:r w:rsidR="00781CA1" w:rsidRPr="00781CA1">
        <w:rPr>
          <w:szCs w:val="22"/>
        </w:rPr>
        <w:t xml:space="preserve"> Licensing and Management System</w:t>
      </w:r>
      <w:r w:rsidR="001806AE">
        <w:rPr>
          <w:szCs w:val="22"/>
        </w:rPr>
        <w:t>.</w:t>
      </w:r>
      <w:r w:rsidR="001806AE" w:rsidRPr="009614B0">
        <w:rPr>
          <w:szCs w:val="22"/>
        </w:rPr>
        <w:t xml:space="preserve"> </w:t>
      </w:r>
      <w:r w:rsidR="00E434BC">
        <w:rPr>
          <w:szCs w:val="22"/>
        </w:rPr>
        <w:t xml:space="preserve"> </w:t>
      </w:r>
      <w:r w:rsidR="00924A72">
        <w:rPr>
          <w:szCs w:val="22"/>
        </w:rPr>
        <w:t xml:space="preserve">Invoices for actual expenses incurred that have already been submitted will </w:t>
      </w:r>
      <w:r w:rsidR="00341AC9">
        <w:rPr>
          <w:szCs w:val="22"/>
        </w:rPr>
        <w:t xml:space="preserve">also </w:t>
      </w:r>
      <w:r w:rsidR="00924A72">
        <w:rPr>
          <w:szCs w:val="22"/>
        </w:rPr>
        <w:t xml:space="preserve">be </w:t>
      </w:r>
      <w:r w:rsidR="001E71DF">
        <w:rPr>
          <w:szCs w:val="22"/>
        </w:rPr>
        <w:t xml:space="preserve">reviewed and </w:t>
      </w:r>
      <w:r w:rsidR="00924A72">
        <w:rPr>
          <w:szCs w:val="22"/>
        </w:rPr>
        <w:t>processed</w:t>
      </w:r>
      <w:r w:rsidR="001E71DF">
        <w:rPr>
          <w:szCs w:val="22"/>
        </w:rPr>
        <w:t xml:space="preserve"> for payment upon approval</w:t>
      </w:r>
      <w:r w:rsidR="00924A72">
        <w:rPr>
          <w:szCs w:val="22"/>
        </w:rPr>
        <w:t>.</w:t>
      </w:r>
      <w:r w:rsidR="00924A72" w:rsidDel="00924A72">
        <w:rPr>
          <w:szCs w:val="22"/>
        </w:rPr>
        <w:t xml:space="preserve"> </w:t>
      </w:r>
    </w:p>
    <w:p w:rsidR="00062C17" w:rsidRPr="009614B0" w:rsidRDefault="002B0537" w:rsidP="00D52D86">
      <w:pPr>
        <w:autoSpaceDE w:val="0"/>
        <w:autoSpaceDN w:val="0"/>
        <w:spacing w:after="220"/>
        <w:ind w:firstLine="720"/>
        <w:rPr>
          <w:szCs w:val="22"/>
        </w:rPr>
      </w:pPr>
      <w:r>
        <w:rPr>
          <w:i/>
          <w:szCs w:val="22"/>
        </w:rPr>
        <w:t xml:space="preserve">Phase Transition Deadlines. </w:t>
      </w:r>
      <w:r w:rsidR="000F6696">
        <w:rPr>
          <w:i/>
          <w:szCs w:val="22"/>
        </w:rPr>
        <w:t xml:space="preserve"> </w:t>
      </w:r>
      <w:r w:rsidR="00F650CA">
        <w:rPr>
          <w:szCs w:val="22"/>
        </w:rPr>
        <w:t xml:space="preserve">Because allocations will be made in tranches, the initial allocation made today does not reflect the total estimated cost of a station’s anticipated expenditures.  </w:t>
      </w:r>
      <w:r w:rsidR="001E71DF">
        <w:rPr>
          <w:szCs w:val="22"/>
        </w:rPr>
        <w:t xml:space="preserve">All stations that are </w:t>
      </w:r>
      <w:r w:rsidR="001E71DF" w:rsidRPr="002C13A1">
        <w:rPr>
          <w:szCs w:val="22"/>
        </w:rPr>
        <w:t>transition</w:t>
      </w:r>
      <w:r w:rsidR="001E71DF">
        <w:rPr>
          <w:szCs w:val="22"/>
        </w:rPr>
        <w:t xml:space="preserve">ing to new channels should be mindful of the </w:t>
      </w:r>
      <w:r w:rsidR="00AE28BA">
        <w:rPr>
          <w:szCs w:val="22"/>
        </w:rPr>
        <w:t xml:space="preserve">applicable </w:t>
      </w:r>
      <w:r w:rsidR="001E71DF">
        <w:rPr>
          <w:szCs w:val="22"/>
        </w:rPr>
        <w:t xml:space="preserve">phase transition deadlines and plan for and initiate the various stages of their </w:t>
      </w:r>
      <w:r w:rsidR="001E71DF" w:rsidRPr="00D52D86">
        <w:rPr>
          <w:szCs w:val="22"/>
        </w:rPr>
        <w:t>construction project</w:t>
      </w:r>
      <w:r w:rsidR="001E71DF">
        <w:rPr>
          <w:szCs w:val="22"/>
        </w:rPr>
        <w:t xml:space="preserve"> in a timely manner to satisfy those deadlines.</w:t>
      </w:r>
      <w:r w:rsidR="00D52D86">
        <w:rPr>
          <w:szCs w:val="22"/>
        </w:rPr>
        <w:t xml:space="preserve">  W</w:t>
      </w:r>
      <w:r w:rsidR="005C529F">
        <w:rPr>
          <w:szCs w:val="22"/>
        </w:rPr>
        <w:t xml:space="preserve">e have provided </w:t>
      </w:r>
      <w:r w:rsidR="00D52D86" w:rsidRPr="00D52D86">
        <w:rPr>
          <w:szCs w:val="22"/>
        </w:rPr>
        <w:t xml:space="preserve">several tools </w:t>
      </w:r>
      <w:r w:rsidR="005C529F">
        <w:rPr>
          <w:szCs w:val="22"/>
        </w:rPr>
        <w:t xml:space="preserve">that will allow us to provide relief to stations that are ultimately unable to satisfy certain deadlines due to </w:t>
      </w:r>
      <w:r w:rsidR="00D52D86" w:rsidRPr="00D52D86">
        <w:rPr>
          <w:szCs w:val="22"/>
        </w:rPr>
        <w:t>circumstances beyond their control</w:t>
      </w:r>
      <w:r w:rsidR="005C529F">
        <w:rPr>
          <w:szCs w:val="22"/>
        </w:rPr>
        <w:t>.</w:t>
      </w:r>
      <w:r w:rsidR="00D52D86">
        <w:rPr>
          <w:rStyle w:val="FootnoteReference"/>
          <w:szCs w:val="22"/>
        </w:rPr>
        <w:footnoteReference w:id="20"/>
      </w:r>
      <w:r w:rsidR="00D52D86">
        <w:rPr>
          <w:szCs w:val="22"/>
        </w:rPr>
        <w:t xml:space="preserve"> </w:t>
      </w:r>
      <w:r w:rsidR="005C529F">
        <w:rPr>
          <w:szCs w:val="22"/>
        </w:rPr>
        <w:t xml:space="preserve"> Such relief will be granted on a case-by-case basis to accommodate stations that face unforeseen circumstances to prevent a station from going dark.  F</w:t>
      </w:r>
      <w:r w:rsidR="00D52D86">
        <w:rPr>
          <w:szCs w:val="22"/>
        </w:rPr>
        <w:t xml:space="preserve">ailure to timely initiate a construction project </w:t>
      </w:r>
      <w:r w:rsidR="005C529F">
        <w:rPr>
          <w:szCs w:val="22"/>
        </w:rPr>
        <w:t xml:space="preserve">or undertake necessary steps to complete the transition by the phase transition date </w:t>
      </w:r>
      <w:r w:rsidR="00D52D86">
        <w:rPr>
          <w:szCs w:val="22"/>
        </w:rPr>
        <w:t xml:space="preserve">due to the amount of </w:t>
      </w:r>
      <w:r w:rsidR="005C529F">
        <w:rPr>
          <w:szCs w:val="22"/>
        </w:rPr>
        <w:t>the initial allocation or any subsequent a</w:t>
      </w:r>
      <w:r w:rsidR="00D52D86">
        <w:rPr>
          <w:szCs w:val="22"/>
        </w:rPr>
        <w:t xml:space="preserve">llocation will not be weighed favorably as a factor in </w:t>
      </w:r>
      <w:r w:rsidR="00AE7786">
        <w:rPr>
          <w:szCs w:val="22"/>
        </w:rPr>
        <w:t xml:space="preserve">considering </w:t>
      </w:r>
      <w:r w:rsidR="00D52D86">
        <w:rPr>
          <w:szCs w:val="22"/>
        </w:rPr>
        <w:t xml:space="preserve">such </w:t>
      </w:r>
      <w:r w:rsidR="00AE7786">
        <w:rPr>
          <w:szCs w:val="22"/>
        </w:rPr>
        <w:t>grants of relief</w:t>
      </w:r>
      <w:r w:rsidR="00D52D86">
        <w:rPr>
          <w:szCs w:val="22"/>
        </w:rPr>
        <w:t>.</w:t>
      </w:r>
    </w:p>
    <w:p w:rsidR="006A714B" w:rsidRPr="006567A9" w:rsidRDefault="002B0537" w:rsidP="006567A9">
      <w:pPr>
        <w:autoSpaceDE w:val="0"/>
        <w:autoSpaceDN w:val="0"/>
        <w:spacing w:after="220"/>
        <w:ind w:firstLine="720"/>
        <w:rPr>
          <w:color w:val="0000FF"/>
          <w:u w:val="single"/>
        </w:rPr>
      </w:pPr>
      <w:r>
        <w:rPr>
          <w:i/>
          <w:szCs w:val="22"/>
        </w:rPr>
        <w:t xml:space="preserve">Resources.  </w:t>
      </w:r>
      <w:r w:rsidR="00615870">
        <w:rPr>
          <w:szCs w:val="22"/>
        </w:rPr>
        <w:t>E</w:t>
      </w:r>
      <w:r w:rsidR="00D401B0" w:rsidRPr="009614B0">
        <w:rPr>
          <w:szCs w:val="22"/>
        </w:rPr>
        <w:t xml:space="preserve">ducational and reference materials </w:t>
      </w:r>
      <w:r w:rsidR="00B01AFF">
        <w:rPr>
          <w:szCs w:val="22"/>
        </w:rPr>
        <w:t>about</w:t>
      </w:r>
      <w:r w:rsidR="00D401B0" w:rsidRPr="009614B0">
        <w:rPr>
          <w:szCs w:val="22"/>
        </w:rPr>
        <w:t xml:space="preserve"> </w:t>
      </w:r>
      <w:r w:rsidR="00615870">
        <w:rPr>
          <w:szCs w:val="22"/>
        </w:rPr>
        <w:t>the reimbursement process and the</w:t>
      </w:r>
      <w:r w:rsidR="00B01AFF">
        <w:rPr>
          <w:szCs w:val="22"/>
        </w:rPr>
        <w:t xml:space="preserve"> Reimbursement Form</w:t>
      </w:r>
      <w:r w:rsidR="00D401B0" w:rsidRPr="009614B0">
        <w:rPr>
          <w:szCs w:val="22"/>
        </w:rPr>
        <w:t xml:space="preserve"> </w:t>
      </w:r>
      <w:r w:rsidR="00B01AFF">
        <w:rPr>
          <w:szCs w:val="22"/>
        </w:rPr>
        <w:t>are</w:t>
      </w:r>
      <w:r w:rsidR="00D401B0" w:rsidRPr="009614B0">
        <w:rPr>
          <w:szCs w:val="22"/>
        </w:rPr>
        <w:t xml:space="preserve"> accessible via </w:t>
      </w:r>
      <w:r w:rsidR="002E4952" w:rsidRPr="009614B0">
        <w:rPr>
          <w:szCs w:val="22"/>
        </w:rPr>
        <w:t>the Commission’s website at</w:t>
      </w:r>
      <w:r w:rsidR="00B01AFF">
        <w:rPr>
          <w:szCs w:val="22"/>
        </w:rPr>
        <w:t>:</w:t>
      </w:r>
      <w:r w:rsidR="00876DAD">
        <w:rPr>
          <w:szCs w:val="22"/>
        </w:rPr>
        <w:t xml:space="preserve"> </w:t>
      </w:r>
      <w:hyperlink r:id="rId8" w:history="1">
        <w:r w:rsidR="006567A9" w:rsidRPr="00786109">
          <w:rPr>
            <w:rStyle w:val="Hyperlink"/>
            <w:szCs w:val="22"/>
          </w:rPr>
          <w:t>https://</w:t>
        </w:r>
        <w:r w:rsidR="006567A9" w:rsidRPr="00786109">
          <w:rPr>
            <w:rStyle w:val="Hyperlink"/>
          </w:rPr>
          <w:t>www.fcc.gov/incentiveauctions/reimbursement</w:t>
        </w:r>
      </w:hyperlink>
      <w:r w:rsidR="006A714B" w:rsidRPr="009614B0">
        <w:rPr>
          <w:szCs w:val="22"/>
        </w:rPr>
        <w:t>.</w:t>
      </w:r>
      <w:r w:rsidR="00D401B0" w:rsidRPr="009614B0">
        <w:rPr>
          <w:szCs w:val="22"/>
        </w:rPr>
        <w:t xml:space="preserve"> These materials will be updated periodically throughout the reimbursement period.</w:t>
      </w:r>
    </w:p>
    <w:p w:rsidR="006A714B" w:rsidRDefault="00E0730C" w:rsidP="006A714B">
      <w:pPr>
        <w:spacing w:after="120"/>
        <w:ind w:firstLine="720"/>
        <w:rPr>
          <w:szCs w:val="22"/>
        </w:rPr>
      </w:pPr>
      <w:r>
        <w:rPr>
          <w:i/>
          <w:szCs w:val="22"/>
        </w:rPr>
        <w:t xml:space="preserve">Additional Information.  </w:t>
      </w:r>
      <w:r w:rsidR="00D44C93" w:rsidRPr="009614B0">
        <w:rPr>
          <w:szCs w:val="22"/>
        </w:rPr>
        <w:t xml:space="preserve">For questions about the reimbursement process, please call the Reimbursement Help Line at (202) 418-2009, or e-mail </w:t>
      </w:r>
      <w:r w:rsidR="005678A2" w:rsidRPr="00931E7E">
        <w:rPr>
          <w:rStyle w:val="Hyperlink"/>
        </w:rPr>
        <w:t>R</w:t>
      </w:r>
      <w:r w:rsidR="00D44C93" w:rsidRPr="00931E7E">
        <w:rPr>
          <w:rStyle w:val="Hyperlink"/>
        </w:rPr>
        <w:t>eimburse@fcc.gov</w:t>
      </w:r>
      <w:r w:rsidR="00D44C93" w:rsidRPr="009614B0">
        <w:rPr>
          <w:szCs w:val="22"/>
        </w:rPr>
        <w:t xml:space="preserve">.  Questions about this Public Notice may be directed to Raphael Sznajder at (202) 418-1648 or </w:t>
      </w:r>
      <w:hyperlink r:id="rId9" w:history="1">
        <w:r w:rsidR="00B30FBC" w:rsidRPr="000C7258">
          <w:rPr>
            <w:rStyle w:val="Hyperlink"/>
            <w:szCs w:val="22"/>
          </w:rPr>
          <w:t>Raphael.Sznajder@fcc.gov</w:t>
        </w:r>
      </w:hyperlink>
      <w:r w:rsidR="00B30FBC">
        <w:rPr>
          <w:szCs w:val="22"/>
        </w:rPr>
        <w:t>, or Jeffrey Neumann</w:t>
      </w:r>
      <w:r w:rsidR="00D44C93" w:rsidRPr="009614B0">
        <w:rPr>
          <w:szCs w:val="22"/>
        </w:rPr>
        <w:t xml:space="preserve"> </w:t>
      </w:r>
      <w:r w:rsidR="00B30FBC">
        <w:rPr>
          <w:szCs w:val="22"/>
        </w:rPr>
        <w:t xml:space="preserve">at </w:t>
      </w:r>
      <w:r w:rsidR="00B30FBC" w:rsidRPr="009614B0">
        <w:rPr>
          <w:szCs w:val="22"/>
        </w:rPr>
        <w:t>(202) 418-</w:t>
      </w:r>
      <w:r w:rsidR="00B30FBC">
        <w:rPr>
          <w:szCs w:val="22"/>
        </w:rPr>
        <w:t xml:space="preserve">2046 or </w:t>
      </w:r>
      <w:r w:rsidR="00B30FBC" w:rsidRPr="0079127A">
        <w:rPr>
          <w:rStyle w:val="Hyperlink"/>
        </w:rPr>
        <w:t>Jeffrey.Neumann@fcc.gov</w:t>
      </w:r>
      <w:r w:rsidR="00744200">
        <w:rPr>
          <w:szCs w:val="22"/>
        </w:rPr>
        <w:t>,</w:t>
      </w:r>
      <w:r w:rsidR="00B30FBC" w:rsidRPr="009614B0">
        <w:rPr>
          <w:szCs w:val="22"/>
        </w:rPr>
        <w:t xml:space="preserve"> </w:t>
      </w:r>
      <w:r w:rsidR="00D44C93" w:rsidRPr="009614B0">
        <w:rPr>
          <w:szCs w:val="22"/>
        </w:rPr>
        <w:t>of the Media Bureau.</w:t>
      </w:r>
      <w:r w:rsidR="006A714B" w:rsidRPr="009614B0">
        <w:rPr>
          <w:szCs w:val="22"/>
        </w:rPr>
        <w:t xml:space="preserve">  Press contact: Charlie Meisch, </w:t>
      </w:r>
      <w:r>
        <w:rPr>
          <w:szCs w:val="22"/>
        </w:rPr>
        <w:t xml:space="preserve">(202) </w:t>
      </w:r>
      <w:r w:rsidRPr="009614B0">
        <w:rPr>
          <w:szCs w:val="22"/>
        </w:rPr>
        <w:t>418-2943</w:t>
      </w:r>
      <w:r>
        <w:rPr>
          <w:szCs w:val="22"/>
        </w:rPr>
        <w:t xml:space="preserve"> or </w:t>
      </w:r>
      <w:hyperlink r:id="rId10" w:history="1">
        <w:r w:rsidR="00503B3A" w:rsidRPr="00856B81">
          <w:rPr>
            <w:rStyle w:val="Hyperlink"/>
            <w:szCs w:val="22"/>
          </w:rPr>
          <w:t>C</w:t>
        </w:r>
        <w:r w:rsidR="00503B3A" w:rsidRPr="00856B81">
          <w:rPr>
            <w:rStyle w:val="Hyperlink"/>
          </w:rPr>
          <w:t>harles.Meisch@fcc.gov</w:t>
        </w:r>
      </w:hyperlink>
      <w:r w:rsidR="006A714B" w:rsidRPr="009614B0">
        <w:rPr>
          <w:szCs w:val="22"/>
        </w:rPr>
        <w:t>.</w:t>
      </w:r>
    </w:p>
    <w:p w:rsidR="00AE7786" w:rsidRDefault="00AE7786" w:rsidP="006A714B">
      <w:pPr>
        <w:spacing w:after="120"/>
        <w:ind w:firstLine="720"/>
        <w:rPr>
          <w:szCs w:val="22"/>
        </w:rPr>
      </w:pPr>
    </w:p>
    <w:p w:rsidR="00AE7786" w:rsidRPr="009614B0" w:rsidRDefault="00AE7786" w:rsidP="006A714B">
      <w:pPr>
        <w:spacing w:after="120"/>
        <w:ind w:firstLine="720"/>
        <w:rPr>
          <w:szCs w:val="22"/>
        </w:rPr>
      </w:pPr>
    </w:p>
    <w:p w:rsidR="00750150" w:rsidRPr="009614B0" w:rsidRDefault="00750150" w:rsidP="00F3180E">
      <w:pPr>
        <w:jc w:val="center"/>
        <w:rPr>
          <w:b/>
          <w:szCs w:val="22"/>
        </w:rPr>
      </w:pPr>
      <w:r w:rsidRPr="009614B0">
        <w:rPr>
          <w:b/>
          <w:szCs w:val="22"/>
        </w:rPr>
        <w:t xml:space="preserve">- FCC </w:t>
      </w:r>
      <w:r w:rsidR="00537D03" w:rsidRPr="009614B0">
        <w:rPr>
          <w:b/>
          <w:szCs w:val="22"/>
        </w:rPr>
        <w:t>–</w:t>
      </w:r>
      <w:r w:rsidRPr="009614B0">
        <w:rPr>
          <w:b/>
          <w:szCs w:val="22"/>
        </w:rPr>
        <w:t xml:space="preserve"> </w:t>
      </w:r>
    </w:p>
    <w:sectPr w:rsidR="00750150" w:rsidRPr="009614B0" w:rsidSect="0055614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0DA" w:rsidRDefault="008750DA">
      <w:pPr>
        <w:spacing w:line="20" w:lineRule="exact"/>
      </w:pPr>
    </w:p>
  </w:endnote>
  <w:endnote w:type="continuationSeparator" w:id="0">
    <w:p w:rsidR="008750DA" w:rsidRDefault="008750DA">
      <w:r>
        <w:t xml:space="preserve"> </w:t>
      </w:r>
    </w:p>
  </w:endnote>
  <w:endnote w:type="continuationNotice" w:id="1">
    <w:p w:rsidR="008750DA" w:rsidRDefault="008750D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altName w:val="Calibr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C6" w:rsidRDefault="00C627C6" w:rsidP="0055614C">
    <w:pPr>
      <w:pStyle w:val="Footer"/>
      <w:framePr w:wrap="around" w:vAnchor="text" w:hAnchor="margin" w:xAlign="center" w:y="1"/>
    </w:pPr>
    <w:r>
      <w:fldChar w:fldCharType="begin"/>
    </w:r>
    <w:r>
      <w:instrText xml:space="preserve">PAGE  </w:instrText>
    </w:r>
    <w:r>
      <w:fldChar w:fldCharType="end"/>
    </w:r>
  </w:p>
  <w:p w:rsidR="00C627C6" w:rsidRDefault="00C627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C6" w:rsidRDefault="00C627C6" w:rsidP="0055614C">
    <w:pPr>
      <w:pStyle w:val="Footer"/>
      <w:framePr w:wrap="around" w:vAnchor="text" w:hAnchor="margin" w:xAlign="center" w:y="1"/>
    </w:pPr>
    <w:r>
      <w:fldChar w:fldCharType="begin"/>
    </w:r>
    <w:r>
      <w:instrText xml:space="preserve">PAGE  </w:instrText>
    </w:r>
    <w:r>
      <w:fldChar w:fldCharType="separate"/>
    </w:r>
    <w:r w:rsidR="00625965">
      <w:rPr>
        <w:noProof/>
      </w:rPr>
      <w:t>2</w:t>
    </w:r>
    <w:r>
      <w:fldChar w:fldCharType="end"/>
    </w:r>
  </w:p>
  <w:p w:rsidR="00C627C6" w:rsidRDefault="00C627C6">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C6" w:rsidRDefault="00C627C6">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0DA" w:rsidRPr="00FF55F7" w:rsidRDefault="008750DA" w:rsidP="00FF55F7">
      <w:pPr>
        <w:pStyle w:val="Footer"/>
      </w:pPr>
      <w:r>
        <w:separator/>
      </w:r>
    </w:p>
  </w:footnote>
  <w:footnote w:type="continuationSeparator" w:id="0">
    <w:p w:rsidR="008750DA" w:rsidRPr="00FF55F7" w:rsidRDefault="008750DA" w:rsidP="00FF55F7">
      <w:pPr>
        <w:pStyle w:val="Footer"/>
      </w:pPr>
      <w:r>
        <w:continuationSeparator/>
      </w:r>
    </w:p>
  </w:footnote>
  <w:footnote w:type="continuationNotice" w:id="1">
    <w:p w:rsidR="008750DA" w:rsidRPr="00FF55F7" w:rsidRDefault="008750DA" w:rsidP="00FF55F7">
      <w:pPr>
        <w:pStyle w:val="Footer"/>
      </w:pPr>
    </w:p>
  </w:footnote>
  <w:footnote w:id="2">
    <w:p w:rsidR="00C627C6" w:rsidRPr="00C935DC" w:rsidRDefault="00C627C6" w:rsidP="00DA1C5D">
      <w:pPr>
        <w:widowControl/>
        <w:autoSpaceDE w:val="0"/>
        <w:autoSpaceDN w:val="0"/>
        <w:adjustRightInd w:val="0"/>
        <w:spacing w:after="120"/>
      </w:pPr>
      <w:r w:rsidRPr="00C935DC">
        <w:rPr>
          <w:rStyle w:val="FootnoteReference"/>
        </w:rPr>
        <w:footnoteRef/>
      </w:r>
      <w:r w:rsidRPr="00C935DC">
        <w:rPr>
          <w:sz w:val="20"/>
        </w:rPr>
        <w:t xml:space="preserve"> </w:t>
      </w:r>
      <w:r>
        <w:rPr>
          <w:i/>
          <w:sz w:val="20"/>
        </w:rPr>
        <w:t xml:space="preserve">See </w:t>
      </w:r>
      <w:r w:rsidRPr="00C935DC">
        <w:rPr>
          <w:rFonts w:ascii="TimesNewRoman,Italic" w:hAnsi="TimesNewRoman,Italic" w:cs="TimesNewRoman,Italic"/>
          <w:i/>
          <w:iCs/>
          <w:snapToGrid/>
          <w:kern w:val="0"/>
          <w:sz w:val="20"/>
        </w:rPr>
        <w:t>Middle Class Tax Relief and Job Creation Act of 2012</w:t>
      </w:r>
      <w:r w:rsidRPr="00C935DC">
        <w:rPr>
          <w:rFonts w:ascii="TimesNewRoman" w:hAnsi="TimesNewRoman" w:cs="TimesNewRoman"/>
          <w:snapToGrid/>
          <w:kern w:val="0"/>
          <w:sz w:val="20"/>
        </w:rPr>
        <w:t>, Pub. L. No. 112-96, §§ 6402, 6403, 125 Stat. 156 (2012)</w:t>
      </w:r>
      <w:r>
        <w:rPr>
          <w:rFonts w:ascii="TimesNewRoman" w:hAnsi="TimesNewRoman" w:cs="TimesNewRoman"/>
          <w:snapToGrid/>
          <w:kern w:val="0"/>
          <w:sz w:val="20"/>
        </w:rPr>
        <w:t xml:space="preserve"> </w:t>
      </w:r>
      <w:r w:rsidRPr="00C935DC">
        <w:rPr>
          <w:rFonts w:ascii="TimesNewRoman" w:hAnsi="TimesNewRoman" w:cs="TimesNewRoman"/>
          <w:snapToGrid/>
          <w:kern w:val="0"/>
          <w:sz w:val="20"/>
        </w:rPr>
        <w:t xml:space="preserve">(Spectrum Act) at § 6403(d)(1); 47 U.S.C. § 309(j)(8)(G)(iii)(I). </w:t>
      </w:r>
    </w:p>
  </w:footnote>
  <w:footnote w:id="3">
    <w:p w:rsidR="00C627C6" w:rsidRDefault="00C627C6">
      <w:pPr>
        <w:pStyle w:val="FootnoteText"/>
      </w:pPr>
      <w:r>
        <w:rPr>
          <w:rStyle w:val="FootnoteReference"/>
        </w:rPr>
        <w:footnoteRef/>
      </w:r>
      <w:r>
        <w:t xml:space="preserve"> </w:t>
      </w:r>
      <w:r w:rsidRPr="00B975D8">
        <w:rPr>
          <w:rFonts w:ascii="TimesNewRoman" w:hAnsi="TimesNewRoman" w:cs="TimesNewRoman"/>
        </w:rPr>
        <w:t>47 U.S.C. § 1452(b)(4)(A)(i)-(ii).</w:t>
      </w:r>
    </w:p>
  </w:footnote>
  <w:footnote w:id="4">
    <w:p w:rsidR="00C627C6" w:rsidRDefault="00C627C6" w:rsidP="008911F2">
      <w:pPr>
        <w:pStyle w:val="FootnoteText"/>
      </w:pPr>
      <w:r>
        <w:rPr>
          <w:rStyle w:val="FootnoteReference"/>
        </w:rPr>
        <w:footnoteRef/>
      </w:r>
      <w:r>
        <w:rPr>
          <w:i/>
          <w:iCs/>
        </w:rPr>
        <w:t xml:space="preserve"> </w:t>
      </w:r>
      <w:r>
        <w:rPr>
          <w:i/>
        </w:rPr>
        <w:t xml:space="preserve">See </w:t>
      </w:r>
      <w:r w:rsidRPr="00A5211E">
        <w:rPr>
          <w:rFonts w:ascii="TimesNewRoman,Italic" w:hAnsi="TimesNewRoman,Italic" w:cs="TimesNewRoman,Italic"/>
          <w:i/>
          <w:iCs/>
        </w:rPr>
        <w:t>Expanding the Economic and Innovation Opportunities of Spectrum Through Incentive Auctions</w:t>
      </w:r>
      <w:r w:rsidRPr="00A5211E">
        <w:rPr>
          <w:rFonts w:ascii="TimesNewRoman" w:hAnsi="TimesNewRoman" w:cs="TimesNewRoman"/>
        </w:rPr>
        <w:t>, Report and Order, 29 FCC Rcd 6567</w:t>
      </w:r>
      <w:r>
        <w:t>,</w:t>
      </w:r>
      <w:r w:rsidRPr="008911F2">
        <w:rPr>
          <w:rFonts w:ascii="TimesNewRoman" w:hAnsi="TimesNewRoman" w:cs="TimesNewRoman"/>
        </w:rPr>
        <w:t xml:space="preserve"> </w:t>
      </w:r>
      <w:r w:rsidRPr="00C935DC">
        <w:t>6820</w:t>
      </w:r>
      <w:r>
        <w:t>,</w:t>
      </w:r>
      <w:r w:rsidRPr="00C935DC">
        <w:t xml:space="preserve"> para. </w:t>
      </w:r>
      <w:r>
        <w:t>619 (noting the importance of “maintaining the integrity of the Fund,” and d</w:t>
      </w:r>
      <w:r w:rsidRPr="004B59FC">
        <w:t>elegat</w:t>
      </w:r>
      <w:r>
        <w:t>ing</w:t>
      </w:r>
      <w:r w:rsidRPr="004B59FC">
        <w:t xml:space="preserve"> authority to the Bureau to </w:t>
      </w:r>
      <w:r>
        <w:t>“</w:t>
      </w:r>
      <w:r w:rsidRPr="004B59FC">
        <w:t>adopt the necessary policies and procedures</w:t>
      </w:r>
      <w:r>
        <w:t xml:space="preserve"> relating to </w:t>
      </w:r>
      <w:r w:rsidRPr="004B59FC">
        <w:t xml:space="preserve">allocations, draw downs, payments, obligations, and expenditures of money from the </w:t>
      </w:r>
      <w:r>
        <w:t>[]</w:t>
      </w:r>
      <w:r w:rsidRPr="004B59FC">
        <w:t xml:space="preserve"> Fund in order to protect against waste, fraud, and abuse </w:t>
      </w:r>
      <w:r>
        <w:t>and in the event of bankruptcy.</w:t>
      </w:r>
      <w:r w:rsidRPr="002F418D">
        <w:t>”</w:t>
      </w:r>
      <w:r>
        <w:t>)</w:t>
      </w:r>
      <w:r w:rsidRPr="00A5211E">
        <w:rPr>
          <w:rFonts w:ascii="TimesNewRoman" w:hAnsi="TimesNewRoman" w:cs="TimesNewRoman"/>
        </w:rPr>
        <w:t xml:space="preserve">, </w:t>
      </w:r>
      <w:r w:rsidRPr="00A5211E">
        <w:rPr>
          <w:rFonts w:ascii="TimesNewRoman,Italic" w:hAnsi="TimesNewRoman,Italic" w:cs="TimesNewRoman,Italic"/>
          <w:i/>
          <w:iCs/>
        </w:rPr>
        <w:t>affirmed, National Association of Broadcasters v. FCC</w:t>
      </w:r>
      <w:r w:rsidRPr="00A5211E">
        <w:rPr>
          <w:rFonts w:ascii="TimesNewRoman" w:hAnsi="TimesNewRoman" w:cs="TimesNewRoman"/>
        </w:rPr>
        <w:t>, 789 F.3d 165 (D.C. Cir. 2015) (</w:t>
      </w:r>
      <w:r w:rsidRPr="00A5211E">
        <w:rPr>
          <w:rFonts w:ascii="TimesNewRoman,Italic" w:hAnsi="TimesNewRoman,Italic" w:cs="TimesNewRoman,Italic"/>
          <w:i/>
          <w:iCs/>
        </w:rPr>
        <w:t>Incentive Auction R&amp;O</w:t>
      </w:r>
      <w:r w:rsidRPr="00A5211E">
        <w:rPr>
          <w:rFonts w:ascii="TimesNewRoman" w:hAnsi="TimesNewRoman" w:cs="TimesNewRoman"/>
        </w:rPr>
        <w:t>)</w:t>
      </w:r>
      <w:r>
        <w:t xml:space="preserve">.  </w:t>
      </w:r>
    </w:p>
  </w:footnote>
  <w:footnote w:id="5">
    <w:p w:rsidR="00C627C6" w:rsidRPr="00C935DC" w:rsidRDefault="00C627C6" w:rsidP="008911F2">
      <w:pPr>
        <w:pStyle w:val="FootnoteText"/>
      </w:pPr>
      <w:r w:rsidRPr="00C935DC">
        <w:rPr>
          <w:rStyle w:val="FootnoteReference"/>
        </w:rPr>
        <w:footnoteRef/>
      </w:r>
      <w:r w:rsidRPr="00C935DC">
        <w:t xml:space="preserve"> </w:t>
      </w:r>
      <w:r>
        <w:rPr>
          <w:i/>
        </w:rPr>
        <w:t xml:space="preserve">See </w:t>
      </w:r>
      <w:r>
        <w:rPr>
          <w:rFonts w:ascii="TimesNewRoman,Italic" w:hAnsi="TimesNewRoman,Italic" w:cs="TimesNewRoman,Italic"/>
          <w:i/>
          <w:iCs/>
        </w:rPr>
        <w:t>id.</w:t>
      </w:r>
      <w:r w:rsidRPr="00A5211E">
        <w:rPr>
          <w:rFonts w:ascii="TimesNewRoman" w:hAnsi="TimesNewRoman" w:cs="TimesNewRoman"/>
        </w:rPr>
        <w:t xml:space="preserve"> </w:t>
      </w:r>
      <w:r>
        <w:rPr>
          <w:rFonts w:ascii="TimesNewRoman" w:hAnsi="TimesNewRoman" w:cs="TimesNewRoman"/>
        </w:rPr>
        <w:t>at</w:t>
      </w:r>
      <w:r w:rsidRPr="008911F2">
        <w:rPr>
          <w:rFonts w:ascii="TimesNewRoman" w:hAnsi="TimesNewRoman" w:cs="TimesNewRoman"/>
        </w:rPr>
        <w:t xml:space="preserve"> </w:t>
      </w:r>
      <w:r w:rsidRPr="00A5211E">
        <w:rPr>
          <w:rFonts w:ascii="TimesNewRoman" w:hAnsi="TimesNewRoman" w:cs="TimesNewRoman"/>
        </w:rPr>
        <w:t>6812-6826, paras. 598-636</w:t>
      </w:r>
      <w:r>
        <w:t xml:space="preserve">.  </w:t>
      </w:r>
      <w:r>
        <w:rPr>
          <w:rFonts w:ascii="TimesNewRoman,Italic" w:hAnsi="TimesNewRoman,Italic" w:cs="TimesNewRoman,Italic"/>
          <w:i/>
          <w:iCs/>
        </w:rPr>
        <w:t>S</w:t>
      </w:r>
      <w:r w:rsidRPr="00931E7E">
        <w:rPr>
          <w:i/>
        </w:rPr>
        <w:t>ee also</w:t>
      </w:r>
      <w:r>
        <w:rPr>
          <w:i/>
        </w:rPr>
        <w:t>,</w:t>
      </w:r>
      <w:r w:rsidRPr="00931E7E">
        <w:rPr>
          <w:i/>
        </w:rPr>
        <w:t xml:space="preserve"> </w:t>
      </w:r>
      <w:r>
        <w:rPr>
          <w:rFonts w:ascii="TimesNewRoman,Italic" w:hAnsi="TimesNewRoman,Italic" w:cs="TimesNewRoman,Italic"/>
          <w:i/>
          <w:iCs/>
        </w:rPr>
        <w:t>supra</w:t>
      </w:r>
      <w:r>
        <w:rPr>
          <w:rFonts w:ascii="TimesNewRoman,Italic" w:hAnsi="TimesNewRoman,Italic" w:cs="TimesNewRoman,Italic"/>
          <w:iCs/>
        </w:rPr>
        <w:t>, note 1</w:t>
      </w:r>
      <w:r w:rsidRPr="00C935DC">
        <w:rPr>
          <w:rFonts w:ascii="TimesNewRoman" w:hAnsi="TimesNewRoman" w:cs="TimesNewRoman"/>
        </w:rPr>
        <w:t>.</w:t>
      </w:r>
    </w:p>
  </w:footnote>
  <w:footnote w:id="6">
    <w:p w:rsidR="00C627C6" w:rsidRDefault="00C627C6">
      <w:pPr>
        <w:pStyle w:val="FootnoteText"/>
      </w:pPr>
      <w:r>
        <w:rPr>
          <w:rStyle w:val="FootnoteReference"/>
        </w:rPr>
        <w:footnoteRef/>
      </w:r>
      <w:r>
        <w:t xml:space="preserve"> As the Commission has noted, “this approach should ensure that broadcasters and MVPDs do not face an undue financial burden while also reducing the possibility that we allocate more funds than necessary to cover actual relocation expenses.”  </w:t>
      </w:r>
      <w:r w:rsidRPr="00DA646D">
        <w:rPr>
          <w:i/>
        </w:rPr>
        <w:t>Incentive Auction R&amp;O</w:t>
      </w:r>
      <w:r w:rsidRPr="00DA646D">
        <w:t>, 29 FCC Rcd at 6819, para. 61</w:t>
      </w:r>
      <w:r>
        <w:t xml:space="preserve">4.  </w:t>
      </w:r>
    </w:p>
  </w:footnote>
  <w:footnote w:id="7">
    <w:p w:rsidR="00C627C6" w:rsidRDefault="00C627C6" w:rsidP="00487A6D">
      <w:pPr>
        <w:pStyle w:val="FootnoteText"/>
      </w:pPr>
      <w:r>
        <w:rPr>
          <w:rStyle w:val="FootnoteReference"/>
        </w:rPr>
        <w:footnoteRef/>
      </w:r>
      <w:r>
        <w:t xml:space="preserve"> </w:t>
      </w:r>
      <w:r w:rsidRPr="00454188">
        <w:rPr>
          <w:i/>
        </w:rPr>
        <w:t>Id</w:t>
      </w:r>
      <w:r w:rsidRPr="00DA646D">
        <w:t>.</w:t>
      </w:r>
    </w:p>
  </w:footnote>
  <w:footnote w:id="8">
    <w:p w:rsidR="00C627C6" w:rsidRDefault="00C627C6">
      <w:pPr>
        <w:pStyle w:val="FootnoteText"/>
      </w:pPr>
      <w:r>
        <w:rPr>
          <w:rStyle w:val="FootnoteReference"/>
        </w:rPr>
        <w:footnoteRef/>
      </w:r>
      <w:r>
        <w:t xml:space="preserve"> </w:t>
      </w:r>
      <w:r w:rsidR="006F6F38">
        <w:t>Demand</w:t>
      </w:r>
      <w:r w:rsidRPr="00C57667">
        <w:t xml:space="preserve"> on the Fund is </w:t>
      </w:r>
      <w:r w:rsidR="006F6F38">
        <w:t xml:space="preserve">discussed further in the </w:t>
      </w:r>
      <w:r w:rsidR="00274560">
        <w:rPr>
          <w:i/>
        </w:rPr>
        <w:t xml:space="preserve">Review of Reimbursement Estimates </w:t>
      </w:r>
      <w:r w:rsidR="00274560">
        <w:t xml:space="preserve">section </w:t>
      </w:r>
      <w:r w:rsidR="00883CB4">
        <w:t>below</w:t>
      </w:r>
      <w:r>
        <w:t>.</w:t>
      </w:r>
    </w:p>
  </w:footnote>
  <w:footnote w:id="9">
    <w:p w:rsidR="00C627C6" w:rsidRDefault="00C627C6" w:rsidP="00487A6D">
      <w:pPr>
        <w:pStyle w:val="FootnoteText"/>
      </w:pPr>
      <w:r>
        <w:rPr>
          <w:rStyle w:val="FootnoteReference"/>
        </w:rPr>
        <w:footnoteRef/>
      </w:r>
      <w:r>
        <w:rPr>
          <w:szCs w:val="22"/>
        </w:rPr>
        <w:t xml:space="preserve"> </w:t>
      </w:r>
      <w:r w:rsidRPr="00DA646D">
        <w:rPr>
          <w:i/>
        </w:rPr>
        <w:t>Incentive Auction R&amp;O</w:t>
      </w:r>
      <w:r w:rsidRPr="00DA646D">
        <w:t>, 29 FCC Rcd</w:t>
      </w:r>
      <w:r>
        <w:rPr>
          <w:rFonts w:ascii="TimesNewRoman,Italic" w:hAnsi="TimesNewRoman,Italic" w:cs="TimesNewRoman,Italic"/>
          <w:i/>
          <w:iCs/>
        </w:rPr>
        <w:t>.</w:t>
      </w:r>
      <w:r w:rsidRPr="00A5211E">
        <w:rPr>
          <w:rFonts w:ascii="TimesNewRoman" w:hAnsi="TimesNewRoman" w:cs="TimesNewRoman"/>
        </w:rPr>
        <w:t xml:space="preserve"> </w:t>
      </w:r>
      <w:r>
        <w:rPr>
          <w:rFonts w:ascii="TimesNewRoman" w:hAnsi="TimesNewRoman" w:cs="TimesNewRoman"/>
        </w:rPr>
        <w:t>at</w:t>
      </w:r>
      <w:r>
        <w:t xml:space="preserve"> 6818, para. 614</w:t>
      </w:r>
      <w:r w:rsidRPr="00A5211E">
        <w:rPr>
          <w:rFonts w:ascii="TimesNewRoman" w:hAnsi="TimesNewRoman" w:cs="TimesNewRoman"/>
        </w:rPr>
        <w:t xml:space="preserve"> (</w:t>
      </w:r>
      <w:r w:rsidRPr="00903D4F">
        <w:t>citing PTV Comments at 28–29)</w:t>
      </w:r>
      <w:r w:rsidRPr="002F418D">
        <w:t>.</w:t>
      </w:r>
    </w:p>
  </w:footnote>
  <w:footnote w:id="10">
    <w:p w:rsidR="00C627C6" w:rsidRPr="00CC27BF" w:rsidRDefault="00C627C6" w:rsidP="00F273F1">
      <w:pPr>
        <w:pStyle w:val="FootnoteText"/>
      </w:pPr>
      <w:r w:rsidRPr="00CC27BF">
        <w:rPr>
          <w:rStyle w:val="FootnoteReference"/>
        </w:rPr>
        <w:footnoteRef/>
      </w:r>
      <w:r w:rsidRPr="00CC27BF">
        <w:t xml:space="preserve"> </w:t>
      </w:r>
      <w:r>
        <w:rPr>
          <w:i/>
        </w:rPr>
        <w:t>Id.</w:t>
      </w:r>
      <w:r w:rsidRPr="00F650CA">
        <w:rPr>
          <w:i/>
        </w:rPr>
        <w:t xml:space="preserve"> </w:t>
      </w:r>
      <w:r w:rsidRPr="00F650CA">
        <w:t xml:space="preserve">at 6815-16, para. 607; </w:t>
      </w:r>
      <w:r>
        <w:rPr>
          <w:i/>
        </w:rPr>
        <w:t xml:space="preserve">and see </w:t>
      </w:r>
      <w:r w:rsidRPr="00DA646D">
        <w:rPr>
          <w:i/>
        </w:rPr>
        <w:t>Incentive Auction Closing and Channel Reassignment Pub. Notice the Broad. TV Incentive Auction Closes; Reverse Auction and Forward Auction Results A</w:t>
      </w:r>
      <w:r>
        <w:rPr>
          <w:i/>
        </w:rPr>
        <w:t xml:space="preserve">nnounced; Final TV Band Channel </w:t>
      </w:r>
      <w:r w:rsidRPr="00DA646D">
        <w:rPr>
          <w:i/>
        </w:rPr>
        <w:t>Assignments Announced; Post-Auction Deadlines Announced</w:t>
      </w:r>
      <w:r w:rsidRPr="00DA646D">
        <w:t>, Public Notice, 32 FCC Rcd 2786,</w:t>
      </w:r>
      <w:r>
        <w:t xml:space="preserve"> 2816, para. </w:t>
      </w:r>
      <w:r w:rsidRPr="00F650CA">
        <w:t>90</w:t>
      </w:r>
      <w:r>
        <w:t xml:space="preserve"> </w:t>
      </w:r>
      <w:r w:rsidRPr="00DA646D">
        <w:t>(2017)</w:t>
      </w:r>
      <w:r>
        <w:t xml:space="preserve"> (</w:t>
      </w:r>
      <w:r w:rsidRPr="00931E7E">
        <w:rPr>
          <w:i/>
        </w:rPr>
        <w:t>Closing and Channel Reassignment PN</w:t>
      </w:r>
      <w:r>
        <w:t>).</w:t>
      </w:r>
    </w:p>
  </w:footnote>
  <w:footnote w:id="11">
    <w:p w:rsidR="00C627C6" w:rsidRDefault="00C627C6">
      <w:pPr>
        <w:pStyle w:val="FootnoteText"/>
      </w:pPr>
      <w:r>
        <w:rPr>
          <w:rStyle w:val="FootnoteReference"/>
        </w:rPr>
        <w:footnoteRef/>
      </w:r>
      <w:r>
        <w:t xml:space="preserve"> Certain stations that have received a waiver of the construction permit filing deadline have not yet filed their Reimbursement Forms.  For the purposes of the initial allocation of available funding, </w:t>
      </w:r>
      <w:r w:rsidRPr="007D5872">
        <w:t xml:space="preserve">a proxy of the expected reimbursable expenses for those stations </w:t>
      </w:r>
      <w:r>
        <w:t xml:space="preserve">was established based on available information, </w:t>
      </w:r>
      <w:r w:rsidRPr="007D5872">
        <w:t>so that they will have allocated funds available</w:t>
      </w:r>
      <w:r>
        <w:t>,</w:t>
      </w:r>
      <w:r w:rsidRPr="007D5872">
        <w:t xml:space="preserve"> for purposes of reimbursement</w:t>
      </w:r>
      <w:r>
        <w:t>,</w:t>
      </w:r>
      <w:r w:rsidRPr="007D5872">
        <w:t xml:space="preserve"> </w:t>
      </w:r>
      <w:r>
        <w:t>to move</w:t>
      </w:r>
      <w:r w:rsidRPr="007D5872">
        <w:t xml:space="preserve"> forward with planning and down-payments on equipment needed to operate in accordance with reassigned channels</w:t>
      </w:r>
      <w:r>
        <w:t xml:space="preserve">.  </w:t>
      </w:r>
      <w:r>
        <w:rPr>
          <w:i/>
        </w:rPr>
        <w:t xml:space="preserve">See </w:t>
      </w:r>
      <w:r w:rsidRPr="00931E7E">
        <w:rPr>
          <w:i/>
        </w:rPr>
        <w:t>Closing and Channel Reassignment PN</w:t>
      </w:r>
      <w:r>
        <w:t>, 32 FCC Rcd at 2809, para. 70</w:t>
      </w:r>
      <w:r w:rsidRPr="00DA646D">
        <w:t xml:space="preserve"> </w:t>
      </w:r>
      <w:r>
        <w:t xml:space="preserve">(“Stations that determine that they are unable to construct facilities that meet the technical parameters specified in the Technical Parameters file described in Section IV.B, or the contour coverage variance permitted by 47 CFR § 73.7300(b)(1)(ii) and (iii), as well as stations otherwise unable to meet the 90-day construction permit filing deadline, may seek waiver of the filing deadline.”); </w:t>
      </w:r>
      <w:r>
        <w:rPr>
          <w:i/>
        </w:rPr>
        <w:t xml:space="preserve">see also </w:t>
      </w:r>
      <w:r>
        <w:t xml:space="preserve">Press Release, Federal Communications Commission, </w:t>
      </w:r>
      <w:r w:rsidRPr="00CF6BF1">
        <w:rPr>
          <w:i/>
        </w:rPr>
        <w:t xml:space="preserve">Incentive Auction Task Force Announces Preliminary Reimbursable Cost Estimate </w:t>
      </w:r>
      <w:r w:rsidR="008A0DE1">
        <w:rPr>
          <w:i/>
        </w:rPr>
        <w:t>f</w:t>
      </w:r>
      <w:r w:rsidRPr="00CF6BF1">
        <w:rPr>
          <w:i/>
        </w:rPr>
        <w:t xml:space="preserve">or </w:t>
      </w:r>
      <w:r w:rsidR="008A0DE1">
        <w:rPr>
          <w:i/>
        </w:rPr>
        <w:t>t</w:t>
      </w:r>
      <w:r w:rsidRPr="00CF6BF1">
        <w:rPr>
          <w:i/>
        </w:rPr>
        <w:t>he Post-Auction Broadcast Transition</w:t>
      </w:r>
      <w:r>
        <w:t xml:space="preserve"> (Jul. 12, 2017), </w:t>
      </w:r>
      <w:r>
        <w:rPr>
          <w:i/>
        </w:rPr>
        <w:t>available at</w:t>
      </w:r>
      <w:r>
        <w:t>:</w:t>
      </w:r>
      <w:r w:rsidRPr="005C16E8">
        <w:t xml:space="preserve"> </w:t>
      </w:r>
      <w:hyperlink r:id="rId1" w:history="1">
        <w:r w:rsidRPr="00856B81">
          <w:rPr>
            <w:rStyle w:val="Hyperlink"/>
          </w:rPr>
          <w:t>https://apps.fcc.gov/edocs_public/attachmatch/DOC-345815A1.pdf</w:t>
        </w:r>
      </w:hyperlink>
      <w:r>
        <w:t xml:space="preserve">.  </w:t>
      </w:r>
      <w:r>
        <w:rPr>
          <w:i/>
        </w:rPr>
        <w:t xml:space="preserve">See also </w:t>
      </w:r>
      <w:r w:rsidRPr="00931E7E">
        <w:rPr>
          <w:i/>
        </w:rPr>
        <w:t>Closing and Channel Reassignment PN</w:t>
      </w:r>
      <w:r>
        <w:t>, 32 FCC Rcd at 2815, para. 87 (noting “[t]he Commission will assign a proxy estimate using, for instance, the cost estimates of similarly situated stations, in order to provide those stations with an initial allocation.”).</w:t>
      </w:r>
    </w:p>
  </w:footnote>
  <w:footnote w:id="12">
    <w:p w:rsidR="00C627C6" w:rsidRPr="002F418D" w:rsidRDefault="00C627C6" w:rsidP="00FC4C07">
      <w:pPr>
        <w:pStyle w:val="FootnoteText"/>
      </w:pPr>
      <w:r w:rsidRPr="002F418D">
        <w:rPr>
          <w:rStyle w:val="FootnoteReference"/>
        </w:rPr>
        <w:footnoteRef/>
      </w:r>
      <w:r w:rsidRPr="002F418D">
        <w:t xml:space="preserve"> </w:t>
      </w:r>
      <w:r>
        <w:rPr>
          <w:i/>
        </w:rPr>
        <w:t xml:space="preserve">See </w:t>
      </w:r>
      <w:r w:rsidRPr="00DA646D">
        <w:rPr>
          <w:i/>
        </w:rPr>
        <w:t>Incentive Auction R&amp;O</w:t>
      </w:r>
      <w:r w:rsidRPr="00DA646D">
        <w:t>, 29 FCC Rcd at</w:t>
      </w:r>
      <w:r w:rsidRPr="002F418D">
        <w:t xml:space="preserve"> 68</w:t>
      </w:r>
      <w:r>
        <w:t>20</w:t>
      </w:r>
      <w:r w:rsidRPr="002F418D">
        <w:t>, para. 61</w:t>
      </w:r>
      <w:r>
        <w:t>8 (directing</w:t>
      </w:r>
      <w:r w:rsidRPr="00C935DC">
        <w:t xml:space="preserve"> the Bureau</w:t>
      </w:r>
      <w:r>
        <w:t xml:space="preserve"> to </w:t>
      </w:r>
      <w:r>
        <w:rPr>
          <w:rFonts w:ascii="TimesNewRoman" w:hAnsi="TimesNewRoman" w:cs="TimesNewRoman"/>
        </w:rPr>
        <w:t>engage a contractor to assist in the administration of the Fund, to be overseen by the Bureau).</w:t>
      </w:r>
      <w:r w:rsidRPr="002F418D">
        <w:t xml:space="preserve">  </w:t>
      </w:r>
    </w:p>
  </w:footnote>
  <w:footnote w:id="13">
    <w:p w:rsidR="00C627C6" w:rsidRDefault="00C627C6" w:rsidP="005D6FFC">
      <w:pPr>
        <w:pStyle w:val="FootnoteText"/>
      </w:pPr>
      <w:r>
        <w:rPr>
          <w:rStyle w:val="FootnoteReference"/>
        </w:rPr>
        <w:footnoteRef/>
      </w:r>
      <w:r>
        <w:t xml:space="preserve"> If, at the conclusion of the reasonableness review, certain expenses remained inadequately justified or otherwise </w:t>
      </w:r>
      <w:r w:rsidR="00AB62BD">
        <w:t xml:space="preserve"> not </w:t>
      </w:r>
      <w:r w:rsidR="00A94531">
        <w:t>reimbursable</w:t>
      </w:r>
      <w:r>
        <w:t xml:space="preserve">, such expenses </w:t>
      </w:r>
      <w:r w:rsidRPr="00277A5B">
        <w:t>were</w:t>
      </w:r>
      <w:r>
        <w:t>, depending upon the nature of the concern,</w:t>
      </w:r>
      <w:r w:rsidRPr="00277A5B">
        <w:t xml:space="preserve"> excluded from the </w:t>
      </w:r>
      <w:bookmarkStart w:id="2" w:name="_Hlk495056568"/>
      <w:r>
        <w:t xml:space="preserve">recommended verified estimate amount </w:t>
      </w:r>
      <w:bookmarkEnd w:id="2"/>
      <w:r>
        <w:t xml:space="preserve">or </w:t>
      </w:r>
      <w:r w:rsidRPr="008B6CB8">
        <w:t>adjusted to the Cost Catalog amount</w:t>
      </w:r>
      <w:r w:rsidRPr="007D5872">
        <w:t xml:space="preserve"> </w:t>
      </w:r>
      <w:r>
        <w:t xml:space="preserve">for purposes of an entity’s initial </w:t>
      </w:r>
      <w:r w:rsidRPr="00277A5B">
        <w:t>allocation</w:t>
      </w:r>
      <w:r w:rsidRPr="008B6CB8">
        <w:t>.</w:t>
      </w:r>
      <w:r>
        <w:t xml:space="preserve">  We note, however, that additional </w:t>
      </w:r>
      <w:r w:rsidRPr="008B6CB8">
        <w:t xml:space="preserve">cost documentation </w:t>
      </w:r>
      <w:r w:rsidR="00A94531">
        <w:t xml:space="preserve">or other revisions </w:t>
      </w:r>
      <w:r>
        <w:t>subsequently submitted in the Reimbursement Form</w:t>
      </w:r>
      <w:r w:rsidRPr="008B6CB8">
        <w:t xml:space="preserve"> will be considered </w:t>
      </w:r>
      <w:r>
        <w:t xml:space="preserve">in a later allocation.  Based on </w:t>
      </w:r>
      <w:r w:rsidR="00AE28BA">
        <w:t xml:space="preserve">our </w:t>
      </w:r>
      <w:r>
        <w:t>initial review of reimbursement estimates, commercial broadcast stations require approximatel</w:t>
      </w:r>
      <w:r w:rsidRPr="00DD3E3C">
        <w:t>y $1.6136 billion, NCEs require approximately $294.9 million, and MVPDs require approximately $17.9 million.</w:t>
      </w:r>
    </w:p>
  </w:footnote>
  <w:footnote w:id="14">
    <w:p w:rsidR="004268DC" w:rsidRDefault="004268DC" w:rsidP="004268DC">
      <w:pPr>
        <w:pStyle w:val="FootnoteText"/>
      </w:pPr>
      <w:r>
        <w:rPr>
          <w:rStyle w:val="FootnoteReference"/>
        </w:rPr>
        <w:footnoteRef/>
      </w:r>
      <w:r>
        <w:t xml:space="preserve"> </w:t>
      </w:r>
      <w:r w:rsidRPr="00781C2C">
        <w:rPr>
          <w:i/>
        </w:rPr>
        <w:t>See Incentive Auction Task Force and Media Bureau Finalize Catalog of Reimbursement Expenses</w:t>
      </w:r>
      <w:r w:rsidRPr="0040141E">
        <w:t>, Public Notice, 32 FCC Rcd 1199</w:t>
      </w:r>
      <w:r>
        <w:t>, 1205, para. 12</w:t>
      </w:r>
      <w:r w:rsidRPr="0040141E">
        <w:t xml:space="preserve"> (IATF/MB 2017) </w:t>
      </w:r>
      <w:r>
        <w:t xml:space="preserve">(adopting methodology for annually updating baseline costs listed in the Cost Catalog using the </w:t>
      </w:r>
      <w:r w:rsidRPr="00781C2C">
        <w:t>Producer Price Index</w:t>
      </w:r>
      <w:r>
        <w:t xml:space="preserve"> (PPI), WPUFD4 series, as calculated by the Bureau of Labor Statistics, to ensure that the baseline costs remain current throughout the reimbursement period, and further noting that if actual price increases outpaced the </w:t>
      </w:r>
      <w:r w:rsidR="00D435B4">
        <w:t>PPI</w:t>
      </w:r>
      <w:r>
        <w:t xml:space="preserve"> we would propose adjusting the baseline costs accordingly</w:t>
      </w:r>
      <w:r w:rsidRPr="0040141E">
        <w:t>).</w:t>
      </w:r>
    </w:p>
  </w:footnote>
  <w:footnote w:id="15">
    <w:p w:rsidR="00C627C6" w:rsidRPr="00D64FB9" w:rsidRDefault="00C627C6" w:rsidP="007A21B5">
      <w:pPr>
        <w:pStyle w:val="FootnoteText"/>
        <w:rPr>
          <w:i/>
        </w:rPr>
      </w:pPr>
      <w:r>
        <w:rPr>
          <w:rStyle w:val="FootnoteReference"/>
        </w:rPr>
        <w:footnoteRef/>
      </w:r>
      <w:r>
        <w:t xml:space="preserve"> </w:t>
      </w:r>
      <w:r w:rsidRPr="005678A2">
        <w:rPr>
          <w:i/>
        </w:rPr>
        <w:t>S</w:t>
      </w:r>
      <w:r w:rsidRPr="00DA646D">
        <w:rPr>
          <w:i/>
        </w:rPr>
        <w:t>ee Incentive Auction R&amp;O</w:t>
      </w:r>
      <w:r w:rsidRPr="00DA646D">
        <w:t>, 29 FCC Rcd at 6819, para. 615.</w:t>
      </w:r>
      <w:r>
        <w:t xml:space="preserve">  </w:t>
      </w:r>
      <w:r>
        <w:rPr>
          <w:i/>
        </w:rPr>
        <w:t xml:space="preserve">See also </w:t>
      </w:r>
      <w:r w:rsidRPr="00A5211E">
        <w:rPr>
          <w:i/>
        </w:rPr>
        <w:t>Closing and Channel Reassignment PN</w:t>
      </w:r>
      <w:r w:rsidRPr="00DA646D">
        <w:t xml:space="preserve">, 32 FCC Rcd </w:t>
      </w:r>
      <w:r>
        <w:t>at 2815</w:t>
      </w:r>
      <w:r w:rsidRPr="00DA646D">
        <w:t>, para. 87</w:t>
      </w:r>
      <w:r>
        <w:t>.</w:t>
      </w:r>
      <w:r>
        <w:rPr>
          <w:i/>
        </w:rPr>
        <w:t xml:space="preserve"> </w:t>
      </w:r>
    </w:p>
  </w:footnote>
  <w:footnote w:id="16">
    <w:p w:rsidR="00C627C6" w:rsidRPr="00A306CC" w:rsidRDefault="00C627C6" w:rsidP="00A306CC">
      <w:pPr>
        <w:pStyle w:val="FootnoteText"/>
      </w:pPr>
      <w:r>
        <w:rPr>
          <w:rStyle w:val="FootnoteReference"/>
        </w:rPr>
        <w:footnoteRef/>
      </w:r>
      <w:r>
        <w:t xml:space="preserve"> </w:t>
      </w:r>
      <w:bookmarkStart w:id="3" w:name="_Hlk495415450"/>
      <w:r w:rsidRPr="00A306CC">
        <w:t xml:space="preserve">The </w:t>
      </w:r>
      <w:r w:rsidR="002D56B7">
        <w:t>precise allocation</w:t>
      </w:r>
      <w:r>
        <w:rPr>
          <w:i/>
        </w:rPr>
        <w:t xml:space="preserve"> </w:t>
      </w:r>
      <w:r>
        <w:t xml:space="preserve">is $1,000,003,751.80, which represents exactly 52.095 percent of the currently </w:t>
      </w:r>
      <w:r w:rsidR="002D56B7">
        <w:t xml:space="preserve">verified </w:t>
      </w:r>
      <w:r>
        <w:t xml:space="preserve">estimated </w:t>
      </w:r>
      <w:r w:rsidR="002D56B7">
        <w:t>expenses</w:t>
      </w:r>
      <w:r>
        <w:t xml:space="preserve"> of commercial stations and MVPDs, and 62.095 percent of the currently </w:t>
      </w:r>
      <w:r w:rsidR="002D56B7">
        <w:t xml:space="preserve">verified </w:t>
      </w:r>
      <w:r>
        <w:t xml:space="preserve">estimated </w:t>
      </w:r>
      <w:r w:rsidR="002D56B7">
        <w:t>expenses</w:t>
      </w:r>
      <w:r>
        <w:t xml:space="preserve"> of NCEs.</w:t>
      </w:r>
      <w:bookmarkEnd w:id="3"/>
    </w:p>
  </w:footnote>
  <w:footnote w:id="17">
    <w:p w:rsidR="00C627C6" w:rsidRPr="00750A66" w:rsidRDefault="00C627C6">
      <w:pPr>
        <w:pStyle w:val="FootnoteText"/>
        <w:rPr>
          <w:i/>
        </w:rPr>
      </w:pPr>
      <w:r>
        <w:rPr>
          <w:rStyle w:val="FootnoteReference"/>
        </w:rPr>
        <w:footnoteRef/>
      </w:r>
      <w:r>
        <w:t xml:space="preserve"> The first phase testing period starts September 14, 2018.  The full transition schedule can be found in the </w:t>
      </w:r>
      <w:r w:rsidRPr="00931E7E">
        <w:rPr>
          <w:i/>
        </w:rPr>
        <w:t>Closing and Channel Reassignment PN</w:t>
      </w:r>
      <w:r>
        <w:t xml:space="preserve">.  </w:t>
      </w:r>
      <w:r>
        <w:rPr>
          <w:i/>
        </w:rPr>
        <w:t xml:space="preserve">See </w:t>
      </w:r>
      <w:r>
        <w:t xml:space="preserve">32 FCC Rcd at 2806, para. 64; </w:t>
      </w:r>
      <w:r w:rsidRPr="002D1143">
        <w:rPr>
          <w:i/>
        </w:rPr>
        <w:t>and</w:t>
      </w:r>
      <w:r w:rsidRPr="00AC3DCA">
        <w:t xml:space="preserve"> </w:t>
      </w:r>
      <w:r>
        <w:t xml:space="preserve">Federal Communications Commission Transition Schedule website: </w:t>
      </w:r>
      <w:hyperlink r:id="rId2" w:history="1">
        <w:r w:rsidRPr="00C5023B">
          <w:rPr>
            <w:rStyle w:val="Hyperlink"/>
          </w:rPr>
          <w:t>https://www.fcc.gov/about-fcc/fcc-initiatives/incentive-auctions/transition-schedule</w:t>
        </w:r>
      </w:hyperlink>
      <w:r>
        <w:t>.</w:t>
      </w:r>
    </w:p>
  </w:footnote>
  <w:footnote w:id="18">
    <w:p w:rsidR="00C627C6" w:rsidRPr="00C935DC" w:rsidRDefault="00C627C6" w:rsidP="00C14231">
      <w:pPr>
        <w:pStyle w:val="FootnoteText"/>
      </w:pPr>
      <w:r w:rsidRPr="00C935DC">
        <w:rPr>
          <w:rStyle w:val="FootnoteReference"/>
        </w:rPr>
        <w:footnoteRef/>
      </w:r>
      <w:r>
        <w:t xml:space="preserve"> </w:t>
      </w:r>
      <w:r w:rsidRPr="00C935DC">
        <w:rPr>
          <w:i/>
        </w:rPr>
        <w:t>See</w:t>
      </w:r>
      <w:r w:rsidRPr="00C935DC">
        <w:t xml:space="preserve"> </w:t>
      </w:r>
      <w:r w:rsidRPr="00C935DC">
        <w:rPr>
          <w:i/>
        </w:rPr>
        <w:t xml:space="preserve">Procedures for Submitting Financial Information Required for the Disbursement of Incentive Payments and Reimbursement Payments </w:t>
      </w:r>
      <w:r>
        <w:rPr>
          <w:i/>
        </w:rPr>
        <w:t>a</w:t>
      </w:r>
      <w:r w:rsidRPr="00C935DC">
        <w:rPr>
          <w:i/>
        </w:rPr>
        <w:t>fter the Incentive Auction Closes</w:t>
      </w:r>
      <w:r>
        <w:t>, Public Notice</w:t>
      </w:r>
      <w:r w:rsidRPr="00C935DC">
        <w:t>, 32 FCC Rcd 2003, 2029, para. 96 (</w:t>
      </w:r>
      <w:r>
        <w:t>2017).</w:t>
      </w:r>
    </w:p>
  </w:footnote>
  <w:footnote w:id="19">
    <w:p w:rsidR="00C627C6" w:rsidRDefault="00C627C6" w:rsidP="00EB2A42">
      <w:pPr>
        <w:pStyle w:val="FootnoteText"/>
      </w:pPr>
      <w:r>
        <w:rPr>
          <w:rStyle w:val="FootnoteReference"/>
        </w:rPr>
        <w:footnoteRef/>
      </w:r>
      <w:r>
        <w:t xml:space="preserve"> </w:t>
      </w:r>
      <w:r>
        <w:rPr>
          <w:snapToGrid w:val="0"/>
        </w:rPr>
        <w:t>If the eligible entity has consummated a change in ownership since the submission of the Reimbursement Form, allocations will not be visible until that station returns to the Form, verifies and corrects the contact information, and certifies and resubmits the Reimbursement Form.</w:t>
      </w:r>
    </w:p>
  </w:footnote>
  <w:footnote w:id="20">
    <w:p w:rsidR="00C627C6" w:rsidRDefault="00C627C6">
      <w:pPr>
        <w:pStyle w:val="FootnoteText"/>
      </w:pPr>
      <w:r>
        <w:rPr>
          <w:rStyle w:val="FootnoteReference"/>
        </w:rPr>
        <w:footnoteRef/>
      </w:r>
      <w:r>
        <w:t xml:space="preserve"> </w:t>
      </w:r>
      <w:r w:rsidRPr="00D52D86">
        <w:rPr>
          <w:szCs w:val="22"/>
        </w:rPr>
        <w:t>These tools include</w:t>
      </w:r>
      <w:r>
        <w:rPr>
          <w:szCs w:val="22"/>
        </w:rPr>
        <w:t xml:space="preserve"> t</w:t>
      </w:r>
      <w:r w:rsidRPr="00D52D86">
        <w:rPr>
          <w:szCs w:val="22"/>
        </w:rPr>
        <w:t>emporarily operating on the post-auction channel at variance with reduced power</w:t>
      </w:r>
      <w:r>
        <w:rPr>
          <w:szCs w:val="22"/>
        </w:rPr>
        <w:t>, t</w:t>
      </w:r>
      <w:r w:rsidRPr="00D52D86">
        <w:rPr>
          <w:szCs w:val="22"/>
        </w:rPr>
        <w:t>emporarily operating from an interim or an auxiliary facility</w:t>
      </w:r>
      <w:r>
        <w:rPr>
          <w:szCs w:val="22"/>
        </w:rPr>
        <w:t>, t</w:t>
      </w:r>
      <w:r w:rsidRPr="00D52D86">
        <w:rPr>
          <w:szCs w:val="22"/>
        </w:rPr>
        <w:t>emporarily operating on an alternate channel</w:t>
      </w:r>
      <w:r>
        <w:rPr>
          <w:szCs w:val="22"/>
        </w:rPr>
        <w:t>, t</w:t>
      </w:r>
      <w:r w:rsidRPr="00D52D86">
        <w:rPr>
          <w:szCs w:val="22"/>
        </w:rPr>
        <w:t>emporarily engaging in the joint use of another channel</w:t>
      </w:r>
      <w:r>
        <w:rPr>
          <w:szCs w:val="22"/>
        </w:rPr>
        <w:t>, o</w:t>
      </w:r>
      <w:r w:rsidRPr="00D52D86">
        <w:rPr>
          <w:szCs w:val="22"/>
        </w:rPr>
        <w:t>ther arrangements agreed upon by the other affected stations</w:t>
      </w:r>
      <w:r>
        <w:rPr>
          <w:szCs w:val="22"/>
        </w:rPr>
        <w:t xml:space="preserve">.  </w:t>
      </w:r>
      <w:r w:rsidRPr="005C5C60">
        <w:rPr>
          <w:i/>
          <w:szCs w:val="22"/>
        </w:rPr>
        <w:t>See Incentive Auction Task Force and Media Bureau Adopt a Post-Incentive Auction Transition Scheduling Plan</w:t>
      </w:r>
      <w:r w:rsidRPr="005C5C60">
        <w:rPr>
          <w:szCs w:val="22"/>
        </w:rPr>
        <w:t xml:space="preserve">, </w:t>
      </w:r>
      <w:r>
        <w:rPr>
          <w:szCs w:val="22"/>
        </w:rPr>
        <w:t>Public Notice, 32 FCC Rcd 890</w:t>
      </w:r>
      <w:r w:rsidRPr="005C5C60">
        <w:rPr>
          <w:szCs w:val="22"/>
        </w:rPr>
        <w:t xml:space="preserve"> (IATF/MB 2017</w:t>
      </w:r>
      <w:r>
        <w:rPr>
          <w:szCs w:val="22"/>
        </w:rPr>
        <w:t xml:space="preserve">); </w:t>
      </w:r>
      <w:r>
        <w:rPr>
          <w:i/>
          <w:szCs w:val="22"/>
        </w:rPr>
        <w:t xml:space="preserve">and </w:t>
      </w:r>
      <w:r w:rsidRPr="005C5C60">
        <w:rPr>
          <w:i/>
          <w:szCs w:val="22"/>
        </w:rPr>
        <w:t>Incentive Auction Task Force and Media Bureau Announce Procedures for the Post-Incentive Auction Broadcast Transition</w:t>
      </w:r>
      <w:r>
        <w:rPr>
          <w:szCs w:val="22"/>
        </w:rPr>
        <w:t>, Public Notice, 32 FCC Rcd 858</w:t>
      </w:r>
      <w:r w:rsidRPr="005C5C60">
        <w:rPr>
          <w:szCs w:val="22"/>
        </w:rPr>
        <w:t xml:space="preserve"> (IATF/MB 2017)</w:t>
      </w:r>
      <w:r>
        <w:rPr>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5A5" w:rsidRDefault="00A645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C6" w:rsidRDefault="00C627C6" w:rsidP="00810B6F">
    <w:pPr>
      <w:pStyle w:val="Header"/>
      <w:rPr>
        <w:b w:val="0"/>
      </w:rPr>
    </w:pPr>
    <w:r>
      <w:tab/>
      <w:t>Federal Communications Commission</w:t>
    </w:r>
    <w:r>
      <w:tab/>
      <w:t>DA 17-</w:t>
    </w:r>
    <w:r w:rsidR="009D3FC9">
      <w:t>1015</w:t>
    </w:r>
  </w:p>
  <w:p w:rsidR="00C627C6" w:rsidRDefault="00C627C6">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466422A8" wp14:editId="0A925DE0">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4BE1CBCB"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C627C6" w:rsidRDefault="00C627C6">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7C6" w:rsidRPr="00BA6E7A" w:rsidRDefault="00C627C6" w:rsidP="00750150">
    <w:pPr>
      <w:spacing w:before="40"/>
      <w:rPr>
        <w:rFonts w:ascii="Arial" w:hAnsi="Arial" w:cs="Arial"/>
        <w:b/>
        <w:sz w:val="96"/>
      </w:rPr>
    </w:pPr>
    <w:r>
      <w:rPr>
        <w:noProof/>
      </w:rPr>
      <mc:AlternateContent>
        <mc:Choice Requires="wps">
          <w:drawing>
            <wp:anchor distT="0" distB="0" distL="114300" distR="114300" simplePos="0" relativeHeight="251659264" behindDoc="0" locked="0" layoutInCell="0" allowOverlap="1" wp14:anchorId="2C2821DC" wp14:editId="1AA7B357">
              <wp:simplePos x="0" y="0"/>
              <wp:positionH relativeFrom="margin">
                <wp:posOffset>-57150</wp:posOffset>
              </wp:positionH>
              <wp:positionV relativeFrom="paragraph">
                <wp:posOffset>741045</wp:posOffset>
              </wp:positionV>
              <wp:extent cx="3108960" cy="64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27C6" w:rsidRDefault="00C627C6" w:rsidP="00750150">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2C2821DC"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" o:allowincell="f" stroked="f">
              <v:textbox>
                <w:txbxContent>
                  <w:p w:rsidR="00C627C6" w:rsidRDefault="00C627C6" w:rsidP="00750150">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14:anchorId="2E97CFD9" wp14:editId="110D7700">
          <wp:extent cx="525780" cy="525780"/>
          <wp:effectExtent l="0" t="0" r="7620" b="7620"/>
          <wp:docPr id="1"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rsidR="00C627C6" w:rsidRPr="005068D8" w:rsidRDefault="00C627C6" w:rsidP="00750150">
    <w:pPr>
      <w:spacing w:before="40"/>
      <w:rPr>
        <w:rFonts w:ascii="Arial" w:hAnsi="Arial" w:cs="Arial"/>
        <w:b/>
        <w:sz w:val="96"/>
      </w:rPr>
    </w:pPr>
    <w:r>
      <w:rPr>
        <w:noProof/>
      </w:rPr>
      <mc:AlternateContent>
        <mc:Choice Requires="wps">
          <w:drawing>
            <wp:anchor distT="4294967295" distB="4294967295" distL="114300" distR="114300" simplePos="0" relativeHeight="251660288" behindDoc="0" locked="0" layoutInCell="0" allowOverlap="1" wp14:anchorId="4C9AF332" wp14:editId="6F70A7D8">
              <wp:simplePos x="0" y="0"/>
              <wp:positionH relativeFrom="margin">
                <wp:align>right</wp:align>
              </wp:positionH>
              <wp:positionV relativeFrom="paragraph">
                <wp:posOffset>720089</wp:posOffset>
              </wp:positionV>
              <wp:extent cx="59436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36E21FE0" id="Line 4" o:spid="_x0000_s1026" style="position:absolute;z-index:2516602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78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d5E+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rgK+/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61312" behindDoc="0" locked="0" layoutInCell="0" allowOverlap="1" wp14:anchorId="4FE3EBC6" wp14:editId="75D8F0C1">
              <wp:simplePos x="0" y="0"/>
              <wp:positionH relativeFrom="column">
                <wp:posOffset>3343275</wp:posOffset>
              </wp:positionH>
              <wp:positionV relativeFrom="paragraph">
                <wp:posOffset>178435</wp:posOffset>
              </wp:positionV>
              <wp:extent cx="2640965" cy="447675"/>
              <wp:effectExtent l="0" t="0" r="698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27C6" w:rsidRDefault="00C627C6" w:rsidP="00750150">
                          <w:pPr>
                            <w:spacing w:before="40"/>
                            <w:jc w:val="right"/>
                          </w:pPr>
                          <w:r>
                            <w:rPr>
                              <w:rFonts w:ascii="Arial" w:hAnsi="Arial"/>
                              <w:b/>
                              <w:sz w:val="16"/>
                            </w:rPr>
                            <w:t>News Media Information: 202-418-0500</w:t>
                          </w:r>
                          <w:r>
                            <w:rPr>
                              <w:rFonts w:ascii="Arial" w:hAnsi="Arial"/>
                              <w:b/>
                              <w:sz w:val="16"/>
                            </w:rPr>
                            <w:br/>
                            <w:t xml:space="preserve">Internet: </w:t>
                          </w:r>
                          <w:hyperlink r:id="rId2" w:history="1">
                            <w:r w:rsidRPr="00967716">
                              <w:rPr>
                                <w:rStyle w:val="Hyperlink"/>
                                <w:rFonts w:ascii="Arial" w:hAnsi="Arial"/>
                                <w:b/>
                                <w:sz w:val="16"/>
                              </w:rPr>
                              <w:t>www.fcc.gov</w:t>
                            </w:r>
                          </w:hyperlink>
                          <w:r>
                            <w:rPr>
                              <w:rFonts w:ascii="Arial" w:hAnsi="Arial"/>
                              <w:b/>
                              <w:sz w:val="16"/>
                            </w:rPr>
                            <w:b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YCyO&#10;D4ICAAAOBQAADgAAAAAAAAAAAAAAAAAuAgAAZHJzL2Uyb0RvYy54bWxQSwECLQAUAAYACAAAACEA&#10;pgCLut8AAAAJAQAADwAAAAAAAAAAAAAAAADcBAAAZHJzL2Rvd25yZXYueG1sUEsFBgAAAAAEAAQA&#10;8wAAAOgFAAAAAA==&#10;" o:allowincell="f" stroked="f">
              <v:textbox inset=",0,,0">
                <w:txbxContent>
                  <w:p w:rsidR="00C627C6" w:rsidRDefault="00C627C6" w:rsidP="00750150">
                    <w:pPr>
                      <w:spacing w:before="40"/>
                      <w:jc w:val="right"/>
                    </w:pPr>
                    <w:r>
                      <w:rPr>
                        <w:rFonts w:ascii="Arial" w:hAnsi="Arial"/>
                        <w:b/>
                        <w:sz w:val="16"/>
                      </w:rPr>
                      <w:t>News Media Information: 202-418-0500</w:t>
                    </w:r>
                    <w:r>
                      <w:rPr>
                        <w:rFonts w:ascii="Arial" w:hAnsi="Arial"/>
                        <w:b/>
                        <w:sz w:val="16"/>
                      </w:rPr>
                      <w:br/>
                      <w:t xml:space="preserve">Internet: </w:t>
                    </w:r>
                    <w:hyperlink r:id="rId3" w:history="1">
                      <w:r w:rsidRPr="00967716">
                        <w:rPr>
                          <w:rStyle w:val="Hyperlink"/>
                          <w:rFonts w:ascii="Arial" w:hAnsi="Arial"/>
                          <w:b/>
                          <w:sz w:val="16"/>
                        </w:rPr>
                        <w:t>www.fcc.gov</w:t>
                      </w:r>
                    </w:hyperlink>
                    <w:r>
                      <w:rPr>
                        <w:rFonts w:ascii="Arial" w:hAnsi="Arial"/>
                        <w:b/>
                        <w:sz w:val="16"/>
                      </w:rPr>
                      <w:br/>
                      <w:t>TTY: 888-835-5322</w:t>
                    </w:r>
                  </w:p>
                </w:txbxContent>
              </v:textbox>
            </v:shape>
          </w:pict>
        </mc:Fallback>
      </mc:AlternateContent>
    </w:r>
  </w:p>
  <w:p w:rsidR="00C627C6" w:rsidRPr="00750150" w:rsidRDefault="00C627C6" w:rsidP="007501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E81BBD"/>
    <w:multiLevelType w:val="hybridMultilevel"/>
    <w:tmpl w:val="C5004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A7E1152"/>
    <w:multiLevelType w:val="hybridMultilevel"/>
    <w:tmpl w:val="3D8EB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7CF2319"/>
    <w:multiLevelType w:val="hybridMultilevel"/>
    <w:tmpl w:val="3F0AC7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50"/>
    <w:rsid w:val="0001363F"/>
    <w:rsid w:val="00013F69"/>
    <w:rsid w:val="0002248F"/>
    <w:rsid w:val="000258BA"/>
    <w:rsid w:val="00030929"/>
    <w:rsid w:val="00036039"/>
    <w:rsid w:val="00037F90"/>
    <w:rsid w:val="00041E02"/>
    <w:rsid w:val="00043204"/>
    <w:rsid w:val="00045290"/>
    <w:rsid w:val="00046A13"/>
    <w:rsid w:val="00055948"/>
    <w:rsid w:val="00062C17"/>
    <w:rsid w:val="00065CA5"/>
    <w:rsid w:val="000755F8"/>
    <w:rsid w:val="00077D78"/>
    <w:rsid w:val="00080252"/>
    <w:rsid w:val="00085F6B"/>
    <w:rsid w:val="000875BF"/>
    <w:rsid w:val="00090331"/>
    <w:rsid w:val="00090364"/>
    <w:rsid w:val="00091554"/>
    <w:rsid w:val="00093302"/>
    <w:rsid w:val="00093785"/>
    <w:rsid w:val="00096445"/>
    <w:rsid w:val="0009653D"/>
    <w:rsid w:val="00096D8C"/>
    <w:rsid w:val="000A3174"/>
    <w:rsid w:val="000A5B63"/>
    <w:rsid w:val="000A760A"/>
    <w:rsid w:val="000B3816"/>
    <w:rsid w:val="000B5D98"/>
    <w:rsid w:val="000B5EED"/>
    <w:rsid w:val="000B74B7"/>
    <w:rsid w:val="000C0B65"/>
    <w:rsid w:val="000C3FEF"/>
    <w:rsid w:val="000C4E5C"/>
    <w:rsid w:val="000E05FE"/>
    <w:rsid w:val="000E3D42"/>
    <w:rsid w:val="000E5E42"/>
    <w:rsid w:val="000F6696"/>
    <w:rsid w:val="0010442A"/>
    <w:rsid w:val="001065D7"/>
    <w:rsid w:val="00107B2F"/>
    <w:rsid w:val="00122BD5"/>
    <w:rsid w:val="001238FB"/>
    <w:rsid w:val="00124FA7"/>
    <w:rsid w:val="001311A6"/>
    <w:rsid w:val="0013358C"/>
    <w:rsid w:val="00133F79"/>
    <w:rsid w:val="00140B25"/>
    <w:rsid w:val="00143986"/>
    <w:rsid w:val="00146BAC"/>
    <w:rsid w:val="00147C1B"/>
    <w:rsid w:val="001516F3"/>
    <w:rsid w:val="00152948"/>
    <w:rsid w:val="001535F1"/>
    <w:rsid w:val="00163117"/>
    <w:rsid w:val="001647B0"/>
    <w:rsid w:val="00171758"/>
    <w:rsid w:val="001730CD"/>
    <w:rsid w:val="00176E34"/>
    <w:rsid w:val="001806AE"/>
    <w:rsid w:val="00182C4D"/>
    <w:rsid w:val="00187722"/>
    <w:rsid w:val="00187E6F"/>
    <w:rsid w:val="00191D00"/>
    <w:rsid w:val="00191F4F"/>
    <w:rsid w:val="00194A66"/>
    <w:rsid w:val="00194FA4"/>
    <w:rsid w:val="001952DE"/>
    <w:rsid w:val="0019642C"/>
    <w:rsid w:val="001C623A"/>
    <w:rsid w:val="001C7BFE"/>
    <w:rsid w:val="001D4044"/>
    <w:rsid w:val="001D6BCF"/>
    <w:rsid w:val="001D7681"/>
    <w:rsid w:val="001E01CA"/>
    <w:rsid w:val="001E71DF"/>
    <w:rsid w:val="001F0513"/>
    <w:rsid w:val="0020659D"/>
    <w:rsid w:val="002169A2"/>
    <w:rsid w:val="00217161"/>
    <w:rsid w:val="002240A2"/>
    <w:rsid w:val="00231349"/>
    <w:rsid w:val="00232C63"/>
    <w:rsid w:val="00237CEE"/>
    <w:rsid w:val="00241C4F"/>
    <w:rsid w:val="002477D5"/>
    <w:rsid w:val="00251824"/>
    <w:rsid w:val="00252487"/>
    <w:rsid w:val="002539AB"/>
    <w:rsid w:val="00254639"/>
    <w:rsid w:val="0025649D"/>
    <w:rsid w:val="00256A63"/>
    <w:rsid w:val="002611E6"/>
    <w:rsid w:val="00263D06"/>
    <w:rsid w:val="00265513"/>
    <w:rsid w:val="00270E39"/>
    <w:rsid w:val="00274560"/>
    <w:rsid w:val="00275CF5"/>
    <w:rsid w:val="00277A5B"/>
    <w:rsid w:val="0028301F"/>
    <w:rsid w:val="002843A1"/>
    <w:rsid w:val="00285017"/>
    <w:rsid w:val="002851B2"/>
    <w:rsid w:val="00292B97"/>
    <w:rsid w:val="00293D4F"/>
    <w:rsid w:val="00294D53"/>
    <w:rsid w:val="00294EB9"/>
    <w:rsid w:val="002A2D2E"/>
    <w:rsid w:val="002B0537"/>
    <w:rsid w:val="002B6FE0"/>
    <w:rsid w:val="002B7C81"/>
    <w:rsid w:val="002C00E8"/>
    <w:rsid w:val="002C13A1"/>
    <w:rsid w:val="002C2D9B"/>
    <w:rsid w:val="002C53F3"/>
    <w:rsid w:val="002D2C19"/>
    <w:rsid w:val="002D56B7"/>
    <w:rsid w:val="002E1B41"/>
    <w:rsid w:val="002E488A"/>
    <w:rsid w:val="002E4952"/>
    <w:rsid w:val="002F2178"/>
    <w:rsid w:val="002F57A4"/>
    <w:rsid w:val="00300646"/>
    <w:rsid w:val="003035D3"/>
    <w:rsid w:val="00305FE3"/>
    <w:rsid w:val="003127E1"/>
    <w:rsid w:val="00317E91"/>
    <w:rsid w:val="0032040D"/>
    <w:rsid w:val="003208CD"/>
    <w:rsid w:val="00322769"/>
    <w:rsid w:val="00322EE9"/>
    <w:rsid w:val="00323BC5"/>
    <w:rsid w:val="00324FED"/>
    <w:rsid w:val="003327BC"/>
    <w:rsid w:val="00336C05"/>
    <w:rsid w:val="00340126"/>
    <w:rsid w:val="00341AC9"/>
    <w:rsid w:val="00343749"/>
    <w:rsid w:val="00344516"/>
    <w:rsid w:val="00353C2A"/>
    <w:rsid w:val="00353EEE"/>
    <w:rsid w:val="00356908"/>
    <w:rsid w:val="003611A1"/>
    <w:rsid w:val="00363F80"/>
    <w:rsid w:val="0036489B"/>
    <w:rsid w:val="003660ED"/>
    <w:rsid w:val="00367EFD"/>
    <w:rsid w:val="00370D7C"/>
    <w:rsid w:val="0037211A"/>
    <w:rsid w:val="00376AC6"/>
    <w:rsid w:val="00380B5B"/>
    <w:rsid w:val="00380C3E"/>
    <w:rsid w:val="00381003"/>
    <w:rsid w:val="00392F03"/>
    <w:rsid w:val="003A031B"/>
    <w:rsid w:val="003A515D"/>
    <w:rsid w:val="003A767A"/>
    <w:rsid w:val="003B0550"/>
    <w:rsid w:val="003B204D"/>
    <w:rsid w:val="003B694F"/>
    <w:rsid w:val="003C4D0B"/>
    <w:rsid w:val="003D1A20"/>
    <w:rsid w:val="003D309A"/>
    <w:rsid w:val="003E37E2"/>
    <w:rsid w:val="003E3DB0"/>
    <w:rsid w:val="003F171C"/>
    <w:rsid w:val="003F1AB3"/>
    <w:rsid w:val="0040141E"/>
    <w:rsid w:val="004026BC"/>
    <w:rsid w:val="004064B5"/>
    <w:rsid w:val="00406684"/>
    <w:rsid w:val="00412FC5"/>
    <w:rsid w:val="00422276"/>
    <w:rsid w:val="004242F1"/>
    <w:rsid w:val="004261A9"/>
    <w:rsid w:val="004268DC"/>
    <w:rsid w:val="00437270"/>
    <w:rsid w:val="0043736B"/>
    <w:rsid w:val="00437944"/>
    <w:rsid w:val="00443729"/>
    <w:rsid w:val="00443AE0"/>
    <w:rsid w:val="004449DA"/>
    <w:rsid w:val="00445A00"/>
    <w:rsid w:val="00447BD2"/>
    <w:rsid w:val="00451B0F"/>
    <w:rsid w:val="00452DC3"/>
    <w:rsid w:val="00454188"/>
    <w:rsid w:val="0046164A"/>
    <w:rsid w:val="004625E7"/>
    <w:rsid w:val="00464F0C"/>
    <w:rsid w:val="00466037"/>
    <w:rsid w:val="0048362E"/>
    <w:rsid w:val="0048454E"/>
    <w:rsid w:val="00487A6D"/>
    <w:rsid w:val="00490337"/>
    <w:rsid w:val="00493318"/>
    <w:rsid w:val="00496FEE"/>
    <w:rsid w:val="004A3FAB"/>
    <w:rsid w:val="004A494C"/>
    <w:rsid w:val="004A66C3"/>
    <w:rsid w:val="004A7046"/>
    <w:rsid w:val="004A7B09"/>
    <w:rsid w:val="004B0438"/>
    <w:rsid w:val="004B0DE5"/>
    <w:rsid w:val="004B281C"/>
    <w:rsid w:val="004B2A92"/>
    <w:rsid w:val="004C2EE3"/>
    <w:rsid w:val="004C36AD"/>
    <w:rsid w:val="004C78C4"/>
    <w:rsid w:val="004E2FF2"/>
    <w:rsid w:val="004E4A22"/>
    <w:rsid w:val="004E5F75"/>
    <w:rsid w:val="004F4BAF"/>
    <w:rsid w:val="004F5827"/>
    <w:rsid w:val="004F6AE4"/>
    <w:rsid w:val="004F740F"/>
    <w:rsid w:val="00503B3A"/>
    <w:rsid w:val="00507A79"/>
    <w:rsid w:val="00511968"/>
    <w:rsid w:val="00511EFA"/>
    <w:rsid w:val="0051249A"/>
    <w:rsid w:val="00512AB5"/>
    <w:rsid w:val="00513895"/>
    <w:rsid w:val="00513AC9"/>
    <w:rsid w:val="00514460"/>
    <w:rsid w:val="00523BFF"/>
    <w:rsid w:val="00527B04"/>
    <w:rsid w:val="00527FC2"/>
    <w:rsid w:val="00537D03"/>
    <w:rsid w:val="00545A24"/>
    <w:rsid w:val="0055614C"/>
    <w:rsid w:val="00557315"/>
    <w:rsid w:val="00561EE8"/>
    <w:rsid w:val="005641CE"/>
    <w:rsid w:val="005678A2"/>
    <w:rsid w:val="0057529C"/>
    <w:rsid w:val="00577A4A"/>
    <w:rsid w:val="005842FC"/>
    <w:rsid w:val="00585993"/>
    <w:rsid w:val="0059355C"/>
    <w:rsid w:val="005A4512"/>
    <w:rsid w:val="005B39D1"/>
    <w:rsid w:val="005C16E8"/>
    <w:rsid w:val="005C529F"/>
    <w:rsid w:val="005C5C60"/>
    <w:rsid w:val="005D032C"/>
    <w:rsid w:val="005D0EC2"/>
    <w:rsid w:val="005D1064"/>
    <w:rsid w:val="005D1582"/>
    <w:rsid w:val="005D50DA"/>
    <w:rsid w:val="005D6FFC"/>
    <w:rsid w:val="005D7BD8"/>
    <w:rsid w:val="005E14C2"/>
    <w:rsid w:val="005E2E90"/>
    <w:rsid w:val="005F2C96"/>
    <w:rsid w:val="00604761"/>
    <w:rsid w:val="0060582D"/>
    <w:rsid w:val="0060675B"/>
    <w:rsid w:val="0060694B"/>
    <w:rsid w:val="00607BA5"/>
    <w:rsid w:val="0061002C"/>
    <w:rsid w:val="00610DF8"/>
    <w:rsid w:val="0061180A"/>
    <w:rsid w:val="00612445"/>
    <w:rsid w:val="00615870"/>
    <w:rsid w:val="00621892"/>
    <w:rsid w:val="00625965"/>
    <w:rsid w:val="00625CC0"/>
    <w:rsid w:val="00626385"/>
    <w:rsid w:val="00626EB6"/>
    <w:rsid w:val="00626F28"/>
    <w:rsid w:val="00633341"/>
    <w:rsid w:val="00634245"/>
    <w:rsid w:val="00640398"/>
    <w:rsid w:val="0064686C"/>
    <w:rsid w:val="0065069D"/>
    <w:rsid w:val="00654457"/>
    <w:rsid w:val="00655D03"/>
    <w:rsid w:val="006567A9"/>
    <w:rsid w:val="00665098"/>
    <w:rsid w:val="00665301"/>
    <w:rsid w:val="0066557D"/>
    <w:rsid w:val="006704A5"/>
    <w:rsid w:val="006757EC"/>
    <w:rsid w:val="006803AD"/>
    <w:rsid w:val="00682B65"/>
    <w:rsid w:val="00683388"/>
    <w:rsid w:val="00683F84"/>
    <w:rsid w:val="006852AD"/>
    <w:rsid w:val="0069132A"/>
    <w:rsid w:val="006914BC"/>
    <w:rsid w:val="006974B7"/>
    <w:rsid w:val="006A0217"/>
    <w:rsid w:val="006A29B6"/>
    <w:rsid w:val="006A3D2A"/>
    <w:rsid w:val="006A4D74"/>
    <w:rsid w:val="006A6A81"/>
    <w:rsid w:val="006A714B"/>
    <w:rsid w:val="006B4966"/>
    <w:rsid w:val="006B61FF"/>
    <w:rsid w:val="006B6254"/>
    <w:rsid w:val="006C1594"/>
    <w:rsid w:val="006C23ED"/>
    <w:rsid w:val="006C26FB"/>
    <w:rsid w:val="006C3721"/>
    <w:rsid w:val="006D1988"/>
    <w:rsid w:val="006E61B2"/>
    <w:rsid w:val="006E7CE1"/>
    <w:rsid w:val="006F6F38"/>
    <w:rsid w:val="006F7126"/>
    <w:rsid w:val="006F7393"/>
    <w:rsid w:val="0070224F"/>
    <w:rsid w:val="007115F7"/>
    <w:rsid w:val="00715CBA"/>
    <w:rsid w:val="0071712A"/>
    <w:rsid w:val="00723B12"/>
    <w:rsid w:val="0072542F"/>
    <w:rsid w:val="00726480"/>
    <w:rsid w:val="00730C33"/>
    <w:rsid w:val="00734322"/>
    <w:rsid w:val="00736234"/>
    <w:rsid w:val="007421B4"/>
    <w:rsid w:val="00743A95"/>
    <w:rsid w:val="00743BA8"/>
    <w:rsid w:val="00744200"/>
    <w:rsid w:val="0074661C"/>
    <w:rsid w:val="007474BF"/>
    <w:rsid w:val="00750150"/>
    <w:rsid w:val="007502FF"/>
    <w:rsid w:val="00750A66"/>
    <w:rsid w:val="0075394B"/>
    <w:rsid w:val="0075716A"/>
    <w:rsid w:val="007624B8"/>
    <w:rsid w:val="00773E43"/>
    <w:rsid w:val="007750A3"/>
    <w:rsid w:val="00781C2C"/>
    <w:rsid w:val="00781CA1"/>
    <w:rsid w:val="00785689"/>
    <w:rsid w:val="00790455"/>
    <w:rsid w:val="0079127A"/>
    <w:rsid w:val="00791FDD"/>
    <w:rsid w:val="00793C19"/>
    <w:rsid w:val="0079754B"/>
    <w:rsid w:val="007A1E6D"/>
    <w:rsid w:val="007A21B5"/>
    <w:rsid w:val="007B0EB2"/>
    <w:rsid w:val="007B524C"/>
    <w:rsid w:val="007B7DAF"/>
    <w:rsid w:val="007B7E6E"/>
    <w:rsid w:val="007C13B8"/>
    <w:rsid w:val="007C45DC"/>
    <w:rsid w:val="007C63A3"/>
    <w:rsid w:val="007C6D07"/>
    <w:rsid w:val="007D306E"/>
    <w:rsid w:val="007D549F"/>
    <w:rsid w:val="007D54D9"/>
    <w:rsid w:val="007D56AF"/>
    <w:rsid w:val="007D5872"/>
    <w:rsid w:val="007E1CCF"/>
    <w:rsid w:val="007E2C39"/>
    <w:rsid w:val="007E323C"/>
    <w:rsid w:val="007F24AA"/>
    <w:rsid w:val="007F3C8C"/>
    <w:rsid w:val="007F413A"/>
    <w:rsid w:val="007F6DA2"/>
    <w:rsid w:val="007F7072"/>
    <w:rsid w:val="0080135F"/>
    <w:rsid w:val="00802E45"/>
    <w:rsid w:val="008031CE"/>
    <w:rsid w:val="00804993"/>
    <w:rsid w:val="00810B6F"/>
    <w:rsid w:val="00815DF6"/>
    <w:rsid w:val="00822CE0"/>
    <w:rsid w:val="0082397A"/>
    <w:rsid w:val="0082436E"/>
    <w:rsid w:val="00841498"/>
    <w:rsid w:val="00841AB1"/>
    <w:rsid w:val="008431E4"/>
    <w:rsid w:val="00850D55"/>
    <w:rsid w:val="008528F5"/>
    <w:rsid w:val="008552CB"/>
    <w:rsid w:val="008750DA"/>
    <w:rsid w:val="00875A4B"/>
    <w:rsid w:val="00876DAD"/>
    <w:rsid w:val="008810C4"/>
    <w:rsid w:val="00883817"/>
    <w:rsid w:val="00883CB4"/>
    <w:rsid w:val="008911F2"/>
    <w:rsid w:val="008963DD"/>
    <w:rsid w:val="00897666"/>
    <w:rsid w:val="008A0B3F"/>
    <w:rsid w:val="008A0DE1"/>
    <w:rsid w:val="008A4BEB"/>
    <w:rsid w:val="008A5374"/>
    <w:rsid w:val="008A765E"/>
    <w:rsid w:val="008B0CDF"/>
    <w:rsid w:val="008B6CB8"/>
    <w:rsid w:val="008C615D"/>
    <w:rsid w:val="008C68F1"/>
    <w:rsid w:val="008D0E87"/>
    <w:rsid w:val="008D3201"/>
    <w:rsid w:val="008D3D8D"/>
    <w:rsid w:val="008D5AC5"/>
    <w:rsid w:val="008D5BBC"/>
    <w:rsid w:val="008D650B"/>
    <w:rsid w:val="008E0747"/>
    <w:rsid w:val="008F0CD2"/>
    <w:rsid w:val="008F1F02"/>
    <w:rsid w:val="00903D4F"/>
    <w:rsid w:val="009067CE"/>
    <w:rsid w:val="0090761C"/>
    <w:rsid w:val="00914D9E"/>
    <w:rsid w:val="00916F2F"/>
    <w:rsid w:val="00921803"/>
    <w:rsid w:val="009244C1"/>
    <w:rsid w:val="00924A72"/>
    <w:rsid w:val="00926503"/>
    <w:rsid w:val="0092786C"/>
    <w:rsid w:val="00931E7E"/>
    <w:rsid w:val="009320C1"/>
    <w:rsid w:val="009333C7"/>
    <w:rsid w:val="00935E92"/>
    <w:rsid w:val="00935F6C"/>
    <w:rsid w:val="009370AA"/>
    <w:rsid w:val="00942166"/>
    <w:rsid w:val="00946D0D"/>
    <w:rsid w:val="00947ED8"/>
    <w:rsid w:val="009562E0"/>
    <w:rsid w:val="009614B0"/>
    <w:rsid w:val="0096159C"/>
    <w:rsid w:val="00962833"/>
    <w:rsid w:val="00967C36"/>
    <w:rsid w:val="00971953"/>
    <w:rsid w:val="009726D8"/>
    <w:rsid w:val="0097288C"/>
    <w:rsid w:val="00974E5E"/>
    <w:rsid w:val="009756DE"/>
    <w:rsid w:val="00975AD9"/>
    <w:rsid w:val="0097710C"/>
    <w:rsid w:val="00985690"/>
    <w:rsid w:val="00987457"/>
    <w:rsid w:val="009951EE"/>
    <w:rsid w:val="009A12E0"/>
    <w:rsid w:val="009A459F"/>
    <w:rsid w:val="009B13F3"/>
    <w:rsid w:val="009B6B6D"/>
    <w:rsid w:val="009C0984"/>
    <w:rsid w:val="009C6D02"/>
    <w:rsid w:val="009D071A"/>
    <w:rsid w:val="009D185D"/>
    <w:rsid w:val="009D3FC9"/>
    <w:rsid w:val="009E1DD1"/>
    <w:rsid w:val="009E4FE5"/>
    <w:rsid w:val="009E5739"/>
    <w:rsid w:val="009F29BC"/>
    <w:rsid w:val="009F365D"/>
    <w:rsid w:val="009F76DB"/>
    <w:rsid w:val="00A0387F"/>
    <w:rsid w:val="00A03AF1"/>
    <w:rsid w:val="00A04B61"/>
    <w:rsid w:val="00A06556"/>
    <w:rsid w:val="00A0735C"/>
    <w:rsid w:val="00A14D89"/>
    <w:rsid w:val="00A2188D"/>
    <w:rsid w:val="00A23298"/>
    <w:rsid w:val="00A2423F"/>
    <w:rsid w:val="00A2506F"/>
    <w:rsid w:val="00A25BAA"/>
    <w:rsid w:val="00A2722E"/>
    <w:rsid w:val="00A2736E"/>
    <w:rsid w:val="00A304F9"/>
    <w:rsid w:val="00A306CC"/>
    <w:rsid w:val="00A32C3B"/>
    <w:rsid w:val="00A374BB"/>
    <w:rsid w:val="00A44837"/>
    <w:rsid w:val="00A45F4F"/>
    <w:rsid w:val="00A47A30"/>
    <w:rsid w:val="00A55700"/>
    <w:rsid w:val="00A600A9"/>
    <w:rsid w:val="00A645A5"/>
    <w:rsid w:val="00A6556E"/>
    <w:rsid w:val="00A66FB7"/>
    <w:rsid w:val="00A74A92"/>
    <w:rsid w:val="00A83839"/>
    <w:rsid w:val="00A90A53"/>
    <w:rsid w:val="00A92110"/>
    <w:rsid w:val="00A94531"/>
    <w:rsid w:val="00A94E07"/>
    <w:rsid w:val="00A961E2"/>
    <w:rsid w:val="00AA55B7"/>
    <w:rsid w:val="00AA5B9E"/>
    <w:rsid w:val="00AB2407"/>
    <w:rsid w:val="00AB2442"/>
    <w:rsid w:val="00AB34A9"/>
    <w:rsid w:val="00AB53DF"/>
    <w:rsid w:val="00AB62BD"/>
    <w:rsid w:val="00AC07C2"/>
    <w:rsid w:val="00AD6271"/>
    <w:rsid w:val="00AD6960"/>
    <w:rsid w:val="00AE28BA"/>
    <w:rsid w:val="00AE30D0"/>
    <w:rsid w:val="00AE7786"/>
    <w:rsid w:val="00AE7E5C"/>
    <w:rsid w:val="00AF24FE"/>
    <w:rsid w:val="00AF4A29"/>
    <w:rsid w:val="00B001D7"/>
    <w:rsid w:val="00B019D4"/>
    <w:rsid w:val="00B01AFF"/>
    <w:rsid w:val="00B079EF"/>
    <w:rsid w:val="00B07B42"/>
    <w:rsid w:val="00B07E5C"/>
    <w:rsid w:val="00B105D3"/>
    <w:rsid w:val="00B16B22"/>
    <w:rsid w:val="00B16EFD"/>
    <w:rsid w:val="00B17973"/>
    <w:rsid w:val="00B17F9D"/>
    <w:rsid w:val="00B210AC"/>
    <w:rsid w:val="00B30FBC"/>
    <w:rsid w:val="00B315D5"/>
    <w:rsid w:val="00B32042"/>
    <w:rsid w:val="00B3262A"/>
    <w:rsid w:val="00B33D93"/>
    <w:rsid w:val="00B35DFA"/>
    <w:rsid w:val="00B36329"/>
    <w:rsid w:val="00B41A0F"/>
    <w:rsid w:val="00B43A39"/>
    <w:rsid w:val="00B50E50"/>
    <w:rsid w:val="00B573D5"/>
    <w:rsid w:val="00B5789C"/>
    <w:rsid w:val="00B62C55"/>
    <w:rsid w:val="00B72011"/>
    <w:rsid w:val="00B75C01"/>
    <w:rsid w:val="00B811F7"/>
    <w:rsid w:val="00B86087"/>
    <w:rsid w:val="00B971FA"/>
    <w:rsid w:val="00B975D8"/>
    <w:rsid w:val="00B97BEF"/>
    <w:rsid w:val="00BA1B87"/>
    <w:rsid w:val="00BA25DC"/>
    <w:rsid w:val="00BA5DC6"/>
    <w:rsid w:val="00BA6196"/>
    <w:rsid w:val="00BB25F8"/>
    <w:rsid w:val="00BB340C"/>
    <w:rsid w:val="00BB6A01"/>
    <w:rsid w:val="00BC0799"/>
    <w:rsid w:val="00BC6D8C"/>
    <w:rsid w:val="00BD6156"/>
    <w:rsid w:val="00BD6600"/>
    <w:rsid w:val="00BE68D9"/>
    <w:rsid w:val="00BE6CD8"/>
    <w:rsid w:val="00BF0731"/>
    <w:rsid w:val="00BF0D31"/>
    <w:rsid w:val="00BF220E"/>
    <w:rsid w:val="00BF2625"/>
    <w:rsid w:val="00BF48C9"/>
    <w:rsid w:val="00BF5A9F"/>
    <w:rsid w:val="00C04DC7"/>
    <w:rsid w:val="00C063F3"/>
    <w:rsid w:val="00C14231"/>
    <w:rsid w:val="00C165B5"/>
    <w:rsid w:val="00C172E6"/>
    <w:rsid w:val="00C22A49"/>
    <w:rsid w:val="00C23B5C"/>
    <w:rsid w:val="00C25DDB"/>
    <w:rsid w:val="00C34006"/>
    <w:rsid w:val="00C3469F"/>
    <w:rsid w:val="00C362FF"/>
    <w:rsid w:val="00C36994"/>
    <w:rsid w:val="00C426B1"/>
    <w:rsid w:val="00C57667"/>
    <w:rsid w:val="00C627C6"/>
    <w:rsid w:val="00C66160"/>
    <w:rsid w:val="00C66DD9"/>
    <w:rsid w:val="00C70226"/>
    <w:rsid w:val="00C7091D"/>
    <w:rsid w:val="00C721AC"/>
    <w:rsid w:val="00C76B1B"/>
    <w:rsid w:val="00C809EA"/>
    <w:rsid w:val="00C8443B"/>
    <w:rsid w:val="00C86C27"/>
    <w:rsid w:val="00C90D6A"/>
    <w:rsid w:val="00C935DC"/>
    <w:rsid w:val="00C97CC6"/>
    <w:rsid w:val="00CA247E"/>
    <w:rsid w:val="00CA3E78"/>
    <w:rsid w:val="00CA7D52"/>
    <w:rsid w:val="00CB1CC8"/>
    <w:rsid w:val="00CB39CD"/>
    <w:rsid w:val="00CB4E69"/>
    <w:rsid w:val="00CC144D"/>
    <w:rsid w:val="00CC3F1B"/>
    <w:rsid w:val="00CC72B6"/>
    <w:rsid w:val="00CD0E5B"/>
    <w:rsid w:val="00CD223E"/>
    <w:rsid w:val="00CD3423"/>
    <w:rsid w:val="00CD5A6A"/>
    <w:rsid w:val="00CE089B"/>
    <w:rsid w:val="00CE12CB"/>
    <w:rsid w:val="00CE3B25"/>
    <w:rsid w:val="00CE63C3"/>
    <w:rsid w:val="00CF07C4"/>
    <w:rsid w:val="00CF2A18"/>
    <w:rsid w:val="00CF6BF1"/>
    <w:rsid w:val="00D0218D"/>
    <w:rsid w:val="00D04282"/>
    <w:rsid w:val="00D04A6B"/>
    <w:rsid w:val="00D122A2"/>
    <w:rsid w:val="00D12B92"/>
    <w:rsid w:val="00D25FB5"/>
    <w:rsid w:val="00D26FA3"/>
    <w:rsid w:val="00D362BE"/>
    <w:rsid w:val="00D3749B"/>
    <w:rsid w:val="00D37B25"/>
    <w:rsid w:val="00D401B0"/>
    <w:rsid w:val="00D41228"/>
    <w:rsid w:val="00D435B4"/>
    <w:rsid w:val="00D44223"/>
    <w:rsid w:val="00D44C93"/>
    <w:rsid w:val="00D52D86"/>
    <w:rsid w:val="00D54F32"/>
    <w:rsid w:val="00D61891"/>
    <w:rsid w:val="00D64FB9"/>
    <w:rsid w:val="00D66C6B"/>
    <w:rsid w:val="00D670F7"/>
    <w:rsid w:val="00D6762B"/>
    <w:rsid w:val="00D75423"/>
    <w:rsid w:val="00D830C7"/>
    <w:rsid w:val="00D85629"/>
    <w:rsid w:val="00D96725"/>
    <w:rsid w:val="00DA0483"/>
    <w:rsid w:val="00DA1C5D"/>
    <w:rsid w:val="00DA2529"/>
    <w:rsid w:val="00DA646D"/>
    <w:rsid w:val="00DA69A8"/>
    <w:rsid w:val="00DB130A"/>
    <w:rsid w:val="00DB2EBB"/>
    <w:rsid w:val="00DB70A9"/>
    <w:rsid w:val="00DC10A1"/>
    <w:rsid w:val="00DC655F"/>
    <w:rsid w:val="00DD0B59"/>
    <w:rsid w:val="00DD3E3C"/>
    <w:rsid w:val="00DD7EBD"/>
    <w:rsid w:val="00DF25A8"/>
    <w:rsid w:val="00DF2AB9"/>
    <w:rsid w:val="00DF52A2"/>
    <w:rsid w:val="00DF62B6"/>
    <w:rsid w:val="00E00B67"/>
    <w:rsid w:val="00E018D5"/>
    <w:rsid w:val="00E034A3"/>
    <w:rsid w:val="00E07225"/>
    <w:rsid w:val="00E0730C"/>
    <w:rsid w:val="00E1791F"/>
    <w:rsid w:val="00E24310"/>
    <w:rsid w:val="00E255AA"/>
    <w:rsid w:val="00E303A1"/>
    <w:rsid w:val="00E3513F"/>
    <w:rsid w:val="00E4054D"/>
    <w:rsid w:val="00E434BC"/>
    <w:rsid w:val="00E50D32"/>
    <w:rsid w:val="00E5409F"/>
    <w:rsid w:val="00E55D8C"/>
    <w:rsid w:val="00E56EDD"/>
    <w:rsid w:val="00E5703B"/>
    <w:rsid w:val="00E601F4"/>
    <w:rsid w:val="00E60CA6"/>
    <w:rsid w:val="00E67BC3"/>
    <w:rsid w:val="00E72CAB"/>
    <w:rsid w:val="00E77685"/>
    <w:rsid w:val="00E8191B"/>
    <w:rsid w:val="00E85715"/>
    <w:rsid w:val="00E90B7C"/>
    <w:rsid w:val="00E927C4"/>
    <w:rsid w:val="00E94C6A"/>
    <w:rsid w:val="00EA0876"/>
    <w:rsid w:val="00EA7470"/>
    <w:rsid w:val="00EA7BFB"/>
    <w:rsid w:val="00EB1031"/>
    <w:rsid w:val="00EB2A42"/>
    <w:rsid w:val="00EB3183"/>
    <w:rsid w:val="00EB4376"/>
    <w:rsid w:val="00EB6346"/>
    <w:rsid w:val="00EC1B08"/>
    <w:rsid w:val="00ED2E5B"/>
    <w:rsid w:val="00ED717C"/>
    <w:rsid w:val="00EE6488"/>
    <w:rsid w:val="00EF1FA6"/>
    <w:rsid w:val="00EF3752"/>
    <w:rsid w:val="00EF4476"/>
    <w:rsid w:val="00EF7683"/>
    <w:rsid w:val="00EF7AFB"/>
    <w:rsid w:val="00F021FA"/>
    <w:rsid w:val="00F053CC"/>
    <w:rsid w:val="00F05BB4"/>
    <w:rsid w:val="00F065F7"/>
    <w:rsid w:val="00F06C1E"/>
    <w:rsid w:val="00F162FE"/>
    <w:rsid w:val="00F2037F"/>
    <w:rsid w:val="00F211DB"/>
    <w:rsid w:val="00F23750"/>
    <w:rsid w:val="00F273F1"/>
    <w:rsid w:val="00F3180E"/>
    <w:rsid w:val="00F41547"/>
    <w:rsid w:val="00F44090"/>
    <w:rsid w:val="00F50285"/>
    <w:rsid w:val="00F54EA2"/>
    <w:rsid w:val="00F62E97"/>
    <w:rsid w:val="00F63928"/>
    <w:rsid w:val="00F64209"/>
    <w:rsid w:val="00F650CA"/>
    <w:rsid w:val="00F66D64"/>
    <w:rsid w:val="00F81AC7"/>
    <w:rsid w:val="00F93BF5"/>
    <w:rsid w:val="00F94788"/>
    <w:rsid w:val="00FA0000"/>
    <w:rsid w:val="00FA2832"/>
    <w:rsid w:val="00FB008C"/>
    <w:rsid w:val="00FC0206"/>
    <w:rsid w:val="00FC4C07"/>
    <w:rsid w:val="00FD0EA0"/>
    <w:rsid w:val="00FD3F71"/>
    <w:rsid w:val="00FD621E"/>
    <w:rsid w:val="00FD78D3"/>
    <w:rsid w:val="00FE0C3E"/>
    <w:rsid w:val="00FE3EC8"/>
    <w:rsid w:val="00FE6B0C"/>
    <w:rsid w:val="00FF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15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ootnote Text Char2"/>
    <w:link w:val="FootnoteTextChar"/>
    <w:qFormat/>
    <w:rsid w:val="000E3D42"/>
    <w:pPr>
      <w:spacing w:after="120"/>
    </w:pPr>
  </w:style>
  <w:style w:type="character" w:styleId="FootnoteReference">
    <w:name w:val="footnote reference"/>
    <w:aliases w:val="Style 12,(NECG) Footnote Reference,Appel note de bas de p,Style 124,Style 13,o,fr,Style 3,FR,Style 17,Style 6,Footnote Reference/,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uiPriority w:val="99"/>
    <w:rsid w:val="00C362FF"/>
    <w:rPr>
      <w:sz w:val="16"/>
      <w:szCs w:val="16"/>
    </w:rPr>
  </w:style>
  <w:style w:type="paragraph" w:styleId="CommentText">
    <w:name w:val="annotation text"/>
    <w:basedOn w:val="Normal"/>
    <w:link w:val="CommentTextChar"/>
    <w:uiPriority w:val="99"/>
    <w:rsid w:val="00C362FF"/>
    <w:rPr>
      <w:sz w:val="20"/>
    </w:rPr>
  </w:style>
  <w:style w:type="character" w:customStyle="1" w:styleId="CommentTextChar">
    <w:name w:val="Comment Text Char"/>
    <w:basedOn w:val="DefaultParagraphFont"/>
    <w:link w:val="CommentText"/>
    <w:uiPriority w:val="99"/>
    <w:rsid w:val="00C362FF"/>
    <w:rPr>
      <w:snapToGrid w:val="0"/>
      <w:kern w:val="28"/>
    </w:rPr>
  </w:style>
  <w:style w:type="paragraph" w:styleId="CommentSubject">
    <w:name w:val="annotation subject"/>
    <w:basedOn w:val="CommentText"/>
    <w:next w:val="CommentText"/>
    <w:link w:val="CommentSubjectChar"/>
    <w:rsid w:val="00C362FF"/>
    <w:rPr>
      <w:b/>
      <w:bCs/>
    </w:rPr>
  </w:style>
  <w:style w:type="character" w:customStyle="1" w:styleId="CommentSubjectChar">
    <w:name w:val="Comment Subject Char"/>
    <w:basedOn w:val="CommentTextChar"/>
    <w:link w:val="CommentSubject"/>
    <w:rsid w:val="00C362FF"/>
    <w:rPr>
      <w:b/>
      <w:bCs/>
      <w:snapToGrid w:val="0"/>
      <w:kern w:val="28"/>
    </w:rPr>
  </w:style>
  <w:style w:type="paragraph" w:styleId="BalloonText">
    <w:name w:val="Balloon Text"/>
    <w:basedOn w:val="Normal"/>
    <w:link w:val="BalloonTextChar"/>
    <w:rsid w:val="00C362FF"/>
    <w:rPr>
      <w:rFonts w:ascii="Segoe UI" w:hAnsi="Segoe UI" w:cs="Segoe UI"/>
      <w:sz w:val="18"/>
      <w:szCs w:val="18"/>
    </w:rPr>
  </w:style>
  <w:style w:type="character" w:customStyle="1" w:styleId="BalloonTextChar">
    <w:name w:val="Balloon Text Char"/>
    <w:basedOn w:val="DefaultParagraphFont"/>
    <w:link w:val="BalloonText"/>
    <w:rsid w:val="00C362FF"/>
    <w:rPr>
      <w:rFonts w:ascii="Segoe UI" w:hAnsi="Segoe UI" w:cs="Segoe UI"/>
      <w:snapToGrid w:val="0"/>
      <w:kern w:val="28"/>
      <w:sz w:val="18"/>
      <w:szCs w:val="18"/>
    </w:rPr>
  </w:style>
  <w:style w:type="character" w:styleId="FollowedHyperlink">
    <w:name w:val="FollowedHyperlink"/>
    <w:basedOn w:val="DefaultParagraphFont"/>
    <w:rsid w:val="004A494C"/>
    <w:rPr>
      <w:color w:val="954F72" w:themeColor="followedHyperlink"/>
      <w:u w:val="single"/>
    </w:rPr>
  </w:style>
  <w:style w:type="paragraph" w:styleId="ListParagraph">
    <w:name w:val="List Paragraph"/>
    <w:basedOn w:val="Normal"/>
    <w:uiPriority w:val="34"/>
    <w:qFormat/>
    <w:rsid w:val="00537D03"/>
    <w:pPr>
      <w:widowControl/>
      <w:spacing w:after="160" w:line="252" w:lineRule="auto"/>
      <w:ind w:left="720"/>
      <w:contextualSpacing/>
    </w:pPr>
    <w:rPr>
      <w:rFonts w:ascii="Calibri" w:eastAsiaTheme="minorHAnsi" w:hAnsi="Calibri" w:cs="Calibri"/>
      <w:snapToGrid/>
      <w:kern w:val="0"/>
      <w:szCs w:val="22"/>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ootnote Text Char2 Char1"/>
    <w:link w:val="FootnoteText"/>
    <w:locked/>
    <w:rsid w:val="008552CB"/>
  </w:style>
  <w:style w:type="character" w:customStyle="1" w:styleId="Mention1">
    <w:name w:val="Mention1"/>
    <w:basedOn w:val="DefaultParagraphFont"/>
    <w:uiPriority w:val="99"/>
    <w:semiHidden/>
    <w:unhideWhenUsed/>
    <w:rsid w:val="00B30FBC"/>
    <w:rPr>
      <w:color w:val="2B579A"/>
      <w:shd w:val="clear" w:color="auto" w:fill="E6E6E6"/>
    </w:rPr>
  </w:style>
  <w:style w:type="character" w:customStyle="1" w:styleId="UnresolvedMention1">
    <w:name w:val="Unresolved Mention1"/>
    <w:basedOn w:val="DefaultParagraphFont"/>
    <w:uiPriority w:val="99"/>
    <w:semiHidden/>
    <w:unhideWhenUsed/>
    <w:rsid w:val="00A66FB7"/>
    <w:rPr>
      <w:color w:val="808080"/>
      <w:shd w:val="clear" w:color="auto" w:fill="E6E6E6"/>
    </w:rPr>
  </w:style>
  <w:style w:type="paragraph" w:styleId="Revision">
    <w:name w:val="Revision"/>
    <w:hidden/>
    <w:uiPriority w:val="99"/>
    <w:semiHidden/>
    <w:rsid w:val="00947ED8"/>
    <w:rPr>
      <w:snapToGrid w:val="0"/>
      <w:kern w:val="28"/>
      <w:sz w:val="22"/>
    </w:rPr>
  </w:style>
  <w:style w:type="paragraph" w:styleId="PlainText">
    <w:name w:val="Plain Text"/>
    <w:basedOn w:val="Normal"/>
    <w:link w:val="PlainTextChar"/>
    <w:uiPriority w:val="99"/>
    <w:semiHidden/>
    <w:unhideWhenUsed/>
    <w:rsid w:val="00B07B42"/>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semiHidden/>
    <w:rsid w:val="00B07B42"/>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15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ootnote Text Char2"/>
    <w:link w:val="FootnoteTextChar"/>
    <w:qFormat/>
    <w:rsid w:val="000E3D42"/>
    <w:pPr>
      <w:spacing w:after="120"/>
    </w:pPr>
  </w:style>
  <w:style w:type="character" w:styleId="FootnoteReference">
    <w:name w:val="footnote reference"/>
    <w:aliases w:val="Style 12,(NECG) Footnote Reference,Appel note de bas de p,Style 124,Style 13,o,fr,Style 3,FR,Style 17,Style 6,Footnote Reference/,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uiPriority w:val="99"/>
    <w:rsid w:val="00C362FF"/>
    <w:rPr>
      <w:sz w:val="16"/>
      <w:szCs w:val="16"/>
    </w:rPr>
  </w:style>
  <w:style w:type="paragraph" w:styleId="CommentText">
    <w:name w:val="annotation text"/>
    <w:basedOn w:val="Normal"/>
    <w:link w:val="CommentTextChar"/>
    <w:uiPriority w:val="99"/>
    <w:rsid w:val="00C362FF"/>
    <w:rPr>
      <w:sz w:val="20"/>
    </w:rPr>
  </w:style>
  <w:style w:type="character" w:customStyle="1" w:styleId="CommentTextChar">
    <w:name w:val="Comment Text Char"/>
    <w:basedOn w:val="DefaultParagraphFont"/>
    <w:link w:val="CommentText"/>
    <w:uiPriority w:val="99"/>
    <w:rsid w:val="00C362FF"/>
    <w:rPr>
      <w:snapToGrid w:val="0"/>
      <w:kern w:val="28"/>
    </w:rPr>
  </w:style>
  <w:style w:type="paragraph" w:styleId="CommentSubject">
    <w:name w:val="annotation subject"/>
    <w:basedOn w:val="CommentText"/>
    <w:next w:val="CommentText"/>
    <w:link w:val="CommentSubjectChar"/>
    <w:rsid w:val="00C362FF"/>
    <w:rPr>
      <w:b/>
      <w:bCs/>
    </w:rPr>
  </w:style>
  <w:style w:type="character" w:customStyle="1" w:styleId="CommentSubjectChar">
    <w:name w:val="Comment Subject Char"/>
    <w:basedOn w:val="CommentTextChar"/>
    <w:link w:val="CommentSubject"/>
    <w:rsid w:val="00C362FF"/>
    <w:rPr>
      <w:b/>
      <w:bCs/>
      <w:snapToGrid w:val="0"/>
      <w:kern w:val="28"/>
    </w:rPr>
  </w:style>
  <w:style w:type="paragraph" w:styleId="BalloonText">
    <w:name w:val="Balloon Text"/>
    <w:basedOn w:val="Normal"/>
    <w:link w:val="BalloonTextChar"/>
    <w:rsid w:val="00C362FF"/>
    <w:rPr>
      <w:rFonts w:ascii="Segoe UI" w:hAnsi="Segoe UI" w:cs="Segoe UI"/>
      <w:sz w:val="18"/>
      <w:szCs w:val="18"/>
    </w:rPr>
  </w:style>
  <w:style w:type="character" w:customStyle="1" w:styleId="BalloonTextChar">
    <w:name w:val="Balloon Text Char"/>
    <w:basedOn w:val="DefaultParagraphFont"/>
    <w:link w:val="BalloonText"/>
    <w:rsid w:val="00C362FF"/>
    <w:rPr>
      <w:rFonts w:ascii="Segoe UI" w:hAnsi="Segoe UI" w:cs="Segoe UI"/>
      <w:snapToGrid w:val="0"/>
      <w:kern w:val="28"/>
      <w:sz w:val="18"/>
      <w:szCs w:val="18"/>
    </w:rPr>
  </w:style>
  <w:style w:type="character" w:styleId="FollowedHyperlink">
    <w:name w:val="FollowedHyperlink"/>
    <w:basedOn w:val="DefaultParagraphFont"/>
    <w:rsid w:val="004A494C"/>
    <w:rPr>
      <w:color w:val="954F72" w:themeColor="followedHyperlink"/>
      <w:u w:val="single"/>
    </w:rPr>
  </w:style>
  <w:style w:type="paragraph" w:styleId="ListParagraph">
    <w:name w:val="List Paragraph"/>
    <w:basedOn w:val="Normal"/>
    <w:uiPriority w:val="34"/>
    <w:qFormat/>
    <w:rsid w:val="00537D03"/>
    <w:pPr>
      <w:widowControl/>
      <w:spacing w:after="160" w:line="252" w:lineRule="auto"/>
      <w:ind w:left="720"/>
      <w:contextualSpacing/>
    </w:pPr>
    <w:rPr>
      <w:rFonts w:ascii="Calibri" w:eastAsiaTheme="minorHAnsi" w:hAnsi="Calibri" w:cs="Calibri"/>
      <w:snapToGrid/>
      <w:kern w:val="0"/>
      <w:szCs w:val="22"/>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ootnote Text Char2 Char1"/>
    <w:link w:val="FootnoteText"/>
    <w:locked/>
    <w:rsid w:val="008552CB"/>
  </w:style>
  <w:style w:type="character" w:customStyle="1" w:styleId="Mention1">
    <w:name w:val="Mention1"/>
    <w:basedOn w:val="DefaultParagraphFont"/>
    <w:uiPriority w:val="99"/>
    <w:semiHidden/>
    <w:unhideWhenUsed/>
    <w:rsid w:val="00B30FBC"/>
    <w:rPr>
      <w:color w:val="2B579A"/>
      <w:shd w:val="clear" w:color="auto" w:fill="E6E6E6"/>
    </w:rPr>
  </w:style>
  <w:style w:type="character" w:customStyle="1" w:styleId="UnresolvedMention1">
    <w:name w:val="Unresolved Mention1"/>
    <w:basedOn w:val="DefaultParagraphFont"/>
    <w:uiPriority w:val="99"/>
    <w:semiHidden/>
    <w:unhideWhenUsed/>
    <w:rsid w:val="00A66FB7"/>
    <w:rPr>
      <w:color w:val="808080"/>
      <w:shd w:val="clear" w:color="auto" w:fill="E6E6E6"/>
    </w:rPr>
  </w:style>
  <w:style w:type="paragraph" w:styleId="Revision">
    <w:name w:val="Revision"/>
    <w:hidden/>
    <w:uiPriority w:val="99"/>
    <w:semiHidden/>
    <w:rsid w:val="00947ED8"/>
    <w:rPr>
      <w:snapToGrid w:val="0"/>
      <w:kern w:val="28"/>
      <w:sz w:val="22"/>
    </w:rPr>
  </w:style>
  <w:style w:type="paragraph" w:styleId="PlainText">
    <w:name w:val="Plain Text"/>
    <w:basedOn w:val="Normal"/>
    <w:link w:val="PlainTextChar"/>
    <w:uiPriority w:val="99"/>
    <w:semiHidden/>
    <w:unhideWhenUsed/>
    <w:rsid w:val="00B07B42"/>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semiHidden/>
    <w:rsid w:val="00B07B42"/>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8681">
      <w:bodyDiv w:val="1"/>
      <w:marLeft w:val="0"/>
      <w:marRight w:val="0"/>
      <w:marTop w:val="0"/>
      <w:marBottom w:val="0"/>
      <w:divBdr>
        <w:top w:val="none" w:sz="0" w:space="0" w:color="auto"/>
        <w:left w:val="none" w:sz="0" w:space="0" w:color="auto"/>
        <w:bottom w:val="none" w:sz="0" w:space="0" w:color="auto"/>
        <w:right w:val="none" w:sz="0" w:space="0" w:color="auto"/>
      </w:divBdr>
    </w:div>
    <w:div w:id="189874645">
      <w:bodyDiv w:val="1"/>
      <w:marLeft w:val="0"/>
      <w:marRight w:val="0"/>
      <w:marTop w:val="0"/>
      <w:marBottom w:val="0"/>
      <w:divBdr>
        <w:top w:val="none" w:sz="0" w:space="0" w:color="auto"/>
        <w:left w:val="none" w:sz="0" w:space="0" w:color="auto"/>
        <w:bottom w:val="none" w:sz="0" w:space="0" w:color="auto"/>
        <w:right w:val="none" w:sz="0" w:space="0" w:color="auto"/>
      </w:divBdr>
    </w:div>
    <w:div w:id="253519311">
      <w:bodyDiv w:val="1"/>
      <w:marLeft w:val="0"/>
      <w:marRight w:val="0"/>
      <w:marTop w:val="0"/>
      <w:marBottom w:val="0"/>
      <w:divBdr>
        <w:top w:val="none" w:sz="0" w:space="0" w:color="auto"/>
        <w:left w:val="none" w:sz="0" w:space="0" w:color="auto"/>
        <w:bottom w:val="none" w:sz="0" w:space="0" w:color="auto"/>
        <w:right w:val="none" w:sz="0" w:space="0" w:color="auto"/>
      </w:divBdr>
    </w:div>
    <w:div w:id="456140048">
      <w:bodyDiv w:val="1"/>
      <w:marLeft w:val="0"/>
      <w:marRight w:val="0"/>
      <w:marTop w:val="0"/>
      <w:marBottom w:val="0"/>
      <w:divBdr>
        <w:top w:val="none" w:sz="0" w:space="0" w:color="auto"/>
        <w:left w:val="none" w:sz="0" w:space="0" w:color="auto"/>
        <w:bottom w:val="none" w:sz="0" w:space="0" w:color="auto"/>
        <w:right w:val="none" w:sz="0" w:space="0" w:color="auto"/>
      </w:divBdr>
    </w:div>
    <w:div w:id="575281785">
      <w:bodyDiv w:val="1"/>
      <w:marLeft w:val="0"/>
      <w:marRight w:val="0"/>
      <w:marTop w:val="0"/>
      <w:marBottom w:val="0"/>
      <w:divBdr>
        <w:top w:val="none" w:sz="0" w:space="0" w:color="auto"/>
        <w:left w:val="none" w:sz="0" w:space="0" w:color="auto"/>
        <w:bottom w:val="none" w:sz="0" w:space="0" w:color="auto"/>
        <w:right w:val="none" w:sz="0" w:space="0" w:color="auto"/>
      </w:divBdr>
    </w:div>
    <w:div w:id="782530495">
      <w:bodyDiv w:val="1"/>
      <w:marLeft w:val="0"/>
      <w:marRight w:val="0"/>
      <w:marTop w:val="0"/>
      <w:marBottom w:val="0"/>
      <w:divBdr>
        <w:top w:val="none" w:sz="0" w:space="0" w:color="auto"/>
        <w:left w:val="none" w:sz="0" w:space="0" w:color="auto"/>
        <w:bottom w:val="none" w:sz="0" w:space="0" w:color="auto"/>
        <w:right w:val="none" w:sz="0" w:space="0" w:color="auto"/>
      </w:divBdr>
    </w:div>
    <w:div w:id="1178153881">
      <w:bodyDiv w:val="1"/>
      <w:marLeft w:val="0"/>
      <w:marRight w:val="0"/>
      <w:marTop w:val="0"/>
      <w:marBottom w:val="0"/>
      <w:divBdr>
        <w:top w:val="none" w:sz="0" w:space="0" w:color="auto"/>
        <w:left w:val="none" w:sz="0" w:space="0" w:color="auto"/>
        <w:bottom w:val="none" w:sz="0" w:space="0" w:color="auto"/>
        <w:right w:val="none" w:sz="0" w:space="0" w:color="auto"/>
      </w:divBdr>
    </w:div>
    <w:div w:id="1302810027">
      <w:bodyDiv w:val="1"/>
      <w:marLeft w:val="0"/>
      <w:marRight w:val="0"/>
      <w:marTop w:val="0"/>
      <w:marBottom w:val="0"/>
      <w:divBdr>
        <w:top w:val="none" w:sz="0" w:space="0" w:color="auto"/>
        <w:left w:val="none" w:sz="0" w:space="0" w:color="auto"/>
        <w:bottom w:val="none" w:sz="0" w:space="0" w:color="auto"/>
        <w:right w:val="none" w:sz="0" w:space="0" w:color="auto"/>
      </w:divBdr>
    </w:div>
    <w:div w:id="1362707624">
      <w:bodyDiv w:val="1"/>
      <w:marLeft w:val="0"/>
      <w:marRight w:val="0"/>
      <w:marTop w:val="0"/>
      <w:marBottom w:val="0"/>
      <w:divBdr>
        <w:top w:val="none" w:sz="0" w:space="0" w:color="auto"/>
        <w:left w:val="none" w:sz="0" w:space="0" w:color="auto"/>
        <w:bottom w:val="none" w:sz="0" w:space="0" w:color="auto"/>
        <w:right w:val="none" w:sz="0" w:space="0" w:color="auto"/>
      </w:divBdr>
    </w:div>
    <w:div w:id="1457411804">
      <w:bodyDiv w:val="1"/>
      <w:marLeft w:val="0"/>
      <w:marRight w:val="0"/>
      <w:marTop w:val="0"/>
      <w:marBottom w:val="0"/>
      <w:divBdr>
        <w:top w:val="none" w:sz="0" w:space="0" w:color="auto"/>
        <w:left w:val="none" w:sz="0" w:space="0" w:color="auto"/>
        <w:bottom w:val="none" w:sz="0" w:space="0" w:color="auto"/>
        <w:right w:val="none" w:sz="0" w:space="0" w:color="auto"/>
      </w:divBdr>
    </w:div>
    <w:div w:id="1492212309">
      <w:bodyDiv w:val="1"/>
      <w:marLeft w:val="0"/>
      <w:marRight w:val="0"/>
      <w:marTop w:val="0"/>
      <w:marBottom w:val="0"/>
      <w:divBdr>
        <w:top w:val="none" w:sz="0" w:space="0" w:color="auto"/>
        <w:left w:val="none" w:sz="0" w:space="0" w:color="auto"/>
        <w:bottom w:val="none" w:sz="0" w:space="0" w:color="auto"/>
        <w:right w:val="none" w:sz="0" w:space="0" w:color="auto"/>
      </w:divBdr>
    </w:div>
    <w:div w:id="1571187920">
      <w:bodyDiv w:val="1"/>
      <w:marLeft w:val="0"/>
      <w:marRight w:val="0"/>
      <w:marTop w:val="0"/>
      <w:marBottom w:val="0"/>
      <w:divBdr>
        <w:top w:val="none" w:sz="0" w:space="0" w:color="auto"/>
        <w:left w:val="none" w:sz="0" w:space="0" w:color="auto"/>
        <w:bottom w:val="none" w:sz="0" w:space="0" w:color="auto"/>
        <w:right w:val="none" w:sz="0" w:space="0" w:color="auto"/>
      </w:divBdr>
    </w:div>
    <w:div w:id="1627159867">
      <w:bodyDiv w:val="1"/>
      <w:marLeft w:val="0"/>
      <w:marRight w:val="0"/>
      <w:marTop w:val="0"/>
      <w:marBottom w:val="0"/>
      <w:divBdr>
        <w:top w:val="none" w:sz="0" w:space="0" w:color="auto"/>
        <w:left w:val="none" w:sz="0" w:space="0" w:color="auto"/>
        <w:bottom w:val="none" w:sz="0" w:space="0" w:color="auto"/>
        <w:right w:val="none" w:sz="0" w:space="0" w:color="auto"/>
      </w:divBdr>
    </w:div>
    <w:div w:id="1728065694">
      <w:bodyDiv w:val="1"/>
      <w:marLeft w:val="0"/>
      <w:marRight w:val="0"/>
      <w:marTop w:val="0"/>
      <w:marBottom w:val="0"/>
      <w:divBdr>
        <w:top w:val="none" w:sz="0" w:space="0" w:color="auto"/>
        <w:left w:val="none" w:sz="0" w:space="0" w:color="auto"/>
        <w:bottom w:val="none" w:sz="0" w:space="0" w:color="auto"/>
        <w:right w:val="none" w:sz="0" w:space="0" w:color="auto"/>
      </w:divBdr>
    </w:div>
    <w:div w:id="1835679244">
      <w:bodyDiv w:val="1"/>
      <w:marLeft w:val="0"/>
      <w:marRight w:val="0"/>
      <w:marTop w:val="0"/>
      <w:marBottom w:val="0"/>
      <w:divBdr>
        <w:top w:val="none" w:sz="0" w:space="0" w:color="auto"/>
        <w:left w:val="none" w:sz="0" w:space="0" w:color="auto"/>
        <w:bottom w:val="none" w:sz="0" w:space="0" w:color="auto"/>
        <w:right w:val="none" w:sz="0" w:space="0" w:color="auto"/>
      </w:divBdr>
    </w:div>
    <w:div w:id="2002345044">
      <w:bodyDiv w:val="1"/>
      <w:marLeft w:val="0"/>
      <w:marRight w:val="0"/>
      <w:marTop w:val="0"/>
      <w:marBottom w:val="0"/>
      <w:divBdr>
        <w:top w:val="none" w:sz="0" w:space="0" w:color="auto"/>
        <w:left w:val="none" w:sz="0" w:space="0" w:color="auto"/>
        <w:bottom w:val="none" w:sz="0" w:space="0" w:color="auto"/>
        <w:right w:val="none" w:sz="0" w:space="0" w:color="auto"/>
      </w:divBdr>
    </w:div>
    <w:div w:id="205724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incentiveauctions/reimbursement"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harles.Meisch@fcc.gov" TargetMode="External"/><Relationship Id="rId4" Type="http://schemas.openxmlformats.org/officeDocument/2006/relationships/settings" Target="settings.xml"/><Relationship Id="rId9" Type="http://schemas.openxmlformats.org/officeDocument/2006/relationships/hyperlink" Target="mailto:Raphael.Sznajder@fcc.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fcc.gov/about-fcc/fcc-initiatives/incentive-auctions/transition-schedule" TargetMode="External"/><Relationship Id="rId1" Type="http://schemas.openxmlformats.org/officeDocument/2006/relationships/hyperlink" Target="https://apps.fcc.gov/edocs_public/attachmatch/DOC-345815A1.pdf"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file:///C:\Users\craig.bomberger\AppData\Local\Microsoft\Windows\Temporary%20Internet%20Files\Content.Outlook\BCL5QM18\www.fcc.gov" TargetMode="External"/><Relationship Id="rId2" Type="http://schemas.openxmlformats.org/officeDocument/2006/relationships/hyperlink" Target="file:///C:\Users\craig.bomberger\AppData\Local\Microsoft\Windows\Temporary%20Internet%20Files\Content.Outlook\BCL5QM18\www.fcc.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1720</Words>
  <Characters>10056</Characters>
  <Application>Microsoft Office Word</Application>
  <DocSecurity>0</DocSecurity>
  <Lines>130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2017-10-12T15:26:00Z</cp:lastPrinted>
  <dcterms:created xsi:type="dcterms:W3CDTF">2017-10-16T16:04:00Z</dcterms:created>
  <dcterms:modified xsi:type="dcterms:W3CDTF">2017-10-16T16:04:00Z</dcterms:modified>
  <cp:category> </cp:category>
  <cp:contentStatus> </cp:contentStatus>
</cp:coreProperties>
</file>