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D7AA4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6626D778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7B24F407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53B29DCA" w14:textId="77777777" w:rsidR="004C2EE3" w:rsidRDefault="004C2EE3" w:rsidP="0070224F"/>
    <w:p w14:paraId="065C21EF" w14:textId="77777777"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05741605" w14:textId="77777777">
        <w:tc>
          <w:tcPr>
            <w:tcW w:w="4698" w:type="dxa"/>
          </w:tcPr>
          <w:p w14:paraId="178E6F3F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14:paraId="4E4E77D0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33573BAF" w14:textId="40C38AD4" w:rsidR="004C2EE3" w:rsidRPr="007115F7" w:rsidRDefault="005A5550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  <w:szCs w:val="22"/>
              </w:rPr>
              <w:t>Expanding Flexible Use in Mid-Band Spectrum Between 3.7 and 24 GHz</w:t>
            </w:r>
          </w:p>
        </w:tc>
        <w:tc>
          <w:tcPr>
            <w:tcW w:w="630" w:type="dxa"/>
          </w:tcPr>
          <w:p w14:paraId="3499693D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7C6719A1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A4F38D7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9E900E7" w14:textId="2180BBED" w:rsidR="00006CB9" w:rsidRDefault="00006C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AD4774F" w14:textId="77777777" w:rsidR="00006CB9" w:rsidRPr="00316921" w:rsidRDefault="00006C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14:paraId="03F1DFEE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12852D9" w14:textId="77777777"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32FF412C" w14:textId="4099FB80" w:rsidR="004C2EE3" w:rsidRDefault="005A555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GN Docket No. 17-183</w:t>
            </w:r>
          </w:p>
        </w:tc>
      </w:tr>
    </w:tbl>
    <w:p w14:paraId="517D79E8" w14:textId="77777777" w:rsidR="004C2EE3" w:rsidRDefault="004C2EE3" w:rsidP="0070224F"/>
    <w:p w14:paraId="55BAAD0B" w14:textId="77777777" w:rsidR="00841AB1" w:rsidRDefault="00316921" w:rsidP="00F021FA">
      <w:pPr>
        <w:pStyle w:val="StyleBoldCentered"/>
      </w:pPr>
      <w:r>
        <w:t>Order</w:t>
      </w:r>
    </w:p>
    <w:p w14:paraId="758D712F" w14:textId="77777777"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4E3C1162" w14:textId="1B55F72B" w:rsidR="00316921" w:rsidRDefault="00316921" w:rsidP="00316921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8E04B4">
        <w:rPr>
          <w:b/>
          <w:spacing w:val="-2"/>
        </w:rPr>
        <w:t>October 18, 2017</w:t>
      </w:r>
      <w:r>
        <w:rPr>
          <w:b/>
          <w:spacing w:val="-2"/>
        </w:rPr>
        <w:tab/>
        <w:t xml:space="preserve">Released:  </w:t>
      </w:r>
      <w:r w:rsidR="00481A79">
        <w:rPr>
          <w:b/>
          <w:spacing w:val="-2"/>
        </w:rPr>
        <w:t>October 18</w:t>
      </w:r>
      <w:r>
        <w:rPr>
          <w:b/>
          <w:spacing w:val="-2"/>
        </w:rPr>
        <w:t>, 2017</w:t>
      </w:r>
    </w:p>
    <w:p w14:paraId="7173B96F" w14:textId="06935E23" w:rsidR="00316921" w:rsidRDefault="00316921" w:rsidP="00316921"/>
    <w:p w14:paraId="5E8F1FE8" w14:textId="5565886E" w:rsidR="008225D4" w:rsidRPr="008225D4" w:rsidRDefault="006D6584" w:rsidP="00316921">
      <w:pPr>
        <w:rPr>
          <w:b/>
        </w:rPr>
      </w:pPr>
      <w:r>
        <w:rPr>
          <w:b/>
        </w:rPr>
        <w:t xml:space="preserve">Revised </w:t>
      </w:r>
      <w:r w:rsidR="008225D4" w:rsidRPr="008225D4">
        <w:rPr>
          <w:b/>
        </w:rPr>
        <w:t>Reply Comment Date:  November 15, 2017</w:t>
      </w:r>
    </w:p>
    <w:p w14:paraId="4263F7E3" w14:textId="77777777" w:rsidR="008225D4" w:rsidRDefault="008225D4" w:rsidP="00316921"/>
    <w:p w14:paraId="7F9DD98C" w14:textId="77777777" w:rsidR="00316921" w:rsidRDefault="00316921" w:rsidP="00316921">
      <w:pPr>
        <w:rPr>
          <w:spacing w:val="-2"/>
        </w:rPr>
      </w:pPr>
      <w:r>
        <w:t xml:space="preserve">By the </w:t>
      </w:r>
      <w:r>
        <w:rPr>
          <w:spacing w:val="-2"/>
        </w:rPr>
        <w:t xml:space="preserve">Chief, </w:t>
      </w:r>
      <w:r w:rsidR="00006CB9">
        <w:rPr>
          <w:spacing w:val="-2"/>
        </w:rPr>
        <w:t xml:space="preserve">Broadband Division, </w:t>
      </w:r>
      <w:r>
        <w:rPr>
          <w:spacing w:val="-2"/>
        </w:rPr>
        <w:t>Wirel</w:t>
      </w:r>
      <w:r w:rsidR="00006CB9">
        <w:rPr>
          <w:spacing w:val="-2"/>
        </w:rPr>
        <w:t xml:space="preserve">ess Telecommunications </w:t>
      </w:r>
      <w:r>
        <w:rPr>
          <w:spacing w:val="-2"/>
        </w:rPr>
        <w:t>Bureau:</w:t>
      </w:r>
    </w:p>
    <w:p w14:paraId="65AFC45F" w14:textId="77777777" w:rsidR="00316921" w:rsidRDefault="00316921" w:rsidP="00316921"/>
    <w:p w14:paraId="2C6C4FCA" w14:textId="6213C61C" w:rsidR="00B07861" w:rsidRDefault="00316921" w:rsidP="00B92177">
      <w:pPr>
        <w:pStyle w:val="ParaNum"/>
        <w:rPr>
          <w:snapToGrid/>
        </w:rPr>
      </w:pPr>
      <w:r w:rsidRPr="00CB7AFD">
        <w:rPr>
          <w:snapToGrid/>
        </w:rPr>
        <w:t xml:space="preserve">By this </w:t>
      </w:r>
      <w:r>
        <w:rPr>
          <w:snapToGrid/>
        </w:rPr>
        <w:t>Order</w:t>
      </w:r>
      <w:r w:rsidRPr="00CB7AFD">
        <w:rPr>
          <w:snapToGrid/>
        </w:rPr>
        <w:t>, the Wirel</w:t>
      </w:r>
      <w:r w:rsidR="009334C1">
        <w:rPr>
          <w:snapToGrid/>
        </w:rPr>
        <w:t xml:space="preserve">ess Telecommunications </w:t>
      </w:r>
      <w:r w:rsidRPr="00CB7AFD">
        <w:rPr>
          <w:snapToGrid/>
        </w:rPr>
        <w:t xml:space="preserve">Bureau (Bureau) </w:t>
      </w:r>
      <w:r w:rsidR="008225D4">
        <w:rPr>
          <w:snapToGrid/>
        </w:rPr>
        <w:t xml:space="preserve">grants </w:t>
      </w:r>
      <w:r w:rsidR="00F223BA">
        <w:rPr>
          <w:snapToGrid/>
        </w:rPr>
        <w:t xml:space="preserve">the </w:t>
      </w:r>
      <w:r w:rsidR="00B92177">
        <w:t xml:space="preserve">Request </w:t>
      </w:r>
      <w:r w:rsidR="000F129D">
        <w:t>of the Wi-Fi Alliance, Telecommunications Industry Association, Dynamic Spectrum Alliance, and Wireless Internet Service Providers Association for Extension of Reply Comment Deadline (Request)</w:t>
      </w:r>
      <w:r w:rsidR="000F129D">
        <w:rPr>
          <w:rStyle w:val="FootnoteReference"/>
          <w:snapToGrid/>
        </w:rPr>
        <w:footnoteReference w:id="2"/>
      </w:r>
      <w:r w:rsidR="000F129D">
        <w:t xml:space="preserve"> </w:t>
      </w:r>
      <w:r w:rsidR="000F129D">
        <w:rPr>
          <w:snapToGrid/>
        </w:rPr>
        <w:t xml:space="preserve">in the above-captioned proceeding </w:t>
      </w:r>
      <w:r w:rsidR="000F129D">
        <w:t xml:space="preserve">to November 15, 2017. </w:t>
      </w:r>
      <w:r w:rsidR="008225D4">
        <w:rPr>
          <w:snapToGrid/>
        </w:rPr>
        <w:t xml:space="preserve"> </w:t>
      </w:r>
    </w:p>
    <w:p w14:paraId="1B18FAA8" w14:textId="72C62008" w:rsidR="00417EDD" w:rsidRPr="00417EDD" w:rsidRDefault="002B4DAC" w:rsidP="00417EDD">
      <w:pPr>
        <w:pStyle w:val="ParaNum"/>
      </w:pPr>
      <w:r>
        <w:t xml:space="preserve">On August 3, 2017, the Commission adopted and released the </w:t>
      </w:r>
      <w:r w:rsidRPr="000E6A83">
        <w:rPr>
          <w:i/>
          <w:snapToGrid/>
        </w:rPr>
        <w:t xml:space="preserve">Mid-Band </w:t>
      </w:r>
      <w:r>
        <w:rPr>
          <w:i/>
          <w:snapToGrid/>
        </w:rPr>
        <w:t xml:space="preserve">Spectrum Exploration </w:t>
      </w:r>
      <w:r w:rsidRPr="000E6A83">
        <w:rPr>
          <w:i/>
          <w:snapToGrid/>
        </w:rPr>
        <w:t>Notice of Inquiry</w:t>
      </w:r>
      <w:r>
        <w:rPr>
          <w:snapToGrid/>
        </w:rPr>
        <w:t xml:space="preserve"> (</w:t>
      </w:r>
      <w:r w:rsidRPr="00DC32CE">
        <w:rPr>
          <w:i/>
          <w:snapToGrid/>
        </w:rPr>
        <w:t>Mid-Band NOI</w:t>
      </w:r>
      <w:r>
        <w:rPr>
          <w:snapToGrid/>
        </w:rPr>
        <w:t>).</w:t>
      </w:r>
      <w:r w:rsidR="00417EDD">
        <w:rPr>
          <w:rStyle w:val="FootnoteReference"/>
          <w:snapToGrid/>
        </w:rPr>
        <w:footnoteReference w:id="3"/>
      </w:r>
      <w:r w:rsidR="00417EDD">
        <w:rPr>
          <w:snapToGrid/>
        </w:rPr>
        <w:t xml:space="preserve"> </w:t>
      </w:r>
      <w:r>
        <w:rPr>
          <w:snapToGrid/>
        </w:rPr>
        <w:t xml:space="preserve"> Comments were due </w:t>
      </w:r>
      <w:r w:rsidR="007007BD">
        <w:rPr>
          <w:snapToGrid/>
        </w:rPr>
        <w:t xml:space="preserve">on </w:t>
      </w:r>
      <w:r>
        <w:rPr>
          <w:snapToGrid/>
        </w:rPr>
        <w:t xml:space="preserve">October 2, 2017, and </w:t>
      </w:r>
      <w:r w:rsidR="00603AF1">
        <w:rPr>
          <w:snapToGrid/>
        </w:rPr>
        <w:t>repl</w:t>
      </w:r>
      <w:r w:rsidR="00371EB3">
        <w:rPr>
          <w:snapToGrid/>
        </w:rPr>
        <w:t>ies</w:t>
      </w:r>
      <w:r w:rsidR="00603AF1">
        <w:rPr>
          <w:snapToGrid/>
        </w:rPr>
        <w:t xml:space="preserve"> </w:t>
      </w:r>
      <w:r w:rsidR="00371EB3">
        <w:rPr>
          <w:snapToGrid/>
        </w:rPr>
        <w:t xml:space="preserve">were due </w:t>
      </w:r>
      <w:r w:rsidR="008D0AEB">
        <w:rPr>
          <w:snapToGrid/>
        </w:rPr>
        <w:t>30-</w:t>
      </w:r>
      <w:r w:rsidR="00603AF1">
        <w:rPr>
          <w:snapToGrid/>
        </w:rPr>
        <w:t>days thereafter</w:t>
      </w:r>
      <w:r w:rsidR="00371EB3">
        <w:rPr>
          <w:snapToGrid/>
        </w:rPr>
        <w:t xml:space="preserve"> or November 1, 2017</w:t>
      </w:r>
      <w:r w:rsidR="00603AF1">
        <w:rPr>
          <w:snapToGrid/>
        </w:rPr>
        <w:t>.</w:t>
      </w:r>
      <w:r>
        <w:rPr>
          <w:rStyle w:val="FootnoteReference"/>
          <w:snapToGrid/>
        </w:rPr>
        <w:footnoteReference w:id="4"/>
      </w:r>
      <w:r>
        <w:rPr>
          <w:snapToGrid/>
        </w:rPr>
        <w:t xml:space="preserve">  </w:t>
      </w:r>
      <w:r w:rsidR="00417EDD">
        <w:rPr>
          <w:snapToGrid/>
        </w:rPr>
        <w:t>The Request</w:t>
      </w:r>
      <w:r w:rsidR="00603AF1">
        <w:rPr>
          <w:snapToGrid/>
        </w:rPr>
        <w:t xml:space="preserve"> </w:t>
      </w:r>
      <w:r w:rsidR="00417EDD">
        <w:rPr>
          <w:snapToGrid/>
        </w:rPr>
        <w:t>seek</w:t>
      </w:r>
      <w:r w:rsidR="00603AF1">
        <w:rPr>
          <w:snapToGrid/>
        </w:rPr>
        <w:t>s</w:t>
      </w:r>
      <w:r w:rsidR="00417EDD">
        <w:rPr>
          <w:snapToGrid/>
        </w:rPr>
        <w:t xml:space="preserve"> to extend the latter deadline for 14 days until November 15, 2017.  </w:t>
      </w:r>
    </w:p>
    <w:p w14:paraId="0DB95276" w14:textId="70E13DD2" w:rsidR="00B92177" w:rsidRPr="007863DA" w:rsidRDefault="000C2002" w:rsidP="006547A8">
      <w:pPr>
        <w:pStyle w:val="ParaNum"/>
        <w:widowControl/>
      </w:pPr>
      <w:r>
        <w:t xml:space="preserve">The </w:t>
      </w:r>
      <w:r w:rsidR="008D0AEB">
        <w:t xml:space="preserve">parties seeking the extension (the Requestors) </w:t>
      </w:r>
      <w:r w:rsidR="00A23787">
        <w:t xml:space="preserve">state that </w:t>
      </w:r>
      <w:r w:rsidR="00B07861">
        <w:t xml:space="preserve">seventy-seven </w:t>
      </w:r>
      <w:r w:rsidR="00B92177">
        <w:t xml:space="preserve">parties submitted comments (many including extensive and detailed engineering </w:t>
      </w:r>
      <w:r w:rsidR="001A32C0">
        <w:t>analyses</w:t>
      </w:r>
      <w:r w:rsidR="00B92177">
        <w:t xml:space="preserve">) in response to the </w:t>
      </w:r>
      <w:r w:rsidR="00414EF1" w:rsidRPr="00414EF1">
        <w:rPr>
          <w:i/>
        </w:rPr>
        <w:t xml:space="preserve">Mid-Band </w:t>
      </w:r>
      <w:r w:rsidR="00B92177" w:rsidRPr="00414EF1">
        <w:rPr>
          <w:i/>
        </w:rPr>
        <w:t>NOI</w:t>
      </w:r>
      <w:r w:rsidR="00B92177">
        <w:t xml:space="preserve"> across a range of industries with a wide variety of perspectives.</w:t>
      </w:r>
      <w:r w:rsidR="00B07861">
        <w:rPr>
          <w:rStyle w:val="FootnoteReference"/>
        </w:rPr>
        <w:footnoteReference w:id="5"/>
      </w:r>
      <w:r w:rsidR="00603AF1">
        <w:t xml:space="preserve">  </w:t>
      </w:r>
      <w:r w:rsidR="00414EF1">
        <w:t xml:space="preserve">According to the Requestors, </w:t>
      </w:r>
      <w:r w:rsidR="002B4DAC">
        <w:t xml:space="preserve">the current </w:t>
      </w:r>
      <w:r w:rsidR="00417EDD">
        <w:t>30-</w:t>
      </w:r>
      <w:r w:rsidR="002B4DAC">
        <w:t xml:space="preserve">day reply comment period does not </w:t>
      </w:r>
      <w:r w:rsidR="001A32C0">
        <w:t>allow parties a meaningful opportunity to review and respond to those analyses</w:t>
      </w:r>
      <w:r w:rsidR="002B4DAC">
        <w:t xml:space="preserve">, particularly by membership-based organizations, </w:t>
      </w:r>
      <w:r w:rsidR="005A04AB">
        <w:t xml:space="preserve">such as each of the </w:t>
      </w:r>
      <w:r w:rsidR="00603AF1">
        <w:t>part</w:t>
      </w:r>
      <w:r w:rsidR="006D07D5">
        <w:t>ies</w:t>
      </w:r>
      <w:r w:rsidR="00603AF1">
        <w:t xml:space="preserve"> to the Request, </w:t>
      </w:r>
      <w:r w:rsidR="002B4DAC">
        <w:t>where coordination among members is required</w:t>
      </w:r>
      <w:r w:rsidR="001A32C0">
        <w:t>.</w:t>
      </w:r>
      <w:r w:rsidR="001A32C0">
        <w:rPr>
          <w:rStyle w:val="FootnoteReference"/>
        </w:rPr>
        <w:footnoteReference w:id="6"/>
      </w:r>
      <w:r w:rsidR="001A32C0">
        <w:t xml:space="preserve"> </w:t>
      </w:r>
      <w:r w:rsidR="00417EDD">
        <w:t xml:space="preserve"> </w:t>
      </w:r>
      <w:r w:rsidR="00414EF1">
        <w:t xml:space="preserve">The Requestors state that they have no interest in delaying the Commission’s consideration of the important issues presented in the </w:t>
      </w:r>
      <w:r w:rsidR="00414EF1" w:rsidRPr="00414EF1">
        <w:rPr>
          <w:i/>
        </w:rPr>
        <w:t>Mid-Band NOI</w:t>
      </w:r>
      <w:r w:rsidR="000F27BC">
        <w:t>;</w:t>
      </w:r>
      <w:r w:rsidR="00414EF1">
        <w:t xml:space="preserve"> </w:t>
      </w:r>
      <w:r w:rsidR="000F27BC">
        <w:t xml:space="preserve">they </w:t>
      </w:r>
      <w:r w:rsidR="007373D1">
        <w:t>contend</w:t>
      </w:r>
      <w:r w:rsidR="00414EF1">
        <w:t xml:space="preserve"> </w:t>
      </w:r>
      <w:r w:rsidR="00417EDD">
        <w:t xml:space="preserve">that </w:t>
      </w:r>
      <w:r w:rsidR="00B92177">
        <w:t xml:space="preserve">granting </w:t>
      </w:r>
      <w:r w:rsidR="003D673D">
        <w:t xml:space="preserve">the Request </w:t>
      </w:r>
      <w:r w:rsidR="00B92177">
        <w:t xml:space="preserve">would result in a further developed record </w:t>
      </w:r>
      <w:r w:rsidR="003D673D">
        <w:t xml:space="preserve">that </w:t>
      </w:r>
      <w:r w:rsidR="00B92177">
        <w:t>would speed, not delay, the Commission’s decision-making in this and related proceedings.</w:t>
      </w:r>
      <w:r w:rsidR="00417EDD">
        <w:rPr>
          <w:rStyle w:val="FootnoteReference"/>
        </w:rPr>
        <w:footnoteReference w:id="7"/>
      </w:r>
      <w:r w:rsidR="000F27BC">
        <w:t xml:space="preserve"> </w:t>
      </w:r>
    </w:p>
    <w:p w14:paraId="64DCAE66" w14:textId="279C3A05" w:rsidR="00CA56B9" w:rsidRPr="00CA56B9" w:rsidRDefault="00EC1101" w:rsidP="008D1774">
      <w:pPr>
        <w:pStyle w:val="ParaNum"/>
        <w:widowControl/>
      </w:pPr>
      <w:r>
        <w:lastRenderedPageBreak/>
        <w:t>While i</w:t>
      </w:r>
      <w:r w:rsidR="00C65092" w:rsidRPr="007373D1">
        <w:rPr>
          <w:snapToGrid/>
        </w:rPr>
        <w:t>t is the policy of the Commission that extensions shall not be routinely granted</w:t>
      </w:r>
      <w:r>
        <w:rPr>
          <w:snapToGrid/>
        </w:rPr>
        <w:t>,</w:t>
      </w:r>
      <w:r w:rsidR="00C65092">
        <w:rPr>
          <w:rStyle w:val="FootnoteReference"/>
        </w:rPr>
        <w:footnoteReference w:id="8"/>
      </w:r>
      <w:r w:rsidR="00C65092" w:rsidRPr="007373D1">
        <w:rPr>
          <w:snapToGrid/>
        </w:rPr>
        <w:t xml:space="preserve"> </w:t>
      </w:r>
      <w:r>
        <w:rPr>
          <w:snapToGrid/>
        </w:rPr>
        <w:t>b</w:t>
      </w:r>
      <w:r w:rsidR="00607EA2" w:rsidRPr="007373D1">
        <w:rPr>
          <w:snapToGrid/>
        </w:rPr>
        <w:t>ased on the record before us</w:t>
      </w:r>
      <w:r w:rsidR="00A5329A">
        <w:rPr>
          <w:snapToGrid/>
        </w:rPr>
        <w:t>,</w:t>
      </w:r>
      <w:r>
        <w:rPr>
          <w:snapToGrid/>
        </w:rPr>
        <w:t xml:space="preserve"> </w:t>
      </w:r>
      <w:r w:rsidR="00607EA2" w:rsidRPr="007373D1">
        <w:rPr>
          <w:snapToGrid/>
        </w:rPr>
        <w:t xml:space="preserve">we </w:t>
      </w:r>
      <w:r w:rsidR="00414EF1">
        <w:rPr>
          <w:snapToGrid/>
        </w:rPr>
        <w:t xml:space="preserve">are persuaded </w:t>
      </w:r>
      <w:r>
        <w:rPr>
          <w:snapToGrid/>
        </w:rPr>
        <w:t xml:space="preserve">in this case </w:t>
      </w:r>
      <w:r w:rsidR="00414EF1">
        <w:rPr>
          <w:snapToGrid/>
        </w:rPr>
        <w:t xml:space="preserve">that </w:t>
      </w:r>
      <w:r w:rsidR="000C2002">
        <w:t xml:space="preserve">granting a 14-day extension </w:t>
      </w:r>
      <w:r w:rsidR="005219D1">
        <w:t>will serve the public interest</w:t>
      </w:r>
      <w:r w:rsidR="00D73CE5">
        <w:t xml:space="preserve">.  </w:t>
      </w:r>
    </w:p>
    <w:p w14:paraId="131C849F" w14:textId="2197E34E" w:rsidR="00316921" w:rsidRDefault="00316921" w:rsidP="00681C6F">
      <w:pPr>
        <w:pStyle w:val="ParaNum"/>
        <w:widowControl/>
      </w:pPr>
      <w:r w:rsidRPr="0048208E">
        <w:t xml:space="preserve">Accordingly, IT IS ORDERED, pursuant to sections 4(i), 4(j), 5, and 303(r) of the Communications Act, as amended, 47 U.S.C. §§ 154(i), 154(j), 155, and 303(r), and sections </w:t>
      </w:r>
      <w:r>
        <w:t>0.</w:t>
      </w:r>
      <w:r w:rsidR="002B36AB">
        <w:t>131</w:t>
      </w:r>
      <w:r>
        <w:t>, 0.</w:t>
      </w:r>
      <w:r w:rsidR="002B36AB">
        <w:t>331</w:t>
      </w:r>
      <w:r>
        <w:t xml:space="preserve">, </w:t>
      </w:r>
      <w:r w:rsidRPr="0048208E">
        <w:t xml:space="preserve">1.46, </w:t>
      </w:r>
      <w:r w:rsidR="00F20E88">
        <w:t xml:space="preserve">1.415 </w:t>
      </w:r>
      <w:r w:rsidRPr="0048208E">
        <w:t>and 1.4</w:t>
      </w:r>
      <w:r w:rsidR="00F20E88">
        <w:t>3</w:t>
      </w:r>
      <w:r w:rsidR="002B36AB">
        <w:t>0</w:t>
      </w:r>
      <w:r w:rsidRPr="0048208E">
        <w:t xml:space="preserve"> of the Commission’s rules, 47 C</w:t>
      </w:r>
      <w:r w:rsidR="00813401">
        <w:t>.</w:t>
      </w:r>
      <w:r w:rsidRPr="0048208E">
        <w:t>F</w:t>
      </w:r>
      <w:r w:rsidR="00813401">
        <w:t>.</w:t>
      </w:r>
      <w:r w:rsidRPr="0048208E">
        <w:t>R</w:t>
      </w:r>
      <w:r w:rsidR="00813401">
        <w:t>.</w:t>
      </w:r>
      <w:r w:rsidRPr="0048208E">
        <w:t xml:space="preserve"> §§ 0.</w:t>
      </w:r>
      <w:r w:rsidR="002B36AB">
        <w:t>131</w:t>
      </w:r>
      <w:r w:rsidRPr="0048208E">
        <w:t>, 0.</w:t>
      </w:r>
      <w:r w:rsidR="002B36AB">
        <w:t>33</w:t>
      </w:r>
      <w:r>
        <w:t>1</w:t>
      </w:r>
      <w:r w:rsidRPr="0048208E">
        <w:t>, 1.46</w:t>
      </w:r>
      <w:r w:rsidR="002B36AB">
        <w:t xml:space="preserve">, </w:t>
      </w:r>
      <w:r w:rsidR="00F20E88">
        <w:t xml:space="preserve">1.415 </w:t>
      </w:r>
      <w:r w:rsidR="002B36AB">
        <w:t>and 1.4</w:t>
      </w:r>
      <w:r w:rsidR="00F20E88">
        <w:t>3</w:t>
      </w:r>
      <w:r w:rsidR="002B36AB">
        <w:t>0</w:t>
      </w:r>
      <w:r w:rsidRPr="0048208E">
        <w:t xml:space="preserve">, that the </w:t>
      </w:r>
      <w:r w:rsidR="009A4C77">
        <w:t xml:space="preserve">Request for Extension of Reply Comment Deadline filed by the Wi-Fi Alliance, the Telecommunications Industry Association, the Dynamic Spectrum Alliance, and the Wireless Internet Service Providers Association </w:t>
      </w:r>
      <w:r w:rsidR="006474BF">
        <w:t xml:space="preserve">on </w:t>
      </w:r>
      <w:r w:rsidR="00B45978">
        <w:t xml:space="preserve">October 10, </w:t>
      </w:r>
      <w:r w:rsidR="006474BF">
        <w:t>2017</w:t>
      </w:r>
      <w:r w:rsidRPr="0048208E">
        <w:t xml:space="preserve">, IS </w:t>
      </w:r>
      <w:r w:rsidR="000C2002">
        <w:t>GRANTED</w:t>
      </w:r>
      <w:r w:rsidR="006D6584">
        <w:t xml:space="preserve"> to the extent indicated herein.  </w:t>
      </w:r>
    </w:p>
    <w:p w14:paraId="17C6013A" w14:textId="4DA7EC14" w:rsidR="000C2002" w:rsidRDefault="000C2002" w:rsidP="00681C6F">
      <w:pPr>
        <w:pStyle w:val="ParaNum"/>
        <w:widowControl/>
      </w:pPr>
      <w:r>
        <w:t xml:space="preserve">IT IS FURTHER ORDERED that </w:t>
      </w:r>
      <w:r w:rsidR="006D6584">
        <w:t xml:space="preserve">the deadline for filing </w:t>
      </w:r>
      <w:r>
        <w:t xml:space="preserve">Reply Comments </w:t>
      </w:r>
      <w:r w:rsidR="003D673D">
        <w:t xml:space="preserve">to the </w:t>
      </w:r>
      <w:r w:rsidR="007A7FF8">
        <w:br/>
      </w:r>
      <w:r w:rsidR="003D673D" w:rsidRPr="000E6A83">
        <w:rPr>
          <w:i/>
          <w:snapToGrid/>
        </w:rPr>
        <w:t xml:space="preserve">Mid-Band </w:t>
      </w:r>
      <w:r w:rsidR="003D673D">
        <w:rPr>
          <w:i/>
          <w:snapToGrid/>
        </w:rPr>
        <w:t xml:space="preserve">Spectrum Exploration </w:t>
      </w:r>
      <w:r w:rsidR="003D673D" w:rsidRPr="000E6A83">
        <w:rPr>
          <w:i/>
          <w:snapToGrid/>
        </w:rPr>
        <w:t>Notice of Inquiry</w:t>
      </w:r>
      <w:r w:rsidR="003D673D">
        <w:rPr>
          <w:snapToGrid/>
        </w:rPr>
        <w:t xml:space="preserve"> </w:t>
      </w:r>
      <w:r>
        <w:t xml:space="preserve">in the above captioned proceeding </w:t>
      </w:r>
      <w:r w:rsidR="00F20E88">
        <w:t xml:space="preserve">is extended to </w:t>
      </w:r>
      <w:r>
        <w:t>November</w:t>
      </w:r>
      <w:r w:rsidR="00F20E88">
        <w:t xml:space="preserve"> </w:t>
      </w:r>
      <w:r>
        <w:t>15,</w:t>
      </w:r>
      <w:r w:rsidR="00F20E88">
        <w:t xml:space="preserve"> </w:t>
      </w:r>
      <w:r>
        <w:t xml:space="preserve">2017.  </w:t>
      </w:r>
    </w:p>
    <w:p w14:paraId="48188EDF" w14:textId="77777777" w:rsidR="00316921" w:rsidRDefault="00316921" w:rsidP="00316921"/>
    <w:p w14:paraId="712DCE73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  <w:r>
        <w:t>FEDERAL COMMUNICATIONS COMMISSION</w:t>
      </w:r>
    </w:p>
    <w:p w14:paraId="0555F43D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</w:p>
    <w:p w14:paraId="4D876F59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</w:p>
    <w:p w14:paraId="5FC78318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</w:p>
    <w:p w14:paraId="03FD20CA" w14:textId="77777777" w:rsidR="0031692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</w:p>
    <w:p w14:paraId="20DF9C88" w14:textId="77777777" w:rsidR="00316921" w:rsidRPr="00DE2301" w:rsidRDefault="002B36AB" w:rsidP="00316921">
      <w:pPr>
        <w:ind w:left="2880" w:firstLine="720"/>
        <w:rPr>
          <w:b/>
        </w:rPr>
      </w:pPr>
      <w:r>
        <w:t>Blaise A. Scinto</w:t>
      </w:r>
    </w:p>
    <w:p w14:paraId="3D84DB42" w14:textId="77777777" w:rsidR="00316921" w:rsidRPr="00DE2301" w:rsidRDefault="00316921" w:rsidP="00316921">
      <w:pPr>
        <w:pStyle w:val="ParaNum"/>
        <w:widowControl/>
        <w:numPr>
          <w:ilvl w:val="0"/>
          <w:numId w:val="0"/>
        </w:numPr>
        <w:spacing w:after="0"/>
        <w:ind w:left="3600"/>
      </w:pPr>
      <w:r w:rsidRPr="00DE2301">
        <w:t xml:space="preserve">Chief </w:t>
      </w:r>
    </w:p>
    <w:p w14:paraId="2CDC4241" w14:textId="77777777" w:rsidR="00316921" w:rsidRPr="00DE2301" w:rsidRDefault="002B36AB" w:rsidP="00316921">
      <w:pPr>
        <w:ind w:left="2880" w:firstLine="720"/>
      </w:pPr>
      <w:r>
        <w:t>Broadband Division</w:t>
      </w:r>
    </w:p>
    <w:p w14:paraId="18E671D6" w14:textId="77777777" w:rsidR="00316921" w:rsidRPr="00EE1B4C" w:rsidRDefault="002B36AB" w:rsidP="00901C47">
      <w:pPr>
        <w:ind w:left="2880" w:firstLine="720"/>
      </w:pPr>
      <w:r>
        <w:t>Wireless Telecommunications Bureau</w:t>
      </w:r>
    </w:p>
    <w:p w14:paraId="5BA9D763" w14:textId="77777777" w:rsidR="002C00E8" w:rsidRPr="002C00E8" w:rsidRDefault="002C00E8" w:rsidP="001B260A">
      <w:pPr>
        <w:pStyle w:val="Heading1"/>
        <w:numPr>
          <w:ilvl w:val="0"/>
          <w:numId w:val="0"/>
        </w:numPr>
        <w:ind w:left="720"/>
      </w:pP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2071" w14:textId="77777777" w:rsidR="00DB3F25" w:rsidRDefault="00DB3F25">
      <w:pPr>
        <w:spacing w:line="20" w:lineRule="exact"/>
      </w:pPr>
    </w:p>
  </w:endnote>
  <w:endnote w:type="continuationSeparator" w:id="0">
    <w:p w14:paraId="76B9F01F" w14:textId="77777777" w:rsidR="00DB3F25" w:rsidRDefault="00DB3F25">
      <w:r>
        <w:t xml:space="preserve"> </w:t>
      </w:r>
    </w:p>
  </w:endnote>
  <w:endnote w:type="continuationNotice" w:id="1">
    <w:p w14:paraId="1A3C2A1F" w14:textId="77777777" w:rsidR="00DB3F25" w:rsidRDefault="00DB3F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7795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91B8A3C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96EA" w14:textId="46A2175D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94D6D">
      <w:rPr>
        <w:noProof/>
      </w:rPr>
      <w:t>2</w:t>
    </w:r>
    <w:r>
      <w:fldChar w:fldCharType="end"/>
    </w:r>
  </w:p>
  <w:p w14:paraId="48C18C5D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54BF8" w14:textId="5FE32BD8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3708B" w14:textId="77777777" w:rsidR="00DB3F25" w:rsidRDefault="00DB3F25">
      <w:r>
        <w:separator/>
      </w:r>
    </w:p>
  </w:footnote>
  <w:footnote w:type="continuationSeparator" w:id="0">
    <w:p w14:paraId="7AB5340E" w14:textId="77777777" w:rsidR="00DB3F25" w:rsidRDefault="00DB3F25" w:rsidP="00C721AC">
      <w:pPr>
        <w:spacing w:before="120"/>
        <w:rPr>
          <w:sz w:val="20"/>
        </w:rPr>
      </w:pPr>
      <w:r>
        <w:continuationSeparator/>
      </w:r>
    </w:p>
  </w:footnote>
  <w:footnote w:type="continuationNotice" w:id="1">
    <w:p w14:paraId="1AA5DE2E" w14:textId="77777777" w:rsidR="00DB3F25" w:rsidRDefault="00DB3F25" w:rsidP="00C721AC">
      <w:pPr>
        <w:jc w:val="right"/>
        <w:rPr>
          <w:sz w:val="20"/>
        </w:rPr>
      </w:pPr>
    </w:p>
  </w:footnote>
  <w:footnote w:id="2">
    <w:p w14:paraId="13F2C78B" w14:textId="3E5DFD2E" w:rsidR="000F129D" w:rsidRDefault="000F129D" w:rsidP="000F129D">
      <w:pPr>
        <w:pStyle w:val="FootnoteText"/>
      </w:pPr>
      <w:r>
        <w:rPr>
          <w:rStyle w:val="FootnoteReference"/>
        </w:rPr>
        <w:footnoteRef/>
      </w:r>
      <w:r>
        <w:t xml:space="preserve"> Request of the Wi-Fi Alliance, Telecommunications Industry Association, Dynamic Spectrum Alliance, and Wireless Internet Service Providers Association for Extension of Reply Comment Deadline, GN Docket No. 17-183 (filed Oct. 10, 2017</w:t>
      </w:r>
      <w:r w:rsidR="00531F25">
        <w:t>)</w:t>
      </w:r>
      <w:r>
        <w:t xml:space="preserve"> (Request).  </w:t>
      </w:r>
    </w:p>
  </w:footnote>
  <w:footnote w:id="3">
    <w:p w14:paraId="381E889F" w14:textId="77777777" w:rsidR="00417EDD" w:rsidRPr="008F625E" w:rsidRDefault="00417EDD" w:rsidP="00417ED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B07861">
        <w:rPr>
          <w:i/>
          <w:spacing w:val="-2"/>
          <w:szCs w:val="22"/>
        </w:rPr>
        <w:t>Expanding Flexible Use in Mid-Band Spectrum Between 3.7 and 24 GHz</w:t>
      </w:r>
      <w:r>
        <w:rPr>
          <w:spacing w:val="-2"/>
          <w:szCs w:val="22"/>
        </w:rPr>
        <w:t>, GN Docket No. 17-183, Notice of Inquiry, 32 FCC Rcd 6373 (201</w:t>
      </w:r>
      <w:r w:rsidRPr="00B07861">
        <w:rPr>
          <w:spacing w:val="-2"/>
          <w:szCs w:val="22"/>
        </w:rPr>
        <w:t>7</w:t>
      </w:r>
      <w:r>
        <w:rPr>
          <w:spacing w:val="-2"/>
          <w:szCs w:val="22"/>
        </w:rPr>
        <w:t>) (</w:t>
      </w:r>
      <w:r w:rsidRPr="002B4DAC">
        <w:rPr>
          <w:i/>
          <w:spacing w:val="-2"/>
          <w:szCs w:val="22"/>
        </w:rPr>
        <w:t>Mid-Band NOI</w:t>
      </w:r>
      <w:r w:rsidRPr="00B07861">
        <w:rPr>
          <w:spacing w:val="-2"/>
          <w:szCs w:val="22"/>
        </w:rPr>
        <w:t>)</w:t>
      </w:r>
      <w:r>
        <w:rPr>
          <w:spacing w:val="-2"/>
          <w:szCs w:val="22"/>
        </w:rPr>
        <w:t xml:space="preserve">.  </w:t>
      </w:r>
    </w:p>
  </w:footnote>
  <w:footnote w:id="4">
    <w:p w14:paraId="6F37F558" w14:textId="71E3491F" w:rsidR="002B4DAC" w:rsidRPr="00C65092" w:rsidRDefault="002B4D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 </w:t>
      </w:r>
    </w:p>
  </w:footnote>
  <w:footnote w:id="5">
    <w:p w14:paraId="082039E7" w14:textId="0778987A" w:rsidR="00B07861" w:rsidRPr="00B07861" w:rsidRDefault="00B078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B07861">
        <w:t>Request at</w:t>
      </w:r>
      <w:r>
        <w:rPr>
          <w:i/>
        </w:rPr>
        <w:t xml:space="preserve"> </w:t>
      </w:r>
      <w:r>
        <w:t>2.</w:t>
      </w:r>
    </w:p>
  </w:footnote>
  <w:footnote w:id="6">
    <w:p w14:paraId="2B8722F8" w14:textId="77777777" w:rsidR="001A32C0" w:rsidRPr="001A32C0" w:rsidRDefault="001A32C0" w:rsidP="001A32C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 </w:t>
      </w:r>
    </w:p>
  </w:footnote>
  <w:footnote w:id="7">
    <w:p w14:paraId="5C8C6306" w14:textId="792DC17D" w:rsidR="00417EDD" w:rsidRPr="00417EDD" w:rsidRDefault="00417E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 w:rsidRPr="00417EDD">
        <w:t>at 3.</w:t>
      </w:r>
      <w:r>
        <w:rPr>
          <w:i/>
        </w:rPr>
        <w:t xml:space="preserve">  </w:t>
      </w:r>
      <w:r w:rsidR="003A6119" w:rsidRPr="005A126E">
        <w:rPr>
          <w:i/>
        </w:rPr>
        <w:t>See also</w:t>
      </w:r>
      <w:r w:rsidR="003A6119">
        <w:t xml:space="preserve"> Letter from Alex Roytblat, Senior Director of Regulatory Affairs, Wi-Fi Alliance, to Marlene H. Dorch, Secretary, FCC, GN Docket No. 17-183 et al. at 2 (filed Oct. 16, 2017).</w:t>
      </w:r>
    </w:p>
  </w:footnote>
  <w:footnote w:id="8">
    <w:p w14:paraId="374E916F" w14:textId="5DCD6BFF" w:rsidR="00C65092" w:rsidRPr="009A4C77" w:rsidRDefault="00C65092" w:rsidP="00C6509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47 C.F.R. § 1.46</w:t>
      </w:r>
      <w:r w:rsidRPr="00DE2301">
        <w:t>(a).</w:t>
      </w:r>
      <w:r w:rsidR="003A6119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BA30" w14:textId="77777777" w:rsidR="00811C36" w:rsidRDefault="0081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825A" w14:textId="0936A1EE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953F92">
      <w:t>DA 17-</w:t>
    </w:r>
    <w:r w:rsidR="004A3411">
      <w:t>1024</w:t>
    </w:r>
  </w:p>
  <w:p w14:paraId="32AE6321" w14:textId="77777777" w:rsidR="00D25FB5" w:rsidRDefault="008023A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1508E15" wp14:editId="0A677DA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66D2B09B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671DB7D0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2044C" w14:textId="25DFF651" w:rsidR="00D25FB5" w:rsidRDefault="008023A2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4BD765" wp14:editId="5B93025D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780F8131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953F92">
      <w:rPr>
        <w:spacing w:val="-2"/>
      </w:rPr>
      <w:t>DA 17-</w:t>
    </w:r>
    <w:r w:rsidR="008B7EFD">
      <w:rPr>
        <w:spacing w:val="-2"/>
      </w:rPr>
      <w:t>1024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21"/>
    <w:rsid w:val="00006CB9"/>
    <w:rsid w:val="00006DD5"/>
    <w:rsid w:val="00031382"/>
    <w:rsid w:val="00036039"/>
    <w:rsid w:val="00037F90"/>
    <w:rsid w:val="00052206"/>
    <w:rsid w:val="00054DAC"/>
    <w:rsid w:val="00065F43"/>
    <w:rsid w:val="000875BF"/>
    <w:rsid w:val="00096D8C"/>
    <w:rsid w:val="000A7A62"/>
    <w:rsid w:val="000B0823"/>
    <w:rsid w:val="000B3F85"/>
    <w:rsid w:val="000C0B65"/>
    <w:rsid w:val="000C2002"/>
    <w:rsid w:val="000E05FE"/>
    <w:rsid w:val="000E3D42"/>
    <w:rsid w:val="000E6A83"/>
    <w:rsid w:val="000F129D"/>
    <w:rsid w:val="000F27BC"/>
    <w:rsid w:val="000F682C"/>
    <w:rsid w:val="00104414"/>
    <w:rsid w:val="00113131"/>
    <w:rsid w:val="00114B02"/>
    <w:rsid w:val="00115577"/>
    <w:rsid w:val="00122246"/>
    <w:rsid w:val="00122BD5"/>
    <w:rsid w:val="001303E4"/>
    <w:rsid w:val="00133F79"/>
    <w:rsid w:val="0014297E"/>
    <w:rsid w:val="00194A66"/>
    <w:rsid w:val="001A32C0"/>
    <w:rsid w:val="001B260A"/>
    <w:rsid w:val="001B49C4"/>
    <w:rsid w:val="001C4D71"/>
    <w:rsid w:val="001D6BCF"/>
    <w:rsid w:val="001E01CA"/>
    <w:rsid w:val="002064FD"/>
    <w:rsid w:val="00237E23"/>
    <w:rsid w:val="00242DFB"/>
    <w:rsid w:val="002543DE"/>
    <w:rsid w:val="00275CF5"/>
    <w:rsid w:val="00277ECB"/>
    <w:rsid w:val="0028301F"/>
    <w:rsid w:val="00285017"/>
    <w:rsid w:val="00291435"/>
    <w:rsid w:val="00291ED6"/>
    <w:rsid w:val="002A2D2E"/>
    <w:rsid w:val="002B1046"/>
    <w:rsid w:val="002B36AB"/>
    <w:rsid w:val="002B4DAC"/>
    <w:rsid w:val="002B7AA8"/>
    <w:rsid w:val="002C00E8"/>
    <w:rsid w:val="002E7E36"/>
    <w:rsid w:val="003020AC"/>
    <w:rsid w:val="00316921"/>
    <w:rsid w:val="00341D06"/>
    <w:rsid w:val="00343749"/>
    <w:rsid w:val="003660ED"/>
    <w:rsid w:val="00371EB3"/>
    <w:rsid w:val="00373676"/>
    <w:rsid w:val="00383040"/>
    <w:rsid w:val="003A1D9D"/>
    <w:rsid w:val="003A6119"/>
    <w:rsid w:val="003B0550"/>
    <w:rsid w:val="003B0E28"/>
    <w:rsid w:val="003B694F"/>
    <w:rsid w:val="003D673D"/>
    <w:rsid w:val="003E5A77"/>
    <w:rsid w:val="003F171C"/>
    <w:rsid w:val="003F24B3"/>
    <w:rsid w:val="00412FC5"/>
    <w:rsid w:val="00414EF1"/>
    <w:rsid w:val="00417EDD"/>
    <w:rsid w:val="00422276"/>
    <w:rsid w:val="004242F1"/>
    <w:rsid w:val="00445A00"/>
    <w:rsid w:val="00451B0F"/>
    <w:rsid w:val="00481A79"/>
    <w:rsid w:val="00496AF6"/>
    <w:rsid w:val="004A3411"/>
    <w:rsid w:val="004A7467"/>
    <w:rsid w:val="004B6DAA"/>
    <w:rsid w:val="004C2EE3"/>
    <w:rsid w:val="004D0771"/>
    <w:rsid w:val="004D2CF8"/>
    <w:rsid w:val="004D36B9"/>
    <w:rsid w:val="004D7233"/>
    <w:rsid w:val="004E4A22"/>
    <w:rsid w:val="004F76F6"/>
    <w:rsid w:val="00511968"/>
    <w:rsid w:val="005219D1"/>
    <w:rsid w:val="00531F25"/>
    <w:rsid w:val="0055614C"/>
    <w:rsid w:val="005A04AB"/>
    <w:rsid w:val="005A3BE3"/>
    <w:rsid w:val="005A5550"/>
    <w:rsid w:val="005A5657"/>
    <w:rsid w:val="005B1782"/>
    <w:rsid w:val="005B6016"/>
    <w:rsid w:val="005D650A"/>
    <w:rsid w:val="005E14C2"/>
    <w:rsid w:val="00603AF1"/>
    <w:rsid w:val="0060659E"/>
    <w:rsid w:val="00607BA5"/>
    <w:rsid w:val="00607EA2"/>
    <w:rsid w:val="0061180A"/>
    <w:rsid w:val="00625C40"/>
    <w:rsid w:val="00626EB6"/>
    <w:rsid w:val="006274EA"/>
    <w:rsid w:val="00641B3D"/>
    <w:rsid w:val="006474BF"/>
    <w:rsid w:val="006547A8"/>
    <w:rsid w:val="00655D03"/>
    <w:rsid w:val="00681C6F"/>
    <w:rsid w:val="00682397"/>
    <w:rsid w:val="00683388"/>
    <w:rsid w:val="00683F84"/>
    <w:rsid w:val="006A546E"/>
    <w:rsid w:val="006A6A81"/>
    <w:rsid w:val="006A747D"/>
    <w:rsid w:val="006B7CA3"/>
    <w:rsid w:val="006D07D5"/>
    <w:rsid w:val="006D6584"/>
    <w:rsid w:val="006F7393"/>
    <w:rsid w:val="007007BD"/>
    <w:rsid w:val="0070224F"/>
    <w:rsid w:val="007034E1"/>
    <w:rsid w:val="007115F7"/>
    <w:rsid w:val="0071442D"/>
    <w:rsid w:val="007373D1"/>
    <w:rsid w:val="00742B11"/>
    <w:rsid w:val="00776F68"/>
    <w:rsid w:val="00783A67"/>
    <w:rsid w:val="00785689"/>
    <w:rsid w:val="007863DA"/>
    <w:rsid w:val="0079754B"/>
    <w:rsid w:val="007A1E6D"/>
    <w:rsid w:val="007A7FF8"/>
    <w:rsid w:val="007B0EB2"/>
    <w:rsid w:val="007B5A44"/>
    <w:rsid w:val="007C7DC7"/>
    <w:rsid w:val="007D5F1A"/>
    <w:rsid w:val="007E611A"/>
    <w:rsid w:val="008017EC"/>
    <w:rsid w:val="008023A2"/>
    <w:rsid w:val="00810B6F"/>
    <w:rsid w:val="00811C36"/>
    <w:rsid w:val="00813401"/>
    <w:rsid w:val="008225D4"/>
    <w:rsid w:val="00822CE0"/>
    <w:rsid w:val="00841AB1"/>
    <w:rsid w:val="0084601C"/>
    <w:rsid w:val="0084680A"/>
    <w:rsid w:val="0085156A"/>
    <w:rsid w:val="008604D2"/>
    <w:rsid w:val="008754DA"/>
    <w:rsid w:val="008772A3"/>
    <w:rsid w:val="00892375"/>
    <w:rsid w:val="008A59BC"/>
    <w:rsid w:val="008B2B18"/>
    <w:rsid w:val="008B4FE5"/>
    <w:rsid w:val="008B7EFD"/>
    <w:rsid w:val="008C68F1"/>
    <w:rsid w:val="008D0AEB"/>
    <w:rsid w:val="008D1774"/>
    <w:rsid w:val="008D1E70"/>
    <w:rsid w:val="008D3503"/>
    <w:rsid w:val="008E04B4"/>
    <w:rsid w:val="008F625E"/>
    <w:rsid w:val="00901C47"/>
    <w:rsid w:val="009023AC"/>
    <w:rsid w:val="00921803"/>
    <w:rsid w:val="00926503"/>
    <w:rsid w:val="009334C1"/>
    <w:rsid w:val="00934AFB"/>
    <w:rsid w:val="00953F92"/>
    <w:rsid w:val="009606BB"/>
    <w:rsid w:val="009726D8"/>
    <w:rsid w:val="00973FDE"/>
    <w:rsid w:val="00974C10"/>
    <w:rsid w:val="009865C0"/>
    <w:rsid w:val="009A4C77"/>
    <w:rsid w:val="009D2344"/>
    <w:rsid w:val="009E061E"/>
    <w:rsid w:val="009F76DB"/>
    <w:rsid w:val="00A12D3D"/>
    <w:rsid w:val="00A16558"/>
    <w:rsid w:val="00A23787"/>
    <w:rsid w:val="00A26EE6"/>
    <w:rsid w:val="00A32C3B"/>
    <w:rsid w:val="00A45F4F"/>
    <w:rsid w:val="00A5329A"/>
    <w:rsid w:val="00A600A9"/>
    <w:rsid w:val="00A71601"/>
    <w:rsid w:val="00A7557D"/>
    <w:rsid w:val="00A9638B"/>
    <w:rsid w:val="00AA55B7"/>
    <w:rsid w:val="00AA5B9E"/>
    <w:rsid w:val="00AB2407"/>
    <w:rsid w:val="00AB53DF"/>
    <w:rsid w:val="00AD07C6"/>
    <w:rsid w:val="00AE3CA8"/>
    <w:rsid w:val="00B07861"/>
    <w:rsid w:val="00B07E5C"/>
    <w:rsid w:val="00B11716"/>
    <w:rsid w:val="00B1608A"/>
    <w:rsid w:val="00B37A29"/>
    <w:rsid w:val="00B45978"/>
    <w:rsid w:val="00B47C9F"/>
    <w:rsid w:val="00B811F7"/>
    <w:rsid w:val="00B92177"/>
    <w:rsid w:val="00BA5DC6"/>
    <w:rsid w:val="00BA6196"/>
    <w:rsid w:val="00BC0341"/>
    <w:rsid w:val="00BC6D8C"/>
    <w:rsid w:val="00C34006"/>
    <w:rsid w:val="00C426B1"/>
    <w:rsid w:val="00C5554C"/>
    <w:rsid w:val="00C61000"/>
    <w:rsid w:val="00C65092"/>
    <w:rsid w:val="00C66160"/>
    <w:rsid w:val="00C721AC"/>
    <w:rsid w:val="00C74771"/>
    <w:rsid w:val="00C847F1"/>
    <w:rsid w:val="00C90D6A"/>
    <w:rsid w:val="00C94D6D"/>
    <w:rsid w:val="00CA247E"/>
    <w:rsid w:val="00CA3671"/>
    <w:rsid w:val="00CA56B9"/>
    <w:rsid w:val="00CC72B6"/>
    <w:rsid w:val="00CD15BB"/>
    <w:rsid w:val="00CD430F"/>
    <w:rsid w:val="00CF5EA4"/>
    <w:rsid w:val="00CF6188"/>
    <w:rsid w:val="00D0218D"/>
    <w:rsid w:val="00D14E3E"/>
    <w:rsid w:val="00D228B9"/>
    <w:rsid w:val="00D25FB5"/>
    <w:rsid w:val="00D37A36"/>
    <w:rsid w:val="00D44223"/>
    <w:rsid w:val="00D73CE5"/>
    <w:rsid w:val="00DA2529"/>
    <w:rsid w:val="00DB130A"/>
    <w:rsid w:val="00DB2EBB"/>
    <w:rsid w:val="00DB3F25"/>
    <w:rsid w:val="00DB41A2"/>
    <w:rsid w:val="00DC10A1"/>
    <w:rsid w:val="00DC32CE"/>
    <w:rsid w:val="00DC655F"/>
    <w:rsid w:val="00DD0B59"/>
    <w:rsid w:val="00DD7EBD"/>
    <w:rsid w:val="00DF32D0"/>
    <w:rsid w:val="00DF62B6"/>
    <w:rsid w:val="00E07225"/>
    <w:rsid w:val="00E107E6"/>
    <w:rsid w:val="00E21EE8"/>
    <w:rsid w:val="00E5409F"/>
    <w:rsid w:val="00E71A7D"/>
    <w:rsid w:val="00EC1101"/>
    <w:rsid w:val="00EC30C1"/>
    <w:rsid w:val="00EE0F62"/>
    <w:rsid w:val="00EE2713"/>
    <w:rsid w:val="00EE6488"/>
    <w:rsid w:val="00F021FA"/>
    <w:rsid w:val="00F02E84"/>
    <w:rsid w:val="00F20E88"/>
    <w:rsid w:val="00F223BA"/>
    <w:rsid w:val="00F62E97"/>
    <w:rsid w:val="00F64209"/>
    <w:rsid w:val="00F93BF5"/>
    <w:rsid w:val="00F96BF4"/>
    <w:rsid w:val="00FA6892"/>
    <w:rsid w:val="00FD055B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A2A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8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02E8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02E8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02E8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02E8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02E8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02E8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02E8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02E8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02E8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F02E84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sid w:val="00F02E84"/>
    <w:rPr>
      <w:sz w:val="20"/>
    </w:rPr>
  </w:style>
  <w:style w:type="character" w:styleId="EndnoteReference">
    <w:name w:val="endnote reference"/>
    <w:semiHidden/>
    <w:rsid w:val="00F02E84"/>
    <w:rPr>
      <w:vertAlign w:val="superscript"/>
    </w:rPr>
  </w:style>
  <w:style w:type="paragraph" w:styleId="FootnoteText">
    <w:name w:val="footnote text"/>
    <w:rsid w:val="00F02E84"/>
    <w:pPr>
      <w:spacing w:after="120"/>
    </w:pPr>
  </w:style>
  <w:style w:type="character" w:styleId="FootnoteReference">
    <w:name w:val="footnote reference"/>
    <w:rsid w:val="00F02E84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02E8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02E8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02E8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02E8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02E8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02E8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02E8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02E8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02E8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02E8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02E84"/>
  </w:style>
  <w:style w:type="paragraph" w:styleId="Header">
    <w:name w:val="header"/>
    <w:basedOn w:val="Normal"/>
    <w:autoRedefine/>
    <w:rsid w:val="00F02E84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02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E84"/>
  </w:style>
  <w:style w:type="paragraph" w:styleId="BlockText">
    <w:name w:val="Block Text"/>
    <w:basedOn w:val="Normal"/>
    <w:rsid w:val="00F02E84"/>
    <w:pPr>
      <w:spacing w:after="240"/>
      <w:ind w:left="1440" w:right="1440"/>
    </w:pPr>
  </w:style>
  <w:style w:type="paragraph" w:customStyle="1" w:styleId="Paratitle">
    <w:name w:val="Para title"/>
    <w:basedOn w:val="Normal"/>
    <w:rsid w:val="00F02E8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02E84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02E8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02E8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02E8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02E84"/>
    <w:rPr>
      <w:color w:val="0000FF"/>
      <w:u w:val="single"/>
    </w:rPr>
  </w:style>
  <w:style w:type="character" w:customStyle="1" w:styleId="ParaNumCharChar1">
    <w:name w:val="ParaNum Char Char1"/>
    <w:link w:val="ParaNum"/>
    <w:rsid w:val="00316921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16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608A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B6D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6D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6DA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DAA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8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02E84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02E84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02E84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02E84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02E84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02E84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02E84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02E84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02E84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F02E84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sid w:val="00F02E84"/>
    <w:rPr>
      <w:sz w:val="20"/>
    </w:rPr>
  </w:style>
  <w:style w:type="character" w:styleId="EndnoteReference">
    <w:name w:val="endnote reference"/>
    <w:semiHidden/>
    <w:rsid w:val="00F02E84"/>
    <w:rPr>
      <w:vertAlign w:val="superscript"/>
    </w:rPr>
  </w:style>
  <w:style w:type="paragraph" w:styleId="FootnoteText">
    <w:name w:val="footnote text"/>
    <w:rsid w:val="00F02E84"/>
    <w:pPr>
      <w:spacing w:after="120"/>
    </w:pPr>
  </w:style>
  <w:style w:type="character" w:styleId="FootnoteReference">
    <w:name w:val="footnote reference"/>
    <w:rsid w:val="00F02E84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02E8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02E8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02E8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02E8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02E8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02E8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02E8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02E8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02E8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02E8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02E84"/>
  </w:style>
  <w:style w:type="paragraph" w:styleId="Header">
    <w:name w:val="header"/>
    <w:basedOn w:val="Normal"/>
    <w:autoRedefine/>
    <w:rsid w:val="00F02E84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02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E84"/>
  </w:style>
  <w:style w:type="paragraph" w:styleId="BlockText">
    <w:name w:val="Block Text"/>
    <w:basedOn w:val="Normal"/>
    <w:rsid w:val="00F02E84"/>
    <w:pPr>
      <w:spacing w:after="240"/>
      <w:ind w:left="1440" w:right="1440"/>
    </w:pPr>
  </w:style>
  <w:style w:type="paragraph" w:customStyle="1" w:styleId="Paratitle">
    <w:name w:val="Para title"/>
    <w:basedOn w:val="Normal"/>
    <w:rsid w:val="00F02E84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02E84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02E84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02E8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02E8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02E84"/>
    <w:rPr>
      <w:color w:val="0000FF"/>
      <w:u w:val="single"/>
    </w:rPr>
  </w:style>
  <w:style w:type="character" w:customStyle="1" w:styleId="ParaNumCharChar1">
    <w:name w:val="ParaNum Char Char1"/>
    <w:link w:val="ParaNum"/>
    <w:rsid w:val="00316921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16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608A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B6D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6D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6DA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DAA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2536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2017-10-18T15:01:00Z</dcterms:created>
  <dcterms:modified xsi:type="dcterms:W3CDTF">2017-10-18T15:01:00Z</dcterms:modified>
  <cp:category> </cp:category>
  <cp:contentStatus> </cp:contentStatus>
</cp:coreProperties>
</file>