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273" w:rsidRDefault="005113AD" w:rsidP="00916273">
      <w:pPr>
        <w:tabs>
          <w:tab w:val="left" w:pos="-720"/>
          <w:tab w:val="left" w:pos="1203"/>
        </w:tabs>
        <w:suppressAutoHyphens/>
        <w:spacing w:line="28" w:lineRule="exact"/>
        <w:rPr>
          <w:rFonts w:ascii="CG Times" w:hAnsi="CG Times"/>
          <w:sz w:val="20"/>
        </w:rPr>
      </w:pPr>
      <w:bookmarkStart w:id="0" w:name="_GoBack"/>
      <w:bookmarkEnd w:id="0"/>
      <w:r>
        <w:rPr>
          <w:rFonts w:ascii="CG Times" w:hAnsi="CG Times"/>
          <w:sz w:val="20"/>
        </w:rPr>
        <w:tab/>
      </w:r>
    </w:p>
    <w:p w:rsidR="00916273" w:rsidRPr="0074264A" w:rsidRDefault="0074264A" w:rsidP="0074264A">
      <w:pPr>
        <w:ind w:left="6480"/>
        <w:rPr>
          <w:b/>
        </w:rPr>
      </w:pPr>
      <w:r>
        <w:rPr>
          <w:b/>
        </w:rPr>
        <w:t xml:space="preserve"> </w:t>
      </w:r>
      <w:r w:rsidRPr="0074264A">
        <w:rPr>
          <w:b/>
        </w:rPr>
        <w:t xml:space="preserve"> </w:t>
      </w:r>
      <w:r w:rsidR="00916273" w:rsidRPr="0074264A">
        <w:rPr>
          <w:b/>
        </w:rPr>
        <w:t>DA 17-</w:t>
      </w:r>
      <w:r w:rsidR="00C977EE" w:rsidRPr="0074264A">
        <w:rPr>
          <w:b/>
        </w:rPr>
        <w:t>1026</w:t>
      </w:r>
    </w:p>
    <w:p w:rsidR="00916273" w:rsidRPr="0074264A" w:rsidRDefault="00916273" w:rsidP="00916273">
      <w:pPr>
        <w:spacing w:before="60"/>
        <w:jc w:val="right"/>
        <w:rPr>
          <w:b/>
        </w:rPr>
      </w:pPr>
      <w:r w:rsidRPr="0074264A">
        <w:rPr>
          <w:b/>
        </w:rPr>
        <w:t xml:space="preserve">Released: October </w:t>
      </w:r>
      <w:r w:rsidR="00127B0F" w:rsidRPr="0074264A">
        <w:rPr>
          <w:b/>
        </w:rPr>
        <w:t>18</w:t>
      </w:r>
      <w:r w:rsidRPr="0074264A">
        <w:rPr>
          <w:b/>
        </w:rPr>
        <w:t>, 2017</w:t>
      </w:r>
    </w:p>
    <w:p w:rsidR="008D3DE4" w:rsidRDefault="008D3DE4" w:rsidP="00916273">
      <w:pPr>
        <w:rPr>
          <w:rFonts w:ascii="CG Times" w:hAnsi="CG Times"/>
          <w:sz w:val="20"/>
        </w:rPr>
      </w:pPr>
    </w:p>
    <w:p w:rsidR="00916273" w:rsidRDefault="00916273" w:rsidP="00916273">
      <w:pPr>
        <w:rPr>
          <w:b/>
          <w:szCs w:val="18"/>
        </w:rPr>
      </w:pPr>
    </w:p>
    <w:p w:rsidR="00916273" w:rsidRDefault="00916273" w:rsidP="009E7F7B">
      <w:pPr>
        <w:jc w:val="center"/>
        <w:rPr>
          <w:b/>
          <w:szCs w:val="18"/>
        </w:rPr>
      </w:pPr>
      <w:r>
        <w:rPr>
          <w:b/>
          <w:szCs w:val="18"/>
        </w:rPr>
        <w:t xml:space="preserve">MEDIA BUREAU </w:t>
      </w:r>
      <w:r w:rsidR="001A1A13">
        <w:rPr>
          <w:b/>
          <w:szCs w:val="18"/>
        </w:rPr>
        <w:t xml:space="preserve">PAUSES 180-DAY TRANSACTION SHOT CLOCK </w:t>
      </w:r>
      <w:r w:rsidR="00E532C3">
        <w:rPr>
          <w:b/>
          <w:szCs w:val="18"/>
        </w:rPr>
        <w:t>IN THE PROCEEDING FOR</w:t>
      </w:r>
      <w:r>
        <w:rPr>
          <w:rFonts w:ascii="Times New Roman Bold" w:hAnsi="Times New Roman Bold"/>
          <w:b/>
          <w:caps/>
          <w:szCs w:val="22"/>
        </w:rPr>
        <w:t xml:space="preserve"> TRANSFER </w:t>
      </w:r>
      <w:r w:rsidR="00E532C3">
        <w:rPr>
          <w:rFonts w:ascii="Times New Roman Bold" w:hAnsi="Times New Roman Bold"/>
          <w:b/>
          <w:caps/>
          <w:szCs w:val="22"/>
        </w:rPr>
        <w:t xml:space="preserve">OF </w:t>
      </w:r>
      <w:r>
        <w:rPr>
          <w:rFonts w:ascii="Times New Roman Bold" w:hAnsi="Times New Roman Bold"/>
          <w:b/>
          <w:caps/>
          <w:szCs w:val="22"/>
        </w:rPr>
        <w:t xml:space="preserve">CONTROL OF </w:t>
      </w:r>
      <w:r>
        <w:rPr>
          <w:b/>
          <w:szCs w:val="18"/>
        </w:rPr>
        <w:t xml:space="preserve">TRIBUNE MEDIA COMPANY TO SINCLAIR BROADCAST GROUP, INC. </w:t>
      </w:r>
      <w:r w:rsidR="001A1A13">
        <w:rPr>
          <w:b/>
          <w:szCs w:val="18"/>
        </w:rPr>
        <w:t xml:space="preserve"> TO ALLOW FOR ADDITIONAL</w:t>
      </w:r>
      <w:r w:rsidR="00230CA0">
        <w:rPr>
          <w:b/>
          <w:szCs w:val="18"/>
        </w:rPr>
        <w:t xml:space="preserve"> COMMENT</w:t>
      </w:r>
    </w:p>
    <w:p w:rsidR="00916273" w:rsidRDefault="00916273" w:rsidP="00916273">
      <w:pPr>
        <w:jc w:val="center"/>
        <w:rPr>
          <w:b/>
          <w:szCs w:val="18"/>
        </w:rPr>
      </w:pPr>
      <w:r>
        <w:rPr>
          <w:b/>
          <w:szCs w:val="18"/>
        </w:rPr>
        <w:t xml:space="preserve">  </w:t>
      </w:r>
    </w:p>
    <w:p w:rsidR="00916273" w:rsidRDefault="00916273" w:rsidP="00916273">
      <w:pPr>
        <w:jc w:val="center"/>
        <w:rPr>
          <w:b/>
          <w:szCs w:val="18"/>
        </w:rPr>
      </w:pPr>
    </w:p>
    <w:p w:rsidR="00916273" w:rsidRDefault="00916273" w:rsidP="00916273">
      <w:pPr>
        <w:jc w:val="center"/>
        <w:rPr>
          <w:b/>
          <w:szCs w:val="18"/>
        </w:rPr>
      </w:pPr>
      <w:r>
        <w:rPr>
          <w:b/>
          <w:szCs w:val="18"/>
        </w:rPr>
        <w:t>MB Docket No. 17-179</w:t>
      </w:r>
    </w:p>
    <w:p w:rsidR="009E7F7B" w:rsidRDefault="009E7F7B" w:rsidP="00916273">
      <w:pPr>
        <w:jc w:val="center"/>
        <w:rPr>
          <w:b/>
          <w:szCs w:val="18"/>
        </w:rPr>
      </w:pPr>
    </w:p>
    <w:p w:rsidR="00916273" w:rsidRDefault="00916273" w:rsidP="00916273">
      <w:pPr>
        <w:jc w:val="center"/>
        <w:rPr>
          <w:b/>
          <w:szCs w:val="18"/>
        </w:rPr>
      </w:pPr>
    </w:p>
    <w:p w:rsidR="00230CA0" w:rsidRDefault="008D325F" w:rsidP="002E51B5">
      <w:pPr>
        <w:rPr>
          <w:b/>
          <w:szCs w:val="18"/>
        </w:rPr>
      </w:pPr>
      <w:r>
        <w:rPr>
          <w:b/>
          <w:szCs w:val="18"/>
        </w:rPr>
        <w:t>Comments</w:t>
      </w:r>
      <w:r w:rsidR="007F02B6">
        <w:rPr>
          <w:b/>
          <w:szCs w:val="18"/>
        </w:rPr>
        <w:t xml:space="preserve"> Due:</w:t>
      </w:r>
      <w:r w:rsidR="00230CA0">
        <w:rPr>
          <w:b/>
          <w:szCs w:val="18"/>
        </w:rPr>
        <w:t xml:space="preserve"> November 2, 2017</w:t>
      </w:r>
    </w:p>
    <w:p w:rsidR="00916273" w:rsidRPr="00F47103" w:rsidRDefault="00916273" w:rsidP="00916273">
      <w:pPr>
        <w:rPr>
          <w:szCs w:val="18"/>
        </w:rPr>
      </w:pPr>
    </w:p>
    <w:p w:rsidR="00916273" w:rsidRDefault="00916273" w:rsidP="00916273">
      <w:pPr>
        <w:ind w:firstLine="720"/>
        <w:rPr>
          <w:szCs w:val="18"/>
        </w:rPr>
      </w:pPr>
      <w:r>
        <w:rPr>
          <w:szCs w:val="18"/>
        </w:rPr>
        <w:t xml:space="preserve">Today we </w:t>
      </w:r>
      <w:r w:rsidR="00230CA0">
        <w:rPr>
          <w:szCs w:val="18"/>
        </w:rPr>
        <w:t>permit interested parties to submit additional comment</w:t>
      </w:r>
      <w:r w:rsidR="002E51B5">
        <w:rPr>
          <w:szCs w:val="18"/>
        </w:rPr>
        <w:t>s</w:t>
      </w:r>
      <w:r w:rsidR="00230CA0">
        <w:rPr>
          <w:szCs w:val="18"/>
        </w:rPr>
        <w:t xml:space="preserve"> </w:t>
      </w:r>
      <w:r>
        <w:rPr>
          <w:szCs w:val="18"/>
        </w:rPr>
        <w:t xml:space="preserve">in the proceeding for the transfer of control of Tribune Media Company (Tribune) to Sinclair Broadcast Group, Inc. (Sinclair).  We are also pausing the Commission’s 180-day </w:t>
      </w:r>
      <w:r w:rsidR="0043181F">
        <w:rPr>
          <w:szCs w:val="18"/>
        </w:rPr>
        <w:t xml:space="preserve">transaction shot </w:t>
      </w:r>
      <w:r>
        <w:rPr>
          <w:szCs w:val="18"/>
        </w:rPr>
        <w:t xml:space="preserve">clock in this proceeding for </w:t>
      </w:r>
      <w:r w:rsidR="001A1A13">
        <w:rPr>
          <w:szCs w:val="18"/>
        </w:rPr>
        <w:t xml:space="preserve">15 </w:t>
      </w:r>
      <w:r>
        <w:rPr>
          <w:szCs w:val="18"/>
        </w:rPr>
        <w:t>days</w:t>
      </w:r>
      <w:r w:rsidR="001A1A13">
        <w:rPr>
          <w:szCs w:val="18"/>
        </w:rPr>
        <w:t>, until November 2, 2017</w:t>
      </w:r>
      <w:r w:rsidR="00816B18">
        <w:rPr>
          <w:szCs w:val="18"/>
        </w:rPr>
        <w:t xml:space="preserve">. </w:t>
      </w:r>
      <w:r w:rsidR="00230CA0">
        <w:rPr>
          <w:szCs w:val="18"/>
        </w:rPr>
        <w:t xml:space="preserve">  </w:t>
      </w:r>
      <w:r w:rsidR="00816B18">
        <w:rPr>
          <w:szCs w:val="18"/>
        </w:rPr>
        <w:t xml:space="preserve">For the reasons set forth below, </w:t>
      </w:r>
      <w:r w:rsidR="00816B18">
        <w:t>we believe that this action will contribute to a more efficient review of the proposed transaction.</w:t>
      </w:r>
    </w:p>
    <w:p w:rsidR="00916273" w:rsidRDefault="00916273" w:rsidP="00916273">
      <w:pPr>
        <w:rPr>
          <w:szCs w:val="18"/>
        </w:rPr>
      </w:pPr>
    </w:p>
    <w:p w:rsidR="00916273" w:rsidRDefault="00916273" w:rsidP="00916273">
      <w:pPr>
        <w:ind w:firstLine="720"/>
        <w:rPr>
          <w:szCs w:val="18"/>
        </w:rPr>
      </w:pPr>
      <w:r>
        <w:rPr>
          <w:szCs w:val="18"/>
        </w:rPr>
        <w:t xml:space="preserve">On July 6, 2017, the Media Bureau released a Public Notice announcing the filing of the applications, establishing a pleading cycle, and establishing permit-but-disclose </w:t>
      </w:r>
      <w:r>
        <w:rPr>
          <w:i/>
          <w:szCs w:val="18"/>
        </w:rPr>
        <w:t>ex parte</w:t>
      </w:r>
      <w:r w:rsidR="00EF4AB1">
        <w:rPr>
          <w:szCs w:val="18"/>
        </w:rPr>
        <w:t xml:space="preserve"> status for the proceeding</w:t>
      </w:r>
      <w:r>
        <w:rPr>
          <w:szCs w:val="18"/>
        </w:rPr>
        <w:t>.</w:t>
      </w:r>
      <w:r>
        <w:rPr>
          <w:rStyle w:val="FootnoteReference"/>
          <w:szCs w:val="18"/>
        </w:rPr>
        <w:footnoteReference w:id="1"/>
      </w:r>
      <w:r>
        <w:rPr>
          <w:szCs w:val="18"/>
        </w:rPr>
        <w:t xml:space="preserve">   Multiple parties filed petitions to deny and comments in the proceeding. Sinclair and Tribune filed a consolidated opposition.  </w:t>
      </w:r>
      <w:r w:rsidR="005320C9">
        <w:rPr>
          <w:szCs w:val="18"/>
        </w:rPr>
        <w:t>The</w:t>
      </w:r>
      <w:r>
        <w:rPr>
          <w:szCs w:val="18"/>
        </w:rPr>
        <w:t xml:space="preserve"> original petitioners to deny</w:t>
      </w:r>
      <w:r w:rsidR="00EE48A2">
        <w:rPr>
          <w:szCs w:val="18"/>
        </w:rPr>
        <w:t>,</w:t>
      </w:r>
      <w:r>
        <w:rPr>
          <w:szCs w:val="18"/>
        </w:rPr>
        <w:t xml:space="preserve"> commenters</w:t>
      </w:r>
      <w:r w:rsidR="00EE48A2">
        <w:rPr>
          <w:szCs w:val="18"/>
        </w:rPr>
        <w:t>,</w:t>
      </w:r>
      <w:r>
        <w:rPr>
          <w:szCs w:val="18"/>
        </w:rPr>
        <w:t xml:space="preserve"> </w:t>
      </w:r>
      <w:r w:rsidR="00680F8E">
        <w:rPr>
          <w:szCs w:val="18"/>
        </w:rPr>
        <w:t xml:space="preserve">and </w:t>
      </w:r>
      <w:r>
        <w:rPr>
          <w:szCs w:val="18"/>
        </w:rPr>
        <w:t>new parties filed replies.</w:t>
      </w:r>
      <w:r>
        <w:rPr>
          <w:rStyle w:val="FootnoteReference"/>
          <w:szCs w:val="18"/>
        </w:rPr>
        <w:footnoteReference w:id="2"/>
      </w:r>
      <w:r>
        <w:rPr>
          <w:szCs w:val="18"/>
        </w:rPr>
        <w:t xml:space="preserve">  The pleading cycle closed on August 29, 2017.</w:t>
      </w:r>
    </w:p>
    <w:p w:rsidR="00916273" w:rsidRDefault="00916273" w:rsidP="00916273">
      <w:pPr>
        <w:ind w:firstLine="720"/>
        <w:rPr>
          <w:szCs w:val="18"/>
        </w:rPr>
      </w:pPr>
    </w:p>
    <w:p w:rsidR="00916273" w:rsidRDefault="00916273" w:rsidP="00916273">
      <w:pPr>
        <w:ind w:firstLine="720"/>
        <w:rPr>
          <w:szCs w:val="18"/>
        </w:rPr>
      </w:pPr>
      <w:r>
        <w:rPr>
          <w:szCs w:val="18"/>
        </w:rPr>
        <w:t xml:space="preserve">On September 13, 2017, the Media Bureau sent a letter (Information Request) to the Applicants seeking </w:t>
      </w:r>
      <w:r>
        <w:rPr>
          <w:szCs w:val="22"/>
        </w:rPr>
        <w:t>additional informatio</w:t>
      </w:r>
      <w:r w:rsidR="00EF4AB1">
        <w:rPr>
          <w:szCs w:val="22"/>
        </w:rPr>
        <w:t>n, documents, and clarification</w:t>
      </w:r>
      <w:r>
        <w:rPr>
          <w:szCs w:val="22"/>
        </w:rPr>
        <w:t xml:space="preserve"> of certain matters discussed in the applications and other information submitted to the Commission.  The Applicants provided a timely response to the Information Request on October 5, 2017.</w:t>
      </w:r>
    </w:p>
    <w:p w:rsidR="00916273" w:rsidRDefault="00916273" w:rsidP="00916273">
      <w:pPr>
        <w:ind w:firstLine="720"/>
        <w:rPr>
          <w:szCs w:val="18"/>
        </w:rPr>
      </w:pPr>
    </w:p>
    <w:p w:rsidR="00916273" w:rsidRDefault="00916273" w:rsidP="00916273">
      <w:pPr>
        <w:ind w:firstLine="720"/>
      </w:pPr>
      <w:r>
        <w:rPr>
          <w:rFonts w:ascii="TimesNewRomanPSMT" w:hAnsi="TimesNewRomanPSMT" w:cs="TimesNewRomanPSMT"/>
          <w:szCs w:val="22"/>
        </w:rPr>
        <w:t>In the interest of a complete record, we are establishing a</w:t>
      </w:r>
      <w:r w:rsidR="007C0051">
        <w:rPr>
          <w:rFonts w:ascii="TimesNewRomanPSMT" w:hAnsi="TimesNewRomanPSMT" w:cs="TimesNewRomanPSMT"/>
          <w:szCs w:val="22"/>
        </w:rPr>
        <w:t>n additional opportunity for comment</w:t>
      </w:r>
      <w:r w:rsidR="00626AAE">
        <w:rPr>
          <w:rFonts w:ascii="TimesNewRomanPSMT" w:hAnsi="TimesNewRomanPSMT" w:cs="TimesNewRomanPSMT"/>
          <w:szCs w:val="22"/>
        </w:rPr>
        <w:t>.</w:t>
      </w:r>
      <w:r>
        <w:rPr>
          <w:rFonts w:ascii="TimesNewRomanPSMT" w:hAnsi="TimesNewRomanPSMT" w:cs="TimesNewRomanPSMT"/>
          <w:szCs w:val="22"/>
        </w:rPr>
        <w:t xml:space="preserve">  </w:t>
      </w:r>
      <w:r w:rsidR="007C0051">
        <w:t xml:space="preserve">The </w:t>
      </w:r>
      <w:r w:rsidR="001A1A13">
        <w:t xml:space="preserve">Commission has a strong interest in ensuring a full and complete record upon which to base its decision in this proceeding.  Pausing the clock will ensure that commenters have </w:t>
      </w:r>
      <w:r w:rsidR="007C0051">
        <w:t>additional</w:t>
      </w:r>
      <w:r w:rsidR="001A1A13">
        <w:t xml:space="preserve"> time to review and comment on this new information</w:t>
      </w:r>
      <w:r w:rsidR="007C0051">
        <w:t>.</w:t>
      </w:r>
      <w:r w:rsidR="00962937">
        <w:t xml:space="preserve"> </w:t>
      </w:r>
      <w:r w:rsidR="00962D98">
        <w:t xml:space="preserve"> </w:t>
      </w:r>
      <w:r w:rsidR="007C0051">
        <w:t>Accordingly,</w:t>
      </w:r>
      <w:r w:rsidR="00962937">
        <w:t xml:space="preserve"> we pause our 180-day </w:t>
      </w:r>
      <w:r w:rsidR="007F02B6">
        <w:t xml:space="preserve">transaction shot </w:t>
      </w:r>
      <w:r w:rsidR="00962937">
        <w:t xml:space="preserve">clock until </w:t>
      </w:r>
      <w:r w:rsidR="001A1A13">
        <w:t>November 2</w:t>
      </w:r>
      <w:r w:rsidR="00962937">
        <w:t>, 2017.</w:t>
      </w:r>
      <w:r w:rsidR="007F02B6">
        <w:t xml:space="preserve">  </w:t>
      </w:r>
      <w:r w:rsidR="002E1281">
        <w:t>Comments also are due by November 2, 2017</w:t>
      </w:r>
      <w:r w:rsidR="007F02B6">
        <w:t xml:space="preserve">.  </w:t>
      </w:r>
    </w:p>
    <w:p w:rsidR="00916273" w:rsidRDefault="00916273" w:rsidP="00916273">
      <w:pPr>
        <w:rPr>
          <w:b/>
          <w:bCs/>
          <w:color w:val="010101"/>
          <w:szCs w:val="22"/>
        </w:rPr>
      </w:pPr>
    </w:p>
    <w:p w:rsidR="00916273" w:rsidRDefault="00916273" w:rsidP="002E51B5">
      <w:pPr>
        <w:autoSpaceDE w:val="0"/>
        <w:autoSpaceDN w:val="0"/>
        <w:adjustRightInd w:val="0"/>
        <w:rPr>
          <w:bCs/>
          <w:color w:val="010101"/>
          <w:szCs w:val="22"/>
        </w:rPr>
      </w:pPr>
      <w:r>
        <w:rPr>
          <w:b/>
          <w:bCs/>
          <w:color w:val="010101"/>
          <w:szCs w:val="22"/>
        </w:rPr>
        <w:t>GENERAL INFORMATION</w:t>
      </w:r>
    </w:p>
    <w:p w:rsidR="00916273" w:rsidRDefault="00916273" w:rsidP="00916273">
      <w:pPr>
        <w:autoSpaceDE w:val="0"/>
        <w:autoSpaceDN w:val="0"/>
        <w:adjustRightInd w:val="0"/>
        <w:rPr>
          <w:b/>
          <w:bCs/>
          <w:color w:val="010101"/>
          <w:szCs w:val="22"/>
        </w:rPr>
      </w:pPr>
      <w:r>
        <w:rPr>
          <w:b/>
          <w:bCs/>
          <w:color w:val="010101"/>
          <w:szCs w:val="22"/>
        </w:rPr>
        <w:tab/>
      </w:r>
    </w:p>
    <w:p w:rsidR="00916273" w:rsidRDefault="00916273" w:rsidP="00916273">
      <w:pPr>
        <w:autoSpaceDE w:val="0"/>
        <w:autoSpaceDN w:val="0"/>
        <w:adjustRightInd w:val="0"/>
        <w:ind w:firstLine="720"/>
        <w:rPr>
          <w:color w:val="010101"/>
          <w:szCs w:val="22"/>
        </w:rPr>
      </w:pPr>
      <w:r>
        <w:rPr>
          <w:color w:val="010101"/>
          <w:szCs w:val="22"/>
        </w:rPr>
        <w:t>All filings concerning matters referenced in this Public Notice should refer to MB Docket No.</w:t>
      </w:r>
      <w:r w:rsidR="00962D98">
        <w:rPr>
          <w:color w:val="010101"/>
          <w:szCs w:val="22"/>
        </w:rPr>
        <w:t xml:space="preserve"> </w:t>
      </w:r>
      <w:r>
        <w:rPr>
          <w:color w:val="010101"/>
          <w:szCs w:val="22"/>
        </w:rPr>
        <w:t xml:space="preserve">17-179, as well as the specific file numbers of the individual applications or other matters to which the filings pertain.  </w:t>
      </w:r>
    </w:p>
    <w:p w:rsidR="00916273" w:rsidRDefault="00916273" w:rsidP="00916273">
      <w:pPr>
        <w:autoSpaceDE w:val="0"/>
        <w:autoSpaceDN w:val="0"/>
        <w:adjustRightInd w:val="0"/>
        <w:rPr>
          <w:color w:val="010101"/>
          <w:szCs w:val="22"/>
        </w:rPr>
      </w:pPr>
    </w:p>
    <w:p w:rsidR="00916273" w:rsidRDefault="00916273" w:rsidP="00916273">
      <w:pPr>
        <w:autoSpaceDE w:val="0"/>
        <w:autoSpaceDN w:val="0"/>
        <w:adjustRightInd w:val="0"/>
        <w:ind w:firstLine="720"/>
        <w:rPr>
          <w:color w:val="010101"/>
          <w:szCs w:val="22"/>
        </w:rPr>
      </w:pPr>
      <w:r>
        <w:rPr>
          <w:color w:val="010101"/>
          <w:szCs w:val="22"/>
        </w:rPr>
        <w:t>Submissions in this matter may be filed electronically (</w:t>
      </w:r>
      <w:r>
        <w:rPr>
          <w:i/>
          <w:iCs/>
          <w:color w:val="010101"/>
          <w:szCs w:val="22"/>
        </w:rPr>
        <w:t>i.e.</w:t>
      </w:r>
      <w:r>
        <w:rPr>
          <w:color w:val="010101"/>
          <w:szCs w:val="22"/>
        </w:rPr>
        <w:t>, through ECFS) or by filing paper copies.</w:t>
      </w:r>
    </w:p>
    <w:p w:rsidR="00916273" w:rsidRDefault="00916273" w:rsidP="00916273">
      <w:pPr>
        <w:autoSpaceDE w:val="0"/>
        <w:autoSpaceDN w:val="0"/>
        <w:adjustRightInd w:val="0"/>
        <w:rPr>
          <w:color w:val="010101"/>
          <w:szCs w:val="22"/>
        </w:rPr>
      </w:pPr>
    </w:p>
    <w:p w:rsidR="00916273" w:rsidRPr="00916273" w:rsidRDefault="00916273" w:rsidP="00954ED1">
      <w:pPr>
        <w:numPr>
          <w:ilvl w:val="0"/>
          <w:numId w:val="8"/>
        </w:numPr>
        <w:autoSpaceDE w:val="0"/>
        <w:autoSpaceDN w:val="0"/>
        <w:adjustRightInd w:val="0"/>
        <w:rPr>
          <w:color w:val="010101"/>
          <w:szCs w:val="22"/>
        </w:rPr>
      </w:pPr>
      <w:r w:rsidRPr="00916273">
        <w:rPr>
          <w:color w:val="010101"/>
          <w:szCs w:val="22"/>
        </w:rPr>
        <w:t>Electronic Filers:  Documents may be filed electronically usi</w:t>
      </w:r>
      <w:r>
        <w:rPr>
          <w:color w:val="010101"/>
          <w:szCs w:val="22"/>
        </w:rPr>
        <w:t xml:space="preserve">ng the Internet by accessing </w:t>
      </w:r>
      <w:r w:rsidRPr="00916273">
        <w:rPr>
          <w:color w:val="010101"/>
          <w:szCs w:val="22"/>
        </w:rPr>
        <w:t xml:space="preserve">ECFS:  </w:t>
      </w:r>
      <w:hyperlink r:id="rId8" w:history="1">
        <w:r w:rsidRPr="00916273">
          <w:rPr>
            <w:rStyle w:val="Hyperlink"/>
            <w:szCs w:val="22"/>
          </w:rPr>
          <w:t>http://fjallfoss.fcc.gov/ecfs2/</w:t>
        </w:r>
      </w:hyperlink>
      <w:r w:rsidRPr="00916273">
        <w:rPr>
          <w:color w:val="010101"/>
          <w:szCs w:val="22"/>
        </w:rPr>
        <w:t>.</w:t>
      </w:r>
    </w:p>
    <w:p w:rsidR="00916273" w:rsidRDefault="00916273" w:rsidP="00916273">
      <w:pPr>
        <w:autoSpaceDE w:val="0"/>
        <w:autoSpaceDN w:val="0"/>
        <w:adjustRightInd w:val="0"/>
        <w:rPr>
          <w:color w:val="010101"/>
          <w:szCs w:val="22"/>
        </w:rPr>
      </w:pPr>
    </w:p>
    <w:p w:rsidR="00916273" w:rsidRDefault="00916273" w:rsidP="00916273">
      <w:pPr>
        <w:numPr>
          <w:ilvl w:val="0"/>
          <w:numId w:val="8"/>
        </w:numPr>
        <w:autoSpaceDE w:val="0"/>
        <w:autoSpaceDN w:val="0"/>
        <w:adjustRightInd w:val="0"/>
        <w:rPr>
          <w:color w:val="010101"/>
          <w:szCs w:val="22"/>
        </w:rPr>
      </w:pPr>
      <w:r w:rsidRPr="00916273">
        <w:rPr>
          <w:color w:val="010101"/>
          <w:szCs w:val="22"/>
        </w:rPr>
        <w:t>Paper Filers:  Parties who choose to file by paper must file an original and four copies of each</w:t>
      </w:r>
      <w:r>
        <w:rPr>
          <w:color w:val="010101"/>
          <w:szCs w:val="22"/>
        </w:rPr>
        <w:t xml:space="preserve"> </w:t>
      </w:r>
      <w:r w:rsidRPr="00916273">
        <w:rPr>
          <w:color w:val="010101"/>
          <w:szCs w:val="22"/>
        </w:rPr>
        <w:t>filing.  Filings may be sent by hand or messenger delivery, by commercial overnight courier, or by first-class or overnight U.S. Postal Service mail.  All filings must be addressed to the Commission’s Secretary, Office of the Secretary, Federal Communications Commission, 445 12</w:t>
      </w:r>
      <w:r w:rsidRPr="00916273">
        <w:rPr>
          <w:color w:val="010101"/>
          <w:szCs w:val="22"/>
          <w:vertAlign w:val="superscript"/>
        </w:rPr>
        <w:t>th</w:t>
      </w:r>
      <w:r w:rsidRPr="00916273">
        <w:rPr>
          <w:color w:val="010101"/>
          <w:szCs w:val="22"/>
        </w:rPr>
        <w:t xml:space="preserve"> Street, S.W., Washington, DC 20554.</w:t>
      </w:r>
    </w:p>
    <w:p w:rsidR="00916273" w:rsidRDefault="00916273" w:rsidP="00916273">
      <w:pPr>
        <w:pStyle w:val="ListParagraph"/>
        <w:rPr>
          <w:color w:val="010101"/>
          <w:szCs w:val="22"/>
        </w:rPr>
      </w:pPr>
    </w:p>
    <w:p w:rsidR="00916273" w:rsidRDefault="00916273" w:rsidP="00916273">
      <w:pPr>
        <w:numPr>
          <w:ilvl w:val="0"/>
          <w:numId w:val="8"/>
        </w:numPr>
        <w:autoSpaceDE w:val="0"/>
        <w:autoSpaceDN w:val="0"/>
        <w:adjustRightInd w:val="0"/>
        <w:rPr>
          <w:color w:val="010101"/>
          <w:szCs w:val="22"/>
        </w:rPr>
      </w:pPr>
      <w:r w:rsidRPr="00916273">
        <w:rPr>
          <w:color w:val="010101"/>
          <w:szCs w:val="22"/>
        </w:rPr>
        <w:t>All hand-delivered or messenger-delivered paper filings no larger than a copier paper box for the Commission’s Secretary must be delivered to the Mail and Distribution Window at FCC Headquarters at 445 12</w:t>
      </w:r>
      <w:r w:rsidR="00962D98" w:rsidRPr="005320C9">
        <w:rPr>
          <w:color w:val="010101"/>
          <w:szCs w:val="22"/>
          <w:vertAlign w:val="superscript"/>
        </w:rPr>
        <w:t>th</w:t>
      </w:r>
      <w:r w:rsidR="00962D98">
        <w:rPr>
          <w:color w:val="010101"/>
          <w:szCs w:val="22"/>
          <w:vertAlign w:val="superscript"/>
        </w:rPr>
        <w:t xml:space="preserve"> </w:t>
      </w:r>
      <w:r w:rsidRPr="00916273">
        <w:rPr>
          <w:color w:val="010101"/>
          <w:szCs w:val="22"/>
        </w:rPr>
        <w:t>Street, S.W., Washington, DC 20554.  All hand deliveries must be held together with rubber bands or fasteners.  Any envelopes must be disposed of before entering the building.</w:t>
      </w:r>
    </w:p>
    <w:p w:rsidR="00916273" w:rsidRDefault="00916273" w:rsidP="00916273">
      <w:pPr>
        <w:pStyle w:val="ListParagraph"/>
      </w:pPr>
    </w:p>
    <w:p w:rsidR="00916273" w:rsidRDefault="00916273" w:rsidP="00916273">
      <w:pPr>
        <w:numPr>
          <w:ilvl w:val="0"/>
          <w:numId w:val="8"/>
        </w:numPr>
        <w:autoSpaceDE w:val="0"/>
        <w:autoSpaceDN w:val="0"/>
        <w:adjustRightInd w:val="0"/>
        <w:rPr>
          <w:color w:val="010101"/>
          <w:szCs w:val="22"/>
        </w:rPr>
      </w:pPr>
      <w:r w:rsidRPr="00091160">
        <w:t>Commercial overnight mail (other than U.S. Postal Service Express Mail and Priority Mail) must be sent to 9050 Junction Drive, Annapolis Junction, MD 20701</w:t>
      </w:r>
      <w:r>
        <w:t>.</w:t>
      </w:r>
    </w:p>
    <w:p w:rsidR="00916273" w:rsidRDefault="00916273" w:rsidP="00916273">
      <w:pPr>
        <w:pStyle w:val="ListParagraph"/>
        <w:rPr>
          <w:color w:val="010101"/>
          <w:szCs w:val="22"/>
        </w:rPr>
      </w:pPr>
    </w:p>
    <w:p w:rsidR="00916273" w:rsidRPr="00962D98" w:rsidRDefault="00916273" w:rsidP="005320C9">
      <w:pPr>
        <w:numPr>
          <w:ilvl w:val="0"/>
          <w:numId w:val="8"/>
        </w:numPr>
        <w:autoSpaceDE w:val="0"/>
        <w:autoSpaceDN w:val="0"/>
        <w:adjustRightInd w:val="0"/>
        <w:rPr>
          <w:color w:val="010101"/>
          <w:szCs w:val="22"/>
        </w:rPr>
      </w:pPr>
      <w:r w:rsidRPr="00916273">
        <w:rPr>
          <w:color w:val="010101"/>
          <w:szCs w:val="22"/>
        </w:rPr>
        <w:t xml:space="preserve">U.S. Postal Service first-class, Express, and Priority mail must be addressed to 445 </w:t>
      </w:r>
      <w:r w:rsidR="00962D98">
        <w:rPr>
          <w:color w:val="010101"/>
          <w:szCs w:val="22"/>
        </w:rPr>
        <w:t>12</w:t>
      </w:r>
      <w:r w:rsidR="00962D98" w:rsidRPr="005320C9">
        <w:rPr>
          <w:color w:val="010101"/>
          <w:szCs w:val="22"/>
          <w:vertAlign w:val="superscript"/>
        </w:rPr>
        <w:t>th</w:t>
      </w:r>
      <w:r w:rsidR="00962D98">
        <w:rPr>
          <w:color w:val="010101"/>
          <w:szCs w:val="22"/>
        </w:rPr>
        <w:t xml:space="preserve"> </w:t>
      </w:r>
      <w:r w:rsidRPr="00962D98">
        <w:rPr>
          <w:color w:val="010101"/>
          <w:szCs w:val="22"/>
        </w:rPr>
        <w:t>Street, S.W., Washington, DC 20554.</w:t>
      </w:r>
    </w:p>
    <w:p w:rsidR="00916273" w:rsidRDefault="00916273" w:rsidP="00916273">
      <w:pPr>
        <w:autoSpaceDE w:val="0"/>
        <w:autoSpaceDN w:val="0"/>
        <w:adjustRightInd w:val="0"/>
        <w:rPr>
          <w:color w:val="010101"/>
          <w:szCs w:val="22"/>
        </w:rPr>
      </w:pPr>
    </w:p>
    <w:p w:rsidR="00916273" w:rsidRDefault="00916273" w:rsidP="00916273">
      <w:pPr>
        <w:autoSpaceDE w:val="0"/>
        <w:autoSpaceDN w:val="0"/>
        <w:adjustRightInd w:val="0"/>
        <w:rPr>
          <w:b/>
          <w:bCs/>
          <w:color w:val="010101"/>
          <w:szCs w:val="22"/>
        </w:rPr>
      </w:pPr>
      <w:r>
        <w:rPr>
          <w:b/>
          <w:bCs/>
          <w:color w:val="010101"/>
          <w:szCs w:val="22"/>
        </w:rPr>
        <w:t>In addition, one copy of each submission must be sent to the following:</w:t>
      </w:r>
    </w:p>
    <w:p w:rsidR="00916273" w:rsidRDefault="00916273" w:rsidP="00916273">
      <w:pPr>
        <w:autoSpaceDE w:val="0"/>
        <w:autoSpaceDN w:val="0"/>
        <w:adjustRightInd w:val="0"/>
        <w:rPr>
          <w:b/>
          <w:bCs/>
          <w:color w:val="010101"/>
          <w:szCs w:val="22"/>
        </w:rPr>
      </w:pPr>
    </w:p>
    <w:p w:rsidR="00916273" w:rsidRDefault="00916273" w:rsidP="00916273">
      <w:pPr>
        <w:numPr>
          <w:ilvl w:val="0"/>
          <w:numId w:val="8"/>
        </w:numPr>
        <w:autoSpaceDE w:val="0"/>
        <w:autoSpaceDN w:val="0"/>
        <w:adjustRightInd w:val="0"/>
        <w:rPr>
          <w:color w:val="010101"/>
          <w:szCs w:val="22"/>
        </w:rPr>
      </w:pPr>
      <w:r>
        <w:rPr>
          <w:color w:val="010101"/>
          <w:szCs w:val="22"/>
        </w:rPr>
        <w:t xml:space="preserve">David Brown, Video Division, Media Bureau, Room 2-A662, e-mail </w:t>
      </w:r>
      <w:hyperlink r:id="rId9" w:history="1">
        <w:r w:rsidRPr="00BE43A0">
          <w:rPr>
            <w:rStyle w:val="Hyperlink"/>
            <w:szCs w:val="22"/>
          </w:rPr>
          <w:t>David.Brown@fcc.gov</w:t>
        </w:r>
      </w:hyperlink>
    </w:p>
    <w:p w:rsidR="00916273" w:rsidRDefault="00916273" w:rsidP="00916273">
      <w:pPr>
        <w:pStyle w:val="ListParagraph"/>
        <w:rPr>
          <w:color w:val="010101"/>
          <w:sz w:val="22"/>
          <w:szCs w:val="22"/>
        </w:rPr>
      </w:pPr>
    </w:p>
    <w:p w:rsidR="00916273" w:rsidRDefault="00916273" w:rsidP="00916273">
      <w:pPr>
        <w:numPr>
          <w:ilvl w:val="0"/>
          <w:numId w:val="8"/>
        </w:numPr>
        <w:autoSpaceDE w:val="0"/>
        <w:autoSpaceDN w:val="0"/>
        <w:adjustRightInd w:val="0"/>
        <w:rPr>
          <w:color w:val="010101"/>
          <w:szCs w:val="22"/>
        </w:rPr>
      </w:pPr>
      <w:r>
        <w:rPr>
          <w:color w:val="010101"/>
          <w:szCs w:val="22"/>
        </w:rPr>
        <w:lastRenderedPageBreak/>
        <w:t xml:space="preserve">David Roberts, Video Division, Media Bureau, Room 2-A660, e-mail </w:t>
      </w:r>
      <w:hyperlink r:id="rId10" w:history="1">
        <w:r w:rsidRPr="00BE43A0">
          <w:rPr>
            <w:rStyle w:val="Hyperlink"/>
            <w:szCs w:val="22"/>
          </w:rPr>
          <w:t>David.Roberts@fcc.gov</w:t>
        </w:r>
      </w:hyperlink>
    </w:p>
    <w:p w:rsidR="00916273" w:rsidRDefault="00916273" w:rsidP="00916273">
      <w:pPr>
        <w:autoSpaceDE w:val="0"/>
        <w:autoSpaceDN w:val="0"/>
        <w:adjustRightInd w:val="0"/>
        <w:rPr>
          <w:color w:val="010101"/>
          <w:szCs w:val="22"/>
        </w:rPr>
      </w:pPr>
    </w:p>
    <w:p w:rsidR="00916273" w:rsidRDefault="00916273" w:rsidP="00EC2D9A">
      <w:pPr>
        <w:autoSpaceDE w:val="0"/>
        <w:autoSpaceDN w:val="0"/>
        <w:adjustRightInd w:val="0"/>
        <w:ind w:firstLine="360"/>
        <w:rPr>
          <w:color w:val="010101"/>
          <w:szCs w:val="22"/>
        </w:rPr>
      </w:pPr>
      <w:r>
        <w:rPr>
          <w:color w:val="010101"/>
          <w:szCs w:val="22"/>
        </w:rPr>
        <w:t xml:space="preserve">Any submission that is e-mailed to David Brown and David Roberts should include in the subject line of the e-mail: (1) MB Docket No. 17-179; (2) the name of the submitting party; </w:t>
      </w:r>
      <w:r>
        <w:rPr>
          <w:rFonts w:ascii="TimesNewRoman" w:hAnsi="TimesNewRoman" w:cs="TimesNewRoman"/>
          <w:color w:val="010101"/>
          <w:szCs w:val="22"/>
        </w:rPr>
        <w:t>(</w:t>
      </w:r>
      <w:r>
        <w:rPr>
          <w:color w:val="010101"/>
          <w:szCs w:val="22"/>
        </w:rPr>
        <w:t>3) a brief description or title identifying the type of document being submitted (</w:t>
      </w:r>
      <w:r>
        <w:rPr>
          <w:i/>
          <w:iCs/>
          <w:color w:val="010101"/>
          <w:szCs w:val="22"/>
        </w:rPr>
        <w:t>e.g</w:t>
      </w:r>
      <w:r>
        <w:rPr>
          <w:color w:val="010101"/>
          <w:szCs w:val="22"/>
        </w:rPr>
        <w:t xml:space="preserve">., MB Docket No. 17-179, Sinclair Tribune Merger, </w:t>
      </w:r>
      <w:r>
        <w:rPr>
          <w:i/>
          <w:color w:val="010101"/>
          <w:szCs w:val="22"/>
        </w:rPr>
        <w:t>E</w:t>
      </w:r>
      <w:r>
        <w:rPr>
          <w:i/>
          <w:iCs/>
          <w:color w:val="010101"/>
          <w:szCs w:val="22"/>
        </w:rPr>
        <w:t xml:space="preserve">x Parte </w:t>
      </w:r>
      <w:r>
        <w:rPr>
          <w:color w:val="010101"/>
          <w:szCs w:val="22"/>
        </w:rPr>
        <w:t>Notice).</w:t>
      </w:r>
    </w:p>
    <w:p w:rsidR="00916273" w:rsidRDefault="00916273" w:rsidP="00916273">
      <w:pPr>
        <w:autoSpaceDE w:val="0"/>
        <w:autoSpaceDN w:val="0"/>
        <w:adjustRightInd w:val="0"/>
        <w:rPr>
          <w:color w:val="010101"/>
          <w:szCs w:val="22"/>
        </w:rPr>
      </w:pPr>
    </w:p>
    <w:p w:rsidR="00916273" w:rsidRDefault="00916273" w:rsidP="00916273">
      <w:pPr>
        <w:autoSpaceDE w:val="0"/>
        <w:autoSpaceDN w:val="0"/>
        <w:adjustRightInd w:val="0"/>
        <w:ind w:firstLine="360"/>
        <w:rPr>
          <w:color w:val="010101"/>
          <w:szCs w:val="22"/>
        </w:rPr>
      </w:pPr>
      <w:r>
        <w:rPr>
          <w:i/>
          <w:iCs/>
          <w:color w:val="010101"/>
          <w:szCs w:val="22"/>
        </w:rPr>
        <w:t>People with Disabilities</w:t>
      </w:r>
      <w:r>
        <w:rPr>
          <w:color w:val="010101"/>
          <w:szCs w:val="22"/>
        </w:rPr>
        <w:t>.  To request materials in accessible formats for people with disabilities (braille, large print, electronic files, audio format), send an e-mail to fcc504@fcc.gov or call the Consumer &amp; Governmental Affairs Bureau at (202) 418-0530 (voice), (202) 418-0432 (TTY).</w:t>
      </w:r>
    </w:p>
    <w:p w:rsidR="00916273" w:rsidRDefault="00916273" w:rsidP="00916273">
      <w:pPr>
        <w:autoSpaceDE w:val="0"/>
        <w:autoSpaceDN w:val="0"/>
        <w:adjustRightInd w:val="0"/>
        <w:rPr>
          <w:color w:val="010101"/>
          <w:szCs w:val="22"/>
        </w:rPr>
      </w:pPr>
    </w:p>
    <w:p w:rsidR="00916273" w:rsidRDefault="00916273" w:rsidP="00916273">
      <w:pPr>
        <w:autoSpaceDE w:val="0"/>
        <w:autoSpaceDN w:val="0"/>
        <w:adjustRightInd w:val="0"/>
        <w:ind w:firstLine="360"/>
        <w:rPr>
          <w:color w:val="010101"/>
          <w:szCs w:val="22"/>
        </w:rPr>
      </w:pPr>
      <w:r>
        <w:rPr>
          <w:i/>
          <w:iCs/>
          <w:color w:val="010101"/>
          <w:szCs w:val="22"/>
        </w:rPr>
        <w:t>Availability of Documents</w:t>
      </w:r>
      <w:r>
        <w:rPr>
          <w:color w:val="010101"/>
          <w:szCs w:val="22"/>
        </w:rPr>
        <w:t xml:space="preserve">.  Documents in this proceeding will be available for public inspection and copying during business hours at the FCC Reference Information Center, Portals II, 445 </w:t>
      </w:r>
      <w:r w:rsidR="00962D98">
        <w:rPr>
          <w:color w:val="010101"/>
          <w:szCs w:val="22"/>
        </w:rPr>
        <w:t>12</w:t>
      </w:r>
      <w:r w:rsidR="00962D98" w:rsidRPr="005320C9">
        <w:rPr>
          <w:color w:val="010101"/>
          <w:sz w:val="22"/>
          <w:szCs w:val="22"/>
          <w:vertAlign w:val="superscript"/>
        </w:rPr>
        <w:t>th</w:t>
      </w:r>
      <w:r w:rsidR="00962D98">
        <w:rPr>
          <w:color w:val="010101"/>
          <w:sz w:val="14"/>
          <w:szCs w:val="14"/>
        </w:rPr>
        <w:t xml:space="preserve"> </w:t>
      </w:r>
      <w:r>
        <w:rPr>
          <w:color w:val="010101"/>
          <w:szCs w:val="22"/>
        </w:rPr>
        <w:t xml:space="preserve">Street, S.W., Room CY-A257, Washington, DC 20554.  </w:t>
      </w:r>
    </w:p>
    <w:p w:rsidR="00916273" w:rsidRDefault="00916273" w:rsidP="00916273">
      <w:pPr>
        <w:autoSpaceDE w:val="0"/>
        <w:autoSpaceDN w:val="0"/>
        <w:adjustRightInd w:val="0"/>
        <w:ind w:firstLine="720"/>
        <w:rPr>
          <w:color w:val="010101"/>
          <w:szCs w:val="22"/>
        </w:rPr>
      </w:pPr>
    </w:p>
    <w:p w:rsidR="00916273" w:rsidRDefault="00916273" w:rsidP="00916273">
      <w:pPr>
        <w:autoSpaceDE w:val="0"/>
        <w:autoSpaceDN w:val="0"/>
        <w:adjustRightInd w:val="0"/>
        <w:ind w:firstLine="450"/>
        <w:rPr>
          <w:szCs w:val="22"/>
        </w:rPr>
      </w:pPr>
      <w:r>
        <w:rPr>
          <w:color w:val="010101"/>
          <w:szCs w:val="22"/>
        </w:rPr>
        <w:t xml:space="preserve">The applications are also available electronically through the Commission’s ECFS, which will provide hyperlinks to the applications in the Media Bureau’s Consolidated Database System (CDBS).  ECFS may be accessed on the Commission’s Internet website at </w:t>
      </w:r>
      <w:hyperlink r:id="rId11" w:history="1">
        <w:r>
          <w:rPr>
            <w:rStyle w:val="Hyperlink"/>
            <w:szCs w:val="22"/>
          </w:rPr>
          <w:t>http://www.fcc.gov</w:t>
        </w:r>
      </w:hyperlink>
      <w:r>
        <w:rPr>
          <w:color w:val="010101"/>
          <w:szCs w:val="22"/>
        </w:rPr>
        <w:t xml:space="preserve">. </w:t>
      </w:r>
    </w:p>
    <w:p w:rsidR="00916273" w:rsidRDefault="00916273" w:rsidP="00916273">
      <w:pPr>
        <w:spacing w:before="120" w:after="240"/>
        <w:ind w:firstLine="360"/>
        <w:rPr>
          <w:szCs w:val="22"/>
        </w:rPr>
      </w:pPr>
      <w:r>
        <w:rPr>
          <w:szCs w:val="22"/>
        </w:rPr>
        <w:t xml:space="preserve">For further information, contact David Brown at (202) 418-1645 or David Roberts at (202) 418-1618.  For press inquiries, contact Janice Wise at (202) 418-8165.  </w:t>
      </w:r>
    </w:p>
    <w:p w:rsidR="00916273" w:rsidRPr="00916273" w:rsidRDefault="00916273" w:rsidP="00916273">
      <w:pPr>
        <w:rPr>
          <w:rFonts w:ascii="CG Times" w:hAnsi="CG Times"/>
          <w:sz w:val="20"/>
        </w:rPr>
      </w:pPr>
      <w:r>
        <w:rPr>
          <w:szCs w:val="22"/>
        </w:rPr>
        <w:t>By:  Chief, Media Bureau</w:t>
      </w:r>
    </w:p>
    <w:sectPr w:rsidR="00916273" w:rsidRPr="00916273" w:rsidSect="008D3DE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080" w:left="1440" w:header="1440"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87E" w:rsidRDefault="00DE387E">
      <w:r>
        <w:separator/>
      </w:r>
    </w:p>
  </w:endnote>
  <w:endnote w:type="continuationSeparator" w:id="0">
    <w:p w:rsidR="00DE387E" w:rsidRDefault="00DE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E4" w:rsidRDefault="008D3DE4" w:rsidP="008D3D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3DE4" w:rsidRDefault="008D3DE4" w:rsidP="008D3D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E4" w:rsidRDefault="008D3DE4" w:rsidP="008D3DE4">
    <w:pPr>
      <w:spacing w:before="140" w:line="100" w:lineRule="exact"/>
      <w:ind w:right="360"/>
      <w:rPr>
        <w:sz w:val="10"/>
      </w:rPr>
    </w:pPr>
  </w:p>
  <w:p w:rsidR="008D3DE4" w:rsidRDefault="008D3DE4">
    <w:pPr>
      <w:suppressAutoHyphens/>
    </w:pPr>
  </w:p>
  <w:p w:rsidR="008D3DE4" w:rsidRDefault="00F67363">
    <w:r>
      <w:rPr>
        <w:noProof/>
      </w:rPr>
      <w:pict>
        <v:rect id="_x0000_s2049" style="position:absolute;margin-left:1in;margin-top:12pt;width:468pt;height:12pt;z-index:251655680;mso-position-horizontal-relative:page" o:allowincell="f" filled="f" stroked="f" strokeweight="0">
          <v:textbox style="mso-next-textbox:#_x0000_s2049" inset="0,0,0,0">
            <w:txbxContent>
              <w:p w:rsidR="008D3DE4" w:rsidRDefault="008D3DE4">
                <w:pPr>
                  <w:tabs>
                    <w:tab w:val="center" w:pos="4680"/>
                    <w:tab w:val="right" w:pos="9360"/>
                  </w:tabs>
                </w:pPr>
                <w:r>
                  <w:tab/>
                </w:r>
                <w:r>
                  <w:fldChar w:fldCharType="begin"/>
                </w:r>
                <w:r>
                  <w:instrText>page \* arabic</w:instrText>
                </w:r>
                <w:r>
                  <w:fldChar w:fldCharType="separate"/>
                </w:r>
                <w:r w:rsidR="00F67363">
                  <w:rPr>
                    <w:noProof/>
                  </w:rPr>
                  <w:t>2</w:t>
                </w:r>
                <w:r>
                  <w:fldChar w:fldCharType="end"/>
                </w:r>
              </w:p>
            </w:txbxContent>
          </v:textbox>
          <w10:wrap anchorx="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24" w:rsidRDefault="00894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87E" w:rsidRDefault="00DE387E">
      <w:r>
        <w:separator/>
      </w:r>
    </w:p>
  </w:footnote>
  <w:footnote w:type="continuationSeparator" w:id="0">
    <w:p w:rsidR="00DE387E" w:rsidRDefault="00DE387E">
      <w:r>
        <w:continuationSeparator/>
      </w:r>
    </w:p>
  </w:footnote>
  <w:footnote w:id="1">
    <w:p w:rsidR="00916273" w:rsidRPr="00A511AB" w:rsidRDefault="00916273" w:rsidP="00916273">
      <w:pPr>
        <w:pStyle w:val="FootnoteText"/>
        <w:ind w:firstLine="0"/>
      </w:pPr>
      <w:r>
        <w:rPr>
          <w:rStyle w:val="FootnoteReference"/>
        </w:rPr>
        <w:footnoteRef/>
      </w:r>
      <w:r>
        <w:t xml:space="preserve"> </w:t>
      </w:r>
      <w:r w:rsidRPr="00916273">
        <w:rPr>
          <w:i/>
        </w:rPr>
        <w:t>Media Bureau Establishes Pleading Cycle for Applications to Transfer Control of Tribune Media Company to Sinclair Broadcast Group, Inc. and Permit-But-Disclose Ex Parte Status for the Proceeding</w:t>
      </w:r>
      <w:r>
        <w:t xml:space="preserve">, Public Notice, DA 17-647 (Med. Bur. July 7, </w:t>
      </w:r>
      <w:r w:rsidR="00EF4AB1">
        <w:t>2017) (</w:t>
      </w:r>
      <w:r w:rsidRPr="00916273">
        <w:rPr>
          <w:i/>
        </w:rPr>
        <w:t>July Public Notice</w:t>
      </w:r>
      <w:r>
        <w:t xml:space="preserve">). </w:t>
      </w:r>
    </w:p>
  </w:footnote>
  <w:footnote w:id="2">
    <w:p w:rsidR="00916273" w:rsidRDefault="00916273" w:rsidP="00916273">
      <w:pPr>
        <w:pStyle w:val="FootnoteText"/>
        <w:ind w:firstLine="0"/>
      </w:pPr>
      <w:r>
        <w:rPr>
          <w:rStyle w:val="FootnoteReference"/>
        </w:rPr>
        <w:footnoteRef/>
      </w:r>
      <w:r>
        <w:t xml:space="preserve"> </w:t>
      </w:r>
      <w:r w:rsidRPr="00627C44">
        <w:t>Numerous members of the public also filed comments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24" w:rsidRDefault="00894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24" w:rsidRDefault="00894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E4" w:rsidRDefault="00F67363" w:rsidP="008D3DE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4pt;margin-top:8.5pt;width:41.75pt;height:41.75pt;z-index:251659776" o:allowincell="f">
          <v:imagedata r:id="rId1" o:title="fcc_logo"/>
          <w10:wrap type="topAndBottom"/>
        </v:shape>
      </w:pict>
    </w:r>
    <w:r>
      <w:rPr>
        <w:rFonts w:ascii="News Gothic MT" w:hAnsi="News Gothic MT"/>
        <w:b/>
        <w:noProof/>
      </w:rPr>
      <w:pict>
        <v:shapetype id="_x0000_t202" coordsize="21600,21600" o:spt="202" path="m,l,21600r21600,l21600,xe">
          <v:stroke joinstyle="miter"/>
          <v:path gradientshapeok="t" o:connecttype="rect"/>
        </v:shapetype>
        <v:shape id="_x0000_s2050" type="#_x0000_t202" style="position:absolute;left:0;text-align:left;margin-left:47.6pt;margin-top:57.6pt;width:244.8pt;height:50.4pt;z-index:251656704" o:allowincell="f" stroked="f">
          <v:textbox style="mso-next-textbox:#_x0000_s2050">
            <w:txbxContent>
              <w:p w:rsidR="008D3DE4" w:rsidRDefault="008D3DE4" w:rsidP="008D3DE4">
                <w:pPr>
                  <w:rPr>
                    <w:rFonts w:ascii="Arial" w:hAnsi="Arial"/>
                    <w:b/>
                  </w:rPr>
                </w:pPr>
                <w:r>
                  <w:rPr>
                    <w:rFonts w:ascii="Arial" w:hAnsi="Arial"/>
                    <w:b/>
                  </w:rPr>
                  <w:t>Federal Communications Commission</w:t>
                </w:r>
              </w:p>
              <w:p w:rsidR="008D3DE4" w:rsidRDefault="008D3DE4" w:rsidP="008D3DE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8D3DE4" w:rsidRDefault="008D3DE4" w:rsidP="008D3DE4">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8D3DE4">
      <w:rPr>
        <w:rFonts w:ascii="News Gothic MT" w:hAnsi="News Gothic MT"/>
        <w:b/>
        <w:kern w:val="28"/>
        <w:sz w:val="96"/>
      </w:rPr>
      <w:t>PUBLIC NOTICE</w:t>
    </w:r>
  </w:p>
  <w:p w:rsidR="008D3DE4" w:rsidRDefault="00F67363" w:rsidP="008D3DE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rPr>
      <w:pict>
        <v:shape id="_x0000_s2052" type="#_x0000_t202" style="position:absolute;left:0;text-align:left;margin-left:283.05pt;margin-top:6pt;width:189.95pt;height:43.2pt;z-index:251658752" stroked="f">
          <v:textbox style="mso-next-textbox:#_x0000_s2052" inset=",0,,0">
            <w:txbxContent>
              <w:p w:rsidR="008D3DE4" w:rsidRDefault="008D3DE4" w:rsidP="008D3DE4">
                <w:pPr>
                  <w:spacing w:before="40"/>
                  <w:jc w:val="right"/>
                  <w:rPr>
                    <w:rFonts w:ascii="Arial" w:hAnsi="Arial"/>
                    <w:b/>
                    <w:sz w:val="16"/>
                  </w:rPr>
                </w:pPr>
                <w:r>
                  <w:rPr>
                    <w:rFonts w:ascii="Arial" w:hAnsi="Arial"/>
                    <w:b/>
                    <w:sz w:val="16"/>
                  </w:rPr>
                  <w:t>News Media Information 202 / 418-0500</w:t>
                </w:r>
              </w:p>
              <w:p w:rsidR="008D3DE4" w:rsidRDefault="008D3DE4" w:rsidP="008D3DE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D3DE4" w:rsidRDefault="008D3DE4" w:rsidP="008D3DE4">
                <w:pPr>
                  <w:jc w:val="right"/>
                  <w:rPr>
                    <w:rFonts w:ascii="Arial" w:hAnsi="Arial"/>
                    <w:b/>
                    <w:sz w:val="16"/>
                  </w:rPr>
                </w:pPr>
                <w:r>
                  <w:rPr>
                    <w:rFonts w:ascii="Arial" w:hAnsi="Arial"/>
                    <w:b/>
                    <w:sz w:val="16"/>
                  </w:rPr>
                  <w:t>TTY: 1-888-835-5322</w:t>
                </w:r>
              </w:p>
              <w:p w:rsidR="008D3DE4" w:rsidRDefault="008D3DE4" w:rsidP="008D3DE4">
                <w:pPr>
                  <w:jc w:val="right"/>
                </w:pPr>
              </w:p>
            </w:txbxContent>
          </v:textbox>
        </v:shape>
      </w:pict>
    </w:r>
  </w:p>
  <w:p w:rsidR="008D3DE4" w:rsidRDefault="00F67363" w:rsidP="008D3DE4">
    <w:pPr>
      <w:pStyle w:val="Header"/>
      <w:tabs>
        <w:tab w:val="clear" w:pos="4320"/>
        <w:tab w:val="clear" w:pos="8640"/>
        <w:tab w:val="left" w:pos="1080"/>
      </w:tabs>
      <w:ind w:left="720"/>
      <w:rPr>
        <w:rFonts w:ascii="Arial" w:hAnsi="Arial"/>
        <w:b/>
      </w:rPr>
    </w:pPr>
    <w:r>
      <w:rPr>
        <w:rFonts w:ascii="Arial" w:hAnsi="Arial"/>
        <w:b/>
        <w:noProof/>
      </w:rPr>
      <w:pict>
        <v:line id="_x0000_s2051" style="position:absolute;left:0;text-align:left;z-index:251657728" from="-4.95pt,4pt" to="472.05pt,4pt"/>
      </w:pict>
    </w:r>
  </w:p>
  <w:p w:rsidR="008D3DE4" w:rsidRDefault="008D3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5175FAF"/>
    <w:multiLevelType w:val="hybridMultilevel"/>
    <w:tmpl w:val="D56E8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4DCCE696"/>
    <w:lvl w:ilvl="0">
      <w:start w:val="1"/>
      <w:numFmt w:val="decimal"/>
      <w:pStyle w:val="ParaNum"/>
      <w:lvlText w:val="%1."/>
      <w:lvlJc w:val="left"/>
      <w:pPr>
        <w:tabs>
          <w:tab w:val="num" w:pos="810"/>
        </w:tabs>
        <w:ind w:left="-27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43E0289D"/>
    <w:multiLevelType w:val="hybridMultilevel"/>
    <w:tmpl w:val="E8025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543355"/>
    <w:multiLevelType w:val="hybridMultilevel"/>
    <w:tmpl w:val="C6B24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391286"/>
    <w:multiLevelType w:val="hybridMultilevel"/>
    <w:tmpl w:val="A072D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4"/>
  </w:num>
  <w:num w:numId="3">
    <w:abstractNumId w:val="0"/>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62D"/>
    <w:rsid w:val="000453F7"/>
    <w:rsid w:val="00047795"/>
    <w:rsid w:val="00052F89"/>
    <w:rsid w:val="000E0F71"/>
    <w:rsid w:val="00115090"/>
    <w:rsid w:val="00127B0F"/>
    <w:rsid w:val="00151A8F"/>
    <w:rsid w:val="001539FE"/>
    <w:rsid w:val="001769FD"/>
    <w:rsid w:val="001925AF"/>
    <w:rsid w:val="001A1A13"/>
    <w:rsid w:val="002105C1"/>
    <w:rsid w:val="00230CA0"/>
    <w:rsid w:val="00237418"/>
    <w:rsid w:val="002E1281"/>
    <w:rsid w:val="002E51B5"/>
    <w:rsid w:val="002F224C"/>
    <w:rsid w:val="003038C1"/>
    <w:rsid w:val="003662BC"/>
    <w:rsid w:val="0038637D"/>
    <w:rsid w:val="0039102F"/>
    <w:rsid w:val="0039562D"/>
    <w:rsid w:val="003C11DF"/>
    <w:rsid w:val="003D7BA4"/>
    <w:rsid w:val="0043181F"/>
    <w:rsid w:val="00442A7A"/>
    <w:rsid w:val="004675C4"/>
    <w:rsid w:val="004F6A1F"/>
    <w:rsid w:val="005113AD"/>
    <w:rsid w:val="00521A03"/>
    <w:rsid w:val="005320C9"/>
    <w:rsid w:val="00541302"/>
    <w:rsid w:val="00542419"/>
    <w:rsid w:val="00550848"/>
    <w:rsid w:val="00556B4C"/>
    <w:rsid w:val="00567F25"/>
    <w:rsid w:val="005A0FE7"/>
    <w:rsid w:val="005C33F0"/>
    <w:rsid w:val="005D79F0"/>
    <w:rsid w:val="00617197"/>
    <w:rsid w:val="00626AAE"/>
    <w:rsid w:val="00652499"/>
    <w:rsid w:val="00663BD1"/>
    <w:rsid w:val="00680F8E"/>
    <w:rsid w:val="00694E16"/>
    <w:rsid w:val="006D3DBC"/>
    <w:rsid w:val="0074264A"/>
    <w:rsid w:val="00757A82"/>
    <w:rsid w:val="007B1EA2"/>
    <w:rsid w:val="007C0051"/>
    <w:rsid w:val="007C2FA6"/>
    <w:rsid w:val="007D0630"/>
    <w:rsid w:val="007D44D8"/>
    <w:rsid w:val="007D6EB9"/>
    <w:rsid w:val="007F02B6"/>
    <w:rsid w:val="00812A48"/>
    <w:rsid w:val="00816B18"/>
    <w:rsid w:val="00821C94"/>
    <w:rsid w:val="00840534"/>
    <w:rsid w:val="0086015E"/>
    <w:rsid w:val="008905A8"/>
    <w:rsid w:val="00894D24"/>
    <w:rsid w:val="008C6F19"/>
    <w:rsid w:val="008D325F"/>
    <w:rsid w:val="008D3DE4"/>
    <w:rsid w:val="008F685D"/>
    <w:rsid w:val="00916273"/>
    <w:rsid w:val="00954ED1"/>
    <w:rsid w:val="00962937"/>
    <w:rsid w:val="00962D98"/>
    <w:rsid w:val="0097251B"/>
    <w:rsid w:val="009E7F7B"/>
    <w:rsid w:val="00A95D39"/>
    <w:rsid w:val="00AA1A45"/>
    <w:rsid w:val="00B47816"/>
    <w:rsid w:val="00B56370"/>
    <w:rsid w:val="00B74F3B"/>
    <w:rsid w:val="00B840C8"/>
    <w:rsid w:val="00BE7269"/>
    <w:rsid w:val="00BF2EE6"/>
    <w:rsid w:val="00C0405C"/>
    <w:rsid w:val="00C179BB"/>
    <w:rsid w:val="00C611BC"/>
    <w:rsid w:val="00C703B8"/>
    <w:rsid w:val="00C74018"/>
    <w:rsid w:val="00C82BD3"/>
    <w:rsid w:val="00C977EE"/>
    <w:rsid w:val="00CE33CF"/>
    <w:rsid w:val="00CE6513"/>
    <w:rsid w:val="00D45110"/>
    <w:rsid w:val="00D8077E"/>
    <w:rsid w:val="00D83921"/>
    <w:rsid w:val="00D85E18"/>
    <w:rsid w:val="00D860B0"/>
    <w:rsid w:val="00D92F1A"/>
    <w:rsid w:val="00DC1C0C"/>
    <w:rsid w:val="00DE387E"/>
    <w:rsid w:val="00E532C3"/>
    <w:rsid w:val="00E81457"/>
    <w:rsid w:val="00EC2D9A"/>
    <w:rsid w:val="00EC509B"/>
    <w:rsid w:val="00EE48A2"/>
    <w:rsid w:val="00EF3683"/>
    <w:rsid w:val="00EF4AB1"/>
    <w:rsid w:val="00F04755"/>
    <w:rsid w:val="00F56F4A"/>
    <w:rsid w:val="00F67363"/>
    <w:rsid w:val="00F7533C"/>
    <w:rsid w:val="00F94D1C"/>
    <w:rsid w:val="00FA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s>
      <w:suppressAutoHyphens/>
      <w:spacing w:line="287" w:lineRule="auto"/>
      <w:outlineLvl w:val="0"/>
    </w:pPr>
    <w:rPr>
      <w:rFonts w:ascii="Arial" w:hAnsi="Arial"/>
      <w:b/>
      <w:snapToGrid w:val="0"/>
      <w:sz w:val="22"/>
    </w:rPr>
  </w:style>
  <w:style w:type="paragraph" w:styleId="Heading2">
    <w:name w:val="heading 2"/>
    <w:basedOn w:val="Normal"/>
    <w:next w:val="Normal"/>
    <w:qFormat/>
    <w:pPr>
      <w:keepNext/>
      <w:tabs>
        <w:tab w:val="left" w:pos="-720"/>
      </w:tabs>
      <w:suppressAutoHyphens/>
      <w:jc w:val="center"/>
      <w:outlineLvl w:val="1"/>
    </w:pPr>
    <w:rPr>
      <w:b/>
    </w:rPr>
  </w:style>
  <w:style w:type="paragraph" w:styleId="Heading3">
    <w:name w:val="heading 3"/>
    <w:basedOn w:val="Normal"/>
    <w:next w:val="Normal"/>
    <w:qFormat/>
    <w:pPr>
      <w:keepNext/>
      <w:tabs>
        <w:tab w:val="left" w:pos="-2880"/>
      </w:tabs>
      <w:suppressAutoHyphens/>
      <w:spacing w:after="240"/>
      <w:jc w:val="center"/>
      <w:outlineLvl w:val="2"/>
    </w:pPr>
    <w:rPr>
      <w:b/>
      <w:sz w:val="40"/>
    </w:rPr>
  </w:style>
  <w:style w:type="paragraph" w:styleId="Heading4">
    <w:name w:val="heading 4"/>
    <w:basedOn w:val="Normal"/>
    <w:next w:val="Normal"/>
    <w:qFormat/>
    <w:pPr>
      <w:keepNext/>
      <w:tabs>
        <w:tab w:val="left" w:pos="1"/>
        <w:tab w:val="right" w:pos="93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autoRedefine/>
    <w:semiHidden/>
    <w:rsid w:val="00916273"/>
    <w:pPr>
      <w:widowControl w:val="0"/>
      <w:tabs>
        <w:tab w:val="left" w:pos="-2790"/>
      </w:tabs>
      <w:suppressAutoHyphens/>
      <w:spacing w:after="200"/>
      <w:ind w:firstLine="720"/>
    </w:pPr>
    <w:rPr>
      <w:snapToGrid w:val="0"/>
      <w:color w:val="000000"/>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Times New" w:hAnsi="Times New"/>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w:hAnsi="Times New"/>
      <w:i/>
    </w:rPr>
  </w:style>
  <w:style w:type="paragraph" w:customStyle="1" w:styleId="Normal121">
    <w:name w:val="Normal 121"/>
    <w:basedOn w:val="Normal"/>
    <w:pPr>
      <w:ind w:firstLine="720"/>
    </w:pPr>
  </w:style>
  <w:style w:type="paragraph" w:customStyle="1" w:styleId="Table12">
    <w:name w:val="Table 12"/>
    <w:basedOn w:val="Normal"/>
    <w:pPr>
      <w:tabs>
        <w:tab w:val="left" w:pos="2880"/>
      </w:tabs>
      <w:ind w:left="2880" w:hanging="2160"/>
    </w:pPr>
  </w:style>
  <w:style w:type="paragraph" w:customStyle="1" w:styleId="Normal12">
    <w:name w:val="Normal 12"/>
    <w:basedOn w:val="Normal"/>
    <w:pPr>
      <w:ind w:firstLine="720"/>
    </w:pPr>
  </w:style>
  <w:style w:type="paragraph" w:customStyle="1" w:styleId="Blockquote12">
    <w:name w:val="Blockquote 12"/>
    <w:basedOn w:val="Normal"/>
    <w:autoRedefine/>
    <w:pPr>
      <w:ind w:left="720" w:right="810"/>
    </w:pPr>
  </w:style>
  <w:style w:type="paragraph" w:styleId="EndnoteText">
    <w:name w:val="endnote text"/>
    <w:basedOn w:val="Normal"/>
    <w:semiHidden/>
    <w:pPr>
      <w:widowControl w:val="0"/>
    </w:pPr>
    <w:rPr>
      <w:snapToGrid w:val="0"/>
    </w:rPr>
  </w:style>
  <w:style w:type="character" w:customStyle="1" w:styleId="a">
    <w:name w:val="_"/>
    <w:basedOn w:val="DefaultParagraphFont"/>
  </w:style>
  <w:style w:type="paragraph" w:customStyle="1" w:styleId="Style0">
    <w:name w:val="Style0"/>
    <w:rPr>
      <w:rFonts w:ascii="Arial" w:hAnsi="Arial"/>
      <w:snapToGrid w:val="0"/>
      <w:sz w:val="24"/>
    </w:rPr>
  </w:style>
  <w:style w:type="paragraph" w:styleId="BodyTextIndent">
    <w:name w:val="Body Text Indent"/>
    <w:basedOn w:val="Normal"/>
    <w:pPr>
      <w:tabs>
        <w:tab w:val="left" w:pos="-1440"/>
      </w:tabs>
      <w:ind w:left="720"/>
    </w:pPr>
    <w:rPr>
      <w:snapToGrid w:val="0"/>
    </w:rPr>
  </w:style>
  <w:style w:type="character" w:styleId="PageNumber">
    <w:name w:val="page number"/>
    <w:basedOn w:val="DefaultParagraphFont"/>
  </w:style>
  <w:style w:type="paragraph" w:styleId="BalloonText">
    <w:name w:val="Balloon Text"/>
    <w:basedOn w:val="Normal"/>
    <w:semiHidden/>
    <w:rsid w:val="00BE3089"/>
    <w:rPr>
      <w:rFonts w:ascii="Tahoma" w:hAnsi="Tahoma" w:cs="Tahoma"/>
      <w:sz w:val="16"/>
      <w:szCs w:val="16"/>
    </w:rPr>
  </w:style>
  <w:style w:type="table" w:styleId="TableGrid">
    <w:name w:val="Table Grid"/>
    <w:basedOn w:val="TableNormal"/>
    <w:rsid w:val="00F95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
    <w:name w:val="ParaNum"/>
    <w:basedOn w:val="Normal"/>
    <w:rsid w:val="005F4D66"/>
    <w:pPr>
      <w:widowControl w:val="0"/>
      <w:numPr>
        <w:numId w:val="1"/>
      </w:numPr>
      <w:tabs>
        <w:tab w:val="left" w:pos="1440"/>
      </w:tabs>
      <w:spacing w:after="220"/>
      <w:jc w:val="both"/>
    </w:pPr>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emiHidden/>
    <w:rsid w:val="00916273"/>
    <w:rPr>
      <w:snapToGrid w:val="0"/>
      <w:color w:val="000000"/>
    </w:rPr>
  </w:style>
  <w:style w:type="paragraph" w:styleId="ListParagraph">
    <w:name w:val="List Paragraph"/>
    <w:basedOn w:val="Normal"/>
    <w:uiPriority w:val="34"/>
    <w:qFormat/>
    <w:rsid w:val="00916273"/>
    <w:pPr>
      <w:ind w:left="720"/>
    </w:pPr>
  </w:style>
  <w:style w:type="character" w:styleId="CommentReference">
    <w:name w:val="annotation reference"/>
    <w:rsid w:val="001A1A13"/>
    <w:rPr>
      <w:sz w:val="16"/>
      <w:szCs w:val="16"/>
    </w:rPr>
  </w:style>
  <w:style w:type="paragraph" w:styleId="CommentText">
    <w:name w:val="annotation text"/>
    <w:basedOn w:val="Normal"/>
    <w:link w:val="CommentTextChar"/>
    <w:rsid w:val="001A1A13"/>
    <w:rPr>
      <w:sz w:val="20"/>
    </w:rPr>
  </w:style>
  <w:style w:type="character" w:customStyle="1" w:styleId="CommentTextChar">
    <w:name w:val="Comment Text Char"/>
    <w:basedOn w:val="DefaultParagraphFont"/>
    <w:link w:val="CommentText"/>
    <w:rsid w:val="001A1A13"/>
  </w:style>
  <w:style w:type="paragraph" w:styleId="CommentSubject">
    <w:name w:val="annotation subject"/>
    <w:basedOn w:val="CommentText"/>
    <w:next w:val="CommentText"/>
    <w:link w:val="CommentSubjectChar"/>
    <w:rsid w:val="001A1A13"/>
    <w:rPr>
      <w:b/>
      <w:bCs/>
    </w:rPr>
  </w:style>
  <w:style w:type="character" w:customStyle="1" w:styleId="CommentSubjectChar">
    <w:name w:val="Comment Subject Char"/>
    <w:link w:val="CommentSubject"/>
    <w:rsid w:val="001A1A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vid.Roberts@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id.Brown@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4332</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DA 10-</vt:lpstr>
    </vt:vector>
  </TitlesOfParts>
  <Manager/>
  <Company/>
  <LinksUpToDate>false</LinksUpToDate>
  <CharactersWithSpaces>5118</CharactersWithSpaces>
  <SharedDoc>false</SharedDoc>
  <HyperlinkBase> </HyperlinkBase>
  <HLinks>
    <vt:vector size="24" baseType="variant">
      <vt:variant>
        <vt:i4>4128882</vt:i4>
      </vt:variant>
      <vt:variant>
        <vt:i4>9</vt:i4>
      </vt:variant>
      <vt:variant>
        <vt:i4>0</vt:i4>
      </vt:variant>
      <vt:variant>
        <vt:i4>5</vt:i4>
      </vt:variant>
      <vt:variant>
        <vt:lpwstr>http://www.fcc.gov/</vt:lpwstr>
      </vt:variant>
      <vt:variant>
        <vt:lpwstr/>
      </vt:variant>
      <vt:variant>
        <vt:i4>1114224</vt:i4>
      </vt:variant>
      <vt:variant>
        <vt:i4>6</vt:i4>
      </vt:variant>
      <vt:variant>
        <vt:i4>0</vt:i4>
      </vt:variant>
      <vt:variant>
        <vt:i4>5</vt:i4>
      </vt:variant>
      <vt:variant>
        <vt:lpwstr>mailto:David.Roberts@fcc.gov</vt:lpwstr>
      </vt:variant>
      <vt:variant>
        <vt:lpwstr/>
      </vt:variant>
      <vt:variant>
        <vt:i4>6488075</vt:i4>
      </vt:variant>
      <vt:variant>
        <vt:i4>3</vt:i4>
      </vt:variant>
      <vt:variant>
        <vt:i4>0</vt:i4>
      </vt:variant>
      <vt:variant>
        <vt:i4>5</vt:i4>
      </vt:variant>
      <vt:variant>
        <vt:lpwstr>mailto:David.Brown@fcc.gov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2012-09-11T14:19:00Z</cp:lastPrinted>
  <dcterms:created xsi:type="dcterms:W3CDTF">2017-10-18T19:37:00Z</dcterms:created>
  <dcterms:modified xsi:type="dcterms:W3CDTF">2017-10-18T19:37:00Z</dcterms:modified>
  <cp:category> </cp:category>
  <cp:contentStatus> </cp:contentStatus>
</cp:coreProperties>
</file>