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B2" w:rsidRPr="00E31C13" w:rsidRDefault="001A3AB2" w:rsidP="001A3AB2">
      <w:pPr>
        <w:jc w:val="right"/>
        <w:rPr>
          <w:b/>
          <w:szCs w:val="22"/>
        </w:rPr>
      </w:pPr>
      <w:bookmarkStart w:id="0" w:name="_GoBack"/>
      <w:bookmarkEnd w:id="0"/>
    </w:p>
    <w:p w:rsidR="001A3AB2" w:rsidRPr="006C4DDF" w:rsidRDefault="001A3AB2" w:rsidP="001A3AB2">
      <w:pPr>
        <w:jc w:val="right"/>
        <w:rPr>
          <w:b/>
          <w:bCs/>
        </w:rPr>
      </w:pPr>
      <w:r w:rsidRPr="002F1954">
        <w:rPr>
          <w:b/>
          <w:bCs/>
        </w:rPr>
        <w:t xml:space="preserve">DA </w:t>
      </w:r>
      <w:r w:rsidR="005E01BA" w:rsidRPr="005E01BA">
        <w:rPr>
          <w:b/>
          <w:bCs/>
        </w:rPr>
        <w:t>17-1029</w:t>
      </w:r>
    </w:p>
    <w:p w:rsidR="001A3AB2" w:rsidRPr="006C4DDF" w:rsidRDefault="001A3AB2" w:rsidP="001A3AB2">
      <w:pPr>
        <w:jc w:val="right"/>
        <w:rPr>
          <w:b/>
          <w:bCs/>
        </w:rPr>
      </w:pPr>
      <w:r w:rsidRPr="008A2419">
        <w:rPr>
          <w:b/>
          <w:bCs/>
        </w:rPr>
        <w:t xml:space="preserve">Released:  </w:t>
      </w:r>
      <w:r w:rsidR="0062603E">
        <w:rPr>
          <w:b/>
          <w:bCs/>
        </w:rPr>
        <w:t>October</w:t>
      </w:r>
      <w:r>
        <w:rPr>
          <w:b/>
          <w:bCs/>
        </w:rPr>
        <w:t xml:space="preserve"> </w:t>
      </w:r>
      <w:r w:rsidR="00B219AE">
        <w:rPr>
          <w:b/>
          <w:bCs/>
        </w:rPr>
        <w:t>19</w:t>
      </w:r>
      <w:r w:rsidRPr="008A2419">
        <w:rPr>
          <w:b/>
          <w:bCs/>
        </w:rPr>
        <w:t xml:space="preserve">, 2017 </w:t>
      </w:r>
    </w:p>
    <w:p w:rsidR="001A3AB2" w:rsidRPr="00E31C13" w:rsidRDefault="001A3AB2" w:rsidP="001A3AB2">
      <w:pPr>
        <w:rPr>
          <w:b/>
          <w:szCs w:val="22"/>
        </w:rPr>
      </w:pPr>
    </w:p>
    <w:p w:rsidR="001A3AB2" w:rsidRPr="006C4DDF" w:rsidRDefault="001A3AB2" w:rsidP="001A3AB2">
      <w:pPr>
        <w:jc w:val="center"/>
        <w:rPr>
          <w:b/>
          <w:bCs/>
        </w:rPr>
      </w:pPr>
      <w:r w:rsidRPr="008A2419">
        <w:rPr>
          <w:b/>
          <w:bCs/>
        </w:rPr>
        <w:t xml:space="preserve">PUBLIC SAFETY AND HOMELAND SECURITY BUREAU </w:t>
      </w:r>
      <w:r w:rsidR="00841F3F">
        <w:rPr>
          <w:b/>
          <w:bCs/>
        </w:rPr>
        <w:t xml:space="preserve">ENCOURAGES VOLUNTARY ADOPTION OF NETWORK RELIABILITY BEST PRACTICES BY </w:t>
      </w:r>
      <w:r>
        <w:rPr>
          <w:b/>
          <w:bCs/>
        </w:rPr>
        <w:t xml:space="preserve">SMALL AND RURAL SERVICES PROVIDERS </w:t>
      </w:r>
      <w:r w:rsidRPr="00E31C13">
        <w:rPr>
          <w:b/>
          <w:szCs w:val="22"/>
        </w:rPr>
        <w:br/>
      </w:r>
      <w:r w:rsidRPr="008A2419">
        <w:rPr>
          <w:b/>
          <w:bCs/>
        </w:rPr>
        <w:t xml:space="preserve"> </w:t>
      </w:r>
    </w:p>
    <w:p w:rsidR="001A3AB2" w:rsidRDefault="001A3AB2" w:rsidP="001A3AB2">
      <w:pPr>
        <w:ind w:firstLine="720"/>
      </w:pPr>
      <w:r>
        <w:t>The Federal Communications Commission’s</w:t>
      </w:r>
      <w:r w:rsidR="00EE1BBB">
        <w:t xml:space="preserve"> (FCC</w:t>
      </w:r>
      <w:r w:rsidR="001814ED">
        <w:t xml:space="preserve"> or Commission</w:t>
      </w:r>
      <w:r w:rsidR="00EE1BBB">
        <w:t>)</w:t>
      </w:r>
      <w:r>
        <w:t xml:space="preserve"> Public Safety and Homeland Security Bureau (Bureau) encourages small and rural communications service providers to </w:t>
      </w:r>
      <w:r w:rsidR="00647628">
        <w:t xml:space="preserve">review and </w:t>
      </w:r>
      <w:r w:rsidR="00FA1A97">
        <w:t>consider</w:t>
      </w:r>
      <w:r w:rsidR="00D10D52">
        <w:t xml:space="preserve"> </w:t>
      </w:r>
      <w:r>
        <w:t>implement</w:t>
      </w:r>
      <w:r w:rsidR="00FA1A97">
        <w:t>ing</w:t>
      </w:r>
      <w:r w:rsidR="00D10D52">
        <w:t>, where appropriate,</w:t>
      </w:r>
      <w:r>
        <w:t xml:space="preserve"> best practices recommended by the Communications Security, Reliability, and Interoperability Council (CSRIC), a federal advisory committee to the FCC,</w:t>
      </w:r>
      <w:r>
        <w:rPr>
          <w:rStyle w:val="FootnoteReference"/>
        </w:rPr>
        <w:footnoteReference w:id="1"/>
      </w:r>
      <w:r>
        <w:t xml:space="preserve"> to improve </w:t>
      </w:r>
      <w:r w:rsidR="00D10D52">
        <w:t xml:space="preserve">network </w:t>
      </w:r>
      <w:r>
        <w:t>reliability.</w:t>
      </w:r>
    </w:p>
    <w:p w:rsidR="00AD3AC1" w:rsidRDefault="00AD3AC1" w:rsidP="001A3AB2">
      <w:pPr>
        <w:ind w:firstLine="720"/>
        <w:rPr>
          <w:szCs w:val="22"/>
        </w:rPr>
      </w:pPr>
    </w:p>
    <w:p w:rsidR="00D10D52" w:rsidRDefault="00841F3F" w:rsidP="001A3AB2">
      <w:pPr>
        <w:ind w:firstLine="720"/>
      </w:pPr>
      <w:r>
        <w:t>N</w:t>
      </w:r>
      <w:r w:rsidR="00D10D52">
        <w:t xml:space="preserve">etwork </w:t>
      </w:r>
      <w:r w:rsidR="00F82593" w:rsidRPr="00104456">
        <w:t xml:space="preserve">reliability and resiliency </w:t>
      </w:r>
      <w:r>
        <w:t>i</w:t>
      </w:r>
      <w:r w:rsidR="00D10D52">
        <w:t>s</w:t>
      </w:r>
      <w:r w:rsidR="00F82593" w:rsidRPr="00104456">
        <w:t xml:space="preserve"> essential </w:t>
      </w:r>
      <w:r>
        <w:t xml:space="preserve">to </w:t>
      </w:r>
      <w:r w:rsidR="00F82593" w:rsidRPr="00104456">
        <w:t>ensur</w:t>
      </w:r>
      <w:r>
        <w:t>e</w:t>
      </w:r>
      <w:r w:rsidR="00F82593" w:rsidRPr="00104456">
        <w:t xml:space="preserve"> that all </w:t>
      </w:r>
      <w:r w:rsidR="00F82593">
        <w:t>consumers</w:t>
      </w:r>
      <w:r w:rsidR="00F82593" w:rsidRPr="00104456">
        <w:t xml:space="preserve">, public safety entities, and small businesses have access to </w:t>
      </w:r>
      <w:r w:rsidR="00D10D52">
        <w:t>r</w:t>
      </w:r>
      <w:r w:rsidR="00FA1A97">
        <w:t>eliable and secure</w:t>
      </w:r>
      <w:r w:rsidR="00F82593" w:rsidRPr="00104456">
        <w:t xml:space="preserve"> communication</w:t>
      </w:r>
      <w:r w:rsidR="00FA1A97">
        <w:t>s</w:t>
      </w:r>
      <w:r w:rsidR="00F82593" w:rsidRPr="00104456">
        <w:t>, especially during disasters and emergencies.</w:t>
      </w:r>
      <w:r w:rsidR="007F3F19">
        <w:t xml:space="preserve"> </w:t>
      </w:r>
      <w:r w:rsidR="00D10D52">
        <w:t xml:space="preserve"> </w:t>
      </w:r>
      <w:r w:rsidR="0082479B">
        <w:t xml:space="preserve">Since its inception, </w:t>
      </w:r>
      <w:r w:rsidR="007F3F19">
        <w:t xml:space="preserve">CSRIC has identified </w:t>
      </w:r>
      <w:r w:rsidR="00D34824">
        <w:t xml:space="preserve">over </w:t>
      </w:r>
      <w:r w:rsidR="00FA1A97">
        <w:t xml:space="preserve">a </w:t>
      </w:r>
      <w:r w:rsidR="00D34824">
        <w:t>thousand</w:t>
      </w:r>
      <w:r w:rsidR="007F3F19">
        <w:t xml:space="preserve"> best practices to improve the reliability </w:t>
      </w:r>
      <w:r w:rsidR="00BB0E96">
        <w:t>of communications network</w:t>
      </w:r>
      <w:r w:rsidR="000E293F">
        <w:t>s</w:t>
      </w:r>
      <w:r w:rsidR="00482C8C">
        <w:t>.</w:t>
      </w:r>
      <w:r w:rsidR="00D33909">
        <w:rPr>
          <w:rStyle w:val="FootnoteReference"/>
        </w:rPr>
        <w:footnoteReference w:id="2"/>
      </w:r>
      <w:r w:rsidR="00D33909">
        <w:t xml:space="preserve"> </w:t>
      </w:r>
      <w:r w:rsidR="000E293F">
        <w:t xml:space="preserve"> </w:t>
      </w:r>
    </w:p>
    <w:p w:rsidR="00D10D52" w:rsidRDefault="00D10D52" w:rsidP="001A3AB2">
      <w:pPr>
        <w:ind w:firstLine="720"/>
      </w:pPr>
    </w:p>
    <w:p w:rsidR="00B65997" w:rsidRDefault="00981F7A" w:rsidP="001A3AB2">
      <w:pPr>
        <w:ind w:firstLine="720"/>
        <w:rPr>
          <w:szCs w:val="22"/>
        </w:rPr>
      </w:pPr>
      <w:r>
        <w:t xml:space="preserve">As part of the </w:t>
      </w:r>
      <w:r w:rsidR="00FA1A97">
        <w:t xml:space="preserve">Commission’s </w:t>
      </w:r>
      <w:r>
        <w:t>ongoing efforts t</w:t>
      </w:r>
      <w:r w:rsidR="00D34824">
        <w:t>o</w:t>
      </w:r>
      <w:r w:rsidR="00A75AA1">
        <w:t xml:space="preserve"> </w:t>
      </w:r>
      <w:r w:rsidR="00D10D52">
        <w:t xml:space="preserve">support small and rural providers, the Bureau has </w:t>
      </w:r>
      <w:r w:rsidR="00841F3F">
        <w:t>reviewed</w:t>
      </w:r>
      <w:r w:rsidR="00B74721">
        <w:t xml:space="preserve"> </w:t>
      </w:r>
      <w:r w:rsidR="00841F3F">
        <w:t>the</w:t>
      </w:r>
      <w:r w:rsidR="00647628">
        <w:t xml:space="preserve"> CSRIC</w:t>
      </w:r>
      <w:r w:rsidR="00482C8C">
        <w:t xml:space="preserve"> </w:t>
      </w:r>
      <w:r w:rsidR="00D10D52">
        <w:t xml:space="preserve">best practices </w:t>
      </w:r>
      <w:r w:rsidR="00B74721">
        <w:t xml:space="preserve">and </w:t>
      </w:r>
      <w:bookmarkStart w:id="1" w:name="_Hlk494443713"/>
      <w:bookmarkStart w:id="2" w:name="_Hlk494272335"/>
      <w:r w:rsidR="00841F3F">
        <w:t xml:space="preserve">outage </w:t>
      </w:r>
      <w:r w:rsidR="00730146">
        <w:t>data from the Commission’s Network Outage Reporting System (NORS)</w:t>
      </w:r>
      <w:r w:rsidR="00730146">
        <w:rPr>
          <w:rStyle w:val="FootnoteReference"/>
        </w:rPr>
        <w:footnoteReference w:id="3"/>
      </w:r>
      <w:r w:rsidR="00841F3F">
        <w:t xml:space="preserve"> to identify trends and common failures among outages experienced by small and rural service providers.</w:t>
      </w:r>
      <w:r w:rsidR="00A623DF">
        <w:rPr>
          <w:rStyle w:val="FootnoteReference"/>
        </w:rPr>
        <w:footnoteReference w:id="4"/>
      </w:r>
      <w:r w:rsidR="00D33909">
        <w:t xml:space="preserve"> </w:t>
      </w:r>
      <w:r w:rsidR="00841F3F">
        <w:t xml:space="preserve"> </w:t>
      </w:r>
      <w:r w:rsidR="00B74721">
        <w:t xml:space="preserve">This </w:t>
      </w:r>
      <w:bookmarkEnd w:id="1"/>
      <w:r w:rsidR="00D33909">
        <w:t xml:space="preserve">process </w:t>
      </w:r>
      <w:r w:rsidR="00730146">
        <w:t>identified 23</w:t>
      </w:r>
      <w:r w:rsidR="00B74721">
        <w:t xml:space="preserve"> of the most recurring </w:t>
      </w:r>
      <w:r w:rsidR="00730146">
        <w:t xml:space="preserve">best practices (see Appendix I) reported in </w:t>
      </w:r>
      <w:r w:rsidR="00B74721">
        <w:t>NOR</w:t>
      </w:r>
      <w:r w:rsidR="002B60E0">
        <w:t>S</w:t>
      </w:r>
      <w:r w:rsidR="00730146">
        <w:t xml:space="preserve"> </w:t>
      </w:r>
      <w:r w:rsidR="00233B22">
        <w:t xml:space="preserve">outage </w:t>
      </w:r>
      <w:r w:rsidR="00730146">
        <w:t xml:space="preserve">reports </w:t>
      </w:r>
      <w:r w:rsidR="007C7B36">
        <w:t xml:space="preserve">during </w:t>
      </w:r>
      <w:r w:rsidR="00730146">
        <w:t xml:space="preserve">the last five years </w:t>
      </w:r>
      <w:r w:rsidR="00233B22">
        <w:t xml:space="preserve">as filed </w:t>
      </w:r>
      <w:r w:rsidR="00730146">
        <w:t xml:space="preserve">by </w:t>
      </w:r>
      <w:r w:rsidR="00233B22">
        <w:t>small and rural communications</w:t>
      </w:r>
      <w:r w:rsidR="00730146">
        <w:t xml:space="preserve"> providers</w:t>
      </w:r>
      <w:r w:rsidR="00414DAC" w:rsidRPr="00414DAC">
        <w:t>.</w:t>
      </w:r>
      <w:bookmarkEnd w:id="2"/>
      <w:r w:rsidR="002300D6">
        <w:t xml:space="preserve"> </w:t>
      </w:r>
      <w:r w:rsidR="00BF53A2">
        <w:t xml:space="preserve"> </w:t>
      </w:r>
      <w:r w:rsidR="00B74721">
        <w:t xml:space="preserve">Providers cited these </w:t>
      </w:r>
      <w:r w:rsidR="002300D6">
        <w:t>best practices</w:t>
      </w:r>
      <w:r w:rsidR="00B74721">
        <w:t xml:space="preserve"> in their final reports </w:t>
      </w:r>
      <w:r w:rsidR="00BF53A2">
        <w:t xml:space="preserve">as ones which </w:t>
      </w:r>
      <w:r w:rsidR="00E01A8B">
        <w:t xml:space="preserve">may have helped </w:t>
      </w:r>
      <w:r w:rsidR="00BF53A2">
        <w:t xml:space="preserve">to </w:t>
      </w:r>
      <w:r w:rsidR="00E01A8B">
        <w:t>prevent such outages had</w:t>
      </w:r>
      <w:r w:rsidR="00BF53A2">
        <w:t xml:space="preserve"> they</w:t>
      </w:r>
      <w:r w:rsidR="00E01A8B">
        <w:t xml:space="preserve"> been implemented. </w:t>
      </w:r>
      <w:r w:rsidR="00852190">
        <w:t xml:space="preserve"> </w:t>
      </w:r>
      <w:r w:rsidR="005D7E7C">
        <w:t>The Bureau encourages small and</w:t>
      </w:r>
      <w:r w:rsidR="00D10D52">
        <w:t xml:space="preserve"> </w:t>
      </w:r>
      <w:r w:rsidR="005D7E7C">
        <w:t xml:space="preserve">rural </w:t>
      </w:r>
      <w:r w:rsidR="00FB03A1">
        <w:t xml:space="preserve">communications services </w:t>
      </w:r>
      <w:r w:rsidR="005D7E7C">
        <w:t>providers</w:t>
      </w:r>
      <w:r w:rsidR="00730146">
        <w:t xml:space="preserve"> </w:t>
      </w:r>
      <w:r w:rsidR="005D7E7C">
        <w:t xml:space="preserve">to review </w:t>
      </w:r>
      <w:r w:rsidR="00AF75BD">
        <w:t>and</w:t>
      </w:r>
      <w:r w:rsidR="00647628">
        <w:t xml:space="preserve"> consider </w:t>
      </w:r>
      <w:r w:rsidR="005D7E7C">
        <w:t xml:space="preserve">these </w:t>
      </w:r>
      <w:r w:rsidR="00B74721">
        <w:t xml:space="preserve">23 </w:t>
      </w:r>
      <w:r w:rsidR="005D7E7C">
        <w:t xml:space="preserve">best practices </w:t>
      </w:r>
      <w:r w:rsidR="00152475">
        <w:t>along with other CSRIC best practices as appropriate</w:t>
      </w:r>
      <w:r w:rsidR="008C3B3E">
        <w:t xml:space="preserve"> for </w:t>
      </w:r>
      <w:r w:rsidR="00FA1A97">
        <w:t xml:space="preserve">their </w:t>
      </w:r>
      <w:r w:rsidR="008C3B3E">
        <w:t>network</w:t>
      </w:r>
      <w:r w:rsidR="00FA1A97">
        <w:t>s</w:t>
      </w:r>
      <w:r w:rsidR="00152475">
        <w:t xml:space="preserve">.  </w:t>
      </w:r>
    </w:p>
    <w:p w:rsidR="001A3AB2" w:rsidRPr="00860196" w:rsidRDefault="001A3AB2" w:rsidP="001A3AB2">
      <w:pPr>
        <w:ind w:firstLine="720"/>
        <w:rPr>
          <w:szCs w:val="22"/>
        </w:rPr>
      </w:pPr>
    </w:p>
    <w:p w:rsidR="005B6360" w:rsidRDefault="008E0618" w:rsidP="0062603E">
      <w:pPr>
        <w:ind w:firstLine="720"/>
        <w:sectPr w:rsidR="005B6360" w:rsidSect="001A3AB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810" w:left="1440" w:header="720" w:footer="470" w:gutter="0"/>
          <w:cols w:space="720"/>
          <w:titlePg/>
          <w:docGrid w:linePitch="299"/>
        </w:sectPr>
      </w:pPr>
      <w:r>
        <w:t>The</w:t>
      </w:r>
      <w:r w:rsidR="00966407">
        <w:t xml:space="preserve">se 23 best practices do not reflect an exhaustive list </w:t>
      </w:r>
      <w:r w:rsidR="00605F2E">
        <w:t xml:space="preserve">of applicable best practices </w:t>
      </w:r>
      <w:r w:rsidR="00966407">
        <w:t>as small and rural communications providers</w:t>
      </w:r>
      <w:r w:rsidR="00571C8B">
        <w:t xml:space="preserve"> </w:t>
      </w:r>
      <w:r w:rsidR="00966407">
        <w:t xml:space="preserve">may </w:t>
      </w:r>
      <w:r w:rsidR="00571C8B">
        <w:t xml:space="preserve">implement other best practices not </w:t>
      </w:r>
      <w:r w:rsidR="00233B22">
        <w:t xml:space="preserve">reflected in this list.  </w:t>
      </w:r>
      <w:r w:rsidR="0005510E">
        <w:t>W</w:t>
      </w:r>
      <w:r w:rsidR="00CB0D26">
        <w:t xml:space="preserve">e welcome </w:t>
      </w:r>
      <w:r w:rsidR="00233B22">
        <w:t xml:space="preserve">any </w:t>
      </w:r>
      <w:r w:rsidR="00CB0D26">
        <w:t xml:space="preserve">feedback from </w:t>
      </w:r>
      <w:r w:rsidR="00966407">
        <w:t xml:space="preserve">small and rural </w:t>
      </w:r>
      <w:r w:rsidR="00CB0D26">
        <w:t>providers</w:t>
      </w:r>
      <w:r w:rsidR="0005510E">
        <w:t xml:space="preserve"> about these best practices.</w:t>
      </w:r>
      <w:r w:rsidR="00966407">
        <w:t xml:space="preserve">  </w:t>
      </w:r>
      <w:r w:rsidR="001A3AB2">
        <w:t xml:space="preserve">For further information, contact </w:t>
      </w:r>
      <w:r w:rsidR="00555A8D">
        <w:t>Jennifer Holtz</w:t>
      </w:r>
      <w:r w:rsidR="001A3AB2" w:rsidRPr="00881FF7">
        <w:t xml:space="preserve">, </w:t>
      </w:r>
      <w:r w:rsidR="00555A8D">
        <w:t>Deputy Division Chief</w:t>
      </w:r>
      <w:r w:rsidR="001A3AB2" w:rsidRPr="00881FF7">
        <w:t xml:space="preserve">, Cybersecurity and Communications Reliability Division, Public Safety and Homeland Security Bureau, </w:t>
      </w:r>
      <w:r w:rsidR="00555A8D" w:rsidRPr="00555A8D">
        <w:t>(202) 418-2336</w:t>
      </w:r>
      <w:r w:rsidR="001A3AB2" w:rsidRPr="00881FF7">
        <w:t xml:space="preserve">, </w:t>
      </w:r>
      <w:hyperlink r:id="rId14" w:history="1">
        <w:r w:rsidR="00555A8D" w:rsidRPr="00102D66">
          <w:rPr>
            <w:rStyle w:val="Hyperlink"/>
          </w:rPr>
          <w:t>Jennifer.Holtz@fcc.gov</w:t>
        </w:r>
      </w:hyperlink>
      <w:r w:rsidR="00DF7899" w:rsidRPr="00DF7899">
        <w:rPr>
          <w:rStyle w:val="Hyperlink"/>
          <w:color w:val="auto"/>
          <w:u w:val="none"/>
        </w:rPr>
        <w:t xml:space="preserve"> or</w:t>
      </w:r>
      <w:r w:rsidR="00DF7899">
        <w:rPr>
          <w:rStyle w:val="Hyperlink"/>
          <w:color w:val="auto"/>
          <w:u w:val="none"/>
        </w:rPr>
        <w:t xml:space="preserve"> Steven </w:t>
      </w:r>
      <w:r w:rsidR="00DF7899">
        <w:rPr>
          <w:rStyle w:val="Hyperlink"/>
          <w:color w:val="auto"/>
          <w:u w:val="none"/>
        </w:rPr>
        <w:lastRenderedPageBreak/>
        <w:t xml:space="preserve">McKinnon, Electronics Engineer, Cybersecurity and Communications Reliability Division, Public Safety and Homeland Security Bureau, (202) 418-0390, </w:t>
      </w:r>
      <w:hyperlink r:id="rId15" w:history="1">
        <w:r w:rsidR="00DF7899" w:rsidRPr="00BE0C75">
          <w:rPr>
            <w:rStyle w:val="Hyperlink"/>
          </w:rPr>
          <w:t>Steven.McKinnon@fcc.gov</w:t>
        </w:r>
      </w:hyperlink>
      <w:r w:rsidR="00DF7899">
        <w:rPr>
          <w:rStyle w:val="Hyperlink"/>
          <w:color w:val="auto"/>
          <w:u w:val="none"/>
        </w:rPr>
        <w:t xml:space="preserve"> </w:t>
      </w:r>
    </w:p>
    <w:p w:rsidR="00981F7A" w:rsidRDefault="00555A8D" w:rsidP="00981F7A">
      <w:pPr>
        <w:jc w:val="center"/>
        <w:rPr>
          <w:b/>
        </w:rPr>
      </w:pPr>
      <w:r w:rsidRPr="00555A8D">
        <w:rPr>
          <w:b/>
        </w:rPr>
        <w:lastRenderedPageBreak/>
        <w:t>Appendix I</w:t>
      </w:r>
      <w:r>
        <w:rPr>
          <w:b/>
        </w:rPr>
        <w:t xml:space="preserve">: </w:t>
      </w:r>
    </w:p>
    <w:p w:rsidR="00F72607" w:rsidRPr="00555A8D" w:rsidRDefault="00555A8D" w:rsidP="00981F7A">
      <w:pPr>
        <w:jc w:val="center"/>
        <w:rPr>
          <w:b/>
        </w:rPr>
      </w:pPr>
      <w:r>
        <w:rPr>
          <w:b/>
        </w:rPr>
        <w:t xml:space="preserve">Best </w:t>
      </w:r>
      <w:r w:rsidR="00FA1A97">
        <w:rPr>
          <w:b/>
        </w:rPr>
        <w:t>Practices</w:t>
      </w:r>
      <w:r w:rsidR="00D10D52">
        <w:rPr>
          <w:b/>
        </w:rPr>
        <w:t xml:space="preserve"> Applicable to </w:t>
      </w:r>
      <w:r w:rsidR="00FA1A97">
        <w:rPr>
          <w:b/>
        </w:rPr>
        <w:t xml:space="preserve">Small and </w:t>
      </w:r>
      <w:r w:rsidR="00730146">
        <w:rPr>
          <w:b/>
        </w:rPr>
        <w:t>Rural</w:t>
      </w:r>
      <w:r w:rsidR="00C405AC">
        <w:rPr>
          <w:b/>
        </w:rPr>
        <w:t xml:space="preserve"> Providers</w:t>
      </w:r>
      <w:r w:rsidR="00D85BAD">
        <w:rPr>
          <w:b/>
        </w:rPr>
        <w:t xml:space="preserve"> </w:t>
      </w:r>
      <w:r w:rsidR="00FA1A97">
        <w:rPr>
          <w:b/>
        </w:rPr>
        <w:t>(2013-2017)</w:t>
      </w:r>
    </w:p>
    <w:p w:rsidR="00555A8D" w:rsidRDefault="00555A8D"/>
    <w:tbl>
      <w:tblPr>
        <w:tblW w:w="5000" w:type="pct"/>
        <w:tblLook w:val="04A0" w:firstRow="1" w:lastRow="0" w:firstColumn="1" w:lastColumn="0" w:noHBand="0" w:noVBand="1"/>
      </w:tblPr>
      <w:tblGrid>
        <w:gridCol w:w="993"/>
        <w:gridCol w:w="11001"/>
        <w:gridCol w:w="1812"/>
      </w:tblGrid>
      <w:tr w:rsidR="0031189B" w:rsidRPr="00EE1BBB" w:rsidTr="0031189B">
        <w:trPr>
          <w:trHeight w:val="600"/>
          <w:tblHead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b/>
                <w:bCs/>
                <w:color w:val="000000"/>
                <w:sz w:val="20"/>
              </w:rPr>
            </w:pPr>
            <w:r w:rsidRPr="004636D8">
              <w:rPr>
                <w:b/>
                <w:bCs/>
                <w:color w:val="000000"/>
                <w:sz w:val="20"/>
              </w:rPr>
              <w:t>Best Practice Number</w:t>
            </w:r>
            <w:r w:rsidR="002C5D54">
              <w:rPr>
                <w:rStyle w:val="FootnoteReference"/>
                <w:b/>
                <w:bCs/>
                <w:color w:val="000000"/>
                <w:sz w:val="20"/>
              </w:rPr>
              <w:footnoteReference w:id="5"/>
            </w:r>
          </w:p>
        </w:tc>
        <w:tc>
          <w:tcPr>
            <w:tcW w:w="3989" w:type="pct"/>
            <w:tcBorders>
              <w:top w:val="single" w:sz="4" w:space="0" w:color="auto"/>
              <w:left w:val="nil"/>
              <w:bottom w:val="single" w:sz="4" w:space="0" w:color="auto"/>
              <w:right w:val="single" w:sz="4" w:space="0" w:color="auto"/>
            </w:tcBorders>
            <w:shd w:val="clear" w:color="auto" w:fill="auto"/>
            <w:vAlign w:val="center"/>
            <w:hideMark/>
          </w:tcPr>
          <w:p w:rsidR="00396D37" w:rsidRPr="004636D8" w:rsidRDefault="00396D37" w:rsidP="00555A8D">
            <w:pPr>
              <w:jc w:val="center"/>
              <w:rPr>
                <w:b/>
                <w:bCs/>
                <w:color w:val="000000"/>
                <w:sz w:val="20"/>
              </w:rPr>
            </w:pPr>
            <w:r w:rsidRPr="004636D8">
              <w:rPr>
                <w:b/>
                <w:bCs/>
                <w:color w:val="000000"/>
                <w:sz w:val="20"/>
              </w:rPr>
              <w:t>Description</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396D37" w:rsidRPr="004636D8" w:rsidRDefault="00396D37" w:rsidP="00260377">
            <w:pPr>
              <w:jc w:val="center"/>
              <w:rPr>
                <w:b/>
                <w:bCs/>
                <w:color w:val="000000"/>
                <w:sz w:val="20"/>
              </w:rPr>
            </w:pPr>
            <w:r w:rsidRPr="004636D8">
              <w:rPr>
                <w:b/>
                <w:bCs/>
                <w:color w:val="000000"/>
                <w:sz w:val="20"/>
              </w:rPr>
              <w:t>Network Type(s)</w:t>
            </w:r>
            <w:r w:rsidR="002021C3">
              <w:rPr>
                <w:rStyle w:val="FootnoteReference"/>
                <w:b/>
                <w:bCs/>
                <w:color w:val="000000"/>
                <w:sz w:val="20"/>
              </w:rPr>
              <w:footnoteReference w:id="6"/>
            </w:r>
          </w:p>
        </w:tc>
      </w:tr>
      <w:tr w:rsidR="0031189B" w:rsidRPr="00EE1BBB" w:rsidTr="0031189B">
        <w:trPr>
          <w:trHeight w:val="84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396D37" w:rsidRPr="004636D8" w:rsidRDefault="00396D37" w:rsidP="00555A8D">
            <w:pPr>
              <w:jc w:val="center"/>
              <w:rPr>
                <w:color w:val="000000"/>
                <w:sz w:val="20"/>
              </w:rPr>
            </w:pPr>
            <w:bookmarkStart w:id="4" w:name="_Hlk494442416"/>
            <w:r w:rsidRPr="004636D8">
              <w:rPr>
                <w:color w:val="000000"/>
                <w:sz w:val="20"/>
              </w:rPr>
              <w:t>9-9-5196</w:t>
            </w:r>
            <w:bookmarkEnd w:id="4"/>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Public Safety and Service Providers should ensure that contractors and Equipment Supplier personnel working in critical network facilities follow the current applicable MOP (Method of Procedures), which should document the level of oversight necessary.</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8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9-7-0634</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and Property Managers together with the Power Company and other tenants in the location, should verify that aerial power lines are not in conflict with hazards that could produce a loss of service during high winds or icy conditions.</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719"/>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9-7-0492</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should provide back-up power (e.g., some combination of batteries, generator, fuel cells) at cell sites and remote equipment locations, consistent with the site specific constraints, criticality of the site, the expected load and reliability of primary power.</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611"/>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9-7-0495</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and Property Managers should consider pre-arranging contact information and access to restoral information with local power companies.</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Wireless</w:t>
            </w:r>
          </w:p>
        </w:tc>
      </w:tr>
      <w:tr w:rsidR="0031189B" w:rsidRPr="00EE1BBB" w:rsidTr="0031189B">
        <w:trPr>
          <w:trHeight w:val="611"/>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9-9-0568</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and Public Safety should establish a routing plan so that in the case of lost connectivity or disaster impact affecting a Public Safety Answering Point (PSAP), 9-1-1 calls are routed to an alternate PSAP answering point.</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Wireline</w:t>
            </w:r>
          </w:p>
        </w:tc>
      </w:tr>
      <w:tr w:rsidR="0031189B" w:rsidRPr="00EE1BBB" w:rsidTr="0031189B">
        <w:trPr>
          <w:trHeight w:val="44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9-7-0493</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and Property Managers should consider placing fixed power generators at cell sites, where feasible.</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Wireless</w:t>
            </w:r>
          </w:p>
        </w:tc>
      </w:tr>
      <w:tr w:rsidR="0031189B" w:rsidRPr="00EE1BBB" w:rsidTr="0031189B">
        <w:trPr>
          <w:trHeight w:val="62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9-9-0476</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Public Safety, and Property Managers should consider conducting physical site audits after a major event (e.g., weather, earthquake, auto wreck) to ensure the physical integrity and orientation of hardware has not been compromised.</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Wireless</w:t>
            </w:r>
          </w:p>
        </w:tc>
      </w:tr>
      <w:tr w:rsidR="0031189B" w:rsidRPr="00EE1BBB" w:rsidTr="0031189B">
        <w:trPr>
          <w:trHeight w:val="863"/>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9-9-0546</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and Service Providers should minimize single points of failure (SPOF) in paths linking network elements deemed critical to the operations of a network (with this design, two or more simultaneous failures or errors need to occur at the same time to cause a service interruption).</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926"/>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9-9-0566</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and Public Safety should consider placing and maintaining 9-1-1 TDM or IP based networks over diverse interoffice transport facilities (e.g., geographically diverse facility routes, automatically invoked standby routing, diverse digital cross-connect system services, self-healing fiber ring topologies, or any combination thereof).</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Wireless; Wireline</w:t>
            </w:r>
          </w:p>
        </w:tc>
      </w:tr>
      <w:tr w:rsidR="0031189B" w:rsidRPr="00EE1BBB" w:rsidTr="0031189B">
        <w:trPr>
          <w:trHeight w:val="84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9-9-0612</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and Service Providers should verify both local and remote alarms and remote network element maintenance access on all new critical equipment installed in the network, before it is placed into service.</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827"/>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9-7-5058</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Back-up Power:  Network Operators, Service Providers, Equipment Suppliers and Property Managers should ensure that all critical infrastructure facilities, including the security equipment, devices and appliances protecting it, are supported by backup power systems (e.g., batteries, generators, fuel cells).</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89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9-9-1028</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Public Safety and Property Managers should engage in preventative maintenance programs for network site support systems including emergency power generators, UPS, DC plant (including batteries), HVAC units, and fire suppression systems.</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71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9-9-5113</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Public Safety and Property Managers, when feasible, should provide multiple cable entry points at critical facilities (e.g., copper or fiber conduit) avoiding single points of failure (SPOF).</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917"/>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9-7-0650</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and Property Managers should place strong emphasis on human activities related to the operation of power systems (e.g., maintenance procedures, alarm system operation, response procedures, and training) for operations personnel.</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66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9-9-0401</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and Public Safety should monitor their network to enable quick response to network issues.</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107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9-9-0574</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and Public Safety should actively monitor and manage the 9-1-1 network components using network management controls, where available, to quickly restore 9-1-1 service and provide priority repair during network failure events. When multiple interconnecting providers and vendors are involved, they will need to cooperate to provide end-to-end analysis of complex call-handling problems.</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Wireline</w:t>
            </w:r>
          </w:p>
        </w:tc>
      </w:tr>
      <w:tr w:rsidR="0031189B" w:rsidRPr="00EE1BBB" w:rsidTr="00B34AE9">
        <w:trPr>
          <w:trHeight w:val="8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9-9-0577</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and Public Safety responsible for Public Safety Answering Point (PSAP) operations should jointly and periodically test and verify that critical components (e.g., automatic re-routes, PSAP Make Busy keys) included in contingency plans work as designed.</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Wireless; Wireline</w:t>
            </w:r>
          </w:p>
        </w:tc>
      </w:tr>
      <w:tr w:rsidR="0031189B" w:rsidRPr="00EE1BBB" w:rsidTr="00B34AE9">
        <w:trPr>
          <w:trHeight w:val="62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9-9-0758</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and Public Safety should, upon restoration of service in the case of an outage where 9-1-1 call completion is affected, make/request multiple test calls to the affected PSAP(s) to ensure proper completion.</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Wireless; Wireline</w:t>
            </w:r>
          </w:p>
        </w:tc>
      </w:tr>
      <w:tr w:rsidR="0031189B" w:rsidRPr="00EE1BBB" w:rsidTr="0031189B">
        <w:trPr>
          <w:trHeight w:val="57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9-9-0786</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and Public Safety should consider allowing Equipment Suppliers or third party Service Providers remote secured access to vital hardware components.</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B34AE9">
        <w:trPr>
          <w:trHeight w:val="827"/>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9-9-1022</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Public Safety, and Equipment Suppliers should consider the development of a vital records program to protect vital records that may be critical to restoration efforts.</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917"/>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9-9-1033</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should develop a strategy for deployment of emergency mobile assets such as Cell on Wheels (COWs), cellular repeaters, Switch on Wheels (SOWs), transportable satellite terminals, microwave equipment, power generators, HVAC units, etc. for emergency use or service augmentation for planned events (e.g., National Special Security Event (NSSE)).</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971"/>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96D37" w:rsidRPr="004636D8" w:rsidRDefault="00396D37" w:rsidP="00555A8D">
            <w:pPr>
              <w:jc w:val="center"/>
              <w:rPr>
                <w:color w:val="000000"/>
                <w:sz w:val="20"/>
              </w:rPr>
            </w:pPr>
            <w:r w:rsidRPr="004636D8">
              <w:rPr>
                <w:color w:val="000000"/>
                <w:sz w:val="20"/>
              </w:rPr>
              <w:t>9-9-5204</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Service Providers, Network Operators, Public Safety and Property Managers should ensure availability of emergency/backup power (e.g., batteries, generators, fuel cells) to maintain critical communications services during times of commercial power failures, including natural and manmade occurrences (e.g., earthquakes, floods, fires, power brown/black outs, terrorism).  The emergency/backup power generators should be located onsite, when appropriate.</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r w:rsidR="0031189B" w:rsidRPr="00EE1BBB" w:rsidTr="0031189B">
        <w:trPr>
          <w:trHeight w:val="1268"/>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396D37" w:rsidRPr="004636D8" w:rsidRDefault="00396D37" w:rsidP="00555A8D">
            <w:pPr>
              <w:jc w:val="center"/>
              <w:rPr>
                <w:color w:val="000000"/>
                <w:sz w:val="20"/>
              </w:rPr>
            </w:pPr>
            <w:r w:rsidRPr="004636D8">
              <w:rPr>
                <w:color w:val="000000"/>
                <w:sz w:val="20"/>
              </w:rPr>
              <w:t>9-9-5207</w:t>
            </w:r>
          </w:p>
        </w:tc>
        <w:tc>
          <w:tcPr>
            <w:tcW w:w="3989"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555A8D">
            <w:pPr>
              <w:rPr>
                <w:color w:val="000000"/>
                <w:sz w:val="20"/>
              </w:rPr>
            </w:pPr>
            <w:r w:rsidRPr="004636D8">
              <w:rPr>
                <w:color w:val="000000"/>
                <w:sz w:val="20"/>
              </w:rPr>
              <w:t>Network Operators, Service Providers, Public Safety and Property Managers should take appropriate precautions to ensure that fuel supplies and alternate sources of power are available for critical installations in the event of major disruptions in a geographic area (e.g., hurricane, earthquake, pipeline disruption). Consider contingency contracts in advance with clear terms and conditions (e.g., Delivery time commitments, T&amp;Cs).</w:t>
            </w:r>
          </w:p>
        </w:tc>
        <w:tc>
          <w:tcPr>
            <w:tcW w:w="661" w:type="pct"/>
            <w:tcBorders>
              <w:top w:val="nil"/>
              <w:left w:val="nil"/>
              <w:bottom w:val="single" w:sz="4" w:space="0" w:color="auto"/>
              <w:right w:val="single" w:sz="4" w:space="0" w:color="auto"/>
            </w:tcBorders>
            <w:shd w:val="clear" w:color="auto" w:fill="auto"/>
            <w:vAlign w:val="center"/>
            <w:hideMark/>
          </w:tcPr>
          <w:p w:rsidR="00396D37" w:rsidRPr="004636D8" w:rsidRDefault="00396D37" w:rsidP="00396D37">
            <w:pPr>
              <w:rPr>
                <w:color w:val="000000"/>
                <w:sz w:val="20"/>
              </w:rPr>
            </w:pPr>
            <w:r w:rsidRPr="004636D8">
              <w:rPr>
                <w:color w:val="000000"/>
                <w:sz w:val="20"/>
              </w:rPr>
              <w:t>Cable; Internet/Data; Satellite; Wireless; Wireline</w:t>
            </w:r>
          </w:p>
        </w:tc>
      </w:tr>
    </w:tbl>
    <w:p w:rsidR="00B42B7D" w:rsidRDefault="00B42B7D"/>
    <w:sectPr w:rsidR="00B42B7D" w:rsidSect="00B34AE9">
      <w:headerReference w:type="first" r:id="rId16"/>
      <w:endnotePr>
        <w:numFmt w:val="decimal"/>
      </w:endnotePr>
      <w:pgSz w:w="15840" w:h="12240" w:orient="landscape" w:code="1"/>
      <w:pgMar w:top="1440" w:right="1440" w:bottom="1440" w:left="81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43" w:rsidRDefault="00C90143" w:rsidP="001A3AB2">
      <w:r>
        <w:separator/>
      </w:r>
    </w:p>
  </w:endnote>
  <w:endnote w:type="continuationSeparator" w:id="0">
    <w:p w:rsidR="00C90143" w:rsidRDefault="00C90143" w:rsidP="001A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B6" w:rsidRDefault="00F650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30B6" w:rsidRDefault="00D23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B6" w:rsidRDefault="00F650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998">
      <w:rPr>
        <w:rStyle w:val="PageNumber"/>
        <w:noProof/>
      </w:rPr>
      <w:t>2</w:t>
    </w:r>
    <w:r>
      <w:rPr>
        <w:rStyle w:val="PageNumber"/>
      </w:rPr>
      <w:fldChar w:fldCharType="end"/>
    </w:r>
  </w:p>
  <w:p w:rsidR="009E30B6" w:rsidRDefault="00F6500C">
    <w:pPr>
      <w:pStyle w:val="Footer"/>
      <w:tabs>
        <w:tab w:val="clear" w:pos="4320"/>
        <w:tab w:val="clear" w:pos="8640"/>
        <w:tab w:val="left" w:pos="2890"/>
        <w:tab w:val="center" w:pos="4680"/>
        <w:tab w:val="right" w:pos="9180"/>
      </w:tabs>
    </w:pPr>
    <w:r>
      <w:tab/>
    </w:r>
    <w: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67703"/>
      <w:docPartObj>
        <w:docPartGallery w:val="Page Numbers (Bottom of Page)"/>
        <w:docPartUnique/>
      </w:docPartObj>
    </w:sdtPr>
    <w:sdtEndPr>
      <w:rPr>
        <w:noProof/>
      </w:rPr>
    </w:sdtEndPr>
    <w:sdtContent>
      <w:p w:rsidR="002C5D54" w:rsidRDefault="002C5D54">
        <w:pPr>
          <w:pStyle w:val="Footer"/>
          <w:jc w:val="center"/>
        </w:pPr>
        <w:r>
          <w:fldChar w:fldCharType="begin"/>
        </w:r>
        <w:r>
          <w:instrText xml:space="preserve"> PAGE   \* MERGEFORMAT </w:instrText>
        </w:r>
        <w:r>
          <w:fldChar w:fldCharType="separate"/>
        </w:r>
        <w:r w:rsidR="00D23998">
          <w:rPr>
            <w:noProof/>
          </w:rPr>
          <w:t>1</w:t>
        </w:r>
        <w:r>
          <w:rPr>
            <w:noProof/>
          </w:rPr>
          <w:fldChar w:fldCharType="end"/>
        </w:r>
      </w:p>
    </w:sdtContent>
  </w:sdt>
  <w:p w:rsidR="009E30B6" w:rsidRDefault="00D23998">
    <w:pPr>
      <w:pStyle w:val="Footer"/>
      <w:tabs>
        <w:tab w:val="clear" w:pos="8640"/>
        <w:tab w:val="right" w:pos="9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43" w:rsidRDefault="00C90143" w:rsidP="001A3AB2">
      <w:r>
        <w:separator/>
      </w:r>
    </w:p>
  </w:footnote>
  <w:footnote w:type="continuationSeparator" w:id="0">
    <w:p w:rsidR="00C90143" w:rsidRDefault="00C90143" w:rsidP="001A3AB2">
      <w:r>
        <w:continuationSeparator/>
      </w:r>
    </w:p>
  </w:footnote>
  <w:footnote w:id="1">
    <w:p w:rsidR="001A3AB2" w:rsidRPr="00FA1A97" w:rsidRDefault="001A3AB2" w:rsidP="001A3AB2">
      <w:pPr>
        <w:pStyle w:val="FootnoteText"/>
        <w:rPr>
          <w:sz w:val="20"/>
        </w:rPr>
      </w:pPr>
      <w:r w:rsidRPr="004636D8">
        <w:rPr>
          <w:rStyle w:val="FootnoteReference"/>
          <w:sz w:val="20"/>
        </w:rPr>
        <w:footnoteRef/>
      </w:r>
      <w:r w:rsidRPr="004636D8">
        <w:rPr>
          <w:sz w:val="20"/>
        </w:rPr>
        <w:t xml:space="preserve"> </w:t>
      </w:r>
      <w:r w:rsidRPr="0062603E">
        <w:rPr>
          <w:sz w:val="20"/>
        </w:rPr>
        <w:t xml:space="preserve">FCC, Communications Security, Reliability, and Interoperability Council, </w:t>
      </w:r>
      <w:hyperlink r:id="rId1" w:history="1">
        <w:r w:rsidR="000C4D45" w:rsidRPr="0062603E">
          <w:rPr>
            <w:rStyle w:val="Hyperlink"/>
            <w:sz w:val="20"/>
          </w:rPr>
          <w:t>https://www.fcc.gov/about-fcc/advisory-committees/communications-security-reliability-and-interoperability-council-0</w:t>
        </w:r>
      </w:hyperlink>
      <w:r w:rsidR="000C4D45" w:rsidRPr="0062603E">
        <w:rPr>
          <w:sz w:val="20"/>
        </w:rPr>
        <w:t xml:space="preserve"> </w:t>
      </w:r>
      <w:r w:rsidRPr="0062603E">
        <w:rPr>
          <w:sz w:val="20"/>
        </w:rPr>
        <w:t xml:space="preserve">(last visited </w:t>
      </w:r>
      <w:r w:rsidR="004636D8" w:rsidRPr="0062603E">
        <w:rPr>
          <w:sz w:val="20"/>
        </w:rPr>
        <w:t>Sept</w:t>
      </w:r>
      <w:r w:rsidR="000E293F" w:rsidRPr="0062603E">
        <w:rPr>
          <w:sz w:val="20"/>
        </w:rPr>
        <w:t xml:space="preserve">. </w:t>
      </w:r>
      <w:r w:rsidRPr="0062603E">
        <w:rPr>
          <w:sz w:val="20"/>
        </w:rPr>
        <w:t>2</w:t>
      </w:r>
      <w:r w:rsidR="0081095F" w:rsidRPr="0062603E">
        <w:rPr>
          <w:sz w:val="20"/>
        </w:rPr>
        <w:t>9</w:t>
      </w:r>
      <w:r w:rsidRPr="0062603E">
        <w:rPr>
          <w:sz w:val="20"/>
        </w:rPr>
        <w:t>, 2017).</w:t>
      </w:r>
    </w:p>
  </w:footnote>
  <w:footnote w:id="2">
    <w:p w:rsidR="00D33909" w:rsidRPr="0048051A" w:rsidRDefault="00D33909" w:rsidP="00D33909">
      <w:pPr>
        <w:pStyle w:val="FootnoteText"/>
        <w:rPr>
          <w:sz w:val="20"/>
        </w:rPr>
      </w:pPr>
      <w:r w:rsidRPr="004636D8">
        <w:rPr>
          <w:rStyle w:val="FootnoteReference"/>
          <w:sz w:val="20"/>
        </w:rPr>
        <w:footnoteRef/>
      </w:r>
      <w:r w:rsidRPr="004636D8">
        <w:rPr>
          <w:sz w:val="20"/>
        </w:rPr>
        <w:t xml:space="preserve"> </w:t>
      </w:r>
      <w:r w:rsidRPr="0062603E">
        <w:rPr>
          <w:sz w:val="20"/>
        </w:rPr>
        <w:t xml:space="preserve">FCC Open Data, CSRIC Best Practices, </w:t>
      </w:r>
      <w:hyperlink r:id="rId2" w:history="1">
        <w:r w:rsidRPr="0062603E">
          <w:rPr>
            <w:rStyle w:val="Hyperlink"/>
            <w:sz w:val="20"/>
          </w:rPr>
          <w:t>https://opendata.fcc.gov/Public-Safety/CSRIC-Best-Practices/qb45-rw2t/data</w:t>
        </w:r>
      </w:hyperlink>
      <w:r w:rsidRPr="0062603E">
        <w:rPr>
          <w:sz w:val="20"/>
        </w:rPr>
        <w:t xml:space="preserve"> (last visited Sept. 29, 2017).</w:t>
      </w:r>
    </w:p>
  </w:footnote>
  <w:footnote w:id="3">
    <w:p w:rsidR="00730146" w:rsidRDefault="00730146" w:rsidP="00730146">
      <w:pPr>
        <w:pStyle w:val="FootnoteText"/>
      </w:pPr>
      <w:r w:rsidRPr="0048051A">
        <w:rPr>
          <w:rStyle w:val="FootnoteReference"/>
          <w:sz w:val="20"/>
        </w:rPr>
        <w:footnoteRef/>
      </w:r>
      <w:r w:rsidRPr="0048051A">
        <w:rPr>
          <w:sz w:val="20"/>
        </w:rPr>
        <w:t xml:space="preserve"> </w:t>
      </w:r>
      <w:r>
        <w:rPr>
          <w:sz w:val="20"/>
        </w:rPr>
        <w:t>NORS is a w</w:t>
      </w:r>
      <w:r w:rsidRPr="0048051A">
        <w:rPr>
          <w:sz w:val="20"/>
        </w:rPr>
        <w:t xml:space="preserve">eb-based filing system through which communications providers are required to electronically report information about significant disruptions or outages to their communications systems affecting a certain number of customers over a specified amount of time set forth in Part 4 of the FCC’s rules (47 C.F.R. </w:t>
      </w:r>
      <w:r>
        <w:rPr>
          <w:sz w:val="20"/>
        </w:rPr>
        <w:t>pt.</w:t>
      </w:r>
      <w:r w:rsidRPr="0048051A">
        <w:rPr>
          <w:sz w:val="20"/>
        </w:rPr>
        <w:t xml:space="preserve"> 4).</w:t>
      </w:r>
    </w:p>
  </w:footnote>
  <w:footnote w:id="4">
    <w:p w:rsidR="00A623DF" w:rsidRDefault="00A623DF">
      <w:pPr>
        <w:pStyle w:val="FootnoteText"/>
      </w:pPr>
      <w:r>
        <w:rPr>
          <w:rStyle w:val="FootnoteReference"/>
        </w:rPr>
        <w:footnoteRef/>
      </w:r>
      <w:r>
        <w:t xml:space="preserve"> </w:t>
      </w:r>
      <w:bookmarkStart w:id="3" w:name="_Hlk495050868"/>
      <w:r w:rsidRPr="002300D6">
        <w:rPr>
          <w:sz w:val="20"/>
        </w:rPr>
        <w:t xml:space="preserve">The Bureau reviewed all the </w:t>
      </w:r>
      <w:r w:rsidR="00E01A8B">
        <w:rPr>
          <w:sz w:val="20"/>
        </w:rPr>
        <w:t>CSRIC best practices identified b</w:t>
      </w:r>
      <w:r w:rsidRPr="002300D6">
        <w:rPr>
          <w:sz w:val="20"/>
        </w:rPr>
        <w:t>y</w:t>
      </w:r>
      <w:r w:rsidR="00233B22">
        <w:rPr>
          <w:sz w:val="20"/>
        </w:rPr>
        <w:t xml:space="preserve"> all s</w:t>
      </w:r>
      <w:r w:rsidRPr="002300D6">
        <w:rPr>
          <w:sz w:val="20"/>
        </w:rPr>
        <w:t xml:space="preserve">ervices providers in their outage reports </w:t>
      </w:r>
      <w:r w:rsidRPr="0043623F">
        <w:rPr>
          <w:sz w:val="20"/>
        </w:rPr>
        <w:t>from</w:t>
      </w:r>
      <w:r w:rsidRPr="002300D6">
        <w:rPr>
          <w:sz w:val="20"/>
        </w:rPr>
        <w:t xml:space="preserve"> last five years </w:t>
      </w:r>
      <w:r w:rsidR="00E01A8B">
        <w:rPr>
          <w:sz w:val="20"/>
        </w:rPr>
        <w:t xml:space="preserve">except those filed by </w:t>
      </w:r>
      <w:r w:rsidR="008E0618">
        <w:rPr>
          <w:sz w:val="20"/>
        </w:rPr>
        <w:t xml:space="preserve">nationwide </w:t>
      </w:r>
      <w:r w:rsidR="00966407">
        <w:rPr>
          <w:sz w:val="20"/>
        </w:rPr>
        <w:t xml:space="preserve">communications </w:t>
      </w:r>
      <w:r w:rsidR="008E0618">
        <w:rPr>
          <w:sz w:val="20"/>
        </w:rPr>
        <w:t>providers</w:t>
      </w:r>
      <w:r w:rsidR="009E32EB">
        <w:rPr>
          <w:sz w:val="20"/>
        </w:rPr>
        <w:t>.</w:t>
      </w:r>
      <w:bookmarkEnd w:id="3"/>
    </w:p>
  </w:footnote>
  <w:footnote w:id="5">
    <w:p w:rsidR="002C5D54" w:rsidRPr="00D879F9" w:rsidRDefault="002C5D54" w:rsidP="00D879F9">
      <w:r w:rsidRPr="00B34AE9">
        <w:rPr>
          <w:rStyle w:val="FootnoteReference"/>
          <w:sz w:val="20"/>
        </w:rPr>
        <w:footnoteRef/>
      </w:r>
      <w:r w:rsidRPr="00B34AE9">
        <w:rPr>
          <w:sz w:val="20"/>
        </w:rPr>
        <w:t xml:space="preserve"> </w:t>
      </w:r>
      <w:r w:rsidR="006748DF" w:rsidRPr="0062603E">
        <w:rPr>
          <w:sz w:val="20"/>
        </w:rPr>
        <w:t xml:space="preserve">See Best Practices Numbering Format at </w:t>
      </w:r>
      <w:hyperlink r:id="rId3" w:anchor="4" w:history="1">
        <w:r w:rsidR="006748DF" w:rsidRPr="0062603E">
          <w:rPr>
            <w:rStyle w:val="Hyperlink"/>
            <w:sz w:val="20"/>
          </w:rPr>
          <w:t>http://www.atis.org/bestpractices/Tutorial.aspx#4</w:t>
        </w:r>
      </w:hyperlink>
      <w:r w:rsidR="006748DF" w:rsidRPr="0062603E">
        <w:rPr>
          <w:sz w:val="20"/>
        </w:rPr>
        <w:t xml:space="preserve"> (last visited Sept. 29, 2017).</w:t>
      </w:r>
      <w:r w:rsidR="006748DF">
        <w:rPr>
          <w:sz w:val="20"/>
        </w:rPr>
        <w:t xml:space="preserve">  </w:t>
      </w:r>
    </w:p>
  </w:footnote>
  <w:footnote w:id="6">
    <w:p w:rsidR="002021C3" w:rsidRDefault="002021C3">
      <w:pPr>
        <w:pStyle w:val="FootnoteText"/>
      </w:pPr>
      <w:r w:rsidRPr="00B34AE9">
        <w:rPr>
          <w:rStyle w:val="FootnoteReference"/>
          <w:sz w:val="20"/>
        </w:rPr>
        <w:footnoteRef/>
      </w:r>
      <w:r w:rsidRPr="00B34AE9">
        <w:rPr>
          <w:sz w:val="20"/>
        </w:rPr>
        <w:t xml:space="preserve"> </w:t>
      </w:r>
      <w:r w:rsidR="00B4641B" w:rsidRPr="00B34AE9">
        <w:rPr>
          <w:sz w:val="20"/>
        </w:rPr>
        <w:t xml:space="preserve">Relevant </w:t>
      </w:r>
      <w:r w:rsidR="00B42B7D">
        <w:rPr>
          <w:sz w:val="20"/>
        </w:rPr>
        <w:t xml:space="preserve">types of </w:t>
      </w:r>
      <w:r w:rsidR="00B4641B" w:rsidRPr="00B34AE9">
        <w:rPr>
          <w:sz w:val="20"/>
        </w:rPr>
        <w:t>c</w:t>
      </w:r>
      <w:r w:rsidRPr="00B34AE9">
        <w:rPr>
          <w:sz w:val="20"/>
        </w:rPr>
        <w:t>ommunications network</w:t>
      </w:r>
      <w:r w:rsidR="00B4641B" w:rsidRPr="00B34AE9">
        <w:rPr>
          <w:sz w:val="20"/>
        </w:rPr>
        <w:t>s</w:t>
      </w:r>
      <w:r w:rsidRPr="00B34AE9">
        <w:rPr>
          <w:sz w:val="20"/>
        </w:rPr>
        <w:t xml:space="preserve"> </w:t>
      </w:r>
      <w:r w:rsidR="00B4641B" w:rsidRPr="00B34AE9">
        <w:rPr>
          <w:sz w:val="20"/>
        </w:rPr>
        <w:t xml:space="preserve">applicable to each best </w:t>
      </w:r>
      <w:r w:rsidR="00BB5620" w:rsidRPr="00B34AE9">
        <w:rPr>
          <w:sz w:val="20"/>
        </w:rPr>
        <w:t>practice</w:t>
      </w:r>
      <w:r w:rsidR="00B4641B" w:rsidRPr="00B34AE9">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9E" w:rsidRDefault="001B2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9E" w:rsidRDefault="001B2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C8" w:rsidRPr="006C4DDF" w:rsidRDefault="00F6500C" w:rsidP="006C4DDF">
    <w:pPr>
      <w:pStyle w:val="Header"/>
      <w:tabs>
        <w:tab w:val="clear" w:pos="4320"/>
        <w:tab w:val="clear" w:pos="8640"/>
      </w:tabs>
      <w:spacing w:before="40"/>
      <w:rPr>
        <w:rFonts w:ascii="News Gothic MT" w:hAnsi="News Gothic MT"/>
        <w:b/>
        <w:bCs/>
        <w:kern w:val="28"/>
        <w:sz w:val="96"/>
        <w:szCs w:val="96"/>
      </w:rPr>
    </w:pPr>
    <w:r>
      <w:rPr>
        <w:noProof/>
      </w:rPr>
      <w:drawing>
        <wp:inline distT="0" distB="0" distL="0" distR="0" wp14:anchorId="036EDC9B" wp14:editId="4F11E7A5">
          <wp:extent cx="530225" cy="530225"/>
          <wp:effectExtent l="0" t="0" r="3175" b="3175"/>
          <wp:docPr id="22" name="Picture 2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Pr="008A2419">
      <w:rPr>
        <w:rFonts w:ascii="News Gothic MT" w:hAnsi="News Gothic MT"/>
        <w:b/>
        <w:bCs/>
        <w:kern w:val="28"/>
        <w:sz w:val="96"/>
        <w:szCs w:val="96"/>
      </w:rPr>
      <w:t xml:space="preserve"> PUBLIC NOTICE</w:t>
    </w:r>
  </w:p>
  <w:p w:rsidR="009E30B6" w:rsidRDefault="00F6500C" w:rsidP="008B0DC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14:anchorId="7CF08DC3" wp14:editId="337B7677">
              <wp:simplePos x="0" y="0"/>
              <wp:positionH relativeFrom="margin">
                <wp:posOffset>638175</wp:posOffset>
              </wp:positionH>
              <wp:positionV relativeFrom="paragraph">
                <wp:posOffset>33655</wp:posOffset>
              </wp:positionV>
              <wp:extent cx="2743200" cy="6591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DC8" w:rsidRDefault="00F6500C" w:rsidP="008B0DC8">
                          <w:pPr>
                            <w:rPr>
                              <w:rFonts w:ascii="Arial" w:hAnsi="Arial"/>
                              <w:b/>
                            </w:rPr>
                          </w:pPr>
                          <w:r>
                            <w:rPr>
                              <w:rFonts w:ascii="Arial" w:hAnsi="Arial"/>
                              <w:b/>
                            </w:rPr>
                            <w:t>Federal Communications Commission</w:t>
                          </w:r>
                        </w:p>
                        <w:p w:rsidR="008B0DC8" w:rsidRDefault="00F6500C" w:rsidP="008B0DC8">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8B0DC8" w:rsidRDefault="00F6500C" w:rsidP="008B0DC8">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7CF08DC3" id="_x0000_t202" coordsize="21600,21600" o:spt="202" path="m,l,21600r21600,l21600,xe">
              <v:stroke joinstyle="miter"/>
              <v:path gradientshapeok="t" o:connecttype="rect"/>
            </v:shapetype>
            <v:shape id="Text Box 1" o:spid="_x0000_s1026" type="#_x0000_t202" style="position:absolute;left:0;text-align:left;margin-left:50.25pt;margin-top:2.65pt;width:3in;height:5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Z9h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" stroked="f">
              <v:textbox>
                <w:txbxContent>
                  <w:p w:rsidR="008B0DC8" w:rsidRDefault="00F6500C" w:rsidP="008B0DC8">
                    <w:pPr>
                      <w:rPr>
                        <w:rFonts w:ascii="Arial" w:hAnsi="Arial"/>
                        <w:b/>
                      </w:rPr>
                    </w:pPr>
                    <w:r>
                      <w:rPr>
                        <w:rFonts w:ascii="Arial" w:hAnsi="Arial"/>
                        <w:b/>
                      </w:rPr>
                      <w:t>Federal Communications Commission</w:t>
                    </w:r>
                  </w:p>
                  <w:p w:rsidR="008B0DC8" w:rsidRDefault="00F6500C" w:rsidP="008B0DC8">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8B0DC8" w:rsidRDefault="00F6500C" w:rsidP="008B0DC8">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227C7A31" wp14:editId="1C685DCE">
              <wp:simplePos x="0" y="0"/>
              <wp:positionH relativeFrom="column">
                <wp:posOffset>3937635</wp:posOffset>
              </wp:positionH>
              <wp:positionV relativeFrom="paragraph">
                <wp:posOffset>76200</wp:posOffset>
              </wp:positionV>
              <wp:extent cx="2171700" cy="548640"/>
              <wp:effectExtent l="381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DC8" w:rsidRDefault="00F6500C" w:rsidP="008B0DC8">
                          <w:pPr>
                            <w:spacing w:before="40"/>
                            <w:jc w:val="right"/>
                            <w:rPr>
                              <w:rFonts w:ascii="Arial" w:hAnsi="Arial"/>
                              <w:b/>
                              <w:sz w:val="16"/>
                            </w:rPr>
                          </w:pPr>
                          <w:r>
                            <w:rPr>
                              <w:rFonts w:ascii="Arial" w:hAnsi="Arial"/>
                              <w:b/>
                              <w:sz w:val="16"/>
                            </w:rPr>
                            <w:t>News Media Information 202 / 418-0500</w:t>
                          </w:r>
                        </w:p>
                        <w:p w:rsidR="008B0DC8" w:rsidRDefault="00F6500C" w:rsidP="008B0DC8">
                          <w:pPr>
                            <w:jc w:val="right"/>
                            <w:rPr>
                              <w:rFonts w:ascii="Arial" w:hAnsi="Arial"/>
                              <w:b/>
                              <w:sz w:val="16"/>
                            </w:rPr>
                          </w:pPr>
                          <w:r>
                            <w:rPr>
                              <w:rFonts w:ascii="Arial" w:hAnsi="Arial"/>
                              <w:b/>
                              <w:sz w:val="16"/>
                            </w:rPr>
                            <w:tab/>
                            <w:t>Internet: http://www.fcc.gov</w:t>
                          </w:r>
                        </w:p>
                        <w:p w:rsidR="008B0DC8" w:rsidRDefault="00F6500C" w:rsidP="008B0DC8">
                          <w:pPr>
                            <w:jc w:val="right"/>
                            <w:rPr>
                              <w:rFonts w:ascii="Arial" w:hAnsi="Arial"/>
                              <w:b/>
                              <w:sz w:val="16"/>
                            </w:rPr>
                          </w:pPr>
                          <w:r>
                            <w:rPr>
                              <w:rFonts w:ascii="Arial" w:hAnsi="Arial"/>
                              <w:b/>
                              <w:sz w:val="16"/>
                            </w:rPr>
                            <w:t>TTY: 1-888-835-5322</w:t>
                          </w:r>
                        </w:p>
                        <w:p w:rsidR="008B0DC8" w:rsidRDefault="00D23998" w:rsidP="008B0DC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27C7A31" id="Text Box 3" o:spid="_x0000_s1027" type="#_x0000_t202" style="position:absolute;left:0;text-align:left;margin-left:310.05pt;margin-top:6pt;width:171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" stroked="f">
              <v:textbox inset=",0,,0">
                <w:txbxContent>
                  <w:p w:rsidR="008B0DC8" w:rsidRDefault="00F6500C" w:rsidP="008B0DC8">
                    <w:pPr>
                      <w:spacing w:before="40"/>
                      <w:jc w:val="right"/>
                      <w:rPr>
                        <w:rFonts w:ascii="Arial" w:hAnsi="Arial"/>
                        <w:b/>
                        <w:sz w:val="16"/>
                      </w:rPr>
                    </w:pPr>
                    <w:r>
                      <w:rPr>
                        <w:rFonts w:ascii="Arial" w:hAnsi="Arial"/>
                        <w:b/>
                        <w:sz w:val="16"/>
                      </w:rPr>
                      <w:t>News Media Information 202 / 418-0500</w:t>
                    </w:r>
                  </w:p>
                  <w:p w:rsidR="008B0DC8" w:rsidRDefault="00F6500C" w:rsidP="008B0DC8">
                    <w:pPr>
                      <w:jc w:val="right"/>
                      <w:rPr>
                        <w:rFonts w:ascii="Arial" w:hAnsi="Arial"/>
                        <w:b/>
                        <w:sz w:val="16"/>
                      </w:rPr>
                    </w:pPr>
                    <w:r>
                      <w:rPr>
                        <w:rFonts w:ascii="Arial" w:hAnsi="Arial"/>
                        <w:b/>
                        <w:sz w:val="16"/>
                      </w:rPr>
                      <w:tab/>
                      <w:t>Internet: http://www.fcc.gov</w:t>
                    </w:r>
                  </w:p>
                  <w:p w:rsidR="008B0DC8" w:rsidRDefault="00F6500C" w:rsidP="008B0DC8">
                    <w:pPr>
                      <w:jc w:val="right"/>
                      <w:rPr>
                        <w:rFonts w:ascii="Arial" w:hAnsi="Arial"/>
                        <w:b/>
                        <w:sz w:val="16"/>
                      </w:rPr>
                    </w:pPr>
                    <w:r>
                      <w:rPr>
                        <w:rFonts w:ascii="Arial" w:hAnsi="Arial"/>
                        <w:b/>
                        <w:sz w:val="16"/>
                      </w:rPr>
                      <w:t>TTY: 1-888-835-5322</w:t>
                    </w:r>
                  </w:p>
                  <w:p w:rsidR="008B0DC8" w:rsidRDefault="00C90143" w:rsidP="008B0DC8">
                    <w:pPr>
                      <w:jc w:val="right"/>
                    </w:pP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6AE35D8F" wp14:editId="2F8919DB">
              <wp:simplePos x="0" y="0"/>
              <wp:positionH relativeFrom="column">
                <wp:posOffset>0</wp:posOffset>
              </wp:positionH>
              <wp:positionV relativeFrom="paragraph">
                <wp:posOffset>697865</wp:posOffset>
              </wp:positionV>
              <wp:extent cx="6858000" cy="2540"/>
              <wp:effectExtent l="9525" t="12065" r="9525" b="139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2602EF9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qV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jHSpU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9264" behindDoc="0" locked="0" layoutInCell="0" allowOverlap="1" wp14:anchorId="39B1B768" wp14:editId="71D5EA3E">
              <wp:simplePos x="0" y="0"/>
              <wp:positionH relativeFrom="column">
                <wp:posOffset>0</wp:posOffset>
              </wp:positionH>
              <wp:positionV relativeFrom="paragraph">
                <wp:posOffset>697865</wp:posOffset>
              </wp:positionV>
              <wp:extent cx="6858000" cy="2540"/>
              <wp:effectExtent l="9525" t="1206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288046B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09D" w:rsidRDefault="00A5409D" w:rsidP="008B0DC8">
    <w:pPr>
      <w:pStyle w:val="Header"/>
      <w:tabs>
        <w:tab w:val="clear" w:pos="4320"/>
        <w:tab w:val="clear" w:pos="8640"/>
        <w:tab w:val="left" w:pos="1080"/>
      </w:tabs>
      <w:spacing w:line="1120" w:lineRule="exact"/>
      <w:ind w:left="720"/>
      <w:rPr>
        <w:rFonts w:ascii="Arial" w:hAnsi="Arial"/>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0E2"/>
    <w:multiLevelType w:val="hybridMultilevel"/>
    <w:tmpl w:val="CE3200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F48A3"/>
    <w:multiLevelType w:val="hybridMultilevel"/>
    <w:tmpl w:val="B1DA8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6345A6"/>
    <w:multiLevelType w:val="hybridMultilevel"/>
    <w:tmpl w:val="806C2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B2"/>
    <w:rsid w:val="00000C3D"/>
    <w:rsid w:val="000175B8"/>
    <w:rsid w:val="000219BA"/>
    <w:rsid w:val="00034B7C"/>
    <w:rsid w:val="00036EBF"/>
    <w:rsid w:val="0005510E"/>
    <w:rsid w:val="00091C3D"/>
    <w:rsid w:val="000C4D45"/>
    <w:rsid w:val="000E293F"/>
    <w:rsid w:val="000F7F8E"/>
    <w:rsid w:val="00130151"/>
    <w:rsid w:val="00152475"/>
    <w:rsid w:val="001814ED"/>
    <w:rsid w:val="001A3AB2"/>
    <w:rsid w:val="001B259E"/>
    <w:rsid w:val="002021C3"/>
    <w:rsid w:val="002300D6"/>
    <w:rsid w:val="00233B22"/>
    <w:rsid w:val="00260377"/>
    <w:rsid w:val="002644E2"/>
    <w:rsid w:val="0029096D"/>
    <w:rsid w:val="002B60E0"/>
    <w:rsid w:val="002C5D54"/>
    <w:rsid w:val="002E62FD"/>
    <w:rsid w:val="0031189B"/>
    <w:rsid w:val="003370C1"/>
    <w:rsid w:val="00367C68"/>
    <w:rsid w:val="0037558C"/>
    <w:rsid w:val="00396D37"/>
    <w:rsid w:val="0040159B"/>
    <w:rsid w:val="00414DAC"/>
    <w:rsid w:val="0043623F"/>
    <w:rsid w:val="00460383"/>
    <w:rsid w:val="004636D8"/>
    <w:rsid w:val="00465D73"/>
    <w:rsid w:val="00474806"/>
    <w:rsid w:val="0048051A"/>
    <w:rsid w:val="00482C8C"/>
    <w:rsid w:val="00542E86"/>
    <w:rsid w:val="00555A8D"/>
    <w:rsid w:val="00567458"/>
    <w:rsid w:val="00571C8B"/>
    <w:rsid w:val="005B6360"/>
    <w:rsid w:val="005C284A"/>
    <w:rsid w:val="005D7E7C"/>
    <w:rsid w:val="005E01BA"/>
    <w:rsid w:val="00605B32"/>
    <w:rsid w:val="00605F2E"/>
    <w:rsid w:val="0062603E"/>
    <w:rsid w:val="00647628"/>
    <w:rsid w:val="00661348"/>
    <w:rsid w:val="006748DF"/>
    <w:rsid w:val="006A0EAA"/>
    <w:rsid w:val="0072068F"/>
    <w:rsid w:val="00730146"/>
    <w:rsid w:val="0078655F"/>
    <w:rsid w:val="007A12A5"/>
    <w:rsid w:val="007C7B36"/>
    <w:rsid w:val="007F3F19"/>
    <w:rsid w:val="0081095F"/>
    <w:rsid w:val="0082479B"/>
    <w:rsid w:val="00841F3F"/>
    <w:rsid w:val="00852190"/>
    <w:rsid w:val="00881BC1"/>
    <w:rsid w:val="008C1DA5"/>
    <w:rsid w:val="008C3B3E"/>
    <w:rsid w:val="008E0618"/>
    <w:rsid w:val="00934171"/>
    <w:rsid w:val="0096346B"/>
    <w:rsid w:val="00966407"/>
    <w:rsid w:val="00981F7A"/>
    <w:rsid w:val="009A3944"/>
    <w:rsid w:val="009B21AD"/>
    <w:rsid w:val="009E32EB"/>
    <w:rsid w:val="00A107E1"/>
    <w:rsid w:val="00A5409D"/>
    <w:rsid w:val="00A623DF"/>
    <w:rsid w:val="00A75AA1"/>
    <w:rsid w:val="00A77A10"/>
    <w:rsid w:val="00A82656"/>
    <w:rsid w:val="00A90A3D"/>
    <w:rsid w:val="00AA39BC"/>
    <w:rsid w:val="00AD3AC1"/>
    <w:rsid w:val="00AE555E"/>
    <w:rsid w:val="00AF15C9"/>
    <w:rsid w:val="00AF75BD"/>
    <w:rsid w:val="00B06756"/>
    <w:rsid w:val="00B219AE"/>
    <w:rsid w:val="00B32D6C"/>
    <w:rsid w:val="00B34AE9"/>
    <w:rsid w:val="00B42B7D"/>
    <w:rsid w:val="00B4641B"/>
    <w:rsid w:val="00B649BE"/>
    <w:rsid w:val="00B65997"/>
    <w:rsid w:val="00B74721"/>
    <w:rsid w:val="00B862E1"/>
    <w:rsid w:val="00BB059A"/>
    <w:rsid w:val="00BB0E96"/>
    <w:rsid w:val="00BB3944"/>
    <w:rsid w:val="00BB5620"/>
    <w:rsid w:val="00BC6BAC"/>
    <w:rsid w:val="00BF53A2"/>
    <w:rsid w:val="00C11052"/>
    <w:rsid w:val="00C128FE"/>
    <w:rsid w:val="00C1611F"/>
    <w:rsid w:val="00C405AC"/>
    <w:rsid w:val="00C80EF3"/>
    <w:rsid w:val="00C90143"/>
    <w:rsid w:val="00CB0D26"/>
    <w:rsid w:val="00CC03F2"/>
    <w:rsid w:val="00CF7DCB"/>
    <w:rsid w:val="00D10D52"/>
    <w:rsid w:val="00D15E42"/>
    <w:rsid w:val="00D17509"/>
    <w:rsid w:val="00D23998"/>
    <w:rsid w:val="00D33909"/>
    <w:rsid w:val="00D34824"/>
    <w:rsid w:val="00D679FB"/>
    <w:rsid w:val="00D85BAD"/>
    <w:rsid w:val="00D879F9"/>
    <w:rsid w:val="00DF7899"/>
    <w:rsid w:val="00E01A8B"/>
    <w:rsid w:val="00E431EC"/>
    <w:rsid w:val="00E8049F"/>
    <w:rsid w:val="00E91D21"/>
    <w:rsid w:val="00EE1BBB"/>
    <w:rsid w:val="00F21DA8"/>
    <w:rsid w:val="00F3392D"/>
    <w:rsid w:val="00F47D3B"/>
    <w:rsid w:val="00F6500C"/>
    <w:rsid w:val="00F72607"/>
    <w:rsid w:val="00F82593"/>
    <w:rsid w:val="00FA1A97"/>
    <w:rsid w:val="00FB03A1"/>
    <w:rsid w:val="00FC6238"/>
    <w:rsid w:val="00F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B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3AB2"/>
    <w:pPr>
      <w:tabs>
        <w:tab w:val="center" w:pos="4320"/>
        <w:tab w:val="right" w:pos="8640"/>
      </w:tabs>
    </w:pPr>
  </w:style>
  <w:style w:type="character" w:customStyle="1" w:styleId="HeaderChar">
    <w:name w:val="Header Char"/>
    <w:basedOn w:val="DefaultParagraphFont"/>
    <w:link w:val="Header"/>
    <w:rsid w:val="001A3AB2"/>
    <w:rPr>
      <w:rFonts w:ascii="Times New Roman" w:eastAsia="Times New Roman" w:hAnsi="Times New Roman" w:cs="Times New Roman"/>
      <w:szCs w:val="20"/>
    </w:rPr>
  </w:style>
  <w:style w:type="paragraph" w:styleId="Footer">
    <w:name w:val="footer"/>
    <w:basedOn w:val="Normal"/>
    <w:link w:val="FooterChar"/>
    <w:uiPriority w:val="99"/>
    <w:rsid w:val="001A3AB2"/>
    <w:pPr>
      <w:tabs>
        <w:tab w:val="center" w:pos="4320"/>
        <w:tab w:val="right" w:pos="8640"/>
      </w:tabs>
    </w:pPr>
  </w:style>
  <w:style w:type="character" w:customStyle="1" w:styleId="FooterChar">
    <w:name w:val="Footer Char"/>
    <w:basedOn w:val="DefaultParagraphFont"/>
    <w:link w:val="Footer"/>
    <w:uiPriority w:val="99"/>
    <w:rsid w:val="001A3AB2"/>
    <w:rPr>
      <w:rFonts w:ascii="Times New Roman" w:eastAsia="Times New Roman" w:hAnsi="Times New Roman" w:cs="Times New Roman"/>
      <w:szCs w:val="20"/>
    </w:rPr>
  </w:style>
  <w:style w:type="character" w:styleId="Hyperlink">
    <w:name w:val="Hyperlink"/>
    <w:rsid w:val="001A3AB2"/>
    <w:rPr>
      <w:rFonts w:cs="Times New Roman"/>
      <w:color w:val="0000FF"/>
      <w:u w:val="single"/>
    </w:rPr>
  </w:style>
  <w:style w:type="character" w:styleId="FootnoteReference">
    <w:name w:val="footnote reference"/>
    <w:semiHidden/>
    <w:rsid w:val="001A3AB2"/>
    <w:rPr>
      <w:rFonts w:cs="Times New Roman"/>
      <w:vertAlign w:val="superscript"/>
    </w:rPr>
  </w:style>
  <w:style w:type="paragraph" w:styleId="FootnoteText">
    <w:name w:val="footnote text"/>
    <w:basedOn w:val="Normal"/>
    <w:link w:val="FootnoteTextChar"/>
    <w:semiHidden/>
    <w:rsid w:val="001A3AB2"/>
    <w:pPr>
      <w:tabs>
        <w:tab w:val="left" w:pos="720"/>
      </w:tabs>
      <w:spacing w:after="200"/>
    </w:pPr>
  </w:style>
  <w:style w:type="character" w:customStyle="1" w:styleId="FootnoteTextChar">
    <w:name w:val="Footnote Text Char"/>
    <w:basedOn w:val="DefaultParagraphFont"/>
    <w:link w:val="FootnoteText"/>
    <w:semiHidden/>
    <w:rsid w:val="001A3AB2"/>
    <w:rPr>
      <w:rFonts w:ascii="Times New Roman" w:eastAsia="Times New Roman" w:hAnsi="Times New Roman" w:cs="Times New Roman"/>
      <w:szCs w:val="20"/>
    </w:rPr>
  </w:style>
  <w:style w:type="character" w:styleId="PageNumber">
    <w:name w:val="page number"/>
    <w:rsid w:val="001A3AB2"/>
    <w:rPr>
      <w:rFonts w:cs="Times New Roman"/>
    </w:rPr>
  </w:style>
  <w:style w:type="paragraph" w:styleId="ListParagraph">
    <w:name w:val="List Paragraph"/>
    <w:basedOn w:val="Normal"/>
    <w:qFormat/>
    <w:rsid w:val="001A3AB2"/>
    <w:pPr>
      <w:ind w:left="720"/>
      <w:contextualSpacing/>
    </w:pPr>
  </w:style>
  <w:style w:type="character" w:customStyle="1" w:styleId="Mention1">
    <w:name w:val="Mention1"/>
    <w:basedOn w:val="DefaultParagraphFont"/>
    <w:uiPriority w:val="99"/>
    <w:semiHidden/>
    <w:unhideWhenUsed/>
    <w:rsid w:val="00555A8D"/>
    <w:rPr>
      <w:color w:val="2B579A"/>
      <w:shd w:val="clear" w:color="auto" w:fill="E6E6E6"/>
    </w:rPr>
  </w:style>
  <w:style w:type="character" w:styleId="CommentReference">
    <w:name w:val="annotation reference"/>
    <w:basedOn w:val="DefaultParagraphFont"/>
    <w:uiPriority w:val="99"/>
    <w:semiHidden/>
    <w:unhideWhenUsed/>
    <w:rsid w:val="00FA1A97"/>
    <w:rPr>
      <w:sz w:val="16"/>
      <w:szCs w:val="16"/>
    </w:rPr>
  </w:style>
  <w:style w:type="paragraph" w:styleId="CommentText">
    <w:name w:val="annotation text"/>
    <w:basedOn w:val="Normal"/>
    <w:link w:val="CommentTextChar"/>
    <w:uiPriority w:val="99"/>
    <w:semiHidden/>
    <w:unhideWhenUsed/>
    <w:rsid w:val="00FA1A97"/>
    <w:rPr>
      <w:sz w:val="20"/>
    </w:rPr>
  </w:style>
  <w:style w:type="character" w:customStyle="1" w:styleId="CommentTextChar">
    <w:name w:val="Comment Text Char"/>
    <w:basedOn w:val="DefaultParagraphFont"/>
    <w:link w:val="CommentText"/>
    <w:uiPriority w:val="99"/>
    <w:semiHidden/>
    <w:rsid w:val="00FA1A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1A97"/>
    <w:rPr>
      <w:b/>
      <w:bCs/>
    </w:rPr>
  </w:style>
  <w:style w:type="character" w:customStyle="1" w:styleId="CommentSubjectChar">
    <w:name w:val="Comment Subject Char"/>
    <w:basedOn w:val="CommentTextChar"/>
    <w:link w:val="CommentSubject"/>
    <w:uiPriority w:val="99"/>
    <w:semiHidden/>
    <w:rsid w:val="00FA1A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1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A9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E1BBB"/>
    <w:rPr>
      <w:color w:val="800080" w:themeColor="followedHyperlink"/>
      <w:u w:val="single"/>
    </w:rPr>
  </w:style>
  <w:style w:type="character" w:customStyle="1" w:styleId="UnresolvedMention">
    <w:name w:val="Unresolved Mention"/>
    <w:basedOn w:val="DefaultParagraphFont"/>
    <w:uiPriority w:val="99"/>
    <w:semiHidden/>
    <w:unhideWhenUsed/>
    <w:rsid w:val="000C4D4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B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3AB2"/>
    <w:pPr>
      <w:tabs>
        <w:tab w:val="center" w:pos="4320"/>
        <w:tab w:val="right" w:pos="8640"/>
      </w:tabs>
    </w:pPr>
  </w:style>
  <w:style w:type="character" w:customStyle="1" w:styleId="HeaderChar">
    <w:name w:val="Header Char"/>
    <w:basedOn w:val="DefaultParagraphFont"/>
    <w:link w:val="Header"/>
    <w:rsid w:val="001A3AB2"/>
    <w:rPr>
      <w:rFonts w:ascii="Times New Roman" w:eastAsia="Times New Roman" w:hAnsi="Times New Roman" w:cs="Times New Roman"/>
      <w:szCs w:val="20"/>
    </w:rPr>
  </w:style>
  <w:style w:type="paragraph" w:styleId="Footer">
    <w:name w:val="footer"/>
    <w:basedOn w:val="Normal"/>
    <w:link w:val="FooterChar"/>
    <w:uiPriority w:val="99"/>
    <w:rsid w:val="001A3AB2"/>
    <w:pPr>
      <w:tabs>
        <w:tab w:val="center" w:pos="4320"/>
        <w:tab w:val="right" w:pos="8640"/>
      </w:tabs>
    </w:pPr>
  </w:style>
  <w:style w:type="character" w:customStyle="1" w:styleId="FooterChar">
    <w:name w:val="Footer Char"/>
    <w:basedOn w:val="DefaultParagraphFont"/>
    <w:link w:val="Footer"/>
    <w:uiPriority w:val="99"/>
    <w:rsid w:val="001A3AB2"/>
    <w:rPr>
      <w:rFonts w:ascii="Times New Roman" w:eastAsia="Times New Roman" w:hAnsi="Times New Roman" w:cs="Times New Roman"/>
      <w:szCs w:val="20"/>
    </w:rPr>
  </w:style>
  <w:style w:type="character" w:styleId="Hyperlink">
    <w:name w:val="Hyperlink"/>
    <w:rsid w:val="001A3AB2"/>
    <w:rPr>
      <w:rFonts w:cs="Times New Roman"/>
      <w:color w:val="0000FF"/>
      <w:u w:val="single"/>
    </w:rPr>
  </w:style>
  <w:style w:type="character" w:styleId="FootnoteReference">
    <w:name w:val="footnote reference"/>
    <w:semiHidden/>
    <w:rsid w:val="001A3AB2"/>
    <w:rPr>
      <w:rFonts w:cs="Times New Roman"/>
      <w:vertAlign w:val="superscript"/>
    </w:rPr>
  </w:style>
  <w:style w:type="paragraph" w:styleId="FootnoteText">
    <w:name w:val="footnote text"/>
    <w:basedOn w:val="Normal"/>
    <w:link w:val="FootnoteTextChar"/>
    <w:semiHidden/>
    <w:rsid w:val="001A3AB2"/>
    <w:pPr>
      <w:tabs>
        <w:tab w:val="left" w:pos="720"/>
      </w:tabs>
      <w:spacing w:after="200"/>
    </w:pPr>
  </w:style>
  <w:style w:type="character" w:customStyle="1" w:styleId="FootnoteTextChar">
    <w:name w:val="Footnote Text Char"/>
    <w:basedOn w:val="DefaultParagraphFont"/>
    <w:link w:val="FootnoteText"/>
    <w:semiHidden/>
    <w:rsid w:val="001A3AB2"/>
    <w:rPr>
      <w:rFonts w:ascii="Times New Roman" w:eastAsia="Times New Roman" w:hAnsi="Times New Roman" w:cs="Times New Roman"/>
      <w:szCs w:val="20"/>
    </w:rPr>
  </w:style>
  <w:style w:type="character" w:styleId="PageNumber">
    <w:name w:val="page number"/>
    <w:rsid w:val="001A3AB2"/>
    <w:rPr>
      <w:rFonts w:cs="Times New Roman"/>
    </w:rPr>
  </w:style>
  <w:style w:type="paragraph" w:styleId="ListParagraph">
    <w:name w:val="List Paragraph"/>
    <w:basedOn w:val="Normal"/>
    <w:qFormat/>
    <w:rsid w:val="001A3AB2"/>
    <w:pPr>
      <w:ind w:left="720"/>
      <w:contextualSpacing/>
    </w:pPr>
  </w:style>
  <w:style w:type="character" w:customStyle="1" w:styleId="Mention1">
    <w:name w:val="Mention1"/>
    <w:basedOn w:val="DefaultParagraphFont"/>
    <w:uiPriority w:val="99"/>
    <w:semiHidden/>
    <w:unhideWhenUsed/>
    <w:rsid w:val="00555A8D"/>
    <w:rPr>
      <w:color w:val="2B579A"/>
      <w:shd w:val="clear" w:color="auto" w:fill="E6E6E6"/>
    </w:rPr>
  </w:style>
  <w:style w:type="character" w:styleId="CommentReference">
    <w:name w:val="annotation reference"/>
    <w:basedOn w:val="DefaultParagraphFont"/>
    <w:uiPriority w:val="99"/>
    <w:semiHidden/>
    <w:unhideWhenUsed/>
    <w:rsid w:val="00FA1A97"/>
    <w:rPr>
      <w:sz w:val="16"/>
      <w:szCs w:val="16"/>
    </w:rPr>
  </w:style>
  <w:style w:type="paragraph" w:styleId="CommentText">
    <w:name w:val="annotation text"/>
    <w:basedOn w:val="Normal"/>
    <w:link w:val="CommentTextChar"/>
    <w:uiPriority w:val="99"/>
    <w:semiHidden/>
    <w:unhideWhenUsed/>
    <w:rsid w:val="00FA1A97"/>
    <w:rPr>
      <w:sz w:val="20"/>
    </w:rPr>
  </w:style>
  <w:style w:type="character" w:customStyle="1" w:styleId="CommentTextChar">
    <w:name w:val="Comment Text Char"/>
    <w:basedOn w:val="DefaultParagraphFont"/>
    <w:link w:val="CommentText"/>
    <w:uiPriority w:val="99"/>
    <w:semiHidden/>
    <w:rsid w:val="00FA1A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1A97"/>
    <w:rPr>
      <w:b/>
      <w:bCs/>
    </w:rPr>
  </w:style>
  <w:style w:type="character" w:customStyle="1" w:styleId="CommentSubjectChar">
    <w:name w:val="Comment Subject Char"/>
    <w:basedOn w:val="CommentTextChar"/>
    <w:link w:val="CommentSubject"/>
    <w:uiPriority w:val="99"/>
    <w:semiHidden/>
    <w:rsid w:val="00FA1A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1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A9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E1BBB"/>
    <w:rPr>
      <w:color w:val="800080" w:themeColor="followedHyperlink"/>
      <w:u w:val="single"/>
    </w:rPr>
  </w:style>
  <w:style w:type="character" w:customStyle="1" w:styleId="UnresolvedMention">
    <w:name w:val="Unresolved Mention"/>
    <w:basedOn w:val="DefaultParagraphFont"/>
    <w:uiPriority w:val="99"/>
    <w:semiHidden/>
    <w:unhideWhenUsed/>
    <w:rsid w:val="000C4D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89623">
      <w:bodyDiv w:val="1"/>
      <w:marLeft w:val="0"/>
      <w:marRight w:val="0"/>
      <w:marTop w:val="0"/>
      <w:marBottom w:val="0"/>
      <w:divBdr>
        <w:top w:val="none" w:sz="0" w:space="0" w:color="auto"/>
        <w:left w:val="none" w:sz="0" w:space="0" w:color="auto"/>
        <w:bottom w:val="none" w:sz="0" w:space="0" w:color="auto"/>
        <w:right w:val="none" w:sz="0" w:space="0" w:color="auto"/>
      </w:divBdr>
    </w:div>
    <w:div w:id="1059211827">
      <w:bodyDiv w:val="1"/>
      <w:marLeft w:val="0"/>
      <w:marRight w:val="0"/>
      <w:marTop w:val="0"/>
      <w:marBottom w:val="0"/>
      <w:divBdr>
        <w:top w:val="none" w:sz="0" w:space="0" w:color="auto"/>
        <w:left w:val="none" w:sz="0" w:space="0" w:color="auto"/>
        <w:bottom w:val="none" w:sz="0" w:space="0" w:color="auto"/>
        <w:right w:val="none" w:sz="0" w:space="0" w:color="auto"/>
      </w:divBdr>
    </w:div>
    <w:div w:id="1103770826">
      <w:bodyDiv w:val="1"/>
      <w:marLeft w:val="0"/>
      <w:marRight w:val="0"/>
      <w:marTop w:val="0"/>
      <w:marBottom w:val="0"/>
      <w:divBdr>
        <w:top w:val="none" w:sz="0" w:space="0" w:color="auto"/>
        <w:left w:val="none" w:sz="0" w:space="0" w:color="auto"/>
        <w:bottom w:val="none" w:sz="0" w:space="0" w:color="auto"/>
        <w:right w:val="none" w:sz="0" w:space="0" w:color="auto"/>
      </w:divBdr>
    </w:div>
    <w:div w:id="1611624538">
      <w:bodyDiv w:val="1"/>
      <w:marLeft w:val="0"/>
      <w:marRight w:val="0"/>
      <w:marTop w:val="0"/>
      <w:marBottom w:val="0"/>
      <w:divBdr>
        <w:top w:val="none" w:sz="0" w:space="0" w:color="auto"/>
        <w:left w:val="none" w:sz="0" w:space="0" w:color="auto"/>
        <w:bottom w:val="none" w:sz="0" w:space="0" w:color="auto"/>
        <w:right w:val="none" w:sz="0" w:space="0" w:color="auto"/>
      </w:divBdr>
    </w:div>
    <w:div w:id="17404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teven.McKinnon@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nnifer.Holtz@fc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tis.org/bestpractices/Tutorial.aspx" TargetMode="External"/><Relationship Id="rId2" Type="http://schemas.openxmlformats.org/officeDocument/2006/relationships/hyperlink" Target="https://opendata.fcc.gov/Public-Safety/CSRIC-Best-Practices/qb45-rw2t/data" TargetMode="External"/><Relationship Id="rId1" Type="http://schemas.openxmlformats.org/officeDocument/2006/relationships/hyperlink" Target="https://www.fcc.gov/about-fcc/advisory-committees/communications-security-reliability-and-interoperability-council-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8745</Characters>
  <Application>Microsoft Office Word</Application>
  <DocSecurity>0</DocSecurity>
  <Lines>206</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2017-10-19T15:12:00Z</dcterms:created>
  <dcterms:modified xsi:type="dcterms:W3CDTF">2017-10-19T15:12:00Z</dcterms:modified>
  <cp:category> </cp:category>
  <cp:contentStatus> </cp:contentStatus>
</cp:coreProperties>
</file>