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8F29F" w14:textId="77777777" w:rsidR="00894BE1" w:rsidRPr="00693B99" w:rsidRDefault="00894BE1" w:rsidP="008D554D">
      <w:pPr>
        <w:jc w:val="right"/>
        <w:rPr>
          <w:b/>
          <w:szCs w:val="22"/>
        </w:rPr>
      </w:pPr>
      <w:bookmarkStart w:id="0" w:name="_GoBack"/>
      <w:bookmarkEnd w:id="0"/>
    </w:p>
    <w:p w14:paraId="46509DF8" w14:textId="4453FE88" w:rsidR="00253DD3" w:rsidRPr="00693B99" w:rsidRDefault="00286E1F" w:rsidP="00286E1F">
      <w:pPr>
        <w:ind w:left="7920"/>
        <w:jc w:val="center"/>
        <w:rPr>
          <w:b/>
          <w:szCs w:val="22"/>
        </w:rPr>
      </w:pPr>
      <w:r w:rsidRPr="00693B99">
        <w:rPr>
          <w:b/>
          <w:szCs w:val="22"/>
        </w:rPr>
        <w:t xml:space="preserve">       </w:t>
      </w:r>
      <w:r w:rsidR="00061FF5" w:rsidRPr="00693B99">
        <w:rPr>
          <w:b/>
          <w:szCs w:val="22"/>
        </w:rPr>
        <w:t>DA 17</w:t>
      </w:r>
      <w:r w:rsidRPr="00693B99">
        <w:rPr>
          <w:b/>
          <w:szCs w:val="22"/>
        </w:rPr>
        <w:t>-106</w:t>
      </w:r>
    </w:p>
    <w:p w14:paraId="1DC915A0" w14:textId="6E0EAEC7" w:rsidR="00D47505" w:rsidRPr="00693B99" w:rsidRDefault="00286E1F" w:rsidP="00286E1F">
      <w:pPr>
        <w:spacing w:before="60"/>
        <w:ind w:left="6480"/>
        <w:rPr>
          <w:b/>
          <w:szCs w:val="22"/>
        </w:rPr>
      </w:pPr>
      <w:r w:rsidRPr="00693B99">
        <w:rPr>
          <w:b/>
          <w:szCs w:val="22"/>
        </w:rPr>
        <w:t xml:space="preserve">    </w:t>
      </w:r>
      <w:r w:rsidR="00B338A9" w:rsidRPr="00693B99">
        <w:rPr>
          <w:b/>
          <w:szCs w:val="22"/>
        </w:rPr>
        <w:t xml:space="preserve">Released:  </w:t>
      </w:r>
      <w:r w:rsidRPr="00693B99">
        <w:rPr>
          <w:b/>
          <w:szCs w:val="22"/>
        </w:rPr>
        <w:t>January 27, 2017</w:t>
      </w:r>
    </w:p>
    <w:p w14:paraId="464F6F7F" w14:textId="77777777" w:rsidR="00127B5E" w:rsidRPr="00693B99" w:rsidRDefault="002D29AB" w:rsidP="002D29AB">
      <w:pPr>
        <w:tabs>
          <w:tab w:val="left" w:pos="5160"/>
        </w:tabs>
        <w:rPr>
          <w:szCs w:val="22"/>
        </w:rPr>
      </w:pPr>
      <w:r w:rsidRPr="00693B99">
        <w:rPr>
          <w:szCs w:val="22"/>
        </w:rPr>
        <w:tab/>
      </w:r>
    </w:p>
    <w:p w14:paraId="707522D7" w14:textId="77777777" w:rsidR="00974CD9" w:rsidRPr="00693B99" w:rsidRDefault="00974CD9" w:rsidP="003E2F38">
      <w:pPr>
        <w:widowControl/>
        <w:jc w:val="center"/>
        <w:rPr>
          <w:b/>
          <w:caps/>
          <w:szCs w:val="22"/>
        </w:rPr>
      </w:pPr>
      <w:r w:rsidRPr="00693B99">
        <w:rPr>
          <w:b/>
          <w:caps/>
          <w:szCs w:val="22"/>
        </w:rPr>
        <w:t>INCENTIVE AUCTION TASK FORCE AND MEDIA BUREAU ANNOUNCE</w:t>
      </w:r>
    </w:p>
    <w:p w14:paraId="58C68BCA" w14:textId="77777777" w:rsidR="00DD7D5C" w:rsidRPr="00693B99" w:rsidRDefault="001F6E04" w:rsidP="003E2F38">
      <w:pPr>
        <w:widowControl/>
        <w:jc w:val="center"/>
        <w:rPr>
          <w:b/>
          <w:caps/>
          <w:szCs w:val="22"/>
        </w:rPr>
      </w:pPr>
      <w:r w:rsidRPr="00693B99">
        <w:rPr>
          <w:b/>
          <w:caps/>
          <w:szCs w:val="22"/>
        </w:rPr>
        <w:t xml:space="preserve">Procedures for </w:t>
      </w:r>
      <w:r w:rsidR="003005F1" w:rsidRPr="00693B99">
        <w:rPr>
          <w:b/>
          <w:caps/>
          <w:szCs w:val="22"/>
        </w:rPr>
        <w:t>THE</w:t>
      </w:r>
      <w:r w:rsidR="00DD7D5C" w:rsidRPr="00693B99">
        <w:rPr>
          <w:b/>
          <w:caps/>
          <w:szCs w:val="22"/>
        </w:rPr>
        <w:t xml:space="preserve"> </w:t>
      </w:r>
    </w:p>
    <w:p w14:paraId="53ED9D9F" w14:textId="77777777" w:rsidR="006B3708" w:rsidRPr="00693B99" w:rsidRDefault="001F6E04" w:rsidP="003E2F38">
      <w:pPr>
        <w:widowControl/>
        <w:jc w:val="center"/>
        <w:rPr>
          <w:b/>
          <w:caps/>
          <w:szCs w:val="22"/>
        </w:rPr>
      </w:pPr>
      <w:r w:rsidRPr="00693B99">
        <w:rPr>
          <w:b/>
          <w:caps/>
          <w:szCs w:val="22"/>
        </w:rPr>
        <w:t>POST-INCENTIVE AUCTION</w:t>
      </w:r>
      <w:r w:rsidR="000C1C57" w:rsidRPr="00693B99">
        <w:rPr>
          <w:b/>
          <w:caps/>
          <w:szCs w:val="22"/>
        </w:rPr>
        <w:t xml:space="preserve"> BROADCAST</w:t>
      </w:r>
      <w:r w:rsidRPr="00693B99">
        <w:rPr>
          <w:b/>
          <w:caps/>
          <w:szCs w:val="22"/>
        </w:rPr>
        <w:t xml:space="preserve"> </w:t>
      </w:r>
      <w:r w:rsidR="006B3708" w:rsidRPr="00693B99">
        <w:rPr>
          <w:b/>
          <w:caps/>
          <w:szCs w:val="22"/>
        </w:rPr>
        <w:t xml:space="preserve">TRANSITION </w:t>
      </w:r>
    </w:p>
    <w:p w14:paraId="5DC4C369" w14:textId="77777777" w:rsidR="007F329D" w:rsidRPr="00693B99" w:rsidRDefault="008C15B8" w:rsidP="007F329D">
      <w:pPr>
        <w:jc w:val="center"/>
        <w:rPr>
          <w:b/>
          <w:szCs w:val="22"/>
        </w:rPr>
      </w:pPr>
      <w:r w:rsidRPr="00693B99">
        <w:rPr>
          <w:b/>
          <w:szCs w:val="22"/>
        </w:rPr>
        <w:br/>
        <w:t xml:space="preserve">MB Docket No. 16-306 </w:t>
      </w:r>
      <w:r w:rsidRPr="00693B99">
        <w:rPr>
          <w:b/>
          <w:szCs w:val="22"/>
        </w:rPr>
        <w:br/>
        <w:t>GN Docket No. 12-268</w:t>
      </w:r>
    </w:p>
    <w:p w14:paraId="60898D80" w14:textId="77777777" w:rsidR="00ED2D4C" w:rsidRPr="00693B99" w:rsidRDefault="00ED2D4C" w:rsidP="00ED2D4C">
      <w:pPr>
        <w:pStyle w:val="TOCTitle"/>
        <w:rPr>
          <w:rFonts w:ascii="Times New Roman" w:hAnsi="Times New Roman"/>
          <w:szCs w:val="22"/>
        </w:rPr>
      </w:pPr>
      <w:bookmarkStart w:id="1" w:name="TOChere"/>
      <w:bookmarkStart w:id="2" w:name="_Toc468178139"/>
      <w:bookmarkStart w:id="3" w:name="_Toc471732161"/>
      <w:bookmarkStart w:id="4" w:name="_Toc471732237"/>
      <w:bookmarkStart w:id="5" w:name="_Toc471732532"/>
      <w:bookmarkStart w:id="6" w:name="_Toc471732605"/>
      <w:bookmarkStart w:id="7" w:name="_Toc471732868"/>
      <w:r w:rsidRPr="00693B99">
        <w:rPr>
          <w:rFonts w:ascii="Times New Roman" w:hAnsi="Times New Roman"/>
          <w:szCs w:val="22"/>
        </w:rPr>
        <w:t>Table of Contents</w:t>
      </w:r>
    </w:p>
    <w:p w14:paraId="18065918" w14:textId="77777777" w:rsidR="00ED2D4C" w:rsidRPr="00693B99" w:rsidRDefault="00ED2D4C" w:rsidP="00ED2D4C">
      <w:pPr>
        <w:pStyle w:val="Paratitle"/>
        <w:rPr>
          <w:szCs w:val="22"/>
        </w:rPr>
      </w:pPr>
      <w:r w:rsidRPr="00693B99">
        <w:rPr>
          <w:szCs w:val="22"/>
        </w:rPr>
        <w:t>Heading</w:t>
      </w:r>
      <w:r w:rsidRPr="00693B99">
        <w:rPr>
          <w:szCs w:val="22"/>
        </w:rPr>
        <w:tab/>
        <w:t>Paragraph #</w:t>
      </w:r>
      <w:bookmarkStart w:id="8" w:name="start_here"/>
      <w:bookmarkEnd w:id="8"/>
    </w:p>
    <w:p w14:paraId="4694AF48" w14:textId="77777777" w:rsidR="00ED2D4C" w:rsidRPr="00693B99" w:rsidRDefault="00ED2D4C" w:rsidP="00ED2D4C">
      <w:pPr>
        <w:pStyle w:val="TOC1"/>
        <w:rPr>
          <w:rFonts w:eastAsiaTheme="minorEastAsia"/>
          <w:caps w:val="0"/>
          <w:snapToGrid/>
          <w:kern w:val="0"/>
          <w:szCs w:val="22"/>
        </w:rPr>
      </w:pPr>
      <w:r w:rsidRPr="00693B99">
        <w:rPr>
          <w:szCs w:val="22"/>
        </w:rPr>
        <w:t>I.</w:t>
      </w:r>
      <w:r w:rsidRPr="00693B99">
        <w:rPr>
          <w:rFonts w:eastAsiaTheme="minorEastAsia"/>
          <w:caps w:val="0"/>
          <w:snapToGrid/>
          <w:kern w:val="0"/>
          <w:szCs w:val="22"/>
        </w:rPr>
        <w:tab/>
      </w:r>
      <w:r w:rsidRPr="00693B99">
        <w:rPr>
          <w:szCs w:val="22"/>
        </w:rPr>
        <w:t>Introduction</w:t>
      </w:r>
      <w:r w:rsidRPr="00693B99">
        <w:rPr>
          <w:szCs w:val="22"/>
        </w:rPr>
        <w:tab/>
      </w:r>
      <w:r w:rsidR="00DD550B" w:rsidRPr="00693B99">
        <w:rPr>
          <w:szCs w:val="22"/>
        </w:rPr>
        <w:t>1</w:t>
      </w:r>
    </w:p>
    <w:p w14:paraId="51153486" w14:textId="77777777" w:rsidR="00ED2D4C" w:rsidRPr="00693B99" w:rsidRDefault="00ED2D4C" w:rsidP="00ED2D4C">
      <w:pPr>
        <w:pStyle w:val="TOC1"/>
        <w:rPr>
          <w:rFonts w:eastAsiaTheme="minorEastAsia"/>
          <w:caps w:val="0"/>
          <w:snapToGrid/>
          <w:kern w:val="0"/>
          <w:szCs w:val="22"/>
        </w:rPr>
      </w:pPr>
      <w:r w:rsidRPr="00693B99">
        <w:rPr>
          <w:szCs w:val="22"/>
        </w:rPr>
        <w:t>II.</w:t>
      </w:r>
      <w:r w:rsidRPr="00693B99">
        <w:rPr>
          <w:rFonts w:eastAsiaTheme="minorEastAsia"/>
          <w:caps w:val="0"/>
          <w:snapToGrid/>
          <w:kern w:val="0"/>
          <w:szCs w:val="22"/>
        </w:rPr>
        <w:tab/>
      </w:r>
      <w:r w:rsidR="00DD550B" w:rsidRPr="00693B99">
        <w:rPr>
          <w:szCs w:val="22"/>
        </w:rPr>
        <w:t>Background and Terminology</w:t>
      </w:r>
      <w:r w:rsidR="00DD550B" w:rsidRPr="00693B99">
        <w:rPr>
          <w:szCs w:val="22"/>
        </w:rPr>
        <w:tab/>
        <w:t>8</w:t>
      </w:r>
    </w:p>
    <w:p w14:paraId="358CCA94" w14:textId="77777777" w:rsidR="00ED2D4C" w:rsidRPr="00693B99" w:rsidRDefault="00ED2D4C" w:rsidP="00ED2D4C">
      <w:pPr>
        <w:pStyle w:val="TOC1"/>
        <w:rPr>
          <w:rFonts w:eastAsiaTheme="minorEastAsia"/>
          <w:caps w:val="0"/>
          <w:snapToGrid/>
          <w:kern w:val="0"/>
          <w:szCs w:val="22"/>
        </w:rPr>
      </w:pPr>
      <w:r w:rsidRPr="00693B99">
        <w:rPr>
          <w:szCs w:val="22"/>
        </w:rPr>
        <w:t>III.</w:t>
      </w:r>
      <w:r w:rsidRPr="00693B99">
        <w:rPr>
          <w:rFonts w:eastAsiaTheme="minorEastAsia"/>
          <w:caps w:val="0"/>
          <w:snapToGrid/>
          <w:kern w:val="0"/>
          <w:szCs w:val="22"/>
        </w:rPr>
        <w:tab/>
      </w:r>
      <w:r w:rsidRPr="00693B99">
        <w:rPr>
          <w:szCs w:val="22"/>
        </w:rPr>
        <w:t>Reassigned Stations, Band Changing Stations, Non-Reassigned Stations with Excess Population Loss, a</w:t>
      </w:r>
      <w:r w:rsidR="00DD550B" w:rsidRPr="00693B99">
        <w:rPr>
          <w:szCs w:val="22"/>
        </w:rPr>
        <w:t>nd Displaced Class A Stations</w:t>
      </w:r>
      <w:r w:rsidR="00DD550B" w:rsidRPr="00693B99">
        <w:rPr>
          <w:szCs w:val="22"/>
        </w:rPr>
        <w:tab/>
        <w:t>16</w:t>
      </w:r>
    </w:p>
    <w:p w14:paraId="754457B2" w14:textId="77777777" w:rsidR="00ED2D4C" w:rsidRPr="00693B99" w:rsidRDefault="00ED2D4C" w:rsidP="00ED2D4C">
      <w:pPr>
        <w:pStyle w:val="TOC2"/>
        <w:tabs>
          <w:tab w:val="left" w:pos="360"/>
        </w:tabs>
        <w:rPr>
          <w:rFonts w:eastAsiaTheme="minorEastAsia"/>
          <w:snapToGrid/>
          <w:kern w:val="0"/>
          <w:szCs w:val="22"/>
        </w:rPr>
      </w:pPr>
      <w:r w:rsidRPr="00693B99">
        <w:rPr>
          <w:szCs w:val="22"/>
        </w:rPr>
        <w:t>A.</w:t>
      </w:r>
      <w:r w:rsidRPr="00693B99">
        <w:rPr>
          <w:rFonts w:eastAsiaTheme="minorEastAsia"/>
          <w:snapToGrid/>
          <w:kern w:val="0"/>
          <w:szCs w:val="22"/>
        </w:rPr>
        <w:tab/>
      </w:r>
      <w:r w:rsidRPr="00693B99">
        <w:rPr>
          <w:szCs w:val="22"/>
        </w:rPr>
        <w:t>Construction Permit Application Process for Reassigned Stations and Band Changing</w:t>
      </w:r>
      <w:r w:rsidR="00DD550B" w:rsidRPr="00693B99">
        <w:rPr>
          <w:szCs w:val="22"/>
        </w:rPr>
        <w:t xml:space="preserve"> Stations</w:t>
      </w:r>
      <w:r w:rsidR="00DD550B" w:rsidRPr="00693B99">
        <w:rPr>
          <w:szCs w:val="22"/>
        </w:rPr>
        <w:tab/>
        <w:t>17</w:t>
      </w:r>
    </w:p>
    <w:p w14:paraId="59E52FE3" w14:textId="77777777" w:rsidR="00ED2D4C" w:rsidRPr="00693B99" w:rsidRDefault="00ED2D4C" w:rsidP="00ED2D4C">
      <w:pPr>
        <w:pStyle w:val="TOC3"/>
        <w:tabs>
          <w:tab w:val="left" w:pos="360"/>
        </w:tabs>
        <w:rPr>
          <w:rFonts w:eastAsiaTheme="minorEastAsia"/>
          <w:snapToGrid/>
          <w:kern w:val="0"/>
          <w:szCs w:val="22"/>
        </w:rPr>
      </w:pPr>
      <w:r w:rsidRPr="00693B99">
        <w:rPr>
          <w:szCs w:val="22"/>
        </w:rPr>
        <w:t>1.</w:t>
      </w:r>
      <w:r w:rsidRPr="00693B99">
        <w:rPr>
          <w:rFonts w:eastAsiaTheme="minorEastAsia"/>
          <w:snapToGrid/>
          <w:kern w:val="0"/>
          <w:szCs w:val="22"/>
        </w:rPr>
        <w:tab/>
      </w:r>
      <w:r w:rsidRPr="00693B99">
        <w:rPr>
          <w:szCs w:val="22"/>
        </w:rPr>
        <w:t>Flexibility to Expand Contour Coverage in Applications Filed Dur</w:t>
      </w:r>
      <w:r w:rsidR="00DD550B" w:rsidRPr="00693B99">
        <w:rPr>
          <w:szCs w:val="22"/>
        </w:rPr>
        <w:t>ing the Initial 90-Day Window</w:t>
      </w:r>
      <w:r w:rsidR="00DD550B" w:rsidRPr="00693B99">
        <w:rPr>
          <w:szCs w:val="22"/>
        </w:rPr>
        <w:tab/>
        <w:t>18</w:t>
      </w:r>
    </w:p>
    <w:p w14:paraId="486B0AC7" w14:textId="77777777" w:rsidR="00ED2D4C" w:rsidRPr="00693B99" w:rsidRDefault="00ED2D4C" w:rsidP="00ED2D4C">
      <w:pPr>
        <w:pStyle w:val="TOC3"/>
        <w:tabs>
          <w:tab w:val="left" w:pos="360"/>
        </w:tabs>
        <w:rPr>
          <w:rFonts w:eastAsiaTheme="minorEastAsia"/>
          <w:snapToGrid/>
          <w:kern w:val="0"/>
          <w:szCs w:val="22"/>
        </w:rPr>
      </w:pPr>
      <w:r w:rsidRPr="00693B99">
        <w:rPr>
          <w:szCs w:val="22"/>
        </w:rPr>
        <w:t>2.</w:t>
      </w:r>
      <w:r w:rsidRPr="00693B99">
        <w:rPr>
          <w:rFonts w:eastAsiaTheme="minorEastAsia"/>
          <w:snapToGrid/>
          <w:kern w:val="0"/>
          <w:szCs w:val="22"/>
        </w:rPr>
        <w:tab/>
      </w:r>
      <w:r w:rsidRPr="00693B99">
        <w:rPr>
          <w:szCs w:val="22"/>
        </w:rPr>
        <w:t>Applications that Qua</w:t>
      </w:r>
      <w:r w:rsidR="00DD550B" w:rsidRPr="00693B99">
        <w:rPr>
          <w:szCs w:val="22"/>
        </w:rPr>
        <w:t>lify for Expedited Processing</w:t>
      </w:r>
      <w:r w:rsidR="00DD550B" w:rsidRPr="00693B99">
        <w:rPr>
          <w:szCs w:val="22"/>
        </w:rPr>
        <w:tab/>
        <w:t>21</w:t>
      </w:r>
    </w:p>
    <w:p w14:paraId="4D896309" w14:textId="77777777" w:rsidR="00ED2D4C" w:rsidRPr="00693B99" w:rsidRDefault="00ED2D4C" w:rsidP="00ED2D4C">
      <w:pPr>
        <w:pStyle w:val="TOC3"/>
        <w:tabs>
          <w:tab w:val="left" w:pos="360"/>
        </w:tabs>
        <w:rPr>
          <w:rFonts w:eastAsiaTheme="minorEastAsia"/>
          <w:snapToGrid/>
          <w:kern w:val="0"/>
          <w:szCs w:val="22"/>
        </w:rPr>
      </w:pPr>
      <w:r w:rsidRPr="00693B99">
        <w:rPr>
          <w:szCs w:val="22"/>
        </w:rPr>
        <w:t>3.</w:t>
      </w:r>
      <w:r w:rsidRPr="00693B99">
        <w:rPr>
          <w:rFonts w:eastAsiaTheme="minorEastAsia"/>
          <w:snapToGrid/>
          <w:kern w:val="0"/>
          <w:szCs w:val="22"/>
        </w:rPr>
        <w:tab/>
      </w:r>
      <w:r w:rsidRPr="00693B99">
        <w:rPr>
          <w:szCs w:val="22"/>
        </w:rPr>
        <w:t>Incompl</w:t>
      </w:r>
      <w:r w:rsidR="00DD550B" w:rsidRPr="00693B99">
        <w:rPr>
          <w:szCs w:val="22"/>
        </w:rPr>
        <w:t>ete or Defective Applications</w:t>
      </w:r>
      <w:r w:rsidR="00DD550B" w:rsidRPr="00693B99">
        <w:rPr>
          <w:szCs w:val="22"/>
        </w:rPr>
        <w:tab/>
        <w:t>22</w:t>
      </w:r>
    </w:p>
    <w:p w14:paraId="2AA93BF1" w14:textId="77777777" w:rsidR="00ED2D4C" w:rsidRPr="00693B99" w:rsidRDefault="00ED2D4C" w:rsidP="00ED2D4C">
      <w:pPr>
        <w:pStyle w:val="TOC3"/>
        <w:tabs>
          <w:tab w:val="left" w:pos="360"/>
        </w:tabs>
        <w:rPr>
          <w:rFonts w:eastAsiaTheme="minorEastAsia"/>
          <w:snapToGrid/>
          <w:kern w:val="0"/>
          <w:szCs w:val="22"/>
        </w:rPr>
      </w:pPr>
      <w:r w:rsidRPr="00693B99">
        <w:rPr>
          <w:szCs w:val="22"/>
        </w:rPr>
        <w:t>4.</w:t>
      </w:r>
      <w:r w:rsidRPr="00693B99">
        <w:rPr>
          <w:rFonts w:eastAsiaTheme="minorEastAsia"/>
          <w:snapToGrid/>
          <w:kern w:val="0"/>
          <w:szCs w:val="22"/>
        </w:rPr>
        <w:tab/>
      </w:r>
      <w:r w:rsidRPr="00693B99">
        <w:rPr>
          <w:szCs w:val="22"/>
        </w:rPr>
        <w:t>Minor</w:t>
      </w:r>
      <w:r w:rsidR="00DD550B" w:rsidRPr="00693B99">
        <w:rPr>
          <w:szCs w:val="22"/>
        </w:rPr>
        <w:t xml:space="preserve"> Amendments and Modifications</w:t>
      </w:r>
      <w:r w:rsidR="00DD550B" w:rsidRPr="00693B99">
        <w:rPr>
          <w:szCs w:val="22"/>
        </w:rPr>
        <w:tab/>
        <w:t>23</w:t>
      </w:r>
    </w:p>
    <w:p w14:paraId="396D6711" w14:textId="77777777" w:rsidR="00ED2D4C" w:rsidRPr="00693B99" w:rsidRDefault="00ED2D4C" w:rsidP="00ED2D4C">
      <w:pPr>
        <w:pStyle w:val="TOC3"/>
        <w:tabs>
          <w:tab w:val="left" w:pos="360"/>
        </w:tabs>
        <w:rPr>
          <w:rFonts w:eastAsiaTheme="minorEastAsia"/>
          <w:snapToGrid/>
          <w:kern w:val="0"/>
          <w:szCs w:val="22"/>
        </w:rPr>
      </w:pPr>
      <w:r w:rsidRPr="00693B99">
        <w:rPr>
          <w:szCs w:val="22"/>
        </w:rPr>
        <w:t>5.</w:t>
      </w:r>
      <w:r w:rsidRPr="00693B99">
        <w:rPr>
          <w:rFonts w:eastAsiaTheme="minorEastAsia"/>
          <w:snapToGrid/>
          <w:kern w:val="0"/>
          <w:szCs w:val="22"/>
        </w:rPr>
        <w:tab/>
      </w:r>
      <w:r w:rsidRPr="00693B99">
        <w:rPr>
          <w:szCs w:val="22"/>
        </w:rPr>
        <w:t>Requests for Waiver of Constr</w:t>
      </w:r>
      <w:r w:rsidR="00DD550B" w:rsidRPr="00693B99">
        <w:rPr>
          <w:szCs w:val="22"/>
        </w:rPr>
        <w:t>uction Permit Filing Deadline</w:t>
      </w:r>
      <w:r w:rsidR="00DD550B" w:rsidRPr="00693B99">
        <w:rPr>
          <w:szCs w:val="22"/>
        </w:rPr>
        <w:tab/>
        <w:t>24</w:t>
      </w:r>
    </w:p>
    <w:p w14:paraId="3517BAD6" w14:textId="77777777" w:rsidR="00ED2D4C" w:rsidRPr="00693B99" w:rsidRDefault="00ED2D4C" w:rsidP="00ED2D4C">
      <w:pPr>
        <w:pStyle w:val="TOC2"/>
        <w:tabs>
          <w:tab w:val="left" w:pos="360"/>
        </w:tabs>
        <w:rPr>
          <w:rFonts w:eastAsiaTheme="minorEastAsia"/>
          <w:snapToGrid/>
          <w:kern w:val="0"/>
          <w:szCs w:val="22"/>
        </w:rPr>
      </w:pPr>
      <w:r w:rsidRPr="00693B99">
        <w:rPr>
          <w:szCs w:val="22"/>
        </w:rPr>
        <w:t>B.</w:t>
      </w:r>
      <w:r w:rsidRPr="00693B99">
        <w:rPr>
          <w:rFonts w:eastAsiaTheme="minorEastAsia"/>
          <w:snapToGrid/>
          <w:kern w:val="0"/>
          <w:szCs w:val="22"/>
        </w:rPr>
        <w:tab/>
      </w:r>
      <w:r w:rsidRPr="00693B99">
        <w:rPr>
          <w:szCs w:val="22"/>
        </w:rPr>
        <w:t>Alternate Channel/Expan</w:t>
      </w:r>
      <w:r w:rsidR="00DD550B" w:rsidRPr="00693B99">
        <w:rPr>
          <w:szCs w:val="22"/>
        </w:rPr>
        <w:t>ded Facilities Filing Windows</w:t>
      </w:r>
      <w:r w:rsidR="00DD550B" w:rsidRPr="00693B99">
        <w:rPr>
          <w:szCs w:val="22"/>
        </w:rPr>
        <w:tab/>
        <w:t>27</w:t>
      </w:r>
    </w:p>
    <w:p w14:paraId="6A677E67" w14:textId="77777777" w:rsidR="00ED2D4C" w:rsidRPr="00693B99" w:rsidRDefault="00ED2D4C" w:rsidP="00ED2D4C">
      <w:pPr>
        <w:pStyle w:val="TOC3"/>
        <w:tabs>
          <w:tab w:val="left" w:pos="360"/>
        </w:tabs>
        <w:rPr>
          <w:rFonts w:eastAsiaTheme="minorEastAsia"/>
          <w:snapToGrid/>
          <w:kern w:val="0"/>
          <w:szCs w:val="22"/>
        </w:rPr>
      </w:pPr>
      <w:r w:rsidRPr="00693B99">
        <w:rPr>
          <w:szCs w:val="22"/>
        </w:rPr>
        <w:t>1.</w:t>
      </w:r>
      <w:r w:rsidRPr="00693B99">
        <w:rPr>
          <w:rFonts w:eastAsiaTheme="minorEastAsia"/>
          <w:snapToGrid/>
          <w:kern w:val="0"/>
          <w:szCs w:val="22"/>
        </w:rPr>
        <w:tab/>
      </w:r>
      <w:r w:rsidRPr="00693B99">
        <w:rPr>
          <w:szCs w:val="22"/>
        </w:rPr>
        <w:t xml:space="preserve">Expanded Facilities and Alternate </w:t>
      </w:r>
      <w:r w:rsidR="00DD550B" w:rsidRPr="00693B99">
        <w:rPr>
          <w:szCs w:val="22"/>
        </w:rPr>
        <w:t>Channel Proposal Requirements</w:t>
      </w:r>
      <w:r w:rsidR="00DD550B" w:rsidRPr="00693B99">
        <w:rPr>
          <w:szCs w:val="22"/>
        </w:rPr>
        <w:tab/>
        <w:t>28</w:t>
      </w:r>
    </w:p>
    <w:p w14:paraId="1F692D61" w14:textId="77777777" w:rsidR="00ED2D4C" w:rsidRPr="00693B99" w:rsidRDefault="00ED2D4C" w:rsidP="00ED2D4C">
      <w:pPr>
        <w:pStyle w:val="TOC3"/>
        <w:tabs>
          <w:tab w:val="left" w:pos="360"/>
        </w:tabs>
        <w:rPr>
          <w:rFonts w:eastAsiaTheme="minorEastAsia"/>
          <w:snapToGrid/>
          <w:kern w:val="0"/>
          <w:szCs w:val="22"/>
        </w:rPr>
      </w:pPr>
      <w:r w:rsidRPr="00693B99">
        <w:rPr>
          <w:szCs w:val="22"/>
        </w:rPr>
        <w:t>2.</w:t>
      </w:r>
      <w:r w:rsidRPr="00693B99">
        <w:rPr>
          <w:rFonts w:eastAsiaTheme="minorEastAsia"/>
          <w:snapToGrid/>
          <w:kern w:val="0"/>
          <w:szCs w:val="22"/>
        </w:rPr>
        <w:tab/>
      </w:r>
      <w:r w:rsidRPr="00693B99">
        <w:rPr>
          <w:szCs w:val="22"/>
        </w:rPr>
        <w:t xml:space="preserve">First Priority </w:t>
      </w:r>
      <w:r w:rsidR="00DD550B" w:rsidRPr="00693B99">
        <w:rPr>
          <w:szCs w:val="22"/>
        </w:rPr>
        <w:t>Window Timing and Eligibility</w:t>
      </w:r>
      <w:r w:rsidR="00DD550B" w:rsidRPr="00693B99">
        <w:rPr>
          <w:szCs w:val="22"/>
        </w:rPr>
        <w:tab/>
        <w:t>30</w:t>
      </w:r>
    </w:p>
    <w:p w14:paraId="20FEB4A9" w14:textId="77777777" w:rsidR="00ED2D4C" w:rsidRPr="00693B99" w:rsidRDefault="00ED2D4C" w:rsidP="00ED2D4C">
      <w:pPr>
        <w:pStyle w:val="TOC3"/>
        <w:tabs>
          <w:tab w:val="left" w:pos="360"/>
        </w:tabs>
        <w:rPr>
          <w:rFonts w:eastAsiaTheme="minorEastAsia"/>
          <w:snapToGrid/>
          <w:kern w:val="0"/>
          <w:szCs w:val="22"/>
        </w:rPr>
      </w:pPr>
      <w:r w:rsidRPr="00693B99">
        <w:rPr>
          <w:szCs w:val="22"/>
        </w:rPr>
        <w:t>3.</w:t>
      </w:r>
      <w:r w:rsidRPr="00693B99">
        <w:rPr>
          <w:rFonts w:eastAsiaTheme="minorEastAsia"/>
          <w:snapToGrid/>
          <w:kern w:val="0"/>
          <w:szCs w:val="22"/>
        </w:rPr>
        <w:tab/>
      </w:r>
      <w:r w:rsidRPr="00693B99">
        <w:rPr>
          <w:szCs w:val="22"/>
        </w:rPr>
        <w:t>Second Win</w:t>
      </w:r>
      <w:r w:rsidR="00DD550B" w:rsidRPr="00693B99">
        <w:rPr>
          <w:szCs w:val="22"/>
        </w:rPr>
        <w:t>dow Timing and Requirements</w:t>
      </w:r>
      <w:r w:rsidR="00DD550B" w:rsidRPr="00693B99">
        <w:rPr>
          <w:szCs w:val="22"/>
        </w:rPr>
        <w:tab/>
        <w:t>35</w:t>
      </w:r>
    </w:p>
    <w:p w14:paraId="666589BD" w14:textId="77777777" w:rsidR="00ED2D4C" w:rsidRPr="00693B99" w:rsidRDefault="00ED2D4C" w:rsidP="00ED2D4C">
      <w:pPr>
        <w:pStyle w:val="TOC3"/>
        <w:tabs>
          <w:tab w:val="left" w:pos="360"/>
        </w:tabs>
        <w:rPr>
          <w:rFonts w:eastAsiaTheme="minorEastAsia"/>
          <w:snapToGrid/>
          <w:kern w:val="0"/>
          <w:szCs w:val="22"/>
        </w:rPr>
      </w:pPr>
      <w:r w:rsidRPr="00693B99">
        <w:rPr>
          <w:szCs w:val="22"/>
        </w:rPr>
        <w:t>4.</w:t>
      </w:r>
      <w:r w:rsidRPr="00693B99">
        <w:rPr>
          <w:rFonts w:eastAsiaTheme="minorEastAsia"/>
          <w:snapToGrid/>
          <w:kern w:val="0"/>
          <w:szCs w:val="22"/>
        </w:rPr>
        <w:tab/>
      </w:r>
      <w:r w:rsidRPr="00693B99">
        <w:rPr>
          <w:szCs w:val="22"/>
        </w:rPr>
        <w:t>Cut-Off Protection and Mutuall</w:t>
      </w:r>
      <w:r w:rsidR="00DD550B" w:rsidRPr="00693B99">
        <w:rPr>
          <w:szCs w:val="22"/>
        </w:rPr>
        <w:t>y Exclusive (MX) Applications</w:t>
      </w:r>
      <w:r w:rsidR="00DD550B" w:rsidRPr="00693B99">
        <w:rPr>
          <w:szCs w:val="22"/>
        </w:rPr>
        <w:tab/>
        <w:t>36</w:t>
      </w:r>
    </w:p>
    <w:p w14:paraId="60620966" w14:textId="77777777" w:rsidR="00ED2D4C" w:rsidRPr="00693B99" w:rsidRDefault="00ED2D4C" w:rsidP="00ED2D4C">
      <w:pPr>
        <w:pStyle w:val="TOC3"/>
        <w:tabs>
          <w:tab w:val="left" w:pos="360"/>
        </w:tabs>
        <w:rPr>
          <w:rFonts w:eastAsiaTheme="minorEastAsia"/>
          <w:snapToGrid/>
          <w:kern w:val="0"/>
          <w:szCs w:val="22"/>
        </w:rPr>
      </w:pPr>
      <w:r w:rsidRPr="00693B99">
        <w:rPr>
          <w:szCs w:val="22"/>
        </w:rPr>
        <w:t>5.</w:t>
      </w:r>
      <w:r w:rsidRPr="00693B99">
        <w:rPr>
          <w:rFonts w:eastAsiaTheme="minorEastAsia"/>
          <w:snapToGrid/>
          <w:kern w:val="0"/>
          <w:szCs w:val="22"/>
        </w:rPr>
        <w:tab/>
      </w:r>
      <w:r w:rsidRPr="00693B99">
        <w:rPr>
          <w:szCs w:val="22"/>
        </w:rPr>
        <w:t>Incompl</w:t>
      </w:r>
      <w:r w:rsidR="00DD550B" w:rsidRPr="00693B99">
        <w:rPr>
          <w:szCs w:val="22"/>
        </w:rPr>
        <w:t>ete or Defective Applications</w:t>
      </w:r>
      <w:r w:rsidR="00DD550B" w:rsidRPr="00693B99">
        <w:rPr>
          <w:szCs w:val="22"/>
        </w:rPr>
        <w:tab/>
        <w:t>37</w:t>
      </w:r>
    </w:p>
    <w:p w14:paraId="2C0F83EB" w14:textId="77777777" w:rsidR="00ED2D4C" w:rsidRPr="00693B99" w:rsidRDefault="00ED2D4C" w:rsidP="00ED2D4C">
      <w:pPr>
        <w:pStyle w:val="TOC2"/>
        <w:tabs>
          <w:tab w:val="left" w:pos="360"/>
        </w:tabs>
        <w:rPr>
          <w:rFonts w:eastAsiaTheme="minorEastAsia"/>
          <w:snapToGrid/>
          <w:kern w:val="0"/>
          <w:szCs w:val="22"/>
        </w:rPr>
      </w:pPr>
      <w:r w:rsidRPr="00693B99">
        <w:rPr>
          <w:szCs w:val="22"/>
        </w:rPr>
        <w:t>C.</w:t>
      </w:r>
      <w:r w:rsidRPr="00693B99">
        <w:rPr>
          <w:rFonts w:eastAsiaTheme="minorEastAsia"/>
          <w:snapToGrid/>
          <w:kern w:val="0"/>
          <w:szCs w:val="22"/>
        </w:rPr>
        <w:tab/>
      </w:r>
      <w:r w:rsidR="00DD550B" w:rsidRPr="00693B99">
        <w:rPr>
          <w:szCs w:val="22"/>
        </w:rPr>
        <w:t>International Coordination</w:t>
      </w:r>
      <w:r w:rsidR="00DD550B" w:rsidRPr="00693B99">
        <w:rPr>
          <w:szCs w:val="22"/>
        </w:rPr>
        <w:tab/>
        <w:t>38</w:t>
      </w:r>
    </w:p>
    <w:p w14:paraId="6A449D7E" w14:textId="77777777" w:rsidR="00ED2D4C" w:rsidRPr="00693B99" w:rsidRDefault="00ED2D4C" w:rsidP="00ED2D4C">
      <w:pPr>
        <w:pStyle w:val="TOC2"/>
        <w:tabs>
          <w:tab w:val="left" w:pos="360"/>
        </w:tabs>
        <w:rPr>
          <w:rFonts w:eastAsiaTheme="minorEastAsia"/>
          <w:snapToGrid/>
          <w:kern w:val="0"/>
          <w:szCs w:val="22"/>
        </w:rPr>
      </w:pPr>
      <w:r w:rsidRPr="00693B99">
        <w:rPr>
          <w:szCs w:val="22"/>
        </w:rPr>
        <w:t>D.</w:t>
      </w:r>
      <w:r w:rsidRPr="00693B99">
        <w:rPr>
          <w:rFonts w:eastAsiaTheme="minorEastAsia"/>
          <w:snapToGrid/>
          <w:kern w:val="0"/>
          <w:szCs w:val="22"/>
        </w:rPr>
        <w:tab/>
      </w:r>
      <w:r w:rsidRPr="00693B99">
        <w:rPr>
          <w:szCs w:val="22"/>
        </w:rPr>
        <w:t>Transition Phas</w:t>
      </w:r>
      <w:r w:rsidR="00DD550B" w:rsidRPr="00693B99">
        <w:rPr>
          <w:szCs w:val="22"/>
        </w:rPr>
        <w:t>es and Phase Completion Dates</w:t>
      </w:r>
      <w:r w:rsidR="00DD550B" w:rsidRPr="00693B99">
        <w:rPr>
          <w:szCs w:val="22"/>
        </w:rPr>
        <w:tab/>
        <w:t>39</w:t>
      </w:r>
    </w:p>
    <w:p w14:paraId="655AE3C8" w14:textId="77777777" w:rsidR="00ED2D4C" w:rsidRPr="00693B99" w:rsidRDefault="00ED2D4C" w:rsidP="00ED2D4C">
      <w:pPr>
        <w:pStyle w:val="TOC3"/>
        <w:tabs>
          <w:tab w:val="left" w:pos="360"/>
        </w:tabs>
        <w:rPr>
          <w:rFonts w:eastAsiaTheme="minorEastAsia"/>
          <w:snapToGrid/>
          <w:kern w:val="0"/>
          <w:szCs w:val="22"/>
        </w:rPr>
      </w:pPr>
      <w:r w:rsidRPr="00693B99">
        <w:rPr>
          <w:szCs w:val="22"/>
        </w:rPr>
        <w:t>1.</w:t>
      </w:r>
      <w:r w:rsidRPr="00693B99">
        <w:rPr>
          <w:rFonts w:eastAsiaTheme="minorEastAsia"/>
          <w:snapToGrid/>
          <w:kern w:val="0"/>
          <w:szCs w:val="22"/>
        </w:rPr>
        <w:tab/>
      </w:r>
      <w:r w:rsidRPr="00693B99">
        <w:rPr>
          <w:szCs w:val="22"/>
        </w:rPr>
        <w:t xml:space="preserve">Extensions of Time to Construct Post-Auction </w:t>
      </w:r>
      <w:r w:rsidR="00DD550B" w:rsidRPr="00693B99">
        <w:rPr>
          <w:szCs w:val="22"/>
        </w:rPr>
        <w:t>Channel Facilities and Tolling</w:t>
      </w:r>
      <w:r w:rsidR="00DD550B" w:rsidRPr="00693B99">
        <w:rPr>
          <w:szCs w:val="22"/>
        </w:rPr>
        <w:tab/>
        <w:t>40</w:t>
      </w:r>
    </w:p>
    <w:p w14:paraId="6AE156E8" w14:textId="77777777" w:rsidR="00ED2D4C" w:rsidRPr="00693B99" w:rsidRDefault="00ED2D4C" w:rsidP="00ED2D4C">
      <w:pPr>
        <w:pStyle w:val="TOC3"/>
        <w:tabs>
          <w:tab w:val="left" w:pos="360"/>
        </w:tabs>
        <w:rPr>
          <w:rFonts w:eastAsiaTheme="minorEastAsia"/>
          <w:snapToGrid/>
          <w:kern w:val="0"/>
          <w:szCs w:val="22"/>
        </w:rPr>
      </w:pPr>
      <w:r w:rsidRPr="00693B99">
        <w:rPr>
          <w:szCs w:val="22"/>
        </w:rPr>
        <w:t>2.</w:t>
      </w:r>
      <w:r w:rsidRPr="00693B99">
        <w:rPr>
          <w:rFonts w:eastAsiaTheme="minorEastAsia"/>
          <w:snapToGrid/>
          <w:kern w:val="0"/>
          <w:szCs w:val="22"/>
        </w:rPr>
        <w:tab/>
      </w:r>
      <w:r w:rsidR="00DD550B" w:rsidRPr="00693B99">
        <w:rPr>
          <w:szCs w:val="22"/>
        </w:rPr>
        <w:t>Additional Flexibility</w:t>
      </w:r>
      <w:r w:rsidR="00DD550B" w:rsidRPr="00693B99">
        <w:rPr>
          <w:szCs w:val="22"/>
        </w:rPr>
        <w:tab/>
        <w:t>46</w:t>
      </w:r>
    </w:p>
    <w:p w14:paraId="61CFE7A8" w14:textId="77777777" w:rsidR="00ED2D4C" w:rsidRPr="00693B99" w:rsidRDefault="00ED2D4C" w:rsidP="00ED2D4C">
      <w:pPr>
        <w:pStyle w:val="TOC3"/>
        <w:tabs>
          <w:tab w:val="left" w:pos="360"/>
        </w:tabs>
        <w:rPr>
          <w:rFonts w:eastAsiaTheme="minorEastAsia"/>
          <w:snapToGrid/>
          <w:kern w:val="0"/>
          <w:szCs w:val="22"/>
        </w:rPr>
      </w:pPr>
      <w:r w:rsidRPr="00693B99">
        <w:rPr>
          <w:szCs w:val="22"/>
        </w:rPr>
        <w:t>3.</w:t>
      </w:r>
      <w:r w:rsidRPr="00693B99">
        <w:rPr>
          <w:rFonts w:eastAsiaTheme="minorEastAsia"/>
          <w:snapToGrid/>
          <w:kern w:val="0"/>
          <w:szCs w:val="22"/>
        </w:rPr>
        <w:tab/>
      </w:r>
      <w:r w:rsidRPr="00693B99">
        <w:rPr>
          <w:szCs w:val="22"/>
        </w:rPr>
        <w:t>Silent Authority and Section 31</w:t>
      </w:r>
      <w:r w:rsidR="00DD550B" w:rsidRPr="00693B99">
        <w:rPr>
          <w:szCs w:val="22"/>
        </w:rPr>
        <w:t>2(g) of the Communications Act</w:t>
      </w:r>
      <w:r w:rsidR="00DD550B" w:rsidRPr="00693B99">
        <w:rPr>
          <w:szCs w:val="22"/>
        </w:rPr>
        <w:tab/>
        <w:t>48</w:t>
      </w:r>
    </w:p>
    <w:p w14:paraId="7FF70F17" w14:textId="77777777" w:rsidR="00ED2D4C" w:rsidRPr="00693B99" w:rsidRDefault="00ED2D4C" w:rsidP="00ED2D4C">
      <w:pPr>
        <w:pStyle w:val="TOC2"/>
        <w:tabs>
          <w:tab w:val="left" w:pos="360"/>
        </w:tabs>
        <w:rPr>
          <w:rFonts w:eastAsiaTheme="minorEastAsia"/>
          <w:snapToGrid/>
          <w:kern w:val="0"/>
          <w:szCs w:val="22"/>
        </w:rPr>
      </w:pPr>
      <w:r w:rsidRPr="00693B99">
        <w:rPr>
          <w:caps/>
          <w:szCs w:val="22"/>
        </w:rPr>
        <w:t>E.</w:t>
      </w:r>
      <w:r w:rsidRPr="00693B99">
        <w:rPr>
          <w:rFonts w:eastAsiaTheme="minorEastAsia"/>
          <w:snapToGrid/>
          <w:kern w:val="0"/>
          <w:szCs w:val="22"/>
        </w:rPr>
        <w:tab/>
      </w:r>
      <w:r w:rsidRPr="00693B99">
        <w:rPr>
          <w:szCs w:val="22"/>
        </w:rPr>
        <w:t>Completion of Tran</w:t>
      </w:r>
      <w:r w:rsidR="00DD550B" w:rsidRPr="00693B99">
        <w:rPr>
          <w:szCs w:val="22"/>
        </w:rPr>
        <w:t>sition to Post-Auction Channel</w:t>
      </w:r>
      <w:r w:rsidR="00DD550B" w:rsidRPr="00693B99">
        <w:rPr>
          <w:szCs w:val="22"/>
        </w:rPr>
        <w:tab/>
        <w:t>50</w:t>
      </w:r>
    </w:p>
    <w:p w14:paraId="440AD73F" w14:textId="77777777" w:rsidR="00ED2D4C" w:rsidRPr="00693B99" w:rsidRDefault="00ED2D4C" w:rsidP="00ED2D4C">
      <w:pPr>
        <w:pStyle w:val="TOC3"/>
        <w:tabs>
          <w:tab w:val="left" w:pos="360"/>
        </w:tabs>
        <w:rPr>
          <w:rFonts w:eastAsiaTheme="minorEastAsia"/>
          <w:snapToGrid/>
          <w:kern w:val="0"/>
          <w:szCs w:val="22"/>
        </w:rPr>
      </w:pPr>
      <w:r w:rsidRPr="00693B99">
        <w:rPr>
          <w:szCs w:val="22"/>
        </w:rPr>
        <w:t>1.</w:t>
      </w:r>
      <w:r w:rsidRPr="00693B99">
        <w:rPr>
          <w:rFonts w:eastAsiaTheme="minorEastAsia"/>
          <w:snapToGrid/>
          <w:kern w:val="0"/>
          <w:szCs w:val="22"/>
        </w:rPr>
        <w:tab/>
      </w:r>
      <w:r w:rsidRPr="00693B99">
        <w:rPr>
          <w:szCs w:val="22"/>
        </w:rPr>
        <w:t>Discontinuation of Oper</w:t>
      </w:r>
      <w:r w:rsidR="00DD550B" w:rsidRPr="00693B99">
        <w:rPr>
          <w:szCs w:val="22"/>
        </w:rPr>
        <w:t>ations on Pre-Auction Channels</w:t>
      </w:r>
      <w:r w:rsidR="00DD550B" w:rsidRPr="00693B99">
        <w:rPr>
          <w:szCs w:val="22"/>
        </w:rPr>
        <w:tab/>
        <w:t>50</w:t>
      </w:r>
    </w:p>
    <w:p w14:paraId="6EF06952" w14:textId="77777777" w:rsidR="00ED2D4C" w:rsidRPr="00693B99" w:rsidRDefault="00ED2D4C" w:rsidP="00ED2D4C">
      <w:pPr>
        <w:pStyle w:val="TOC3"/>
        <w:tabs>
          <w:tab w:val="left" w:pos="360"/>
        </w:tabs>
        <w:rPr>
          <w:rFonts w:eastAsiaTheme="minorEastAsia"/>
          <w:snapToGrid/>
          <w:kern w:val="0"/>
          <w:szCs w:val="22"/>
        </w:rPr>
      </w:pPr>
      <w:r w:rsidRPr="00693B99">
        <w:rPr>
          <w:szCs w:val="22"/>
        </w:rPr>
        <w:t>2.</w:t>
      </w:r>
      <w:r w:rsidRPr="00693B99">
        <w:rPr>
          <w:rFonts w:eastAsiaTheme="minorEastAsia"/>
          <w:snapToGrid/>
          <w:kern w:val="0"/>
          <w:szCs w:val="22"/>
        </w:rPr>
        <w:tab/>
      </w:r>
      <w:r w:rsidRPr="00693B99">
        <w:rPr>
          <w:szCs w:val="22"/>
        </w:rPr>
        <w:t>Commencement of Ope</w:t>
      </w:r>
      <w:r w:rsidR="00DD550B" w:rsidRPr="00693B99">
        <w:rPr>
          <w:szCs w:val="22"/>
        </w:rPr>
        <w:t>ration on Post-Auction Channel</w:t>
      </w:r>
      <w:r w:rsidR="00DD550B" w:rsidRPr="00693B99">
        <w:rPr>
          <w:szCs w:val="22"/>
        </w:rPr>
        <w:tab/>
        <w:t>52</w:t>
      </w:r>
    </w:p>
    <w:p w14:paraId="18055C0A" w14:textId="77777777" w:rsidR="00ED2D4C" w:rsidRPr="00693B99" w:rsidRDefault="00ED2D4C" w:rsidP="00ED2D4C">
      <w:pPr>
        <w:pStyle w:val="TOC1"/>
        <w:rPr>
          <w:rFonts w:eastAsiaTheme="minorEastAsia"/>
          <w:caps w:val="0"/>
          <w:snapToGrid/>
          <w:kern w:val="0"/>
          <w:szCs w:val="22"/>
        </w:rPr>
      </w:pPr>
      <w:r w:rsidRPr="00693B99">
        <w:rPr>
          <w:szCs w:val="22"/>
        </w:rPr>
        <w:t>IV.</w:t>
      </w:r>
      <w:r w:rsidRPr="00693B99">
        <w:rPr>
          <w:rFonts w:eastAsiaTheme="minorEastAsia"/>
          <w:caps w:val="0"/>
          <w:snapToGrid/>
          <w:kern w:val="0"/>
          <w:szCs w:val="22"/>
        </w:rPr>
        <w:tab/>
      </w:r>
      <w:r w:rsidRPr="00693B99">
        <w:rPr>
          <w:szCs w:val="22"/>
        </w:rPr>
        <w:t>License Relinquishment Station</w:t>
      </w:r>
      <w:r w:rsidR="00DD550B" w:rsidRPr="00693B99">
        <w:rPr>
          <w:szCs w:val="22"/>
        </w:rPr>
        <w:t>s and Channel Sharing STATIONS</w:t>
      </w:r>
      <w:r w:rsidR="00DD550B" w:rsidRPr="00693B99">
        <w:rPr>
          <w:szCs w:val="22"/>
        </w:rPr>
        <w:tab/>
        <w:t>53</w:t>
      </w:r>
    </w:p>
    <w:p w14:paraId="20A898D1" w14:textId="77777777" w:rsidR="00ED2D4C" w:rsidRPr="00693B99" w:rsidRDefault="00ED2D4C" w:rsidP="00ED2D4C">
      <w:pPr>
        <w:pStyle w:val="TOC2"/>
        <w:tabs>
          <w:tab w:val="left" w:pos="360"/>
        </w:tabs>
        <w:rPr>
          <w:rFonts w:eastAsiaTheme="minorEastAsia"/>
          <w:snapToGrid/>
          <w:kern w:val="0"/>
          <w:szCs w:val="22"/>
        </w:rPr>
      </w:pPr>
      <w:r w:rsidRPr="00693B99">
        <w:rPr>
          <w:szCs w:val="22"/>
        </w:rPr>
        <w:t>A.</w:t>
      </w:r>
      <w:r w:rsidRPr="00693B99">
        <w:rPr>
          <w:rFonts w:eastAsiaTheme="minorEastAsia"/>
          <w:snapToGrid/>
          <w:kern w:val="0"/>
          <w:szCs w:val="22"/>
        </w:rPr>
        <w:tab/>
      </w:r>
      <w:r w:rsidRPr="00693B99">
        <w:rPr>
          <w:szCs w:val="22"/>
        </w:rPr>
        <w:t>Payments to R</w:t>
      </w:r>
      <w:r w:rsidR="00DD550B" w:rsidRPr="00693B99">
        <w:rPr>
          <w:szCs w:val="22"/>
        </w:rPr>
        <w:t>everse Auction Winning Bidders</w:t>
      </w:r>
      <w:r w:rsidR="00DD550B" w:rsidRPr="00693B99">
        <w:rPr>
          <w:szCs w:val="22"/>
        </w:rPr>
        <w:tab/>
        <w:t>54</w:t>
      </w:r>
    </w:p>
    <w:p w14:paraId="7EFB51B4" w14:textId="77777777" w:rsidR="00ED2D4C" w:rsidRPr="00693B99" w:rsidRDefault="00ED2D4C" w:rsidP="00ED2D4C">
      <w:pPr>
        <w:pStyle w:val="TOC2"/>
        <w:tabs>
          <w:tab w:val="left" w:pos="360"/>
        </w:tabs>
        <w:rPr>
          <w:rFonts w:eastAsiaTheme="minorEastAsia"/>
          <w:snapToGrid/>
          <w:kern w:val="0"/>
          <w:szCs w:val="22"/>
        </w:rPr>
      </w:pPr>
      <w:r w:rsidRPr="00693B99">
        <w:rPr>
          <w:szCs w:val="22"/>
        </w:rPr>
        <w:t>B.</w:t>
      </w:r>
      <w:r w:rsidRPr="00693B99">
        <w:rPr>
          <w:rFonts w:eastAsiaTheme="minorEastAsia"/>
          <w:snapToGrid/>
          <w:kern w:val="0"/>
          <w:szCs w:val="22"/>
        </w:rPr>
        <w:tab/>
      </w:r>
      <w:r w:rsidRPr="00693B99">
        <w:rPr>
          <w:szCs w:val="22"/>
        </w:rPr>
        <w:t>License Rel</w:t>
      </w:r>
      <w:r w:rsidR="00DD550B" w:rsidRPr="00693B99">
        <w:rPr>
          <w:szCs w:val="22"/>
        </w:rPr>
        <w:t>inquishment Transition Process</w:t>
      </w:r>
      <w:r w:rsidR="00DD550B" w:rsidRPr="00693B99">
        <w:rPr>
          <w:szCs w:val="22"/>
        </w:rPr>
        <w:tab/>
        <w:t>56</w:t>
      </w:r>
    </w:p>
    <w:p w14:paraId="0A7A670C" w14:textId="77777777" w:rsidR="00ED2D4C" w:rsidRPr="00693B99" w:rsidRDefault="00ED2D4C" w:rsidP="00ED2D4C">
      <w:pPr>
        <w:pStyle w:val="TOC3"/>
        <w:tabs>
          <w:tab w:val="left" w:pos="360"/>
        </w:tabs>
        <w:rPr>
          <w:rFonts w:eastAsiaTheme="minorEastAsia"/>
          <w:snapToGrid/>
          <w:kern w:val="0"/>
          <w:szCs w:val="22"/>
        </w:rPr>
      </w:pPr>
      <w:r w:rsidRPr="00693B99">
        <w:rPr>
          <w:szCs w:val="22"/>
        </w:rPr>
        <w:t>1.</w:t>
      </w:r>
      <w:r w:rsidRPr="00693B99">
        <w:rPr>
          <w:rFonts w:eastAsiaTheme="minorEastAsia"/>
          <w:snapToGrid/>
          <w:kern w:val="0"/>
          <w:szCs w:val="22"/>
        </w:rPr>
        <w:tab/>
      </w:r>
      <w:r w:rsidR="00DD550B" w:rsidRPr="00693B99">
        <w:rPr>
          <w:szCs w:val="22"/>
        </w:rPr>
        <w:t>Discontinuation of Operations</w:t>
      </w:r>
      <w:r w:rsidR="00DD550B" w:rsidRPr="00693B99">
        <w:rPr>
          <w:szCs w:val="22"/>
        </w:rPr>
        <w:tab/>
        <w:t>56</w:t>
      </w:r>
    </w:p>
    <w:p w14:paraId="14CFE631" w14:textId="77777777" w:rsidR="00ED2D4C" w:rsidRPr="00693B99" w:rsidRDefault="00ED2D4C" w:rsidP="00ED2D4C">
      <w:pPr>
        <w:pStyle w:val="TOC3"/>
        <w:tabs>
          <w:tab w:val="left" w:pos="360"/>
        </w:tabs>
        <w:rPr>
          <w:rFonts w:eastAsiaTheme="minorEastAsia"/>
          <w:snapToGrid/>
          <w:kern w:val="0"/>
          <w:szCs w:val="22"/>
        </w:rPr>
      </w:pPr>
      <w:r w:rsidRPr="00693B99">
        <w:rPr>
          <w:szCs w:val="22"/>
        </w:rPr>
        <w:lastRenderedPageBreak/>
        <w:t>2.</w:t>
      </w:r>
      <w:r w:rsidRPr="00693B99">
        <w:rPr>
          <w:rFonts w:eastAsiaTheme="minorEastAsia"/>
          <w:snapToGrid/>
          <w:kern w:val="0"/>
          <w:szCs w:val="22"/>
        </w:rPr>
        <w:tab/>
      </w:r>
      <w:r w:rsidRPr="00693B99">
        <w:rPr>
          <w:szCs w:val="22"/>
        </w:rPr>
        <w:t>Suspension and Discon</w:t>
      </w:r>
      <w:r w:rsidR="00DD550B" w:rsidRPr="00693B99">
        <w:rPr>
          <w:szCs w:val="22"/>
        </w:rPr>
        <w:t>tinuance Notices to Commission</w:t>
      </w:r>
      <w:r w:rsidR="00DD550B" w:rsidRPr="00693B99">
        <w:rPr>
          <w:szCs w:val="22"/>
        </w:rPr>
        <w:tab/>
        <w:t>58</w:t>
      </w:r>
    </w:p>
    <w:p w14:paraId="06BEAD70" w14:textId="77777777" w:rsidR="00ED2D4C" w:rsidRPr="00693B99" w:rsidRDefault="00ED2D4C" w:rsidP="00ED2D4C">
      <w:pPr>
        <w:pStyle w:val="TOC3"/>
        <w:tabs>
          <w:tab w:val="left" w:pos="360"/>
        </w:tabs>
        <w:rPr>
          <w:rFonts w:eastAsiaTheme="minorEastAsia"/>
          <w:snapToGrid/>
          <w:kern w:val="0"/>
          <w:szCs w:val="22"/>
        </w:rPr>
      </w:pPr>
      <w:r w:rsidRPr="00693B99">
        <w:rPr>
          <w:szCs w:val="22"/>
        </w:rPr>
        <w:t>3.</w:t>
      </w:r>
      <w:r w:rsidRPr="00693B99">
        <w:rPr>
          <w:rFonts w:eastAsiaTheme="minorEastAsia"/>
          <w:snapToGrid/>
          <w:kern w:val="0"/>
          <w:szCs w:val="22"/>
        </w:rPr>
        <w:tab/>
      </w:r>
      <w:r w:rsidR="00DD550B" w:rsidRPr="00693B99">
        <w:rPr>
          <w:szCs w:val="22"/>
        </w:rPr>
        <w:t>Notice to Viewers</w:t>
      </w:r>
      <w:r w:rsidR="00DD550B" w:rsidRPr="00693B99">
        <w:rPr>
          <w:szCs w:val="22"/>
        </w:rPr>
        <w:tab/>
        <w:t>59</w:t>
      </w:r>
    </w:p>
    <w:p w14:paraId="5C1047AD" w14:textId="77777777" w:rsidR="00ED2D4C" w:rsidRPr="00693B99" w:rsidRDefault="00ED2D4C" w:rsidP="00ED2D4C">
      <w:pPr>
        <w:pStyle w:val="TOC3"/>
        <w:tabs>
          <w:tab w:val="left" w:pos="360"/>
        </w:tabs>
        <w:rPr>
          <w:rFonts w:eastAsiaTheme="minorEastAsia"/>
          <w:snapToGrid/>
          <w:kern w:val="0"/>
          <w:szCs w:val="22"/>
        </w:rPr>
      </w:pPr>
      <w:r w:rsidRPr="00693B99">
        <w:rPr>
          <w:szCs w:val="22"/>
        </w:rPr>
        <w:t>4.</w:t>
      </w:r>
      <w:r w:rsidRPr="00693B99">
        <w:rPr>
          <w:rFonts w:eastAsiaTheme="minorEastAsia"/>
          <w:snapToGrid/>
          <w:kern w:val="0"/>
          <w:szCs w:val="22"/>
        </w:rPr>
        <w:tab/>
      </w:r>
      <w:r w:rsidR="00DD550B" w:rsidRPr="00693B99">
        <w:rPr>
          <w:szCs w:val="22"/>
        </w:rPr>
        <w:t>Notice to MVPDs</w:t>
      </w:r>
      <w:r w:rsidR="00DD550B" w:rsidRPr="00693B99">
        <w:rPr>
          <w:szCs w:val="22"/>
        </w:rPr>
        <w:tab/>
        <w:t>62</w:t>
      </w:r>
    </w:p>
    <w:p w14:paraId="779A9535" w14:textId="77777777" w:rsidR="00ED2D4C" w:rsidRPr="00693B99" w:rsidRDefault="00ED2D4C" w:rsidP="00ED2D4C">
      <w:pPr>
        <w:pStyle w:val="TOC2"/>
        <w:tabs>
          <w:tab w:val="left" w:pos="360"/>
        </w:tabs>
        <w:rPr>
          <w:rFonts w:eastAsiaTheme="minorEastAsia"/>
          <w:snapToGrid/>
          <w:kern w:val="0"/>
          <w:szCs w:val="22"/>
        </w:rPr>
      </w:pPr>
      <w:r w:rsidRPr="00693B99">
        <w:rPr>
          <w:szCs w:val="22"/>
        </w:rPr>
        <w:t>C.</w:t>
      </w:r>
      <w:r w:rsidRPr="00693B99">
        <w:rPr>
          <w:rFonts w:eastAsiaTheme="minorEastAsia"/>
          <w:snapToGrid/>
          <w:kern w:val="0"/>
          <w:szCs w:val="22"/>
        </w:rPr>
        <w:tab/>
      </w:r>
      <w:r w:rsidRPr="00693B99">
        <w:rPr>
          <w:szCs w:val="22"/>
        </w:rPr>
        <w:t>Channel Shar</w:t>
      </w:r>
      <w:r w:rsidR="00DD550B" w:rsidRPr="00693B99">
        <w:rPr>
          <w:szCs w:val="22"/>
        </w:rPr>
        <w:t>ing Station Transition Process</w:t>
      </w:r>
      <w:r w:rsidR="00DD550B" w:rsidRPr="00693B99">
        <w:rPr>
          <w:szCs w:val="22"/>
        </w:rPr>
        <w:tab/>
        <w:t>63</w:t>
      </w:r>
    </w:p>
    <w:p w14:paraId="005AF889" w14:textId="77777777" w:rsidR="00ED2D4C" w:rsidRPr="00693B99" w:rsidRDefault="00ED2D4C" w:rsidP="00ED2D4C">
      <w:pPr>
        <w:pStyle w:val="TOC3"/>
        <w:tabs>
          <w:tab w:val="left" w:pos="360"/>
        </w:tabs>
        <w:rPr>
          <w:rFonts w:eastAsiaTheme="minorEastAsia"/>
          <w:snapToGrid/>
          <w:kern w:val="0"/>
          <w:szCs w:val="22"/>
        </w:rPr>
      </w:pPr>
      <w:r w:rsidRPr="00693B99">
        <w:rPr>
          <w:szCs w:val="22"/>
        </w:rPr>
        <w:t>1.</w:t>
      </w:r>
      <w:r w:rsidRPr="00693B99">
        <w:rPr>
          <w:rFonts w:eastAsiaTheme="minorEastAsia"/>
          <w:snapToGrid/>
          <w:kern w:val="0"/>
          <w:szCs w:val="22"/>
        </w:rPr>
        <w:tab/>
      </w:r>
      <w:r w:rsidRPr="00693B99">
        <w:rPr>
          <w:szCs w:val="22"/>
        </w:rPr>
        <w:t>Appli</w:t>
      </w:r>
      <w:r w:rsidR="00DD550B" w:rsidRPr="00693B99">
        <w:rPr>
          <w:szCs w:val="22"/>
        </w:rPr>
        <w:t>cation for Construction Permit</w:t>
      </w:r>
      <w:r w:rsidR="00DD550B" w:rsidRPr="00693B99">
        <w:rPr>
          <w:szCs w:val="22"/>
        </w:rPr>
        <w:tab/>
        <w:t>64</w:t>
      </w:r>
    </w:p>
    <w:p w14:paraId="3CFD50FF" w14:textId="77777777" w:rsidR="00ED2D4C" w:rsidRPr="00693B99" w:rsidRDefault="00ED2D4C" w:rsidP="00ED2D4C">
      <w:pPr>
        <w:pStyle w:val="TOC3"/>
        <w:tabs>
          <w:tab w:val="left" w:pos="360"/>
        </w:tabs>
        <w:rPr>
          <w:rFonts w:eastAsiaTheme="minorEastAsia"/>
          <w:snapToGrid/>
          <w:kern w:val="0"/>
          <w:szCs w:val="22"/>
        </w:rPr>
      </w:pPr>
      <w:r w:rsidRPr="00693B99">
        <w:rPr>
          <w:szCs w:val="22"/>
        </w:rPr>
        <w:t>2.</w:t>
      </w:r>
      <w:r w:rsidRPr="00693B99">
        <w:rPr>
          <w:rFonts w:eastAsiaTheme="minorEastAsia"/>
          <w:snapToGrid/>
          <w:kern w:val="0"/>
          <w:szCs w:val="22"/>
        </w:rPr>
        <w:tab/>
      </w:r>
      <w:r w:rsidRPr="00693B99">
        <w:rPr>
          <w:szCs w:val="22"/>
        </w:rPr>
        <w:t>Suspension of O</w:t>
      </w:r>
      <w:r w:rsidR="00DD550B" w:rsidRPr="00693B99">
        <w:rPr>
          <w:szCs w:val="22"/>
        </w:rPr>
        <w:t>perations Notice to Commission</w:t>
      </w:r>
      <w:r w:rsidR="00DD550B" w:rsidRPr="00693B99">
        <w:rPr>
          <w:szCs w:val="22"/>
        </w:rPr>
        <w:tab/>
        <w:t>67</w:t>
      </w:r>
    </w:p>
    <w:p w14:paraId="5D192D70" w14:textId="77777777" w:rsidR="00ED2D4C" w:rsidRPr="00693B99" w:rsidRDefault="00ED2D4C" w:rsidP="00ED2D4C">
      <w:pPr>
        <w:pStyle w:val="TOC3"/>
        <w:tabs>
          <w:tab w:val="left" w:pos="360"/>
        </w:tabs>
        <w:rPr>
          <w:rFonts w:eastAsiaTheme="minorEastAsia"/>
          <w:snapToGrid/>
          <w:kern w:val="0"/>
          <w:szCs w:val="22"/>
        </w:rPr>
      </w:pPr>
      <w:r w:rsidRPr="00693B99">
        <w:rPr>
          <w:szCs w:val="22"/>
        </w:rPr>
        <w:t>3.</w:t>
      </w:r>
      <w:r w:rsidRPr="00693B99">
        <w:rPr>
          <w:rFonts w:eastAsiaTheme="minorEastAsia"/>
          <w:snapToGrid/>
          <w:kern w:val="0"/>
          <w:szCs w:val="22"/>
        </w:rPr>
        <w:tab/>
      </w:r>
      <w:r w:rsidRPr="00693B99">
        <w:rPr>
          <w:szCs w:val="22"/>
        </w:rPr>
        <w:t>Commencement o</w:t>
      </w:r>
      <w:r w:rsidR="00DD550B" w:rsidRPr="00693B99">
        <w:rPr>
          <w:szCs w:val="22"/>
        </w:rPr>
        <w:t>f Operation on Shared Channel</w:t>
      </w:r>
      <w:r w:rsidR="00DD550B" w:rsidRPr="00693B99">
        <w:rPr>
          <w:szCs w:val="22"/>
        </w:rPr>
        <w:tab/>
        <w:t>68</w:t>
      </w:r>
    </w:p>
    <w:p w14:paraId="29F11202" w14:textId="77777777" w:rsidR="00ED2D4C" w:rsidRPr="00693B99" w:rsidRDefault="00ED2D4C" w:rsidP="00ED2D4C">
      <w:pPr>
        <w:pStyle w:val="TOC3"/>
        <w:tabs>
          <w:tab w:val="left" w:pos="360"/>
        </w:tabs>
        <w:rPr>
          <w:rFonts w:eastAsiaTheme="minorEastAsia"/>
          <w:snapToGrid/>
          <w:kern w:val="0"/>
          <w:szCs w:val="22"/>
        </w:rPr>
      </w:pPr>
      <w:r w:rsidRPr="00693B99">
        <w:rPr>
          <w:szCs w:val="22"/>
        </w:rPr>
        <w:t>4.</w:t>
      </w:r>
      <w:r w:rsidRPr="00693B99">
        <w:rPr>
          <w:rFonts w:eastAsiaTheme="minorEastAsia"/>
          <w:snapToGrid/>
          <w:kern w:val="0"/>
          <w:szCs w:val="22"/>
        </w:rPr>
        <w:tab/>
      </w:r>
      <w:r w:rsidRPr="00693B99">
        <w:rPr>
          <w:szCs w:val="22"/>
        </w:rPr>
        <w:t>Waiver of Deadline</w:t>
      </w:r>
      <w:r w:rsidR="00DD550B" w:rsidRPr="00693B99">
        <w:rPr>
          <w:szCs w:val="22"/>
        </w:rPr>
        <w:t xml:space="preserve"> to Commence Shared Operations</w:t>
      </w:r>
      <w:r w:rsidR="00DD550B" w:rsidRPr="00693B99">
        <w:rPr>
          <w:szCs w:val="22"/>
        </w:rPr>
        <w:tab/>
        <w:t>69</w:t>
      </w:r>
    </w:p>
    <w:p w14:paraId="204C94EB" w14:textId="77777777" w:rsidR="00ED2D4C" w:rsidRPr="00693B99" w:rsidRDefault="00ED2D4C" w:rsidP="00ED2D4C">
      <w:pPr>
        <w:pStyle w:val="TOC3"/>
        <w:tabs>
          <w:tab w:val="left" w:pos="360"/>
        </w:tabs>
        <w:rPr>
          <w:rFonts w:eastAsiaTheme="minorEastAsia"/>
          <w:snapToGrid/>
          <w:kern w:val="0"/>
          <w:szCs w:val="22"/>
        </w:rPr>
      </w:pPr>
      <w:r w:rsidRPr="00693B99">
        <w:rPr>
          <w:szCs w:val="22"/>
        </w:rPr>
        <w:t>5.</w:t>
      </w:r>
      <w:r w:rsidRPr="00693B99">
        <w:rPr>
          <w:rFonts w:eastAsiaTheme="minorEastAsia"/>
          <w:snapToGrid/>
          <w:kern w:val="0"/>
          <w:szCs w:val="22"/>
        </w:rPr>
        <w:tab/>
      </w:r>
      <w:r w:rsidR="00DD550B" w:rsidRPr="00693B99">
        <w:rPr>
          <w:szCs w:val="22"/>
        </w:rPr>
        <w:t>Notice to Viewers</w:t>
      </w:r>
      <w:r w:rsidR="00DD550B" w:rsidRPr="00693B99">
        <w:rPr>
          <w:szCs w:val="22"/>
        </w:rPr>
        <w:tab/>
        <w:t>71</w:t>
      </w:r>
    </w:p>
    <w:p w14:paraId="34F9CC12" w14:textId="77777777" w:rsidR="00ED2D4C" w:rsidRPr="00693B99" w:rsidRDefault="00ED2D4C" w:rsidP="00ED2D4C">
      <w:pPr>
        <w:pStyle w:val="TOC3"/>
        <w:tabs>
          <w:tab w:val="left" w:pos="360"/>
        </w:tabs>
        <w:rPr>
          <w:rFonts w:eastAsiaTheme="minorEastAsia"/>
          <w:snapToGrid/>
          <w:kern w:val="0"/>
          <w:szCs w:val="22"/>
        </w:rPr>
      </w:pPr>
      <w:r w:rsidRPr="00693B99">
        <w:rPr>
          <w:szCs w:val="22"/>
        </w:rPr>
        <w:t>6.</w:t>
      </w:r>
      <w:r w:rsidRPr="00693B99">
        <w:rPr>
          <w:rFonts w:eastAsiaTheme="minorEastAsia"/>
          <w:snapToGrid/>
          <w:kern w:val="0"/>
          <w:szCs w:val="22"/>
        </w:rPr>
        <w:tab/>
      </w:r>
      <w:r w:rsidR="00DD550B" w:rsidRPr="00693B99">
        <w:rPr>
          <w:szCs w:val="22"/>
        </w:rPr>
        <w:t>Notice to MVPDs</w:t>
      </w:r>
      <w:r w:rsidR="00DD550B" w:rsidRPr="00693B99">
        <w:rPr>
          <w:szCs w:val="22"/>
        </w:rPr>
        <w:tab/>
        <w:t>72</w:t>
      </w:r>
    </w:p>
    <w:p w14:paraId="6E169A10" w14:textId="77777777" w:rsidR="00ED2D4C" w:rsidRPr="00693B99" w:rsidRDefault="00ED2D4C" w:rsidP="00ED2D4C">
      <w:pPr>
        <w:pStyle w:val="TOC1"/>
        <w:rPr>
          <w:rFonts w:eastAsiaTheme="minorEastAsia"/>
          <w:caps w:val="0"/>
          <w:snapToGrid/>
          <w:kern w:val="0"/>
          <w:szCs w:val="22"/>
        </w:rPr>
      </w:pPr>
      <w:r w:rsidRPr="00693B99">
        <w:rPr>
          <w:szCs w:val="22"/>
        </w:rPr>
        <w:t>V.</w:t>
      </w:r>
      <w:r w:rsidRPr="00693B99">
        <w:rPr>
          <w:rFonts w:eastAsiaTheme="minorEastAsia"/>
          <w:caps w:val="0"/>
          <w:snapToGrid/>
          <w:kern w:val="0"/>
          <w:szCs w:val="22"/>
        </w:rPr>
        <w:tab/>
      </w:r>
      <w:r w:rsidR="00DD550B" w:rsidRPr="00693B99">
        <w:rPr>
          <w:szCs w:val="22"/>
        </w:rPr>
        <w:t>Impact on Transition</w:t>
      </w:r>
      <w:r w:rsidR="00DD550B" w:rsidRPr="00693B99">
        <w:rPr>
          <w:szCs w:val="22"/>
        </w:rPr>
        <w:tab/>
        <w:t>73</w:t>
      </w:r>
    </w:p>
    <w:p w14:paraId="74215B9C" w14:textId="77777777" w:rsidR="00ED2D4C" w:rsidRPr="00693B99" w:rsidRDefault="00ED2D4C" w:rsidP="00ED2D4C">
      <w:pPr>
        <w:pStyle w:val="TOC1"/>
        <w:rPr>
          <w:rFonts w:eastAsiaTheme="minorEastAsia"/>
          <w:caps w:val="0"/>
          <w:snapToGrid/>
          <w:kern w:val="0"/>
          <w:szCs w:val="22"/>
        </w:rPr>
      </w:pPr>
      <w:r w:rsidRPr="00693B99">
        <w:rPr>
          <w:szCs w:val="22"/>
        </w:rPr>
        <w:t>VI.</w:t>
      </w:r>
      <w:r w:rsidRPr="00693B99">
        <w:rPr>
          <w:rFonts w:eastAsiaTheme="minorEastAsia"/>
          <w:caps w:val="0"/>
          <w:snapToGrid/>
          <w:kern w:val="0"/>
          <w:szCs w:val="22"/>
        </w:rPr>
        <w:tab/>
      </w:r>
      <w:r w:rsidR="00DD550B" w:rsidRPr="00693B99">
        <w:rPr>
          <w:szCs w:val="22"/>
        </w:rPr>
        <w:t>Reimbursement</w:t>
      </w:r>
      <w:r w:rsidR="00DD550B" w:rsidRPr="00693B99">
        <w:rPr>
          <w:szCs w:val="22"/>
        </w:rPr>
        <w:tab/>
        <w:t>75</w:t>
      </w:r>
    </w:p>
    <w:p w14:paraId="3EC45CFE" w14:textId="77777777" w:rsidR="00ED2D4C" w:rsidRPr="00693B99" w:rsidRDefault="00ED2D4C" w:rsidP="00ED2D4C">
      <w:pPr>
        <w:pStyle w:val="TOC2"/>
        <w:tabs>
          <w:tab w:val="left" w:pos="360"/>
        </w:tabs>
        <w:rPr>
          <w:rFonts w:eastAsiaTheme="minorEastAsia"/>
          <w:snapToGrid/>
          <w:kern w:val="0"/>
          <w:szCs w:val="22"/>
        </w:rPr>
      </w:pPr>
      <w:r w:rsidRPr="00693B99">
        <w:rPr>
          <w:szCs w:val="22"/>
        </w:rPr>
        <w:t>A.</w:t>
      </w:r>
      <w:r w:rsidRPr="00693B99">
        <w:rPr>
          <w:rFonts w:eastAsiaTheme="minorEastAsia"/>
          <w:snapToGrid/>
          <w:kern w:val="0"/>
          <w:szCs w:val="22"/>
        </w:rPr>
        <w:tab/>
      </w:r>
      <w:r w:rsidR="00DD550B" w:rsidRPr="00693B99">
        <w:rPr>
          <w:szCs w:val="22"/>
        </w:rPr>
        <w:t>Background</w:t>
      </w:r>
      <w:r w:rsidR="00DD550B" w:rsidRPr="00693B99">
        <w:rPr>
          <w:szCs w:val="22"/>
        </w:rPr>
        <w:tab/>
        <w:t>75</w:t>
      </w:r>
    </w:p>
    <w:p w14:paraId="0E3056B7" w14:textId="77777777" w:rsidR="00ED2D4C" w:rsidRPr="00693B99" w:rsidRDefault="00ED2D4C" w:rsidP="00ED2D4C">
      <w:pPr>
        <w:pStyle w:val="TOC2"/>
        <w:tabs>
          <w:tab w:val="left" w:pos="360"/>
        </w:tabs>
        <w:rPr>
          <w:rFonts w:eastAsiaTheme="minorEastAsia"/>
          <w:snapToGrid/>
          <w:kern w:val="0"/>
          <w:szCs w:val="22"/>
        </w:rPr>
      </w:pPr>
      <w:r w:rsidRPr="00693B99">
        <w:rPr>
          <w:szCs w:val="22"/>
        </w:rPr>
        <w:t>B.</w:t>
      </w:r>
      <w:r w:rsidRPr="00693B99">
        <w:rPr>
          <w:rFonts w:eastAsiaTheme="minorEastAsia"/>
          <w:snapToGrid/>
          <w:kern w:val="0"/>
          <w:szCs w:val="22"/>
        </w:rPr>
        <w:tab/>
      </w:r>
      <w:r w:rsidR="00DD550B" w:rsidRPr="00693B99">
        <w:rPr>
          <w:szCs w:val="22"/>
        </w:rPr>
        <w:t>Reimbursement Cost Estimates</w:t>
      </w:r>
      <w:r w:rsidR="00DD550B" w:rsidRPr="00693B99">
        <w:rPr>
          <w:szCs w:val="22"/>
        </w:rPr>
        <w:tab/>
        <w:t>76</w:t>
      </w:r>
    </w:p>
    <w:p w14:paraId="6F7B672B" w14:textId="77777777" w:rsidR="00ED2D4C" w:rsidRPr="00693B99" w:rsidRDefault="00ED2D4C" w:rsidP="00ED2D4C">
      <w:pPr>
        <w:pStyle w:val="TOC2"/>
        <w:tabs>
          <w:tab w:val="left" w:pos="360"/>
        </w:tabs>
        <w:rPr>
          <w:rFonts w:eastAsiaTheme="minorEastAsia"/>
          <w:snapToGrid/>
          <w:kern w:val="0"/>
          <w:szCs w:val="22"/>
        </w:rPr>
      </w:pPr>
      <w:r w:rsidRPr="00693B99">
        <w:rPr>
          <w:szCs w:val="22"/>
        </w:rPr>
        <w:t>C.</w:t>
      </w:r>
      <w:r w:rsidRPr="00693B99">
        <w:rPr>
          <w:rFonts w:eastAsiaTheme="minorEastAsia"/>
          <w:snapToGrid/>
          <w:kern w:val="0"/>
          <w:szCs w:val="22"/>
        </w:rPr>
        <w:tab/>
      </w:r>
      <w:r w:rsidRPr="00693B99">
        <w:rPr>
          <w:szCs w:val="22"/>
        </w:rPr>
        <w:t>Reimbursement Claims for Ac</w:t>
      </w:r>
      <w:r w:rsidR="00DD550B" w:rsidRPr="00693B99">
        <w:rPr>
          <w:szCs w:val="22"/>
        </w:rPr>
        <w:t>tual Expenses Incurred</w:t>
      </w:r>
      <w:r w:rsidR="00DD550B" w:rsidRPr="00693B99">
        <w:rPr>
          <w:szCs w:val="22"/>
        </w:rPr>
        <w:tab/>
        <w:t>81</w:t>
      </w:r>
    </w:p>
    <w:p w14:paraId="6C31E1C4" w14:textId="77777777" w:rsidR="00ED2D4C" w:rsidRPr="00693B99" w:rsidRDefault="00ED2D4C" w:rsidP="00ED2D4C">
      <w:pPr>
        <w:pStyle w:val="TOC2"/>
        <w:tabs>
          <w:tab w:val="left" w:pos="360"/>
        </w:tabs>
        <w:rPr>
          <w:rFonts w:eastAsiaTheme="minorEastAsia"/>
          <w:snapToGrid/>
          <w:kern w:val="0"/>
          <w:szCs w:val="22"/>
        </w:rPr>
      </w:pPr>
      <w:r w:rsidRPr="00693B99">
        <w:rPr>
          <w:szCs w:val="22"/>
        </w:rPr>
        <w:t>D.</w:t>
      </w:r>
      <w:r w:rsidRPr="00693B99">
        <w:rPr>
          <w:rFonts w:eastAsiaTheme="minorEastAsia"/>
          <w:snapToGrid/>
          <w:kern w:val="0"/>
          <w:szCs w:val="22"/>
        </w:rPr>
        <w:tab/>
      </w:r>
      <w:r w:rsidRPr="00693B99">
        <w:rPr>
          <w:szCs w:val="22"/>
        </w:rPr>
        <w:t>Service Rule W</w:t>
      </w:r>
      <w:r w:rsidR="00DD550B" w:rsidRPr="00693B99">
        <w:rPr>
          <w:szCs w:val="22"/>
        </w:rPr>
        <w:t>aiver in Lieu of Reimbursement</w:t>
      </w:r>
      <w:r w:rsidR="00DD550B" w:rsidRPr="00693B99">
        <w:rPr>
          <w:szCs w:val="22"/>
        </w:rPr>
        <w:tab/>
        <w:t>82</w:t>
      </w:r>
    </w:p>
    <w:p w14:paraId="50AF13DD" w14:textId="77777777" w:rsidR="00ED2D4C" w:rsidRPr="00693B99" w:rsidRDefault="00ED2D4C" w:rsidP="00ED2D4C">
      <w:pPr>
        <w:pStyle w:val="TOC1"/>
        <w:rPr>
          <w:rFonts w:eastAsiaTheme="minorEastAsia"/>
          <w:caps w:val="0"/>
          <w:snapToGrid/>
          <w:kern w:val="0"/>
          <w:szCs w:val="22"/>
        </w:rPr>
      </w:pPr>
      <w:r w:rsidRPr="00693B99">
        <w:rPr>
          <w:szCs w:val="22"/>
        </w:rPr>
        <w:t>VII.</w:t>
      </w:r>
      <w:r w:rsidRPr="00693B99">
        <w:rPr>
          <w:rFonts w:eastAsiaTheme="minorEastAsia"/>
          <w:caps w:val="0"/>
          <w:snapToGrid/>
          <w:kern w:val="0"/>
          <w:szCs w:val="22"/>
        </w:rPr>
        <w:t xml:space="preserve">  </w:t>
      </w:r>
      <w:r w:rsidR="00DD550B" w:rsidRPr="00693B99">
        <w:rPr>
          <w:szCs w:val="22"/>
        </w:rPr>
        <w:t>Contacts</w:t>
      </w:r>
      <w:r w:rsidR="00DD550B" w:rsidRPr="00693B99">
        <w:rPr>
          <w:szCs w:val="22"/>
        </w:rPr>
        <w:tab/>
        <w:t>85</w:t>
      </w:r>
    </w:p>
    <w:p w14:paraId="158A5ADE" w14:textId="77777777" w:rsidR="00ED2D4C" w:rsidRPr="00693B99" w:rsidRDefault="00DD550B" w:rsidP="00DD550B">
      <w:pPr>
        <w:pStyle w:val="TOC1"/>
        <w:rPr>
          <w:caps w:val="0"/>
          <w:szCs w:val="22"/>
        </w:rPr>
      </w:pPr>
      <w:r w:rsidRPr="00693B99">
        <w:rPr>
          <w:caps w:val="0"/>
          <w:szCs w:val="22"/>
        </w:rPr>
        <w:t>APPENDIX</w:t>
      </w:r>
      <w:r w:rsidR="00ED2D4C" w:rsidRPr="00693B99">
        <w:rPr>
          <w:caps w:val="0"/>
          <w:szCs w:val="22"/>
        </w:rPr>
        <w:t xml:space="preserve"> A </w:t>
      </w:r>
      <w:r w:rsidRPr="00693B99">
        <w:rPr>
          <w:caps w:val="0"/>
          <w:szCs w:val="22"/>
        </w:rPr>
        <w:t>–</w:t>
      </w:r>
      <w:r w:rsidR="00ED2D4C" w:rsidRPr="00693B99">
        <w:rPr>
          <w:caps w:val="0"/>
          <w:szCs w:val="22"/>
        </w:rPr>
        <w:t xml:space="preserve"> </w:t>
      </w:r>
      <w:r w:rsidRPr="00693B99">
        <w:rPr>
          <w:caps w:val="0"/>
          <w:szCs w:val="22"/>
        </w:rPr>
        <w:t>Instructions for Accessing and Filing on LMS</w:t>
      </w:r>
    </w:p>
    <w:p w14:paraId="77CCBC67" w14:textId="77777777" w:rsidR="00DD550B" w:rsidRPr="00693B99" w:rsidRDefault="00DD550B" w:rsidP="00DD550B">
      <w:pPr>
        <w:rPr>
          <w:szCs w:val="22"/>
        </w:rPr>
      </w:pPr>
    </w:p>
    <w:p w14:paraId="0464BFBF" w14:textId="77777777" w:rsidR="006B3708" w:rsidRPr="00693B99" w:rsidRDefault="008B5FBF" w:rsidP="00F44645">
      <w:pPr>
        <w:pStyle w:val="Heading1"/>
        <w:rPr>
          <w:rFonts w:ascii="Times New Roman" w:hAnsi="Times New Roman"/>
          <w:szCs w:val="22"/>
        </w:rPr>
      </w:pPr>
      <w:bookmarkStart w:id="9" w:name="_Toc471734045"/>
      <w:bookmarkEnd w:id="1"/>
      <w:r w:rsidRPr="00693B99">
        <w:rPr>
          <w:rFonts w:ascii="Times New Roman" w:hAnsi="Times New Roman"/>
          <w:szCs w:val="22"/>
        </w:rPr>
        <w:t>Introduction</w:t>
      </w:r>
      <w:bookmarkEnd w:id="2"/>
      <w:bookmarkEnd w:id="3"/>
      <w:bookmarkEnd w:id="4"/>
      <w:bookmarkEnd w:id="5"/>
      <w:bookmarkEnd w:id="6"/>
      <w:bookmarkEnd w:id="7"/>
      <w:bookmarkEnd w:id="9"/>
    </w:p>
    <w:p w14:paraId="281CAD79" w14:textId="77777777" w:rsidR="00A26F18" w:rsidRPr="00693B99" w:rsidRDefault="00974CD9" w:rsidP="00C1003C">
      <w:pPr>
        <w:pStyle w:val="ParaNum"/>
        <w:tabs>
          <w:tab w:val="clear" w:pos="1080"/>
        </w:tabs>
        <w:rPr>
          <w:szCs w:val="22"/>
        </w:rPr>
      </w:pPr>
      <w:r w:rsidRPr="00693B99">
        <w:rPr>
          <w:szCs w:val="22"/>
        </w:rPr>
        <w:t>The Media Bureau, in t</w:t>
      </w:r>
      <w:r w:rsidR="00C1003C" w:rsidRPr="00693B99">
        <w:rPr>
          <w:szCs w:val="22"/>
        </w:rPr>
        <w:t>his Public Notice</w:t>
      </w:r>
      <w:r w:rsidRPr="00693B99">
        <w:rPr>
          <w:szCs w:val="22"/>
        </w:rPr>
        <w:t>,</w:t>
      </w:r>
      <w:r w:rsidR="00C1003C" w:rsidRPr="00693B99">
        <w:rPr>
          <w:szCs w:val="22"/>
        </w:rPr>
        <w:t xml:space="preserve"> </w:t>
      </w:r>
      <w:r w:rsidR="00AB7AFA" w:rsidRPr="00693B99">
        <w:rPr>
          <w:szCs w:val="22"/>
        </w:rPr>
        <w:t>addresses</w:t>
      </w:r>
      <w:r w:rsidR="00C1003C" w:rsidRPr="00693B99">
        <w:rPr>
          <w:szCs w:val="22"/>
        </w:rPr>
        <w:t xml:space="preserve"> the transition of full power and Class A television stations to post-auction channel assignments in the reorganized television bands following the conclusion of the broadcast television spectrum incentive auction (Auction 1000).</w:t>
      </w:r>
      <w:r w:rsidR="00C1003C" w:rsidRPr="00693B99">
        <w:rPr>
          <w:rStyle w:val="FootnoteReference"/>
        </w:rPr>
        <w:footnoteReference w:id="2"/>
      </w:r>
      <w:r w:rsidR="00C1003C" w:rsidRPr="00693B99">
        <w:rPr>
          <w:szCs w:val="22"/>
        </w:rPr>
        <w:t xml:space="preserve">  In </w:t>
      </w:r>
      <w:r w:rsidR="00AB7AFA" w:rsidRPr="00693B99">
        <w:rPr>
          <w:szCs w:val="22"/>
        </w:rPr>
        <w:t>order to provide guidance to broadcasters assigned to new channels</w:t>
      </w:r>
      <w:r w:rsidR="00C1003C" w:rsidRPr="00693B99">
        <w:rPr>
          <w:szCs w:val="22"/>
        </w:rPr>
        <w:t xml:space="preserve">, </w:t>
      </w:r>
      <w:r w:rsidRPr="00693B99">
        <w:rPr>
          <w:szCs w:val="22"/>
        </w:rPr>
        <w:t>we</w:t>
      </w:r>
      <w:r w:rsidR="00C1003C" w:rsidRPr="00693B99">
        <w:rPr>
          <w:szCs w:val="22"/>
        </w:rPr>
        <w:t xml:space="preserve"> summarize and clarif</w:t>
      </w:r>
      <w:r w:rsidRPr="00693B99">
        <w:rPr>
          <w:szCs w:val="22"/>
        </w:rPr>
        <w:t>y</w:t>
      </w:r>
      <w:r w:rsidR="00C1003C" w:rsidRPr="00693B99">
        <w:rPr>
          <w:szCs w:val="22"/>
        </w:rPr>
        <w:t xml:space="preserve"> the process </w:t>
      </w:r>
      <w:r w:rsidR="00AB7AFA" w:rsidRPr="00693B99">
        <w:rPr>
          <w:szCs w:val="22"/>
        </w:rPr>
        <w:t>established</w:t>
      </w:r>
      <w:r w:rsidR="00C1003C" w:rsidRPr="00693B99">
        <w:rPr>
          <w:szCs w:val="22"/>
        </w:rPr>
        <w:t xml:space="preserve"> in the </w:t>
      </w:r>
      <w:r w:rsidR="00C1003C" w:rsidRPr="00693B99">
        <w:rPr>
          <w:i/>
          <w:szCs w:val="22"/>
        </w:rPr>
        <w:t>Incentive Auction R&amp;O</w:t>
      </w:r>
      <w:r w:rsidR="00C1003C" w:rsidRPr="00693B99">
        <w:rPr>
          <w:szCs w:val="22"/>
        </w:rPr>
        <w:t xml:space="preserve"> </w:t>
      </w:r>
      <w:r w:rsidR="00AB7AFA" w:rsidRPr="00693B99">
        <w:rPr>
          <w:szCs w:val="22"/>
        </w:rPr>
        <w:t xml:space="preserve">and </w:t>
      </w:r>
      <w:r w:rsidR="00C1003C" w:rsidRPr="00693B99">
        <w:rPr>
          <w:szCs w:val="22"/>
        </w:rPr>
        <w:t>further developed in subsequent decisions.</w:t>
      </w:r>
      <w:r w:rsidR="00C1003C" w:rsidRPr="00693B99">
        <w:rPr>
          <w:szCs w:val="22"/>
          <w:vertAlign w:val="superscript"/>
        </w:rPr>
        <w:footnoteReference w:id="3"/>
      </w:r>
      <w:r w:rsidR="00C1003C" w:rsidRPr="00693B99">
        <w:rPr>
          <w:szCs w:val="22"/>
        </w:rPr>
        <w:t xml:space="preserve">  </w:t>
      </w:r>
    </w:p>
    <w:p w14:paraId="6F37BF70" w14:textId="6C777F5B" w:rsidR="00974CD9" w:rsidRPr="00693B99" w:rsidRDefault="00A26F18" w:rsidP="00A26F18">
      <w:pPr>
        <w:pStyle w:val="ParaNum"/>
        <w:tabs>
          <w:tab w:val="clear" w:pos="1080"/>
        </w:tabs>
        <w:rPr>
          <w:szCs w:val="22"/>
        </w:rPr>
      </w:pPr>
      <w:r w:rsidRPr="00693B99">
        <w:rPr>
          <w:szCs w:val="22"/>
        </w:rPr>
        <w:t xml:space="preserve">This Public Notice provides detailed information, instructions, and projected deadlines for filing applications related to the post-incentive auction broadcast transition.  It includes details about the requirement that all stations assigned a new channel as a result of the incentive auction submit an application for construction permit for their post-auction channel, as well as the procedures by which winning reverse auction bidders must relinquish their spectrum usage rights.  It also sets forth the process by which eligible television stations can seek reimbursement of certain costs incurred in relocating to new channels and Multichannel Video Programming Distributors (MVPDs) for certain costs incurred in order to continue to carry the signals of relocating television stations.  Additionally, this Public Notice includes an </w:t>
      </w:r>
      <w:r w:rsidR="006834A0" w:rsidRPr="00693B99">
        <w:rPr>
          <w:szCs w:val="22"/>
        </w:rPr>
        <w:t>Appendix</w:t>
      </w:r>
      <w:r w:rsidRPr="00693B99">
        <w:rPr>
          <w:szCs w:val="22"/>
        </w:rPr>
        <w:t xml:space="preserve"> with instructions for filing in the Commission’s Licensing and Management System (LMS) the applications required to effectuate this transition.</w:t>
      </w:r>
    </w:p>
    <w:p w14:paraId="48B82CA4" w14:textId="77777777" w:rsidR="008B5FBF" w:rsidRPr="00693B99" w:rsidRDefault="00A26F18" w:rsidP="00C32B97">
      <w:pPr>
        <w:pStyle w:val="ParaNum"/>
        <w:tabs>
          <w:tab w:val="clear" w:pos="1080"/>
        </w:tabs>
        <w:rPr>
          <w:szCs w:val="22"/>
        </w:rPr>
      </w:pPr>
      <w:r w:rsidRPr="00693B99">
        <w:rPr>
          <w:szCs w:val="22"/>
        </w:rPr>
        <w:t>Specifically, i</w:t>
      </w:r>
      <w:r w:rsidR="008B5FBF" w:rsidRPr="00693B99">
        <w:rPr>
          <w:szCs w:val="22"/>
        </w:rPr>
        <w:t>n Section II below, we provide an overview of the auction and the post-</w:t>
      </w:r>
      <w:r w:rsidR="008B5FBF" w:rsidRPr="00693B99">
        <w:rPr>
          <w:szCs w:val="22"/>
        </w:rPr>
        <w:lastRenderedPageBreak/>
        <w:t>auction transition</w:t>
      </w:r>
      <w:r w:rsidR="005856E2" w:rsidRPr="00693B99">
        <w:rPr>
          <w:szCs w:val="22"/>
        </w:rPr>
        <w:t xml:space="preserve"> of full power and Class A television stations</w:t>
      </w:r>
      <w:r w:rsidR="008B5FBF" w:rsidRPr="00693B99">
        <w:rPr>
          <w:szCs w:val="22"/>
        </w:rPr>
        <w:t xml:space="preserve">, and define terminology used in this Public Notice.  In Section III, </w:t>
      </w:r>
      <w:r w:rsidR="00DC0182" w:rsidRPr="00693B99">
        <w:rPr>
          <w:szCs w:val="22"/>
        </w:rPr>
        <w:t xml:space="preserve">we </w:t>
      </w:r>
      <w:r w:rsidR="008B5FBF" w:rsidRPr="00693B99">
        <w:rPr>
          <w:szCs w:val="22"/>
        </w:rPr>
        <w:t xml:space="preserve">first outline the obligations of stations after the results of the auction and the </w:t>
      </w:r>
      <w:r w:rsidR="00DC0182" w:rsidRPr="00693B99">
        <w:rPr>
          <w:szCs w:val="22"/>
        </w:rPr>
        <w:t xml:space="preserve">channel reassignments </w:t>
      </w:r>
      <w:r w:rsidR="008B5FBF" w:rsidRPr="00693B99">
        <w:rPr>
          <w:szCs w:val="22"/>
        </w:rPr>
        <w:t xml:space="preserve">are publicly announced, including </w:t>
      </w:r>
      <w:r w:rsidR="00DC0182" w:rsidRPr="00693B99">
        <w:rPr>
          <w:szCs w:val="22"/>
        </w:rPr>
        <w:t xml:space="preserve">the obligation to file </w:t>
      </w:r>
      <w:r w:rsidR="008B5FBF" w:rsidRPr="00693B99">
        <w:rPr>
          <w:szCs w:val="22"/>
        </w:rPr>
        <w:t xml:space="preserve">construction permit applications for new post-auction channels.  Next, for certain stations, </w:t>
      </w:r>
      <w:r w:rsidR="008B5FBF" w:rsidRPr="00693B99">
        <w:rPr>
          <w:snapToGrid/>
          <w:szCs w:val="22"/>
        </w:rPr>
        <w:t xml:space="preserve">we describe the requirements for </w:t>
      </w:r>
      <w:r w:rsidR="00B808EC" w:rsidRPr="00693B99">
        <w:rPr>
          <w:szCs w:val="22"/>
        </w:rPr>
        <w:t>requesting</w:t>
      </w:r>
      <w:r w:rsidR="008B5FBF" w:rsidRPr="00693B99">
        <w:rPr>
          <w:szCs w:val="22"/>
        </w:rPr>
        <w:t xml:space="preserve"> alternate channels or expanded facilities</w:t>
      </w:r>
      <w:r w:rsidR="0087779A" w:rsidRPr="00693B99">
        <w:rPr>
          <w:szCs w:val="22"/>
        </w:rPr>
        <w:t xml:space="preserve"> in two </w:t>
      </w:r>
      <w:r w:rsidR="00B808EC" w:rsidRPr="00693B99">
        <w:rPr>
          <w:szCs w:val="22"/>
        </w:rPr>
        <w:t>filing windows</w:t>
      </w:r>
      <w:r w:rsidR="008B5FBF" w:rsidRPr="00693B99">
        <w:rPr>
          <w:szCs w:val="22"/>
        </w:rPr>
        <w:t xml:space="preserve">.  Then we describe the </w:t>
      </w:r>
      <w:r w:rsidR="00B808EC" w:rsidRPr="00693B99">
        <w:rPr>
          <w:szCs w:val="22"/>
        </w:rPr>
        <w:t>procedures for</w:t>
      </w:r>
      <w:r w:rsidR="008B5FBF" w:rsidRPr="00693B99">
        <w:rPr>
          <w:szCs w:val="22"/>
        </w:rPr>
        <w:t xml:space="preserve"> request</w:t>
      </w:r>
      <w:r w:rsidR="00B808EC" w:rsidRPr="00693B99">
        <w:rPr>
          <w:szCs w:val="22"/>
        </w:rPr>
        <w:t>ing</w:t>
      </w:r>
      <w:r w:rsidR="008B5FBF" w:rsidRPr="00693B99">
        <w:rPr>
          <w:szCs w:val="22"/>
        </w:rPr>
        <w:t xml:space="preserve"> </w:t>
      </w:r>
      <w:r w:rsidR="00B808EC" w:rsidRPr="00693B99">
        <w:rPr>
          <w:szCs w:val="22"/>
        </w:rPr>
        <w:t>a construction permit deadline</w:t>
      </w:r>
      <w:r w:rsidR="008B5FBF" w:rsidRPr="00693B99">
        <w:rPr>
          <w:szCs w:val="22"/>
        </w:rPr>
        <w:t xml:space="preserve"> extension or special temporary authority (STA)</w:t>
      </w:r>
      <w:r w:rsidR="007C34B2" w:rsidRPr="00693B99">
        <w:rPr>
          <w:szCs w:val="22"/>
        </w:rPr>
        <w:t xml:space="preserve"> for those stations that may need additional time to complete the transition</w:t>
      </w:r>
      <w:r w:rsidR="008B5FBF" w:rsidRPr="00693B99">
        <w:rPr>
          <w:szCs w:val="22"/>
        </w:rPr>
        <w:t>.  Finally, we describe filing and notice obligations at the completion of a station’s transition.</w:t>
      </w:r>
    </w:p>
    <w:p w14:paraId="5C955A48" w14:textId="77777777" w:rsidR="008B5FBF" w:rsidRPr="00693B99" w:rsidRDefault="000B3FB1" w:rsidP="00551977">
      <w:pPr>
        <w:numPr>
          <w:ilvl w:val="0"/>
          <w:numId w:val="2"/>
        </w:numPr>
        <w:tabs>
          <w:tab w:val="clear" w:pos="1080"/>
        </w:tabs>
        <w:spacing w:after="120"/>
        <w:rPr>
          <w:szCs w:val="22"/>
        </w:rPr>
      </w:pPr>
      <w:r w:rsidRPr="00693B99">
        <w:rPr>
          <w:szCs w:val="22"/>
        </w:rPr>
        <w:t>In Section IV</w:t>
      </w:r>
      <w:r w:rsidR="008B5FBF" w:rsidRPr="00693B99">
        <w:rPr>
          <w:szCs w:val="22"/>
        </w:rPr>
        <w:t xml:space="preserve">, we </w:t>
      </w:r>
      <w:r w:rsidR="00014E94" w:rsidRPr="00693B99">
        <w:rPr>
          <w:szCs w:val="22"/>
        </w:rPr>
        <w:t xml:space="preserve">describe the forthcoming Public Notice that will </w:t>
      </w:r>
      <w:r w:rsidR="008B5FBF" w:rsidRPr="00693B99">
        <w:rPr>
          <w:szCs w:val="22"/>
        </w:rPr>
        <w:t xml:space="preserve">address </w:t>
      </w:r>
      <w:r w:rsidR="00551977" w:rsidRPr="00693B99">
        <w:rPr>
          <w:szCs w:val="22"/>
        </w:rPr>
        <w:t xml:space="preserve">the process for </w:t>
      </w:r>
      <w:r w:rsidR="00014E94" w:rsidRPr="00693B99">
        <w:rPr>
          <w:szCs w:val="22"/>
        </w:rPr>
        <w:t xml:space="preserve">reverse auction winning bidders to submit information necessary for </w:t>
      </w:r>
      <w:r w:rsidR="00551977" w:rsidRPr="00693B99">
        <w:rPr>
          <w:szCs w:val="22"/>
        </w:rPr>
        <w:t>receiving auction proceeds</w:t>
      </w:r>
      <w:r w:rsidR="00B808EC" w:rsidRPr="00693B99">
        <w:rPr>
          <w:szCs w:val="22"/>
        </w:rPr>
        <w:t xml:space="preserve">.  We then </w:t>
      </w:r>
      <w:r w:rsidR="008B5FBF" w:rsidRPr="00693B99">
        <w:rPr>
          <w:szCs w:val="22"/>
        </w:rPr>
        <w:t xml:space="preserve">outline </w:t>
      </w:r>
      <w:r w:rsidR="00B808EC" w:rsidRPr="00693B99">
        <w:rPr>
          <w:szCs w:val="22"/>
        </w:rPr>
        <w:t xml:space="preserve">the process by which </w:t>
      </w:r>
      <w:r w:rsidR="008B5FBF" w:rsidRPr="00693B99">
        <w:rPr>
          <w:szCs w:val="22"/>
        </w:rPr>
        <w:t xml:space="preserve">stations </w:t>
      </w:r>
      <w:r w:rsidR="002655A2" w:rsidRPr="00693B99">
        <w:rPr>
          <w:szCs w:val="22"/>
        </w:rPr>
        <w:t>that voluntarily relinquish</w:t>
      </w:r>
      <w:r w:rsidR="00B808EC" w:rsidRPr="00693B99">
        <w:rPr>
          <w:szCs w:val="22"/>
        </w:rPr>
        <w:t xml:space="preserve"> their spectrum usage rights in the reverse auction will </w:t>
      </w:r>
      <w:r w:rsidR="008B5FBF" w:rsidRPr="00693B99">
        <w:rPr>
          <w:szCs w:val="22"/>
        </w:rPr>
        <w:t>relinquish their channels, including notice obligations</w:t>
      </w:r>
      <w:r w:rsidR="00B808EC" w:rsidRPr="00693B99">
        <w:rPr>
          <w:szCs w:val="22"/>
        </w:rPr>
        <w:t xml:space="preserve">.  </w:t>
      </w:r>
      <w:r w:rsidR="007C34B2" w:rsidRPr="00693B99">
        <w:rPr>
          <w:szCs w:val="22"/>
        </w:rPr>
        <w:t>Lastly</w:t>
      </w:r>
      <w:r w:rsidR="00F35073" w:rsidRPr="00693B99">
        <w:rPr>
          <w:szCs w:val="22"/>
        </w:rPr>
        <w:t>, we</w:t>
      </w:r>
      <w:r w:rsidR="00B808EC" w:rsidRPr="00693B99">
        <w:rPr>
          <w:szCs w:val="22"/>
        </w:rPr>
        <w:t xml:space="preserve"> </w:t>
      </w:r>
      <w:r w:rsidR="008B5FBF" w:rsidRPr="00693B99">
        <w:rPr>
          <w:szCs w:val="22"/>
        </w:rPr>
        <w:t xml:space="preserve">set forth </w:t>
      </w:r>
      <w:r w:rsidR="00F35073" w:rsidRPr="00693B99">
        <w:rPr>
          <w:szCs w:val="22"/>
        </w:rPr>
        <w:t xml:space="preserve">the </w:t>
      </w:r>
      <w:r w:rsidR="00B808EC" w:rsidRPr="00693B99">
        <w:rPr>
          <w:szCs w:val="22"/>
        </w:rPr>
        <w:t xml:space="preserve">transition </w:t>
      </w:r>
      <w:r w:rsidR="008B5FBF" w:rsidRPr="00693B99">
        <w:rPr>
          <w:szCs w:val="22"/>
        </w:rPr>
        <w:t>procedures for channel sharing stations,</w:t>
      </w:r>
      <w:r w:rsidR="00B808EC" w:rsidRPr="00693B99">
        <w:rPr>
          <w:szCs w:val="22"/>
        </w:rPr>
        <w:t xml:space="preserve"> again</w:t>
      </w:r>
      <w:r w:rsidR="008B5FBF" w:rsidRPr="00693B99">
        <w:rPr>
          <w:szCs w:val="22"/>
        </w:rPr>
        <w:t xml:space="preserve"> including notice obligations.</w:t>
      </w:r>
    </w:p>
    <w:p w14:paraId="68B559AA" w14:textId="08F75E13" w:rsidR="004906FC" w:rsidRPr="00693B99" w:rsidRDefault="00F87872" w:rsidP="004906FC">
      <w:pPr>
        <w:numPr>
          <w:ilvl w:val="0"/>
          <w:numId w:val="2"/>
        </w:numPr>
        <w:tabs>
          <w:tab w:val="clear" w:pos="1080"/>
        </w:tabs>
        <w:spacing w:after="120"/>
        <w:rPr>
          <w:szCs w:val="22"/>
        </w:rPr>
      </w:pPr>
      <w:r w:rsidRPr="00693B99">
        <w:rPr>
          <w:szCs w:val="22"/>
        </w:rPr>
        <w:t xml:space="preserve">We note that this Public Notice does not discuss the phased transition schedule for stations assigned to new channels.  Rather, the </w:t>
      </w:r>
      <w:r w:rsidRPr="00693B99">
        <w:rPr>
          <w:i/>
          <w:szCs w:val="22"/>
        </w:rPr>
        <w:t xml:space="preserve">Transition Scheduling </w:t>
      </w:r>
      <w:r w:rsidR="00612365" w:rsidRPr="00693B99">
        <w:rPr>
          <w:i/>
          <w:szCs w:val="22"/>
        </w:rPr>
        <w:t xml:space="preserve">Adoption </w:t>
      </w:r>
      <w:r w:rsidRPr="00693B99">
        <w:rPr>
          <w:i/>
          <w:szCs w:val="22"/>
        </w:rPr>
        <w:t>Public Notice</w:t>
      </w:r>
      <w:r w:rsidRPr="00693B99">
        <w:rPr>
          <w:szCs w:val="22"/>
        </w:rPr>
        <w:t xml:space="preserve"> also being released today address</w:t>
      </w:r>
      <w:r w:rsidR="006834A0" w:rsidRPr="00693B99">
        <w:rPr>
          <w:szCs w:val="22"/>
        </w:rPr>
        <w:t>es</w:t>
      </w:r>
      <w:r w:rsidRPr="00693B99">
        <w:rPr>
          <w:szCs w:val="22"/>
        </w:rPr>
        <w:t xml:space="preserve"> issues related to the post-auction transition scheduling plan.</w:t>
      </w:r>
      <w:r w:rsidRPr="00693B99">
        <w:rPr>
          <w:szCs w:val="22"/>
          <w:vertAlign w:val="superscript"/>
        </w:rPr>
        <w:footnoteReference w:id="4"/>
      </w:r>
      <w:r w:rsidRPr="00693B99">
        <w:rPr>
          <w:szCs w:val="22"/>
        </w:rPr>
        <w:t xml:space="preserve">  </w:t>
      </w:r>
      <w:r w:rsidR="001419D7" w:rsidRPr="00693B99">
        <w:rPr>
          <w:szCs w:val="22"/>
        </w:rPr>
        <w:t>I</w:t>
      </w:r>
      <w:r w:rsidR="004906FC" w:rsidRPr="00693B99">
        <w:rPr>
          <w:szCs w:val="22"/>
        </w:rPr>
        <w:t xml:space="preserve">n Section V, </w:t>
      </w:r>
      <w:r w:rsidR="001419D7" w:rsidRPr="00693B99">
        <w:rPr>
          <w:szCs w:val="22"/>
        </w:rPr>
        <w:t xml:space="preserve">however, </w:t>
      </w:r>
      <w:r w:rsidR="004906FC" w:rsidRPr="00693B99">
        <w:rPr>
          <w:szCs w:val="22"/>
        </w:rPr>
        <w:t xml:space="preserve">we </w:t>
      </w:r>
      <w:r w:rsidRPr="00693B99">
        <w:rPr>
          <w:szCs w:val="22"/>
        </w:rPr>
        <w:t xml:space="preserve">remind stations that, pursuant to the </w:t>
      </w:r>
      <w:r w:rsidR="004906FC" w:rsidRPr="00693B99">
        <w:rPr>
          <w:szCs w:val="22"/>
        </w:rPr>
        <w:t xml:space="preserve">standards </w:t>
      </w:r>
      <w:r w:rsidRPr="00693B99">
        <w:rPr>
          <w:szCs w:val="22"/>
        </w:rPr>
        <w:t xml:space="preserve">adopted in the </w:t>
      </w:r>
      <w:r w:rsidRPr="00693B99">
        <w:rPr>
          <w:i/>
          <w:szCs w:val="22"/>
        </w:rPr>
        <w:t xml:space="preserve">Transition Scheduling </w:t>
      </w:r>
      <w:r w:rsidR="00612365" w:rsidRPr="00693B99">
        <w:rPr>
          <w:i/>
          <w:szCs w:val="22"/>
        </w:rPr>
        <w:t xml:space="preserve">Adoption </w:t>
      </w:r>
      <w:r w:rsidRPr="00693B99">
        <w:rPr>
          <w:i/>
          <w:szCs w:val="22"/>
        </w:rPr>
        <w:t>Public Notice</w:t>
      </w:r>
      <w:r w:rsidRPr="00693B99">
        <w:rPr>
          <w:szCs w:val="22"/>
        </w:rPr>
        <w:t xml:space="preserve">, the Media Bureau </w:t>
      </w:r>
      <w:r w:rsidR="004906FC" w:rsidRPr="00693B99">
        <w:rPr>
          <w:szCs w:val="22"/>
        </w:rPr>
        <w:t xml:space="preserve">will evaluate the impact on the transition of applications filed during the first and second priority windows, applications for extension of time, requests for STAs, and requests for waiver of deadlines to </w:t>
      </w:r>
      <w:r w:rsidR="00213A09" w:rsidRPr="00693B99">
        <w:rPr>
          <w:szCs w:val="22"/>
        </w:rPr>
        <w:t xml:space="preserve">discontinue </w:t>
      </w:r>
      <w:r w:rsidR="004906FC" w:rsidRPr="00693B99">
        <w:rPr>
          <w:szCs w:val="22"/>
        </w:rPr>
        <w:t>operations on pre-auction channels</w:t>
      </w:r>
      <w:r w:rsidR="006834A0" w:rsidRPr="00693B99">
        <w:rPr>
          <w:szCs w:val="22"/>
        </w:rPr>
        <w:t>, in acting on these applications and requests</w:t>
      </w:r>
      <w:r w:rsidR="004906FC" w:rsidRPr="00693B99">
        <w:rPr>
          <w:szCs w:val="22"/>
        </w:rPr>
        <w:t xml:space="preserve">.  </w:t>
      </w:r>
    </w:p>
    <w:p w14:paraId="103DC2FA" w14:textId="77777777" w:rsidR="008B5FBF" w:rsidRPr="00693B99" w:rsidRDefault="00B808EC" w:rsidP="00F44645">
      <w:pPr>
        <w:numPr>
          <w:ilvl w:val="0"/>
          <w:numId w:val="2"/>
        </w:numPr>
        <w:tabs>
          <w:tab w:val="clear" w:pos="1080"/>
        </w:tabs>
        <w:spacing w:after="120"/>
        <w:rPr>
          <w:szCs w:val="22"/>
        </w:rPr>
      </w:pPr>
      <w:r w:rsidRPr="00693B99">
        <w:rPr>
          <w:szCs w:val="22"/>
        </w:rPr>
        <w:t>Finally, i</w:t>
      </w:r>
      <w:r w:rsidR="008B5FBF" w:rsidRPr="00693B99">
        <w:rPr>
          <w:szCs w:val="22"/>
        </w:rPr>
        <w:t xml:space="preserve">n </w:t>
      </w:r>
      <w:r w:rsidR="000B3FB1" w:rsidRPr="00693B99">
        <w:rPr>
          <w:szCs w:val="22"/>
        </w:rPr>
        <w:t xml:space="preserve">Section </w:t>
      </w:r>
      <w:r w:rsidR="008B5FBF" w:rsidRPr="00693B99">
        <w:rPr>
          <w:szCs w:val="22"/>
        </w:rPr>
        <w:t>V</w:t>
      </w:r>
      <w:r w:rsidR="004906FC" w:rsidRPr="00693B99">
        <w:rPr>
          <w:szCs w:val="22"/>
        </w:rPr>
        <w:t>I</w:t>
      </w:r>
      <w:r w:rsidR="008B5FBF" w:rsidRPr="00693B99">
        <w:rPr>
          <w:szCs w:val="22"/>
        </w:rPr>
        <w:t xml:space="preserve">, we </w:t>
      </w:r>
      <w:r w:rsidR="00014E94" w:rsidRPr="00693B99">
        <w:rPr>
          <w:szCs w:val="22"/>
        </w:rPr>
        <w:t>describe the reimbursement p</w:t>
      </w:r>
      <w:r w:rsidR="008B5FBF" w:rsidRPr="00693B99">
        <w:rPr>
          <w:szCs w:val="22"/>
        </w:rPr>
        <w:t xml:space="preserve">rocess, </w:t>
      </w:r>
      <w:r w:rsidR="00014E94" w:rsidRPr="00693B99">
        <w:rPr>
          <w:szCs w:val="22"/>
        </w:rPr>
        <w:t xml:space="preserve">including the process for eligible entities to submit information necessary to receive reimbursement, </w:t>
      </w:r>
      <w:r w:rsidR="008B5FBF" w:rsidRPr="00693B99">
        <w:rPr>
          <w:szCs w:val="22"/>
        </w:rPr>
        <w:t xml:space="preserve">as well </w:t>
      </w:r>
      <w:r w:rsidR="0087779A" w:rsidRPr="00693B99">
        <w:rPr>
          <w:szCs w:val="22"/>
        </w:rPr>
        <w:t xml:space="preserve">as </w:t>
      </w:r>
      <w:r w:rsidR="008B5FBF" w:rsidRPr="00693B99">
        <w:rPr>
          <w:szCs w:val="22"/>
        </w:rPr>
        <w:t xml:space="preserve">the process by which </w:t>
      </w:r>
      <w:r w:rsidRPr="00693B99">
        <w:rPr>
          <w:szCs w:val="22"/>
        </w:rPr>
        <w:t xml:space="preserve">eligible </w:t>
      </w:r>
      <w:r w:rsidR="008B5FBF" w:rsidRPr="00693B99">
        <w:rPr>
          <w:szCs w:val="22"/>
        </w:rPr>
        <w:t>stations may seek a service rule waiver in lieu of reimbursement.</w:t>
      </w:r>
    </w:p>
    <w:p w14:paraId="2C6D99BC" w14:textId="14E0C291" w:rsidR="00974CD9" w:rsidRPr="00693B99" w:rsidRDefault="00974CD9" w:rsidP="00974CD9">
      <w:pPr>
        <w:numPr>
          <w:ilvl w:val="0"/>
          <w:numId w:val="2"/>
        </w:numPr>
        <w:tabs>
          <w:tab w:val="clear" w:pos="1080"/>
        </w:tabs>
        <w:spacing w:after="120"/>
        <w:rPr>
          <w:szCs w:val="22"/>
        </w:rPr>
      </w:pPr>
      <w:r w:rsidRPr="00693B99">
        <w:rPr>
          <w:szCs w:val="22"/>
        </w:rPr>
        <w:t xml:space="preserve">We remind </w:t>
      </w:r>
      <w:r w:rsidR="00053E79" w:rsidRPr="00693B99">
        <w:rPr>
          <w:szCs w:val="22"/>
        </w:rPr>
        <w:t xml:space="preserve">stations that </w:t>
      </w:r>
      <w:r w:rsidRPr="00693B99">
        <w:rPr>
          <w:szCs w:val="22"/>
        </w:rPr>
        <w:t xml:space="preserve">they must continue to familiarize themselves with the transition rules and procedures contained in the </w:t>
      </w:r>
      <w:r w:rsidRPr="00693B99">
        <w:rPr>
          <w:i/>
          <w:szCs w:val="22"/>
        </w:rPr>
        <w:t>Incentive Auction R&amp;O</w:t>
      </w:r>
      <w:r w:rsidRPr="00693B99">
        <w:rPr>
          <w:szCs w:val="22"/>
        </w:rPr>
        <w:t>, this and other public notices and decisions in this proceeding, and any future public notices and/or decisions that may be issued in this proceeding.</w:t>
      </w:r>
    </w:p>
    <w:p w14:paraId="03AF7B85" w14:textId="77777777" w:rsidR="006B3708" w:rsidRPr="00693B99" w:rsidRDefault="000C1C57" w:rsidP="00F44645">
      <w:pPr>
        <w:pStyle w:val="Heading1"/>
        <w:rPr>
          <w:rFonts w:ascii="Times New Roman" w:hAnsi="Times New Roman"/>
          <w:szCs w:val="22"/>
        </w:rPr>
      </w:pPr>
      <w:bookmarkStart w:id="10" w:name="_Toc468178140"/>
      <w:bookmarkStart w:id="11" w:name="_Toc471732162"/>
      <w:bookmarkStart w:id="12" w:name="_Toc471732238"/>
      <w:bookmarkStart w:id="13" w:name="_Toc471732533"/>
      <w:bookmarkStart w:id="14" w:name="_Toc471732606"/>
      <w:bookmarkStart w:id="15" w:name="_Toc471732869"/>
      <w:bookmarkStart w:id="16" w:name="_Toc471734046"/>
      <w:r w:rsidRPr="00693B99">
        <w:rPr>
          <w:rFonts w:ascii="Times New Roman" w:hAnsi="Times New Roman"/>
          <w:szCs w:val="22"/>
        </w:rPr>
        <w:t>B</w:t>
      </w:r>
      <w:r w:rsidR="00A115B3" w:rsidRPr="00693B99">
        <w:rPr>
          <w:rFonts w:ascii="Times New Roman" w:hAnsi="Times New Roman"/>
          <w:szCs w:val="22"/>
        </w:rPr>
        <w:t>ackground</w:t>
      </w:r>
      <w:r w:rsidR="008B5FBF" w:rsidRPr="00693B99">
        <w:rPr>
          <w:rFonts w:ascii="Times New Roman" w:hAnsi="Times New Roman"/>
          <w:szCs w:val="22"/>
        </w:rPr>
        <w:t xml:space="preserve"> and </w:t>
      </w:r>
      <w:r w:rsidR="00A115B3" w:rsidRPr="00693B99">
        <w:rPr>
          <w:rFonts w:ascii="Times New Roman" w:hAnsi="Times New Roman"/>
          <w:szCs w:val="22"/>
        </w:rPr>
        <w:t>T</w:t>
      </w:r>
      <w:r w:rsidR="008B5FBF" w:rsidRPr="00693B99">
        <w:rPr>
          <w:rFonts w:ascii="Times New Roman" w:hAnsi="Times New Roman"/>
          <w:szCs w:val="22"/>
        </w:rPr>
        <w:t>erminology</w:t>
      </w:r>
      <w:bookmarkEnd w:id="10"/>
      <w:bookmarkEnd w:id="11"/>
      <w:bookmarkEnd w:id="12"/>
      <w:bookmarkEnd w:id="13"/>
      <w:bookmarkEnd w:id="14"/>
      <w:bookmarkEnd w:id="15"/>
      <w:bookmarkEnd w:id="16"/>
    </w:p>
    <w:p w14:paraId="7E2255F5" w14:textId="77777777" w:rsidR="00DA3400" w:rsidRPr="00693B99" w:rsidRDefault="00C1003C" w:rsidP="00965BFD">
      <w:pPr>
        <w:pStyle w:val="ParaNum"/>
        <w:tabs>
          <w:tab w:val="clear" w:pos="1080"/>
        </w:tabs>
        <w:rPr>
          <w:szCs w:val="22"/>
        </w:rPr>
      </w:pPr>
      <w:r w:rsidRPr="00693B99">
        <w:rPr>
          <w:szCs w:val="22"/>
        </w:rPr>
        <w:t>Auction 1000 is being conducted pursuant to Title VI of the Middle Class Tax Relief and Job Creation Act of 2012 (Spectrum Act)</w:t>
      </w:r>
      <w:r w:rsidR="00643620" w:rsidRPr="00693B99">
        <w:rPr>
          <w:szCs w:val="22"/>
        </w:rPr>
        <w:t>.</w:t>
      </w:r>
      <w:r w:rsidRPr="00693B99">
        <w:rPr>
          <w:szCs w:val="22"/>
          <w:vertAlign w:val="superscript"/>
        </w:rPr>
        <w:footnoteReference w:id="5"/>
      </w:r>
      <w:r w:rsidRPr="00693B99">
        <w:rPr>
          <w:szCs w:val="22"/>
        </w:rPr>
        <w:t xml:space="preserve"> </w:t>
      </w:r>
      <w:r w:rsidR="006834A0" w:rsidRPr="00693B99">
        <w:rPr>
          <w:szCs w:val="22"/>
        </w:rPr>
        <w:t xml:space="preserve"> </w:t>
      </w:r>
      <w:r w:rsidRPr="00693B99">
        <w:rPr>
          <w:szCs w:val="22"/>
        </w:rPr>
        <w:t>The incentive auction is composed of a reverse auction</w:t>
      </w:r>
      <w:r w:rsidR="00551977" w:rsidRPr="00693B99">
        <w:rPr>
          <w:szCs w:val="22"/>
        </w:rPr>
        <w:t xml:space="preserve"> (Auction 1001)</w:t>
      </w:r>
      <w:r w:rsidRPr="00693B99">
        <w:rPr>
          <w:szCs w:val="22"/>
        </w:rPr>
        <w:t xml:space="preserve"> in which broadcasters offer to voluntarily relinquish some or all of their spectrum usage rights, and a forward auction </w:t>
      </w:r>
      <w:r w:rsidR="00551977" w:rsidRPr="00693B99">
        <w:rPr>
          <w:szCs w:val="22"/>
        </w:rPr>
        <w:t xml:space="preserve">(Auction 1002) </w:t>
      </w:r>
      <w:r w:rsidRPr="00693B99">
        <w:rPr>
          <w:szCs w:val="22"/>
        </w:rPr>
        <w:t>of new, flexible-use licenses suitable for providing mobile broadband services.</w:t>
      </w:r>
      <w:r w:rsidRPr="00693B99">
        <w:rPr>
          <w:szCs w:val="22"/>
          <w:vertAlign w:val="superscript"/>
        </w:rPr>
        <w:footnoteReference w:id="6"/>
      </w:r>
      <w:r w:rsidRPr="00693B99">
        <w:rPr>
          <w:szCs w:val="22"/>
        </w:rPr>
        <w:t xml:space="preserve">  Forward auction proceeds will be used to pay broadcasters that relinquish spectrum usage rights in the reverse auction.</w:t>
      </w:r>
      <w:r w:rsidRPr="00693B99">
        <w:rPr>
          <w:szCs w:val="22"/>
          <w:vertAlign w:val="superscript"/>
        </w:rPr>
        <w:footnoteReference w:id="7"/>
      </w:r>
      <w:r w:rsidR="00643620" w:rsidRPr="00693B99">
        <w:rPr>
          <w:szCs w:val="22"/>
        </w:rPr>
        <w:t xml:space="preserve">  The reverse auction incorporates a repacking process to </w:t>
      </w:r>
      <w:r w:rsidR="00643620" w:rsidRPr="00693B99">
        <w:rPr>
          <w:snapToGrid/>
          <w:szCs w:val="22"/>
        </w:rPr>
        <w:t>reorganize the broadcast television bands</w:t>
      </w:r>
      <w:r w:rsidR="00643620" w:rsidRPr="00693B99">
        <w:rPr>
          <w:szCs w:val="22"/>
        </w:rPr>
        <w:t xml:space="preserve"> so that the television stations that remain on the air after the transition occupy a smaller portio</w:t>
      </w:r>
      <w:r w:rsidR="007C34B2" w:rsidRPr="00693B99">
        <w:rPr>
          <w:szCs w:val="22"/>
        </w:rPr>
        <w:t>n of the ultra-high frequency (UHF</w:t>
      </w:r>
      <w:r w:rsidR="00643620" w:rsidRPr="00693B99">
        <w:rPr>
          <w:szCs w:val="22"/>
        </w:rPr>
        <w:t>) band, thereby clearing contiguous spectrum that will be repurposed as the 600 MHz Band.</w:t>
      </w:r>
      <w:r w:rsidR="00643620" w:rsidRPr="00693B99">
        <w:rPr>
          <w:rStyle w:val="FootnoteReference"/>
        </w:rPr>
        <w:footnoteReference w:id="8"/>
      </w:r>
      <w:r w:rsidR="00965BFD" w:rsidRPr="00693B99">
        <w:rPr>
          <w:szCs w:val="22"/>
        </w:rPr>
        <w:t xml:space="preserve"> </w:t>
      </w:r>
      <w:r w:rsidR="002900B9" w:rsidRPr="00693B99">
        <w:rPr>
          <w:szCs w:val="22"/>
        </w:rPr>
        <w:t xml:space="preserve"> </w:t>
      </w:r>
      <w:r w:rsidR="00965BFD" w:rsidRPr="00693B99">
        <w:rPr>
          <w:szCs w:val="22"/>
        </w:rPr>
        <w:t>During reverse auction bid processing, the Auction System will identify provisional TV channel assignments that satisfy applicable constraints, ensuring that a feasible channel is available for every station that chose not to part</w:t>
      </w:r>
      <w:r w:rsidR="006A7844" w:rsidRPr="00693B99">
        <w:rPr>
          <w:szCs w:val="22"/>
        </w:rPr>
        <w:t>icipate in the auction or elected</w:t>
      </w:r>
      <w:r w:rsidR="00965BFD" w:rsidRPr="00693B99">
        <w:rPr>
          <w:szCs w:val="22"/>
        </w:rPr>
        <w:t xml:space="preserve"> to drop out of the auction during the bidding.</w:t>
      </w:r>
      <w:r w:rsidR="00965BFD" w:rsidRPr="00693B99">
        <w:rPr>
          <w:rStyle w:val="FootnoteReference"/>
        </w:rPr>
        <w:footnoteReference w:id="9"/>
      </w:r>
    </w:p>
    <w:p w14:paraId="0648A480" w14:textId="77777777" w:rsidR="0089522B" w:rsidRPr="00693B99" w:rsidRDefault="00965BFD" w:rsidP="00DA3400">
      <w:pPr>
        <w:pStyle w:val="ParaNum"/>
        <w:tabs>
          <w:tab w:val="clear" w:pos="1080"/>
        </w:tabs>
        <w:rPr>
          <w:szCs w:val="22"/>
        </w:rPr>
      </w:pPr>
      <w:r w:rsidRPr="00693B99">
        <w:rPr>
          <w:szCs w:val="22"/>
        </w:rPr>
        <w:t xml:space="preserve">  </w:t>
      </w:r>
      <w:r w:rsidR="00F15E3F" w:rsidRPr="00693B99">
        <w:rPr>
          <w:szCs w:val="22"/>
        </w:rPr>
        <w:t xml:space="preserve">The reverse and forward auctions are integrated in a series of stages.  Each stage consists of a reverse auction followed by a forward auction.  The results of the reverse auction in the stage in which the final stage rule is satisfied will be used to determine the broadcasters that have been selected to relinquish spectrum usage rights and the amounts of their incentive payments.  </w:t>
      </w:r>
      <w:r w:rsidR="00551977" w:rsidRPr="00693B99">
        <w:rPr>
          <w:szCs w:val="22"/>
        </w:rPr>
        <w:t>Following the close of bidding in the forward auction clock phase of the final stage, the forward auction winners of generic license blocks will have the opportunity to bid in the assignment phase for frequency-specific licenses.</w:t>
      </w:r>
    </w:p>
    <w:p w14:paraId="2BDB65CB" w14:textId="77777777" w:rsidR="00643620" w:rsidRPr="00693B99" w:rsidRDefault="00C1003C" w:rsidP="0089522B">
      <w:pPr>
        <w:pStyle w:val="ParaNum"/>
        <w:tabs>
          <w:tab w:val="clear" w:pos="1080"/>
        </w:tabs>
        <w:rPr>
          <w:szCs w:val="22"/>
        </w:rPr>
      </w:pPr>
      <w:r w:rsidRPr="00693B99">
        <w:rPr>
          <w:szCs w:val="22"/>
        </w:rPr>
        <w:t xml:space="preserve">After bidding concludes in the forward auction assignment phase, the Media and Wireless Telecommunications Bureaus will release the </w:t>
      </w:r>
      <w:r w:rsidR="008878D7" w:rsidRPr="00693B99">
        <w:rPr>
          <w:i/>
          <w:szCs w:val="22"/>
        </w:rPr>
        <w:t xml:space="preserve">Auction </w:t>
      </w:r>
      <w:r w:rsidR="00551977" w:rsidRPr="00693B99">
        <w:rPr>
          <w:i/>
          <w:szCs w:val="22"/>
        </w:rPr>
        <w:t xml:space="preserve">1000 </w:t>
      </w:r>
      <w:r w:rsidRPr="00693B99">
        <w:rPr>
          <w:i/>
          <w:szCs w:val="22"/>
        </w:rPr>
        <w:t xml:space="preserve">Closing and </w:t>
      </w:r>
      <w:r w:rsidR="008878D7" w:rsidRPr="00693B99">
        <w:rPr>
          <w:i/>
          <w:szCs w:val="22"/>
        </w:rPr>
        <w:t>Channel</w:t>
      </w:r>
      <w:r w:rsidRPr="00693B99">
        <w:rPr>
          <w:i/>
          <w:szCs w:val="22"/>
        </w:rPr>
        <w:t xml:space="preserve"> Reassignment Public Notice</w:t>
      </w:r>
      <w:r w:rsidR="008878D7" w:rsidRPr="00693B99">
        <w:rPr>
          <w:i/>
          <w:szCs w:val="22"/>
        </w:rPr>
        <w:t xml:space="preserve"> </w:t>
      </w:r>
      <w:r w:rsidR="008878D7" w:rsidRPr="00693B99">
        <w:rPr>
          <w:szCs w:val="22"/>
        </w:rPr>
        <w:t>(</w:t>
      </w:r>
      <w:r w:rsidR="008878D7" w:rsidRPr="00693B99">
        <w:rPr>
          <w:i/>
          <w:szCs w:val="22"/>
        </w:rPr>
        <w:t>Closing and Reassignment Public Notice</w:t>
      </w:r>
      <w:r w:rsidR="008878D7" w:rsidRPr="00693B99">
        <w:rPr>
          <w:szCs w:val="22"/>
        </w:rPr>
        <w:t>)</w:t>
      </w:r>
      <w:r w:rsidRPr="00693B99">
        <w:rPr>
          <w:szCs w:val="22"/>
        </w:rPr>
        <w:t>,</w:t>
      </w:r>
      <w:r w:rsidRPr="00693B99">
        <w:rPr>
          <w:rStyle w:val="FootnoteReference"/>
        </w:rPr>
        <w:footnoteReference w:id="10"/>
      </w:r>
      <w:r w:rsidRPr="00693B99">
        <w:rPr>
          <w:szCs w:val="22"/>
        </w:rPr>
        <w:t xml:space="preserve"> which will announce the completion of the incentive auction</w:t>
      </w:r>
      <w:r w:rsidRPr="00693B99">
        <w:rPr>
          <w:rStyle w:val="FootnoteReference"/>
        </w:rPr>
        <w:footnoteReference w:id="11"/>
      </w:r>
      <w:r w:rsidRPr="00693B99">
        <w:rPr>
          <w:szCs w:val="22"/>
        </w:rPr>
        <w:t xml:space="preserve"> and provide the results of the reverse auction, the forward auction, and the repacking process, </w:t>
      </w:r>
      <w:r w:rsidRPr="00693B99">
        <w:rPr>
          <w:snapToGrid/>
          <w:szCs w:val="22"/>
        </w:rPr>
        <w:t>indicating the reassignments of televi</w:t>
      </w:r>
      <w:r w:rsidR="002655A2" w:rsidRPr="00693B99">
        <w:rPr>
          <w:snapToGrid/>
          <w:szCs w:val="22"/>
        </w:rPr>
        <w:t>sion channels</w:t>
      </w:r>
      <w:r w:rsidRPr="00693B99">
        <w:rPr>
          <w:szCs w:val="22"/>
        </w:rPr>
        <w:t>.</w:t>
      </w:r>
      <w:r w:rsidRPr="00693B99">
        <w:rPr>
          <w:rStyle w:val="FootnoteReference"/>
        </w:rPr>
        <w:footnoteReference w:id="12"/>
      </w:r>
      <w:r w:rsidRPr="00693B99">
        <w:rPr>
          <w:szCs w:val="22"/>
        </w:rPr>
        <w:t xml:space="preserve">  The</w:t>
      </w:r>
      <w:r w:rsidR="00551977" w:rsidRPr="00693B99">
        <w:rPr>
          <w:szCs w:val="22"/>
        </w:rPr>
        <w:t xml:space="preserve"> release of the</w:t>
      </w:r>
      <w:r w:rsidRPr="00693B99">
        <w:rPr>
          <w:szCs w:val="22"/>
        </w:rPr>
        <w:t xml:space="preserve"> </w:t>
      </w:r>
      <w:r w:rsidRPr="00693B99">
        <w:rPr>
          <w:i/>
          <w:szCs w:val="22"/>
        </w:rPr>
        <w:t xml:space="preserve">Closing and Reassignment Public Notice </w:t>
      </w:r>
      <w:r w:rsidRPr="00693B99">
        <w:rPr>
          <w:szCs w:val="22"/>
        </w:rPr>
        <w:t>will also establish the beginning of the 39-month post-auction transition period (transition period).</w:t>
      </w:r>
      <w:r w:rsidRPr="00693B99">
        <w:rPr>
          <w:rStyle w:val="FootnoteReference"/>
        </w:rPr>
        <w:footnoteReference w:id="13"/>
      </w:r>
      <w:r w:rsidR="002257B8" w:rsidRPr="00693B99">
        <w:rPr>
          <w:szCs w:val="22"/>
        </w:rPr>
        <w:t xml:space="preserve">  </w:t>
      </w:r>
      <w:r w:rsidR="00643620" w:rsidRPr="00693B99">
        <w:rPr>
          <w:szCs w:val="22"/>
        </w:rPr>
        <w:t xml:space="preserve">To provide broadcasters with as much time as possible to prepare in advance of the transition period, </w:t>
      </w:r>
      <w:r w:rsidR="00692016" w:rsidRPr="00693B99">
        <w:rPr>
          <w:szCs w:val="22"/>
        </w:rPr>
        <w:t xml:space="preserve">after the auction reaches the final stage rule, </w:t>
      </w:r>
      <w:r w:rsidR="00643620" w:rsidRPr="00693B99">
        <w:rPr>
          <w:szCs w:val="22"/>
        </w:rPr>
        <w:t>the Media Bureau will send each eligible station that will remain on the air after the transition period a confidential letter identifying the station’s post-auction channel, technical parameters, and assigned transition phase.</w:t>
      </w:r>
      <w:r w:rsidR="00F44645" w:rsidRPr="00693B99">
        <w:rPr>
          <w:rStyle w:val="FootnoteReference"/>
        </w:rPr>
        <w:footnoteReference w:id="14"/>
      </w:r>
      <w:r w:rsidR="00643620" w:rsidRPr="00693B99">
        <w:rPr>
          <w:szCs w:val="22"/>
        </w:rPr>
        <w:t xml:space="preserve">  The Media Bureau will release a public notice announcing the issuance of the confidential letters at the time they are sent.</w:t>
      </w:r>
    </w:p>
    <w:p w14:paraId="1ADCE56E" w14:textId="77777777" w:rsidR="00C1003C" w:rsidRPr="00693B99" w:rsidRDefault="004038E4" w:rsidP="0089522B">
      <w:pPr>
        <w:pStyle w:val="ParaNum"/>
        <w:tabs>
          <w:tab w:val="clear" w:pos="1080"/>
        </w:tabs>
        <w:rPr>
          <w:szCs w:val="22"/>
        </w:rPr>
      </w:pPr>
      <w:r w:rsidRPr="00693B99">
        <w:rPr>
          <w:szCs w:val="22"/>
        </w:rPr>
        <w:t xml:space="preserve">In the </w:t>
      </w:r>
      <w:r w:rsidRPr="00693B99">
        <w:rPr>
          <w:i/>
          <w:szCs w:val="22"/>
        </w:rPr>
        <w:t>T</w:t>
      </w:r>
      <w:r w:rsidR="00F87872" w:rsidRPr="00693B99">
        <w:rPr>
          <w:i/>
          <w:szCs w:val="22"/>
        </w:rPr>
        <w:t>ransition Scheduling</w:t>
      </w:r>
      <w:r w:rsidRPr="00693B99">
        <w:rPr>
          <w:i/>
          <w:szCs w:val="22"/>
        </w:rPr>
        <w:t xml:space="preserve"> </w:t>
      </w:r>
      <w:r w:rsidR="00612365" w:rsidRPr="00693B99">
        <w:rPr>
          <w:i/>
          <w:szCs w:val="22"/>
        </w:rPr>
        <w:t xml:space="preserve">Adoption </w:t>
      </w:r>
      <w:r w:rsidRPr="00693B99">
        <w:rPr>
          <w:i/>
          <w:szCs w:val="22"/>
        </w:rPr>
        <w:t>Public Notice</w:t>
      </w:r>
      <w:r w:rsidRPr="00693B99">
        <w:rPr>
          <w:szCs w:val="22"/>
        </w:rPr>
        <w:t xml:space="preserve"> being released today, t</w:t>
      </w:r>
      <w:r w:rsidR="002257B8" w:rsidRPr="00693B99">
        <w:rPr>
          <w:szCs w:val="22"/>
        </w:rPr>
        <w:t xml:space="preserve">he Media Bureau </w:t>
      </w:r>
      <w:r w:rsidRPr="00693B99">
        <w:rPr>
          <w:szCs w:val="22"/>
        </w:rPr>
        <w:t xml:space="preserve">has determined that it will announce </w:t>
      </w:r>
      <w:r w:rsidR="002257B8" w:rsidRPr="00693B99">
        <w:rPr>
          <w:szCs w:val="22"/>
        </w:rPr>
        <w:t xml:space="preserve">a phased transition schedule for </w:t>
      </w:r>
      <w:r w:rsidR="00D12433" w:rsidRPr="00693B99">
        <w:rPr>
          <w:szCs w:val="22"/>
        </w:rPr>
        <w:t xml:space="preserve">eligible </w:t>
      </w:r>
      <w:r w:rsidR="002257B8" w:rsidRPr="00693B99">
        <w:rPr>
          <w:szCs w:val="22"/>
        </w:rPr>
        <w:t xml:space="preserve">stations that are </w:t>
      </w:r>
      <w:r w:rsidR="00D12433" w:rsidRPr="00693B99">
        <w:rPr>
          <w:szCs w:val="22"/>
        </w:rPr>
        <w:t>reassigned new channel</w:t>
      </w:r>
      <w:r w:rsidR="005C0D53" w:rsidRPr="00693B99">
        <w:rPr>
          <w:szCs w:val="22"/>
        </w:rPr>
        <w:t>s</w:t>
      </w:r>
      <w:r w:rsidR="00D12433" w:rsidRPr="00693B99">
        <w:rPr>
          <w:szCs w:val="22"/>
        </w:rPr>
        <w:t xml:space="preserve"> in the repacking</w:t>
      </w:r>
      <w:r w:rsidR="00167165" w:rsidRPr="00693B99">
        <w:rPr>
          <w:szCs w:val="22"/>
        </w:rPr>
        <w:t>.</w:t>
      </w:r>
      <w:r w:rsidR="004B19BA" w:rsidRPr="00693B99">
        <w:rPr>
          <w:rStyle w:val="FootnoteReference"/>
        </w:rPr>
        <w:footnoteReference w:id="15"/>
      </w:r>
      <w:r w:rsidRPr="00693B99">
        <w:rPr>
          <w:szCs w:val="22"/>
        </w:rPr>
        <w:t xml:space="preserve">  E</w:t>
      </w:r>
      <w:r w:rsidR="005C0D53" w:rsidRPr="00693B99">
        <w:rPr>
          <w:szCs w:val="22"/>
        </w:rPr>
        <w:t xml:space="preserve">ach station that will be moving to a new channel </w:t>
      </w:r>
      <w:r w:rsidR="00D12433" w:rsidRPr="00693B99">
        <w:rPr>
          <w:szCs w:val="22"/>
        </w:rPr>
        <w:t xml:space="preserve">will be assigned to </w:t>
      </w:r>
      <w:r w:rsidR="006210B0" w:rsidRPr="00693B99">
        <w:rPr>
          <w:szCs w:val="22"/>
        </w:rPr>
        <w:t xml:space="preserve">a </w:t>
      </w:r>
      <w:r w:rsidR="00D12433" w:rsidRPr="00693B99">
        <w:rPr>
          <w:szCs w:val="22"/>
        </w:rPr>
        <w:t xml:space="preserve">transition </w:t>
      </w:r>
      <w:r w:rsidR="006210B0" w:rsidRPr="00693B99">
        <w:rPr>
          <w:szCs w:val="22"/>
        </w:rPr>
        <w:t>phase,</w:t>
      </w:r>
      <w:r w:rsidR="00D12433" w:rsidRPr="00693B99">
        <w:rPr>
          <w:szCs w:val="22"/>
        </w:rPr>
        <w:t xml:space="preserve"> and </w:t>
      </w:r>
      <w:r w:rsidR="006210B0" w:rsidRPr="00693B99">
        <w:rPr>
          <w:szCs w:val="22"/>
        </w:rPr>
        <w:t xml:space="preserve">each </w:t>
      </w:r>
      <w:r w:rsidR="00D12433" w:rsidRPr="00693B99">
        <w:rPr>
          <w:szCs w:val="22"/>
        </w:rPr>
        <w:t xml:space="preserve">phase </w:t>
      </w:r>
      <w:r w:rsidR="006210B0" w:rsidRPr="00693B99">
        <w:rPr>
          <w:szCs w:val="22"/>
        </w:rPr>
        <w:t>will have a</w:t>
      </w:r>
      <w:r w:rsidR="00D12433" w:rsidRPr="00693B99">
        <w:rPr>
          <w:szCs w:val="22"/>
        </w:rPr>
        <w:t xml:space="preserve"> “phase completion </w:t>
      </w:r>
      <w:r w:rsidR="006210B0" w:rsidRPr="00693B99">
        <w:rPr>
          <w:szCs w:val="22"/>
        </w:rPr>
        <w:t>date</w:t>
      </w:r>
      <w:r w:rsidR="00D12433" w:rsidRPr="00693B99">
        <w:rPr>
          <w:szCs w:val="22"/>
        </w:rPr>
        <w:t>.”</w:t>
      </w:r>
      <w:r w:rsidR="00D12433" w:rsidRPr="00693B99">
        <w:rPr>
          <w:rStyle w:val="FootnoteReference"/>
        </w:rPr>
        <w:footnoteReference w:id="16"/>
      </w:r>
      <w:r w:rsidR="00D12433" w:rsidRPr="00693B99">
        <w:rPr>
          <w:szCs w:val="22"/>
        </w:rPr>
        <w:t xml:space="preserve"> </w:t>
      </w:r>
      <w:r w:rsidR="006E4A0D" w:rsidRPr="00693B99">
        <w:rPr>
          <w:szCs w:val="22"/>
        </w:rPr>
        <w:t xml:space="preserve"> </w:t>
      </w:r>
      <w:r w:rsidR="00E520C3" w:rsidRPr="00693B99">
        <w:rPr>
          <w:szCs w:val="22"/>
        </w:rPr>
        <w:t>T</w:t>
      </w:r>
      <w:r w:rsidR="00D12433" w:rsidRPr="00693B99">
        <w:rPr>
          <w:szCs w:val="22"/>
        </w:rPr>
        <w:t>he phase completion date will be listed in each station’s construction permit as its construction deadline</w:t>
      </w:r>
      <w:r w:rsidR="00491D71" w:rsidRPr="00693B99">
        <w:rPr>
          <w:szCs w:val="22"/>
        </w:rPr>
        <w:t>.  A</w:t>
      </w:r>
      <w:r w:rsidR="00100C4C" w:rsidRPr="00693B99">
        <w:rPr>
          <w:szCs w:val="22"/>
        </w:rPr>
        <w:t xml:space="preserve">bsent a waiver or </w:t>
      </w:r>
      <w:r w:rsidR="007C34B2" w:rsidRPr="00693B99">
        <w:rPr>
          <w:szCs w:val="22"/>
        </w:rPr>
        <w:t>grant of an STA</w:t>
      </w:r>
      <w:r w:rsidR="00100C4C" w:rsidRPr="00693B99">
        <w:rPr>
          <w:szCs w:val="22"/>
        </w:rPr>
        <w:t>,</w:t>
      </w:r>
      <w:r w:rsidR="00D12433" w:rsidRPr="00693B99">
        <w:rPr>
          <w:szCs w:val="22"/>
        </w:rPr>
        <w:t xml:space="preserve"> </w:t>
      </w:r>
      <w:r w:rsidR="00491D71" w:rsidRPr="00693B99">
        <w:rPr>
          <w:szCs w:val="22"/>
        </w:rPr>
        <w:t>the</w:t>
      </w:r>
      <w:r w:rsidR="00100C4C" w:rsidRPr="00693B99">
        <w:rPr>
          <w:szCs w:val="22"/>
        </w:rPr>
        <w:t xml:space="preserve"> </w:t>
      </w:r>
      <w:r w:rsidR="00491D71" w:rsidRPr="00693B99">
        <w:rPr>
          <w:szCs w:val="22"/>
        </w:rPr>
        <w:t>phase completion date</w:t>
      </w:r>
      <w:r w:rsidR="00100C4C" w:rsidRPr="00693B99">
        <w:rPr>
          <w:szCs w:val="22"/>
        </w:rPr>
        <w:t xml:space="preserve"> </w:t>
      </w:r>
      <w:r w:rsidR="00D12433" w:rsidRPr="00693B99">
        <w:rPr>
          <w:szCs w:val="22"/>
        </w:rPr>
        <w:t>will be the last day that a station may operate on its pre-auction channel</w:t>
      </w:r>
      <w:r w:rsidR="002257B8" w:rsidRPr="00693B99">
        <w:rPr>
          <w:szCs w:val="22"/>
        </w:rPr>
        <w:t>.</w:t>
      </w:r>
      <w:r w:rsidR="002257B8" w:rsidRPr="00693B99">
        <w:rPr>
          <w:rStyle w:val="FootnoteReference"/>
        </w:rPr>
        <w:footnoteReference w:id="17"/>
      </w:r>
      <w:r w:rsidR="002257B8" w:rsidRPr="00693B99">
        <w:rPr>
          <w:szCs w:val="22"/>
        </w:rPr>
        <w:t xml:space="preserve">  </w:t>
      </w:r>
      <w:r w:rsidRPr="00693B99">
        <w:rPr>
          <w:szCs w:val="22"/>
        </w:rPr>
        <w:t>T</w:t>
      </w:r>
      <w:r w:rsidR="002257B8" w:rsidRPr="00693B99">
        <w:rPr>
          <w:szCs w:val="22"/>
        </w:rPr>
        <w:t xml:space="preserve">he </w:t>
      </w:r>
      <w:r w:rsidR="002257B8" w:rsidRPr="00693B99">
        <w:rPr>
          <w:i/>
          <w:szCs w:val="22"/>
        </w:rPr>
        <w:t>Closing and Reassignment Public Notice</w:t>
      </w:r>
      <w:r w:rsidR="006210B0" w:rsidRPr="00693B99">
        <w:rPr>
          <w:szCs w:val="22"/>
        </w:rPr>
        <w:t xml:space="preserve"> will announce </w:t>
      </w:r>
      <w:r w:rsidR="0081557D" w:rsidRPr="00693B99">
        <w:rPr>
          <w:szCs w:val="22"/>
        </w:rPr>
        <w:t xml:space="preserve">the </w:t>
      </w:r>
      <w:r w:rsidR="006210B0" w:rsidRPr="00693B99">
        <w:rPr>
          <w:szCs w:val="22"/>
        </w:rPr>
        <w:t>stations</w:t>
      </w:r>
      <w:r w:rsidR="00100C4C" w:rsidRPr="00693B99">
        <w:rPr>
          <w:szCs w:val="22"/>
        </w:rPr>
        <w:t>’</w:t>
      </w:r>
      <w:r w:rsidR="006210B0" w:rsidRPr="00693B99">
        <w:rPr>
          <w:szCs w:val="22"/>
        </w:rPr>
        <w:t xml:space="preserve"> </w:t>
      </w:r>
      <w:r w:rsidR="001E0AE8" w:rsidRPr="00693B99">
        <w:rPr>
          <w:szCs w:val="22"/>
        </w:rPr>
        <w:t xml:space="preserve">channel assignments, </w:t>
      </w:r>
      <w:r w:rsidR="006210B0" w:rsidRPr="00693B99">
        <w:rPr>
          <w:szCs w:val="22"/>
        </w:rPr>
        <w:t>assigned transition phase</w:t>
      </w:r>
      <w:r w:rsidR="00100C4C" w:rsidRPr="00693B99">
        <w:rPr>
          <w:szCs w:val="22"/>
        </w:rPr>
        <w:t>s</w:t>
      </w:r>
      <w:r w:rsidR="001E0AE8" w:rsidRPr="00693B99">
        <w:rPr>
          <w:szCs w:val="22"/>
        </w:rPr>
        <w:t>,</w:t>
      </w:r>
      <w:r w:rsidR="006210B0" w:rsidRPr="00693B99">
        <w:rPr>
          <w:szCs w:val="22"/>
        </w:rPr>
        <w:t xml:space="preserve"> and phase completion date</w:t>
      </w:r>
      <w:r w:rsidR="00100C4C" w:rsidRPr="00693B99">
        <w:rPr>
          <w:szCs w:val="22"/>
        </w:rPr>
        <w:t>s</w:t>
      </w:r>
      <w:r w:rsidR="002257B8" w:rsidRPr="00693B99">
        <w:rPr>
          <w:szCs w:val="22"/>
        </w:rPr>
        <w:t>.</w:t>
      </w:r>
      <w:r w:rsidR="002257B8" w:rsidRPr="00693B99">
        <w:rPr>
          <w:szCs w:val="22"/>
          <w:vertAlign w:val="superscript"/>
        </w:rPr>
        <w:footnoteReference w:id="18"/>
      </w:r>
      <w:r w:rsidR="002257B8" w:rsidRPr="00693B99">
        <w:rPr>
          <w:szCs w:val="22"/>
        </w:rPr>
        <w:t xml:space="preserve">     </w:t>
      </w:r>
    </w:p>
    <w:p w14:paraId="275A67C8" w14:textId="77777777" w:rsidR="00C1003C" w:rsidRPr="00693B99" w:rsidRDefault="00F818C7" w:rsidP="00C1003C">
      <w:pPr>
        <w:widowControl/>
        <w:numPr>
          <w:ilvl w:val="0"/>
          <w:numId w:val="2"/>
        </w:numPr>
        <w:tabs>
          <w:tab w:val="clear" w:pos="1080"/>
        </w:tabs>
        <w:spacing w:after="120"/>
        <w:rPr>
          <w:szCs w:val="22"/>
        </w:rPr>
      </w:pPr>
      <w:r w:rsidRPr="00693B99">
        <w:rPr>
          <w:szCs w:val="22"/>
        </w:rPr>
        <w:t>S</w:t>
      </w:r>
      <w:r w:rsidR="00C1003C" w:rsidRPr="00693B99">
        <w:rPr>
          <w:szCs w:val="22"/>
        </w:rPr>
        <w:t xml:space="preserve">tations </w:t>
      </w:r>
      <w:r w:rsidRPr="00693B99">
        <w:rPr>
          <w:szCs w:val="22"/>
        </w:rPr>
        <w:t xml:space="preserve">reassigned to new channels in the repacking process </w:t>
      </w:r>
      <w:r w:rsidR="00692016" w:rsidRPr="00693B99">
        <w:rPr>
          <w:szCs w:val="22"/>
        </w:rPr>
        <w:t xml:space="preserve">will </w:t>
      </w:r>
      <w:r w:rsidR="00C1003C" w:rsidRPr="00693B99">
        <w:rPr>
          <w:szCs w:val="22"/>
        </w:rPr>
        <w:t xml:space="preserve">have </w:t>
      </w:r>
      <w:r w:rsidR="00AC04D9" w:rsidRPr="00693B99">
        <w:rPr>
          <w:szCs w:val="22"/>
        </w:rPr>
        <w:t>90 days</w:t>
      </w:r>
      <w:r w:rsidR="00AC04D9" w:rsidRPr="00693B99">
        <w:rPr>
          <w:rStyle w:val="FootnoteReference"/>
        </w:rPr>
        <w:footnoteReference w:id="19"/>
      </w:r>
      <w:r w:rsidR="00C1003C" w:rsidRPr="00693B99">
        <w:rPr>
          <w:szCs w:val="22"/>
        </w:rPr>
        <w:t xml:space="preserve"> from the </w:t>
      </w:r>
      <w:r w:rsidR="00C1003C" w:rsidRPr="00693B99">
        <w:rPr>
          <w:i/>
          <w:szCs w:val="22"/>
        </w:rPr>
        <w:t>Closing and Reassignment</w:t>
      </w:r>
      <w:r w:rsidR="00C1003C" w:rsidRPr="00693B99">
        <w:rPr>
          <w:szCs w:val="22"/>
        </w:rPr>
        <w:t xml:space="preserve"> </w:t>
      </w:r>
      <w:r w:rsidR="00C1003C" w:rsidRPr="00693B99">
        <w:rPr>
          <w:i/>
          <w:szCs w:val="22"/>
        </w:rPr>
        <w:t xml:space="preserve">Public Notice </w:t>
      </w:r>
      <w:r w:rsidR="00C1003C" w:rsidRPr="00693B99">
        <w:rPr>
          <w:szCs w:val="22"/>
        </w:rPr>
        <w:t>release date to file construction permit applications proposing modified facilities to operate on their post-auction channels.</w:t>
      </w:r>
      <w:r w:rsidR="00C1003C" w:rsidRPr="00693B99">
        <w:rPr>
          <w:szCs w:val="22"/>
          <w:vertAlign w:val="superscript"/>
        </w:rPr>
        <w:footnoteReference w:id="20"/>
      </w:r>
      <w:r w:rsidR="00C1003C" w:rsidRPr="00693B99">
        <w:rPr>
          <w:szCs w:val="22"/>
        </w:rPr>
        <w:t xml:space="preserve">  </w:t>
      </w:r>
      <w:r w:rsidRPr="00693B99">
        <w:rPr>
          <w:szCs w:val="22"/>
        </w:rPr>
        <w:t>They</w:t>
      </w:r>
      <w:r w:rsidR="00C1003C" w:rsidRPr="00693B99">
        <w:rPr>
          <w:szCs w:val="22"/>
        </w:rPr>
        <w:t xml:space="preserve"> will also have a</w:t>
      </w:r>
      <w:r w:rsidR="001E0AE8" w:rsidRPr="00693B99">
        <w:rPr>
          <w:szCs w:val="22"/>
        </w:rPr>
        <w:t xml:space="preserve"> subsequent</w:t>
      </w:r>
      <w:r w:rsidR="00C1003C" w:rsidRPr="00693B99">
        <w:rPr>
          <w:szCs w:val="22"/>
        </w:rPr>
        <w:t xml:space="preserve"> opportunity to file an application for a construction permit for an alternate channel or expanded facilities on the</w:t>
      </w:r>
      <w:r w:rsidRPr="00693B99">
        <w:rPr>
          <w:szCs w:val="22"/>
        </w:rPr>
        <w:t>ir new channels</w:t>
      </w:r>
      <w:r w:rsidR="00C1003C" w:rsidRPr="00693B99">
        <w:rPr>
          <w:szCs w:val="22"/>
        </w:rPr>
        <w:t>.</w:t>
      </w:r>
      <w:r w:rsidR="00C1003C" w:rsidRPr="00693B99">
        <w:rPr>
          <w:szCs w:val="22"/>
          <w:vertAlign w:val="superscript"/>
        </w:rPr>
        <w:footnoteReference w:id="21"/>
      </w:r>
      <w:r w:rsidRPr="00693B99">
        <w:rPr>
          <w:szCs w:val="22"/>
        </w:rPr>
        <w:t xml:space="preserve">  By the end of the transition period, all stations reassigned to new channels as a result of a reverse auction winning bid or the repacking process must complete construction of their post-auction channel facilities, notify viewers of their impending channel move, commence operation on their post-auction channel, cease operation on their pre-auction channel, and</w:t>
      </w:r>
      <w:r w:rsidR="007C34B2" w:rsidRPr="00693B99">
        <w:rPr>
          <w:szCs w:val="22"/>
        </w:rPr>
        <w:t>, within 10 days</w:t>
      </w:r>
      <w:r w:rsidR="006834A0" w:rsidRPr="00693B99">
        <w:rPr>
          <w:szCs w:val="22"/>
        </w:rPr>
        <w:t xml:space="preserve"> of commencing operation on their post-auction channel</w:t>
      </w:r>
      <w:r w:rsidR="007C34B2" w:rsidRPr="00693B99">
        <w:rPr>
          <w:szCs w:val="22"/>
        </w:rPr>
        <w:t xml:space="preserve">, </w:t>
      </w:r>
      <w:r w:rsidRPr="00693B99">
        <w:rPr>
          <w:szCs w:val="22"/>
        </w:rPr>
        <w:t xml:space="preserve">file a license application.  </w:t>
      </w:r>
      <w:r w:rsidR="00C1003C" w:rsidRPr="00693B99">
        <w:rPr>
          <w:szCs w:val="22"/>
        </w:rPr>
        <w:t xml:space="preserve">  </w:t>
      </w:r>
    </w:p>
    <w:p w14:paraId="524C2DAF" w14:textId="77777777" w:rsidR="0081557D" w:rsidRPr="00693B99" w:rsidRDefault="0081557D" w:rsidP="0081557D">
      <w:pPr>
        <w:numPr>
          <w:ilvl w:val="0"/>
          <w:numId w:val="2"/>
        </w:numPr>
        <w:tabs>
          <w:tab w:val="clear" w:pos="1080"/>
        </w:tabs>
        <w:spacing w:after="120"/>
        <w:rPr>
          <w:szCs w:val="22"/>
        </w:rPr>
      </w:pPr>
      <w:r w:rsidRPr="00693B99">
        <w:rPr>
          <w:szCs w:val="22"/>
        </w:rPr>
        <w:t>This Public Notice provides broadcasters and other entities involved in the transition with information, instructions</w:t>
      </w:r>
      <w:r w:rsidR="00EB694B" w:rsidRPr="00693B99">
        <w:rPr>
          <w:szCs w:val="22"/>
        </w:rPr>
        <w:t>,</w:t>
      </w:r>
      <w:r w:rsidRPr="00693B99">
        <w:rPr>
          <w:szCs w:val="22"/>
        </w:rPr>
        <w:t xml:space="preserve"> and projected deadlines for filing applications related to the </w:t>
      </w:r>
      <w:r w:rsidR="007E4252" w:rsidRPr="00693B99">
        <w:rPr>
          <w:szCs w:val="22"/>
        </w:rPr>
        <w:t>transition based on the</w:t>
      </w:r>
      <w:r w:rsidRPr="00693B99">
        <w:rPr>
          <w:szCs w:val="22"/>
        </w:rPr>
        <w:t xml:space="preserve"> following categories</w:t>
      </w:r>
      <w:r w:rsidR="007E4252" w:rsidRPr="00693B99">
        <w:rPr>
          <w:szCs w:val="22"/>
        </w:rPr>
        <w:t xml:space="preserve"> </w:t>
      </w:r>
      <w:r w:rsidR="006E4A0D" w:rsidRPr="00693B99">
        <w:rPr>
          <w:szCs w:val="22"/>
        </w:rPr>
        <w:t xml:space="preserve">to </w:t>
      </w:r>
      <w:r w:rsidR="007E4252" w:rsidRPr="00693B99">
        <w:rPr>
          <w:szCs w:val="22"/>
        </w:rPr>
        <w:t>which</w:t>
      </w:r>
      <w:r w:rsidRPr="00693B99">
        <w:rPr>
          <w:szCs w:val="22"/>
        </w:rPr>
        <w:t xml:space="preserve"> the </w:t>
      </w:r>
      <w:r w:rsidR="007E4252" w:rsidRPr="00693B99">
        <w:rPr>
          <w:szCs w:val="22"/>
        </w:rPr>
        <w:t>broadcaster or entity belongs:</w:t>
      </w:r>
    </w:p>
    <w:p w14:paraId="4F817E18" w14:textId="77777777" w:rsidR="007E4252" w:rsidRPr="00693B99" w:rsidRDefault="007E4252" w:rsidP="007E4252">
      <w:pPr>
        <w:pStyle w:val="ParaNum"/>
        <w:numPr>
          <w:ilvl w:val="0"/>
          <w:numId w:val="0"/>
        </w:numPr>
        <w:ind w:left="1440" w:hanging="720"/>
        <w:rPr>
          <w:szCs w:val="22"/>
        </w:rPr>
      </w:pPr>
      <w:r w:rsidRPr="00693B99">
        <w:rPr>
          <w:b/>
          <w:szCs w:val="22"/>
        </w:rPr>
        <w:t>●</w:t>
      </w:r>
      <w:r w:rsidRPr="00693B99">
        <w:rPr>
          <w:b/>
          <w:szCs w:val="22"/>
        </w:rPr>
        <w:tab/>
      </w:r>
      <w:bookmarkStart w:id="17" w:name="comebackhere"/>
      <w:bookmarkEnd w:id="17"/>
      <w:r w:rsidR="00E442AC" w:rsidRPr="00693B99">
        <w:rPr>
          <w:b/>
          <w:szCs w:val="22"/>
        </w:rPr>
        <w:t xml:space="preserve">Reassigned Station:  </w:t>
      </w:r>
      <w:r w:rsidRPr="00693B99">
        <w:rPr>
          <w:szCs w:val="22"/>
        </w:rPr>
        <w:t xml:space="preserve">A full power or Class A station that was protected during the repacking process and involuntarily assigned to a new channel in one of the reorganized broadcast television bands.  This category includes every station involuntarily assigned to a new channel including those that did not apply to bid in Auction 1001, those that applied and did not bid, and those that bid, but exited. </w:t>
      </w:r>
    </w:p>
    <w:p w14:paraId="35CF51A9" w14:textId="77777777" w:rsidR="007E4252" w:rsidRPr="00693B99" w:rsidRDefault="007E4252" w:rsidP="007E4252">
      <w:pPr>
        <w:pStyle w:val="ParaNum"/>
        <w:numPr>
          <w:ilvl w:val="0"/>
          <w:numId w:val="0"/>
        </w:numPr>
        <w:ind w:left="1440" w:hanging="720"/>
        <w:rPr>
          <w:szCs w:val="22"/>
        </w:rPr>
      </w:pPr>
      <w:r w:rsidRPr="00693B99">
        <w:rPr>
          <w:b/>
          <w:szCs w:val="22"/>
        </w:rPr>
        <w:t>●</w:t>
      </w:r>
      <w:r w:rsidRPr="00693B99">
        <w:rPr>
          <w:b/>
          <w:szCs w:val="22"/>
        </w:rPr>
        <w:tab/>
        <w:t>Band Changing Station:</w:t>
      </w:r>
      <w:r w:rsidRPr="00693B99">
        <w:rPr>
          <w:szCs w:val="22"/>
        </w:rPr>
        <w:t xml:space="preserve">  A station with a winning bid to move to the low or high very-high frequency (VHF) band.  </w:t>
      </w:r>
    </w:p>
    <w:p w14:paraId="6D7C8C4B" w14:textId="0D94E8FB" w:rsidR="007E4252" w:rsidRPr="00693B99" w:rsidRDefault="007E4252" w:rsidP="007E4252">
      <w:pPr>
        <w:pStyle w:val="ParaNum"/>
        <w:numPr>
          <w:ilvl w:val="0"/>
          <w:numId w:val="0"/>
        </w:numPr>
        <w:ind w:left="1440" w:hanging="720"/>
        <w:rPr>
          <w:snapToGrid/>
          <w:szCs w:val="22"/>
        </w:rPr>
      </w:pPr>
      <w:r w:rsidRPr="00693B99">
        <w:rPr>
          <w:b/>
          <w:szCs w:val="22"/>
        </w:rPr>
        <w:t>●</w:t>
      </w:r>
      <w:r w:rsidRPr="00693B99">
        <w:rPr>
          <w:b/>
          <w:szCs w:val="22"/>
        </w:rPr>
        <w:tab/>
        <w:t>Non-Reassigned Station With Population Loss In Excess of One Percent:</w:t>
      </w:r>
      <w:r w:rsidRPr="00693B99">
        <w:rPr>
          <w:szCs w:val="22"/>
        </w:rPr>
        <w:t xml:space="preserve">  A s</w:t>
      </w:r>
      <w:r w:rsidRPr="00693B99">
        <w:rPr>
          <w:snapToGrid/>
          <w:szCs w:val="22"/>
        </w:rPr>
        <w:t>tation that was not reassigned to a new channel but was entitled to protection in the repacking process and is predicted to experience a loss in population served in excess of one percent because of new station-to-station interference.</w:t>
      </w:r>
      <w:r w:rsidR="00692016" w:rsidRPr="00693B99">
        <w:rPr>
          <w:rStyle w:val="FootnoteReference"/>
          <w:snapToGrid/>
        </w:rPr>
        <w:footnoteReference w:id="22"/>
      </w:r>
    </w:p>
    <w:p w14:paraId="5E1F1986" w14:textId="77777777" w:rsidR="007E4252" w:rsidRPr="00693B99" w:rsidRDefault="007E4252" w:rsidP="007E4252">
      <w:pPr>
        <w:pStyle w:val="ParaNum"/>
        <w:numPr>
          <w:ilvl w:val="0"/>
          <w:numId w:val="0"/>
        </w:numPr>
        <w:ind w:left="1440" w:hanging="720"/>
        <w:rPr>
          <w:szCs w:val="22"/>
        </w:rPr>
      </w:pPr>
      <w:r w:rsidRPr="00693B99">
        <w:rPr>
          <w:b/>
          <w:szCs w:val="22"/>
        </w:rPr>
        <w:t>●</w:t>
      </w:r>
      <w:r w:rsidRPr="00693B99">
        <w:rPr>
          <w:b/>
          <w:szCs w:val="22"/>
        </w:rPr>
        <w:tab/>
        <w:t>Displaced Class A Station:</w:t>
      </w:r>
      <w:r w:rsidRPr="00693B99">
        <w:rPr>
          <w:szCs w:val="22"/>
        </w:rPr>
        <w:t xml:space="preserve">  A Class A station that was not protected during the repacking process and is consequently displaced as a result of the repacking.</w:t>
      </w:r>
    </w:p>
    <w:p w14:paraId="6A230251" w14:textId="77777777" w:rsidR="007E4252" w:rsidRPr="00693B99" w:rsidRDefault="007E4252" w:rsidP="007E4252">
      <w:pPr>
        <w:pStyle w:val="ParaNum"/>
        <w:numPr>
          <w:ilvl w:val="0"/>
          <w:numId w:val="0"/>
        </w:numPr>
        <w:ind w:left="1440" w:hanging="720"/>
        <w:rPr>
          <w:szCs w:val="22"/>
        </w:rPr>
      </w:pPr>
      <w:r w:rsidRPr="00693B99">
        <w:rPr>
          <w:b/>
          <w:szCs w:val="22"/>
        </w:rPr>
        <w:t>●</w:t>
      </w:r>
      <w:r w:rsidRPr="00693B99">
        <w:rPr>
          <w:b/>
          <w:szCs w:val="22"/>
        </w:rPr>
        <w:tab/>
        <w:t>License Relinquishment Station:</w:t>
      </w:r>
      <w:r w:rsidRPr="00693B99">
        <w:rPr>
          <w:szCs w:val="22"/>
        </w:rPr>
        <w:t xml:space="preserve">  A station with a winning bid to go off air that will relinquish its spectrum usage rights and cease broadcasting.</w:t>
      </w:r>
    </w:p>
    <w:p w14:paraId="5C1CD90E" w14:textId="189A6515" w:rsidR="007E4252" w:rsidRPr="00693B99" w:rsidRDefault="007E4252" w:rsidP="007E4252">
      <w:pPr>
        <w:pStyle w:val="ParaNum"/>
        <w:numPr>
          <w:ilvl w:val="0"/>
          <w:numId w:val="0"/>
        </w:numPr>
        <w:ind w:left="1440" w:hanging="720"/>
        <w:rPr>
          <w:szCs w:val="22"/>
        </w:rPr>
      </w:pPr>
      <w:r w:rsidRPr="00693B99">
        <w:rPr>
          <w:szCs w:val="22"/>
        </w:rPr>
        <w:t>●</w:t>
      </w:r>
      <w:r w:rsidRPr="00693B99">
        <w:rPr>
          <w:szCs w:val="22"/>
        </w:rPr>
        <w:tab/>
      </w:r>
      <w:r w:rsidRPr="00693B99">
        <w:rPr>
          <w:b/>
          <w:szCs w:val="22"/>
        </w:rPr>
        <w:t>Channel Sharing Station:</w:t>
      </w:r>
      <w:r w:rsidRPr="00693B99">
        <w:rPr>
          <w:szCs w:val="22"/>
        </w:rPr>
        <w:t xml:space="preserve">  Includes both a station with a winning bid to go off air that intends to relinquish spectrum usage rights on its current channel in order to share </w:t>
      </w:r>
      <w:r w:rsidR="0033100C" w:rsidRPr="00693B99">
        <w:rPr>
          <w:szCs w:val="22"/>
        </w:rPr>
        <w:t>a channel (the sharee)</w:t>
      </w:r>
      <w:r w:rsidR="00FB4F73" w:rsidRPr="00693B99">
        <w:rPr>
          <w:szCs w:val="22"/>
        </w:rPr>
        <w:t>,</w:t>
      </w:r>
      <w:r w:rsidR="0033100C" w:rsidRPr="00693B99">
        <w:rPr>
          <w:szCs w:val="22"/>
        </w:rPr>
        <w:t xml:space="preserve"> </w:t>
      </w:r>
      <w:r w:rsidR="00FB4F73" w:rsidRPr="00693B99">
        <w:rPr>
          <w:szCs w:val="22"/>
        </w:rPr>
        <w:t>as well as</w:t>
      </w:r>
      <w:r w:rsidRPr="00693B99">
        <w:rPr>
          <w:szCs w:val="22"/>
        </w:rPr>
        <w:t xml:space="preserve"> </w:t>
      </w:r>
      <w:r w:rsidR="00C079D4" w:rsidRPr="00693B99">
        <w:rPr>
          <w:szCs w:val="22"/>
        </w:rPr>
        <w:t xml:space="preserve">the </w:t>
      </w:r>
      <w:r w:rsidRPr="00693B99">
        <w:rPr>
          <w:szCs w:val="22"/>
        </w:rPr>
        <w:t xml:space="preserve">station </w:t>
      </w:r>
      <w:r w:rsidR="00DB3F0F" w:rsidRPr="00693B99">
        <w:rPr>
          <w:szCs w:val="22"/>
        </w:rPr>
        <w:t>with which it will share</w:t>
      </w:r>
      <w:r w:rsidRPr="00693B99">
        <w:rPr>
          <w:szCs w:val="22"/>
        </w:rPr>
        <w:t xml:space="preserve"> following the incentive auction (the sharer).</w:t>
      </w:r>
    </w:p>
    <w:p w14:paraId="59BFE30C" w14:textId="77777777" w:rsidR="007E4252" w:rsidRPr="00693B99" w:rsidRDefault="007E4252" w:rsidP="007E4252">
      <w:pPr>
        <w:pStyle w:val="ParaNum"/>
        <w:numPr>
          <w:ilvl w:val="0"/>
          <w:numId w:val="0"/>
        </w:numPr>
        <w:ind w:left="1440" w:hanging="720"/>
        <w:rPr>
          <w:szCs w:val="22"/>
        </w:rPr>
      </w:pPr>
      <w:r w:rsidRPr="00693B99">
        <w:rPr>
          <w:szCs w:val="22"/>
        </w:rPr>
        <w:t>●</w:t>
      </w:r>
      <w:r w:rsidRPr="00693B99">
        <w:rPr>
          <w:szCs w:val="22"/>
        </w:rPr>
        <w:tab/>
      </w:r>
      <w:r w:rsidRPr="00693B99">
        <w:rPr>
          <w:b/>
          <w:szCs w:val="22"/>
        </w:rPr>
        <w:t>MVPDs:</w:t>
      </w:r>
      <w:r w:rsidRPr="00693B99">
        <w:rPr>
          <w:szCs w:val="22"/>
        </w:rPr>
        <w:t xml:space="preserve">  Multichannel Video Programming Distributors that reasonably incur costs </w:t>
      </w:r>
      <w:r w:rsidR="0036311D" w:rsidRPr="00693B99">
        <w:rPr>
          <w:szCs w:val="22"/>
        </w:rPr>
        <w:t xml:space="preserve">in order to continue to carry the signals of stations relocating to new channels </w:t>
      </w:r>
      <w:r w:rsidRPr="00693B99">
        <w:rPr>
          <w:szCs w:val="22"/>
        </w:rPr>
        <w:t xml:space="preserve">as a result of the </w:t>
      </w:r>
      <w:r w:rsidR="0036311D" w:rsidRPr="00693B99">
        <w:rPr>
          <w:szCs w:val="22"/>
        </w:rPr>
        <w:t xml:space="preserve">incentive </w:t>
      </w:r>
      <w:r w:rsidRPr="00693B99">
        <w:rPr>
          <w:szCs w:val="22"/>
        </w:rPr>
        <w:t>auction and that are eligible for reimbursement.</w:t>
      </w:r>
      <w:r w:rsidRPr="00693B99">
        <w:rPr>
          <w:rStyle w:val="FootnoteReference"/>
        </w:rPr>
        <w:footnoteReference w:id="23"/>
      </w:r>
    </w:p>
    <w:p w14:paraId="317631F4" w14:textId="7624A5C0" w:rsidR="0081557D" w:rsidRPr="00693B99" w:rsidRDefault="0081557D" w:rsidP="007E4252">
      <w:pPr>
        <w:numPr>
          <w:ilvl w:val="0"/>
          <w:numId w:val="2"/>
        </w:numPr>
        <w:tabs>
          <w:tab w:val="clear" w:pos="1080"/>
        </w:tabs>
        <w:spacing w:after="120"/>
        <w:rPr>
          <w:szCs w:val="22"/>
        </w:rPr>
      </w:pPr>
      <w:r w:rsidRPr="00693B99">
        <w:rPr>
          <w:szCs w:val="22"/>
        </w:rPr>
        <w:t>A station that is in any of the first four categories (Reassigned Station, Band Changing Station, Non-Reassigned Station with Excess Population Loss; and Displaced Class A Station) will find relevant information, instructions and projected deadlines for filing applications related to the transition in Section III, below.  A station that is in the fifth and/or sixth categories (License Relinquishment Station and Channel Sharing Station) will find similar information provided in Section IV, below.  A station that is a Reassigned Station or an entity that is a</w:t>
      </w:r>
      <w:r w:rsidR="00CC2640" w:rsidRPr="00693B99">
        <w:rPr>
          <w:szCs w:val="22"/>
        </w:rPr>
        <w:t>n</w:t>
      </w:r>
      <w:r w:rsidRPr="00693B99">
        <w:rPr>
          <w:szCs w:val="22"/>
        </w:rPr>
        <w:t xml:space="preserve"> MVPD will find information related to reimbursement of eligible relocation expenses provided in Section V</w:t>
      </w:r>
      <w:r w:rsidR="007C34B2" w:rsidRPr="00693B99">
        <w:rPr>
          <w:szCs w:val="22"/>
        </w:rPr>
        <w:t>I</w:t>
      </w:r>
      <w:r w:rsidRPr="00693B99">
        <w:rPr>
          <w:szCs w:val="22"/>
        </w:rPr>
        <w:t xml:space="preserve">, below.  In order to implement effectively and efficiently the post-incentive auction transition, it is imperative that all of the entities listed above comply with the various filing requirements detailed in this </w:t>
      </w:r>
      <w:r w:rsidR="008E0276" w:rsidRPr="00693B99">
        <w:rPr>
          <w:szCs w:val="22"/>
        </w:rPr>
        <w:t xml:space="preserve">Public </w:t>
      </w:r>
      <w:r w:rsidRPr="00693B99">
        <w:rPr>
          <w:szCs w:val="22"/>
        </w:rPr>
        <w:t>Notice.  In some instances, a particular station may belong to more than one category.  For example, a station could be a channel sharer station as well as a reassigned station or a band changing station or a non-reassigned station with excess population loss.  In such cases, information relevant to all applicable categories should be reviewed.</w:t>
      </w:r>
    </w:p>
    <w:p w14:paraId="1E673B61" w14:textId="77777777" w:rsidR="008B5FBF" w:rsidRPr="00693B99" w:rsidRDefault="008B5FBF" w:rsidP="007E4252">
      <w:pPr>
        <w:numPr>
          <w:ilvl w:val="0"/>
          <w:numId w:val="2"/>
        </w:numPr>
        <w:tabs>
          <w:tab w:val="clear" w:pos="1080"/>
        </w:tabs>
        <w:spacing w:after="120"/>
        <w:rPr>
          <w:szCs w:val="22"/>
        </w:rPr>
      </w:pPr>
      <w:r w:rsidRPr="00693B99">
        <w:rPr>
          <w:szCs w:val="22"/>
        </w:rPr>
        <w:t xml:space="preserve">We note </w:t>
      </w:r>
      <w:r w:rsidR="00C32B97" w:rsidRPr="00693B99">
        <w:rPr>
          <w:szCs w:val="22"/>
        </w:rPr>
        <w:t>that LPTV</w:t>
      </w:r>
      <w:r w:rsidRPr="00693B99">
        <w:rPr>
          <w:szCs w:val="22"/>
        </w:rPr>
        <w:t xml:space="preserve">, TV translator, and digital replacement translator stations were not eligible to participate in the incentive auction, are not protected in the repacking process, are not eligible for reimbursement, </w:t>
      </w:r>
      <w:r w:rsidR="002655A2" w:rsidRPr="00693B99">
        <w:rPr>
          <w:szCs w:val="22"/>
        </w:rPr>
        <w:t>and are not</w:t>
      </w:r>
      <w:r w:rsidRPr="00693B99">
        <w:rPr>
          <w:szCs w:val="22"/>
        </w:rPr>
        <w:t xml:space="preserve"> included in the phased transition schedule.  Some of these facilities will be disp</w:t>
      </w:r>
      <w:r w:rsidR="002655A2" w:rsidRPr="00693B99">
        <w:rPr>
          <w:szCs w:val="22"/>
        </w:rPr>
        <w:t xml:space="preserve">laced as a result of </w:t>
      </w:r>
      <w:r w:rsidRPr="00693B99">
        <w:rPr>
          <w:szCs w:val="22"/>
        </w:rPr>
        <w:t xml:space="preserve">the repacking process.  </w:t>
      </w:r>
      <w:r w:rsidR="00F862D6" w:rsidRPr="00693B99">
        <w:rPr>
          <w:szCs w:val="22"/>
        </w:rPr>
        <w:t>Such a d</w:t>
      </w:r>
      <w:r w:rsidR="0033100C" w:rsidRPr="00693B99">
        <w:rPr>
          <w:szCs w:val="22"/>
        </w:rPr>
        <w:t>isplaced station</w:t>
      </w:r>
      <w:r w:rsidRPr="00693B99">
        <w:rPr>
          <w:szCs w:val="22"/>
        </w:rPr>
        <w:t xml:space="preserve"> will have the opportunity to file an application for a construction permit to move to another channel or seek to channel share with another </w:t>
      </w:r>
      <w:r w:rsidR="00262FFB" w:rsidRPr="00693B99">
        <w:rPr>
          <w:szCs w:val="22"/>
        </w:rPr>
        <w:t xml:space="preserve">LPTV or TV translator </w:t>
      </w:r>
      <w:r w:rsidRPr="00693B99">
        <w:rPr>
          <w:szCs w:val="22"/>
        </w:rPr>
        <w:t>station.</w:t>
      </w:r>
      <w:r w:rsidRPr="00693B99">
        <w:rPr>
          <w:rStyle w:val="FootnoteReference"/>
        </w:rPr>
        <w:footnoteReference w:id="24"/>
      </w:r>
      <w:r w:rsidRPr="00693B99">
        <w:rPr>
          <w:szCs w:val="22"/>
        </w:rPr>
        <w:t xml:space="preserve">  </w:t>
      </w:r>
      <w:r w:rsidR="00A21B8D" w:rsidRPr="00693B99">
        <w:rPr>
          <w:szCs w:val="22"/>
        </w:rPr>
        <w:t>The Media Bureau will issue a public notice listing potential channels in all areas in which LPTV or TV translator stations are displaced not less than 60 days in advance of the filing window for displacement applications</w:t>
      </w:r>
      <w:r w:rsidRPr="00693B99">
        <w:rPr>
          <w:szCs w:val="22"/>
        </w:rPr>
        <w:t>.</w:t>
      </w:r>
      <w:r w:rsidRPr="00693B99">
        <w:rPr>
          <w:rStyle w:val="FootnoteReference"/>
        </w:rPr>
        <w:footnoteReference w:id="25"/>
      </w:r>
      <w:r w:rsidRPr="00693B99">
        <w:rPr>
          <w:szCs w:val="22"/>
        </w:rPr>
        <w:t xml:space="preserve">  A separate public notice will outline the requirements and approximate timeline for the filing of applications for such displaced stations.</w:t>
      </w:r>
    </w:p>
    <w:p w14:paraId="795DB4A1" w14:textId="77777777" w:rsidR="0081557D" w:rsidRPr="00693B99" w:rsidRDefault="0081557D" w:rsidP="00AA26F7">
      <w:pPr>
        <w:pStyle w:val="Heading1"/>
        <w:rPr>
          <w:rFonts w:ascii="Times New Roman" w:hAnsi="Times New Roman"/>
          <w:szCs w:val="22"/>
        </w:rPr>
      </w:pPr>
      <w:bookmarkStart w:id="18" w:name="_Toc471732163"/>
      <w:bookmarkStart w:id="19" w:name="_Toc471732239"/>
      <w:bookmarkStart w:id="20" w:name="_Toc471732534"/>
      <w:bookmarkStart w:id="21" w:name="_Toc471732607"/>
      <w:bookmarkStart w:id="22" w:name="_Toc471732870"/>
      <w:bookmarkStart w:id="23" w:name="_Toc471734047"/>
      <w:r w:rsidRPr="00693B99">
        <w:rPr>
          <w:rFonts w:ascii="Times New Roman" w:hAnsi="Times New Roman"/>
          <w:szCs w:val="22"/>
        </w:rPr>
        <w:t>R</w:t>
      </w:r>
      <w:r w:rsidR="00A115B3" w:rsidRPr="00693B99">
        <w:rPr>
          <w:rFonts w:ascii="Times New Roman" w:hAnsi="Times New Roman"/>
          <w:szCs w:val="22"/>
        </w:rPr>
        <w:t>eassigned Stations</w:t>
      </w:r>
      <w:r w:rsidRPr="00693B99">
        <w:rPr>
          <w:rFonts w:ascii="Times New Roman" w:hAnsi="Times New Roman"/>
          <w:szCs w:val="22"/>
        </w:rPr>
        <w:t>, B</w:t>
      </w:r>
      <w:r w:rsidR="00A115B3" w:rsidRPr="00693B99">
        <w:rPr>
          <w:rFonts w:ascii="Times New Roman" w:hAnsi="Times New Roman"/>
          <w:szCs w:val="22"/>
        </w:rPr>
        <w:t>and</w:t>
      </w:r>
      <w:r w:rsidRPr="00693B99">
        <w:rPr>
          <w:rFonts w:ascii="Times New Roman" w:hAnsi="Times New Roman"/>
          <w:szCs w:val="22"/>
        </w:rPr>
        <w:t xml:space="preserve"> C</w:t>
      </w:r>
      <w:r w:rsidR="00A115B3" w:rsidRPr="00693B99">
        <w:rPr>
          <w:rFonts w:ascii="Times New Roman" w:hAnsi="Times New Roman"/>
          <w:szCs w:val="22"/>
        </w:rPr>
        <w:t>hanging</w:t>
      </w:r>
      <w:r w:rsidRPr="00693B99">
        <w:rPr>
          <w:rFonts w:ascii="Times New Roman" w:hAnsi="Times New Roman"/>
          <w:szCs w:val="22"/>
        </w:rPr>
        <w:t xml:space="preserve"> S</w:t>
      </w:r>
      <w:r w:rsidR="00A115B3" w:rsidRPr="00693B99">
        <w:rPr>
          <w:rFonts w:ascii="Times New Roman" w:hAnsi="Times New Roman"/>
          <w:szCs w:val="22"/>
        </w:rPr>
        <w:t>tations</w:t>
      </w:r>
      <w:r w:rsidRPr="00693B99">
        <w:rPr>
          <w:rFonts w:ascii="Times New Roman" w:hAnsi="Times New Roman"/>
          <w:szCs w:val="22"/>
        </w:rPr>
        <w:t>, N</w:t>
      </w:r>
      <w:r w:rsidR="00A115B3" w:rsidRPr="00693B99">
        <w:rPr>
          <w:rFonts w:ascii="Times New Roman" w:hAnsi="Times New Roman"/>
          <w:szCs w:val="22"/>
        </w:rPr>
        <w:t>on</w:t>
      </w:r>
      <w:r w:rsidRPr="00693B99">
        <w:rPr>
          <w:rFonts w:ascii="Times New Roman" w:hAnsi="Times New Roman"/>
          <w:szCs w:val="22"/>
        </w:rPr>
        <w:t>-R</w:t>
      </w:r>
      <w:r w:rsidR="00A115B3" w:rsidRPr="00693B99">
        <w:rPr>
          <w:rFonts w:ascii="Times New Roman" w:hAnsi="Times New Roman"/>
          <w:szCs w:val="22"/>
        </w:rPr>
        <w:t>eassigned</w:t>
      </w:r>
      <w:r w:rsidRPr="00693B99">
        <w:rPr>
          <w:rFonts w:ascii="Times New Roman" w:hAnsi="Times New Roman"/>
          <w:szCs w:val="22"/>
        </w:rPr>
        <w:t xml:space="preserve"> S</w:t>
      </w:r>
      <w:r w:rsidR="00A115B3" w:rsidRPr="00693B99">
        <w:rPr>
          <w:rFonts w:ascii="Times New Roman" w:hAnsi="Times New Roman"/>
          <w:szCs w:val="22"/>
        </w:rPr>
        <w:t>tations</w:t>
      </w:r>
      <w:r w:rsidRPr="00693B99">
        <w:rPr>
          <w:rFonts w:ascii="Times New Roman" w:hAnsi="Times New Roman"/>
          <w:szCs w:val="22"/>
        </w:rPr>
        <w:t xml:space="preserve"> </w:t>
      </w:r>
      <w:r w:rsidR="00A115B3" w:rsidRPr="00693B99">
        <w:rPr>
          <w:rFonts w:ascii="Times New Roman" w:hAnsi="Times New Roman"/>
          <w:szCs w:val="22"/>
        </w:rPr>
        <w:t>with</w:t>
      </w:r>
      <w:r w:rsidRPr="00693B99">
        <w:rPr>
          <w:rFonts w:ascii="Times New Roman" w:hAnsi="Times New Roman"/>
          <w:szCs w:val="22"/>
        </w:rPr>
        <w:t xml:space="preserve"> E</w:t>
      </w:r>
      <w:r w:rsidR="00A115B3" w:rsidRPr="00693B99">
        <w:rPr>
          <w:rFonts w:ascii="Times New Roman" w:hAnsi="Times New Roman"/>
          <w:szCs w:val="22"/>
        </w:rPr>
        <w:t>xcess</w:t>
      </w:r>
      <w:r w:rsidRPr="00693B99">
        <w:rPr>
          <w:rFonts w:ascii="Times New Roman" w:hAnsi="Times New Roman"/>
          <w:szCs w:val="22"/>
        </w:rPr>
        <w:t xml:space="preserve"> P</w:t>
      </w:r>
      <w:r w:rsidR="00A115B3" w:rsidRPr="00693B99">
        <w:rPr>
          <w:rFonts w:ascii="Times New Roman" w:hAnsi="Times New Roman"/>
          <w:szCs w:val="22"/>
        </w:rPr>
        <w:t xml:space="preserve">opulation </w:t>
      </w:r>
      <w:r w:rsidRPr="00693B99">
        <w:rPr>
          <w:rFonts w:ascii="Times New Roman" w:hAnsi="Times New Roman"/>
          <w:szCs w:val="22"/>
        </w:rPr>
        <w:t>L</w:t>
      </w:r>
      <w:r w:rsidR="00A115B3" w:rsidRPr="00693B99">
        <w:rPr>
          <w:rFonts w:ascii="Times New Roman" w:hAnsi="Times New Roman"/>
          <w:szCs w:val="22"/>
        </w:rPr>
        <w:t>oss</w:t>
      </w:r>
      <w:r w:rsidRPr="00693B99">
        <w:rPr>
          <w:rFonts w:ascii="Times New Roman" w:hAnsi="Times New Roman"/>
          <w:szCs w:val="22"/>
        </w:rPr>
        <w:t xml:space="preserve">, </w:t>
      </w:r>
      <w:r w:rsidR="00A115B3" w:rsidRPr="00693B99">
        <w:rPr>
          <w:rFonts w:ascii="Times New Roman" w:hAnsi="Times New Roman"/>
          <w:szCs w:val="22"/>
        </w:rPr>
        <w:t>and</w:t>
      </w:r>
      <w:r w:rsidRPr="00693B99">
        <w:rPr>
          <w:rFonts w:ascii="Times New Roman" w:hAnsi="Times New Roman"/>
          <w:szCs w:val="22"/>
        </w:rPr>
        <w:t xml:space="preserve"> D</w:t>
      </w:r>
      <w:r w:rsidR="00A115B3" w:rsidRPr="00693B99">
        <w:rPr>
          <w:rFonts w:ascii="Times New Roman" w:hAnsi="Times New Roman"/>
          <w:szCs w:val="22"/>
        </w:rPr>
        <w:t>isplaced</w:t>
      </w:r>
      <w:r w:rsidRPr="00693B99">
        <w:rPr>
          <w:rFonts w:ascii="Times New Roman" w:hAnsi="Times New Roman"/>
          <w:szCs w:val="22"/>
        </w:rPr>
        <w:t xml:space="preserve"> C</w:t>
      </w:r>
      <w:r w:rsidR="00A115B3" w:rsidRPr="00693B99">
        <w:rPr>
          <w:rFonts w:ascii="Times New Roman" w:hAnsi="Times New Roman"/>
          <w:szCs w:val="22"/>
        </w:rPr>
        <w:t>lass</w:t>
      </w:r>
      <w:r w:rsidRPr="00693B99">
        <w:rPr>
          <w:rFonts w:ascii="Times New Roman" w:hAnsi="Times New Roman"/>
          <w:szCs w:val="22"/>
        </w:rPr>
        <w:t xml:space="preserve"> A S</w:t>
      </w:r>
      <w:r w:rsidR="00A115B3" w:rsidRPr="00693B99">
        <w:rPr>
          <w:rFonts w:ascii="Times New Roman" w:hAnsi="Times New Roman"/>
          <w:szCs w:val="22"/>
        </w:rPr>
        <w:t>tations</w:t>
      </w:r>
      <w:bookmarkEnd w:id="18"/>
      <w:bookmarkEnd w:id="19"/>
      <w:bookmarkEnd w:id="20"/>
      <w:bookmarkEnd w:id="21"/>
      <w:bookmarkEnd w:id="22"/>
      <w:bookmarkEnd w:id="23"/>
      <w:r w:rsidRPr="00693B99">
        <w:rPr>
          <w:rFonts w:ascii="Times New Roman" w:hAnsi="Times New Roman"/>
          <w:szCs w:val="22"/>
        </w:rPr>
        <w:t xml:space="preserve">  </w:t>
      </w:r>
    </w:p>
    <w:p w14:paraId="1AE76DC4" w14:textId="77777777" w:rsidR="006B3708" w:rsidRPr="00693B99" w:rsidRDefault="000468F0" w:rsidP="007E4252">
      <w:pPr>
        <w:pStyle w:val="ParaNum"/>
        <w:ind w:firstLine="810"/>
        <w:rPr>
          <w:szCs w:val="22"/>
        </w:rPr>
      </w:pPr>
      <w:r w:rsidRPr="00693B99">
        <w:rPr>
          <w:szCs w:val="22"/>
        </w:rPr>
        <w:t>R</w:t>
      </w:r>
      <w:r w:rsidR="000A7FA4" w:rsidRPr="00693B99">
        <w:rPr>
          <w:szCs w:val="22"/>
        </w:rPr>
        <w:t xml:space="preserve">eassigned stations and band changing stations </w:t>
      </w:r>
      <w:r w:rsidR="003E1E83" w:rsidRPr="00693B99">
        <w:rPr>
          <w:szCs w:val="22"/>
        </w:rPr>
        <w:t xml:space="preserve">must submit an application for </w:t>
      </w:r>
      <w:r w:rsidR="00D72318" w:rsidRPr="00693B99">
        <w:rPr>
          <w:szCs w:val="22"/>
        </w:rPr>
        <w:t xml:space="preserve">a </w:t>
      </w:r>
      <w:r w:rsidR="003E1E83" w:rsidRPr="00693B99">
        <w:rPr>
          <w:szCs w:val="22"/>
        </w:rPr>
        <w:t xml:space="preserve">construction </w:t>
      </w:r>
      <w:r w:rsidR="00D76B88" w:rsidRPr="00693B99">
        <w:rPr>
          <w:szCs w:val="22"/>
        </w:rPr>
        <w:t>permit for their post-auction</w:t>
      </w:r>
      <w:r w:rsidR="003E1E83" w:rsidRPr="00693B99">
        <w:rPr>
          <w:szCs w:val="22"/>
        </w:rPr>
        <w:t xml:space="preserve"> channel facilities within 90 days of the release of the </w:t>
      </w:r>
      <w:r w:rsidR="003E1E83" w:rsidRPr="00693B99">
        <w:rPr>
          <w:i/>
          <w:szCs w:val="22"/>
        </w:rPr>
        <w:t>Closing and Reassignment P</w:t>
      </w:r>
      <w:r w:rsidR="00FF1531" w:rsidRPr="00693B99">
        <w:rPr>
          <w:i/>
          <w:szCs w:val="22"/>
        </w:rPr>
        <w:t xml:space="preserve">ublic </w:t>
      </w:r>
      <w:r w:rsidR="003E1E83" w:rsidRPr="00693B99">
        <w:rPr>
          <w:i/>
          <w:szCs w:val="22"/>
        </w:rPr>
        <w:t>N</w:t>
      </w:r>
      <w:r w:rsidR="00FF1531" w:rsidRPr="00693B99">
        <w:rPr>
          <w:i/>
          <w:szCs w:val="22"/>
        </w:rPr>
        <w:t>otice</w:t>
      </w:r>
      <w:r w:rsidR="00E8466D" w:rsidRPr="00693B99">
        <w:rPr>
          <w:szCs w:val="22"/>
        </w:rPr>
        <w:t xml:space="preserve">.  </w:t>
      </w:r>
      <w:r w:rsidRPr="00693B99">
        <w:rPr>
          <w:szCs w:val="22"/>
        </w:rPr>
        <w:t>In subsection A below, w</w:t>
      </w:r>
      <w:r w:rsidR="003954C2" w:rsidRPr="00693B99">
        <w:rPr>
          <w:szCs w:val="22"/>
        </w:rPr>
        <w:t xml:space="preserve">e </w:t>
      </w:r>
      <w:r w:rsidR="00E8466D" w:rsidRPr="00693B99">
        <w:rPr>
          <w:szCs w:val="22"/>
        </w:rPr>
        <w:t xml:space="preserve">outline the </w:t>
      </w:r>
      <w:r w:rsidR="00F379A8" w:rsidRPr="00693B99">
        <w:rPr>
          <w:szCs w:val="22"/>
        </w:rPr>
        <w:t xml:space="preserve">construction permit application process, including </w:t>
      </w:r>
      <w:r w:rsidRPr="00693B99">
        <w:rPr>
          <w:szCs w:val="22"/>
        </w:rPr>
        <w:t xml:space="preserve">procedures </w:t>
      </w:r>
      <w:r w:rsidR="00E8466D" w:rsidRPr="00693B99">
        <w:rPr>
          <w:szCs w:val="22"/>
        </w:rPr>
        <w:t xml:space="preserve">for </w:t>
      </w:r>
      <w:r w:rsidRPr="00693B99">
        <w:rPr>
          <w:szCs w:val="22"/>
        </w:rPr>
        <w:t>requesting to expand</w:t>
      </w:r>
      <w:r w:rsidR="00F379A8" w:rsidRPr="00693B99">
        <w:rPr>
          <w:szCs w:val="22"/>
        </w:rPr>
        <w:t xml:space="preserve"> </w:t>
      </w:r>
      <w:r w:rsidR="00E8466D" w:rsidRPr="00693B99">
        <w:rPr>
          <w:szCs w:val="22"/>
        </w:rPr>
        <w:t>coverage</w:t>
      </w:r>
      <w:r w:rsidRPr="00693B99">
        <w:rPr>
          <w:szCs w:val="22"/>
        </w:rPr>
        <w:t xml:space="preserve"> </w:t>
      </w:r>
      <w:r w:rsidR="00E8466D" w:rsidRPr="00693B99">
        <w:rPr>
          <w:szCs w:val="22"/>
        </w:rPr>
        <w:t xml:space="preserve">and </w:t>
      </w:r>
      <w:r w:rsidRPr="00693B99">
        <w:rPr>
          <w:szCs w:val="22"/>
        </w:rPr>
        <w:t xml:space="preserve">to </w:t>
      </w:r>
      <w:r w:rsidR="00E8466D" w:rsidRPr="00693B99">
        <w:rPr>
          <w:szCs w:val="22"/>
        </w:rPr>
        <w:t>expedit</w:t>
      </w:r>
      <w:r w:rsidRPr="00693B99">
        <w:rPr>
          <w:szCs w:val="22"/>
        </w:rPr>
        <w:t>e</w:t>
      </w:r>
      <w:r w:rsidR="00E8466D" w:rsidRPr="00693B99">
        <w:rPr>
          <w:szCs w:val="22"/>
        </w:rPr>
        <w:t xml:space="preserve"> application processing.  We also </w:t>
      </w:r>
      <w:r w:rsidRPr="00693B99">
        <w:rPr>
          <w:szCs w:val="22"/>
        </w:rPr>
        <w:t xml:space="preserve">address </w:t>
      </w:r>
      <w:r w:rsidR="00E8466D" w:rsidRPr="00693B99">
        <w:rPr>
          <w:szCs w:val="22"/>
        </w:rPr>
        <w:t>incomplete applications</w:t>
      </w:r>
      <w:r w:rsidRPr="00693B99">
        <w:rPr>
          <w:szCs w:val="22"/>
        </w:rPr>
        <w:t xml:space="preserve">, </w:t>
      </w:r>
      <w:r w:rsidR="00E8466D" w:rsidRPr="00693B99">
        <w:rPr>
          <w:szCs w:val="22"/>
        </w:rPr>
        <w:t>amend</w:t>
      </w:r>
      <w:r w:rsidRPr="00693B99">
        <w:rPr>
          <w:szCs w:val="22"/>
        </w:rPr>
        <w:t>ment</w:t>
      </w:r>
      <w:r w:rsidR="002C77DC" w:rsidRPr="00693B99">
        <w:rPr>
          <w:szCs w:val="22"/>
        </w:rPr>
        <w:t>s</w:t>
      </w:r>
      <w:r w:rsidRPr="00693B99">
        <w:rPr>
          <w:szCs w:val="22"/>
        </w:rPr>
        <w:t xml:space="preserve">, and requests </w:t>
      </w:r>
      <w:r w:rsidR="00E8466D" w:rsidRPr="00693B99">
        <w:rPr>
          <w:szCs w:val="22"/>
        </w:rPr>
        <w:t>for waiver of the 90-day filing deadline.  In subsec</w:t>
      </w:r>
      <w:r w:rsidR="0089741E" w:rsidRPr="00693B99">
        <w:rPr>
          <w:szCs w:val="22"/>
        </w:rPr>
        <w:t xml:space="preserve">tion </w:t>
      </w:r>
      <w:r w:rsidR="00AC04D9" w:rsidRPr="00693B99">
        <w:rPr>
          <w:szCs w:val="22"/>
        </w:rPr>
        <w:t>B</w:t>
      </w:r>
      <w:r w:rsidR="00E8466D" w:rsidRPr="00693B99">
        <w:rPr>
          <w:szCs w:val="22"/>
        </w:rPr>
        <w:t>,</w:t>
      </w:r>
      <w:r w:rsidR="0089741E" w:rsidRPr="00693B99">
        <w:rPr>
          <w:szCs w:val="22"/>
        </w:rPr>
        <w:t xml:space="preserve"> w</w:t>
      </w:r>
      <w:r w:rsidR="00FB7578" w:rsidRPr="00693B99">
        <w:rPr>
          <w:szCs w:val="22"/>
        </w:rPr>
        <w:t xml:space="preserve">e provide </w:t>
      </w:r>
      <w:r w:rsidR="00F379A8" w:rsidRPr="00693B99">
        <w:rPr>
          <w:szCs w:val="22"/>
        </w:rPr>
        <w:t>details on the</w:t>
      </w:r>
      <w:r w:rsidR="00FB7578" w:rsidRPr="00693B99">
        <w:rPr>
          <w:szCs w:val="22"/>
        </w:rPr>
        <w:t xml:space="preserve"> two </w:t>
      </w:r>
      <w:r w:rsidR="00F379A8" w:rsidRPr="00693B99">
        <w:rPr>
          <w:szCs w:val="22"/>
        </w:rPr>
        <w:t>filing windows for</w:t>
      </w:r>
      <w:r w:rsidR="00FB7578" w:rsidRPr="00693B99">
        <w:rPr>
          <w:szCs w:val="22"/>
        </w:rPr>
        <w:t xml:space="preserve"> alternate channel</w:t>
      </w:r>
      <w:r w:rsidR="00F379A8" w:rsidRPr="00693B99">
        <w:rPr>
          <w:szCs w:val="22"/>
        </w:rPr>
        <w:t xml:space="preserve">s and </w:t>
      </w:r>
      <w:r w:rsidR="00FB7578" w:rsidRPr="00693B99">
        <w:rPr>
          <w:szCs w:val="22"/>
        </w:rPr>
        <w:t>expanded facilities</w:t>
      </w:r>
      <w:r w:rsidR="00873A60" w:rsidRPr="00693B99">
        <w:rPr>
          <w:szCs w:val="22"/>
        </w:rPr>
        <w:t xml:space="preserve">. </w:t>
      </w:r>
      <w:r w:rsidR="00656A09" w:rsidRPr="00693B99">
        <w:rPr>
          <w:szCs w:val="22"/>
        </w:rPr>
        <w:t xml:space="preserve"> </w:t>
      </w:r>
      <w:r w:rsidR="00AA26F7" w:rsidRPr="00693B99">
        <w:rPr>
          <w:szCs w:val="22"/>
        </w:rPr>
        <w:t xml:space="preserve">As detailed below, specified reassigned and band changing stations, non-reassigned stations with excess population loss, and displaced Class A Stations may file applications for alternative channels and expanded facilities in the first of these two windows.  All other reassigned stations may file in the second of these two windows. </w:t>
      </w:r>
      <w:r w:rsidR="00F379A8" w:rsidRPr="00693B99">
        <w:rPr>
          <w:szCs w:val="22"/>
        </w:rPr>
        <w:t xml:space="preserve"> </w:t>
      </w:r>
      <w:r w:rsidR="00E8466D" w:rsidRPr="00693B99">
        <w:rPr>
          <w:szCs w:val="22"/>
        </w:rPr>
        <w:t>In subsection C</w:t>
      </w:r>
      <w:r w:rsidR="00AC04D9" w:rsidRPr="00693B99">
        <w:rPr>
          <w:szCs w:val="22"/>
        </w:rPr>
        <w:t xml:space="preserve">, we </w:t>
      </w:r>
      <w:r w:rsidR="00F379A8" w:rsidRPr="00693B99">
        <w:rPr>
          <w:szCs w:val="22"/>
        </w:rPr>
        <w:t>address</w:t>
      </w:r>
      <w:r w:rsidR="00AC04D9" w:rsidRPr="00693B99">
        <w:rPr>
          <w:szCs w:val="22"/>
        </w:rPr>
        <w:t xml:space="preserve"> international coordination.  </w:t>
      </w:r>
      <w:r w:rsidR="0089741E" w:rsidRPr="00693B99">
        <w:rPr>
          <w:szCs w:val="22"/>
        </w:rPr>
        <w:t>In subsection</w:t>
      </w:r>
      <w:r w:rsidR="00E8466D" w:rsidRPr="00693B99">
        <w:rPr>
          <w:szCs w:val="22"/>
        </w:rPr>
        <w:t xml:space="preserve"> D,</w:t>
      </w:r>
      <w:r w:rsidR="00FB7578" w:rsidRPr="00693B99">
        <w:rPr>
          <w:szCs w:val="22"/>
        </w:rPr>
        <w:t xml:space="preserve"> we outline ways that </w:t>
      </w:r>
      <w:r w:rsidR="002C77DC" w:rsidRPr="00693B99">
        <w:rPr>
          <w:szCs w:val="22"/>
        </w:rPr>
        <w:t xml:space="preserve">stations </w:t>
      </w:r>
      <w:r w:rsidR="00FB7578" w:rsidRPr="00693B99">
        <w:rPr>
          <w:szCs w:val="22"/>
        </w:rPr>
        <w:t>may seek additional time to comp</w:t>
      </w:r>
      <w:r w:rsidR="00B16095" w:rsidRPr="00693B99">
        <w:rPr>
          <w:szCs w:val="22"/>
        </w:rPr>
        <w:t>lete construction of their post-</w:t>
      </w:r>
      <w:r w:rsidR="00D76B88" w:rsidRPr="00693B99">
        <w:rPr>
          <w:szCs w:val="22"/>
        </w:rPr>
        <w:t>auction</w:t>
      </w:r>
      <w:r w:rsidR="00FB7578" w:rsidRPr="00693B99">
        <w:rPr>
          <w:szCs w:val="22"/>
        </w:rPr>
        <w:t xml:space="preserve"> </w:t>
      </w:r>
      <w:r w:rsidR="00F379A8" w:rsidRPr="00693B99">
        <w:rPr>
          <w:szCs w:val="22"/>
        </w:rPr>
        <w:t>facilities</w:t>
      </w:r>
      <w:r w:rsidR="0089741E" w:rsidRPr="00693B99">
        <w:rPr>
          <w:szCs w:val="22"/>
        </w:rPr>
        <w:t xml:space="preserve">.  </w:t>
      </w:r>
      <w:r w:rsidR="00E8466D" w:rsidRPr="00693B99">
        <w:rPr>
          <w:szCs w:val="22"/>
        </w:rPr>
        <w:t>In subsection E, we describe</w:t>
      </w:r>
      <w:r w:rsidR="00FB7578" w:rsidRPr="00693B99">
        <w:rPr>
          <w:szCs w:val="22"/>
        </w:rPr>
        <w:t xml:space="preserve"> the steps </w:t>
      </w:r>
      <w:r w:rsidR="0089741E" w:rsidRPr="00693B99">
        <w:rPr>
          <w:szCs w:val="22"/>
        </w:rPr>
        <w:t>stations</w:t>
      </w:r>
      <w:r w:rsidR="00FB7578" w:rsidRPr="00693B99">
        <w:rPr>
          <w:szCs w:val="22"/>
        </w:rPr>
        <w:t xml:space="preserve"> must take once they </w:t>
      </w:r>
      <w:r w:rsidR="00F379A8" w:rsidRPr="00693B99">
        <w:rPr>
          <w:szCs w:val="22"/>
        </w:rPr>
        <w:t>transition to</w:t>
      </w:r>
      <w:r w:rsidR="00D76B88" w:rsidRPr="00693B99">
        <w:rPr>
          <w:szCs w:val="22"/>
        </w:rPr>
        <w:t xml:space="preserve"> their post-auction</w:t>
      </w:r>
      <w:r w:rsidR="002C77DC" w:rsidRPr="00693B99">
        <w:rPr>
          <w:szCs w:val="22"/>
        </w:rPr>
        <w:t xml:space="preserve"> channels</w:t>
      </w:r>
      <w:r w:rsidR="00873A60" w:rsidRPr="00693B99">
        <w:rPr>
          <w:szCs w:val="22"/>
        </w:rPr>
        <w:t>.</w:t>
      </w:r>
    </w:p>
    <w:p w14:paraId="3B6AB39F" w14:textId="77777777" w:rsidR="001C0211" w:rsidRPr="00693B99" w:rsidRDefault="001C0211" w:rsidP="00AA26F7">
      <w:pPr>
        <w:pStyle w:val="Heading2"/>
        <w:rPr>
          <w:szCs w:val="22"/>
        </w:rPr>
      </w:pPr>
      <w:bookmarkStart w:id="24" w:name="_Toc466014515"/>
      <w:bookmarkStart w:id="25" w:name="_Toc466019456"/>
      <w:bookmarkStart w:id="26" w:name="_Toc468178142"/>
      <w:bookmarkStart w:id="27" w:name="_Toc471732164"/>
      <w:bookmarkStart w:id="28" w:name="_Toc471732240"/>
      <w:bookmarkStart w:id="29" w:name="_Toc471732535"/>
      <w:bookmarkStart w:id="30" w:name="_Toc471732608"/>
      <w:bookmarkStart w:id="31" w:name="_Toc471732871"/>
      <w:bookmarkStart w:id="32" w:name="_Toc471734048"/>
      <w:r w:rsidRPr="00693B99">
        <w:rPr>
          <w:szCs w:val="22"/>
        </w:rPr>
        <w:t>Construction Permit Application</w:t>
      </w:r>
      <w:bookmarkEnd w:id="24"/>
      <w:bookmarkEnd w:id="25"/>
      <w:r w:rsidR="00EA0B86" w:rsidRPr="00693B99">
        <w:rPr>
          <w:szCs w:val="22"/>
        </w:rPr>
        <w:t xml:space="preserve"> Process</w:t>
      </w:r>
      <w:bookmarkEnd w:id="26"/>
      <w:r w:rsidR="00AA26F7" w:rsidRPr="00693B99">
        <w:rPr>
          <w:szCs w:val="22"/>
        </w:rPr>
        <w:t xml:space="preserve"> for Reassigned Stations and Band Changing Stations</w:t>
      </w:r>
      <w:bookmarkEnd w:id="27"/>
      <w:bookmarkEnd w:id="28"/>
      <w:bookmarkEnd w:id="29"/>
      <w:bookmarkEnd w:id="30"/>
      <w:bookmarkEnd w:id="31"/>
      <w:bookmarkEnd w:id="32"/>
    </w:p>
    <w:p w14:paraId="0779B62E" w14:textId="18EECE93" w:rsidR="00965BFD" w:rsidRPr="00693B99" w:rsidRDefault="002C77DC" w:rsidP="007E4252">
      <w:pPr>
        <w:pStyle w:val="ParaNum"/>
        <w:ind w:firstLine="810"/>
        <w:rPr>
          <w:szCs w:val="22"/>
        </w:rPr>
      </w:pPr>
      <w:r w:rsidRPr="00693B99">
        <w:rPr>
          <w:szCs w:val="22"/>
        </w:rPr>
        <w:t xml:space="preserve">Except as discussed in </w:t>
      </w:r>
      <w:r w:rsidR="00F05839" w:rsidRPr="00693B99">
        <w:rPr>
          <w:szCs w:val="22"/>
        </w:rPr>
        <w:t>subsection</w:t>
      </w:r>
      <w:r w:rsidRPr="00693B99">
        <w:rPr>
          <w:szCs w:val="22"/>
        </w:rPr>
        <w:t xml:space="preserve"> B below, all r</w:t>
      </w:r>
      <w:r w:rsidR="006B3708" w:rsidRPr="00693B99">
        <w:rPr>
          <w:szCs w:val="22"/>
        </w:rPr>
        <w:t>eassigned stations and band changing stations must</w:t>
      </w:r>
      <w:r w:rsidR="004B650C" w:rsidRPr="00693B99">
        <w:rPr>
          <w:szCs w:val="22"/>
        </w:rPr>
        <w:t xml:space="preserve"> electronically</w:t>
      </w:r>
      <w:r w:rsidR="002655A2" w:rsidRPr="00693B99">
        <w:rPr>
          <w:szCs w:val="22"/>
        </w:rPr>
        <w:t xml:space="preserve"> file </w:t>
      </w:r>
      <w:r w:rsidR="006B3708" w:rsidRPr="00693B99">
        <w:rPr>
          <w:szCs w:val="22"/>
        </w:rPr>
        <w:t>application</w:t>
      </w:r>
      <w:r w:rsidR="002655A2" w:rsidRPr="00693B99">
        <w:rPr>
          <w:szCs w:val="22"/>
        </w:rPr>
        <w:t xml:space="preserve">s for </w:t>
      </w:r>
      <w:r w:rsidR="006B3708" w:rsidRPr="00693B99">
        <w:rPr>
          <w:szCs w:val="22"/>
        </w:rPr>
        <w:t>const</w:t>
      </w:r>
      <w:r w:rsidR="00640348" w:rsidRPr="00693B99">
        <w:rPr>
          <w:szCs w:val="22"/>
        </w:rPr>
        <w:t>ruction permit</w:t>
      </w:r>
      <w:r w:rsidR="002655A2" w:rsidRPr="00693B99">
        <w:rPr>
          <w:szCs w:val="22"/>
        </w:rPr>
        <w:t>s</w:t>
      </w:r>
      <w:r w:rsidR="00640348" w:rsidRPr="00693B99">
        <w:rPr>
          <w:szCs w:val="22"/>
        </w:rPr>
        <w:t xml:space="preserve"> to build the</w:t>
      </w:r>
      <w:r w:rsidR="00810D5B" w:rsidRPr="00693B99">
        <w:rPr>
          <w:szCs w:val="22"/>
        </w:rPr>
        <w:t>ir</w:t>
      </w:r>
      <w:r w:rsidR="00640348" w:rsidRPr="00693B99">
        <w:rPr>
          <w:szCs w:val="22"/>
        </w:rPr>
        <w:t xml:space="preserve"> </w:t>
      </w:r>
      <w:r w:rsidR="00A979AB" w:rsidRPr="00693B99">
        <w:rPr>
          <w:szCs w:val="22"/>
        </w:rPr>
        <w:t>post-auction</w:t>
      </w:r>
      <w:r w:rsidR="00640348" w:rsidRPr="00693B99">
        <w:rPr>
          <w:szCs w:val="22"/>
        </w:rPr>
        <w:t xml:space="preserve"> </w:t>
      </w:r>
      <w:r w:rsidR="006B3708" w:rsidRPr="00693B99">
        <w:rPr>
          <w:szCs w:val="22"/>
        </w:rPr>
        <w:t>channel facilities</w:t>
      </w:r>
      <w:r w:rsidR="00E8466D" w:rsidRPr="00693B99">
        <w:rPr>
          <w:szCs w:val="22"/>
        </w:rPr>
        <w:t xml:space="preserve"> via</w:t>
      </w:r>
      <w:r w:rsidR="004B650C" w:rsidRPr="00693B99">
        <w:rPr>
          <w:szCs w:val="22"/>
        </w:rPr>
        <w:t xml:space="preserve"> the Commission’s LMS</w:t>
      </w:r>
      <w:r w:rsidR="005D7902" w:rsidRPr="00693B99">
        <w:rPr>
          <w:szCs w:val="22"/>
        </w:rPr>
        <w:t xml:space="preserve"> no later than </w:t>
      </w:r>
      <w:r w:rsidR="00B72AE1" w:rsidRPr="00693B99">
        <w:rPr>
          <w:szCs w:val="22"/>
        </w:rPr>
        <w:t>90 days</w:t>
      </w:r>
      <w:r w:rsidR="005D7902" w:rsidRPr="00693B99">
        <w:rPr>
          <w:szCs w:val="22"/>
        </w:rPr>
        <w:t xml:space="preserve"> after the release date of the </w:t>
      </w:r>
      <w:r w:rsidR="005D7902" w:rsidRPr="00693B99">
        <w:rPr>
          <w:i/>
          <w:szCs w:val="22"/>
        </w:rPr>
        <w:t>Closing and</w:t>
      </w:r>
      <w:r w:rsidR="00012DF5" w:rsidRPr="00693B99">
        <w:rPr>
          <w:i/>
          <w:szCs w:val="22"/>
        </w:rPr>
        <w:t xml:space="preserve"> </w:t>
      </w:r>
      <w:r w:rsidR="005D7902" w:rsidRPr="00693B99">
        <w:rPr>
          <w:i/>
          <w:szCs w:val="22"/>
        </w:rPr>
        <w:t>Reassignment P</w:t>
      </w:r>
      <w:r w:rsidR="00BD6E8C" w:rsidRPr="00693B99">
        <w:rPr>
          <w:i/>
          <w:szCs w:val="22"/>
        </w:rPr>
        <w:t>ublic Notice</w:t>
      </w:r>
      <w:r w:rsidR="0014793E" w:rsidRPr="00693B99">
        <w:rPr>
          <w:i/>
          <w:szCs w:val="22"/>
        </w:rPr>
        <w:t>.</w:t>
      </w:r>
      <w:r w:rsidR="00B72AE1" w:rsidRPr="00693B99">
        <w:rPr>
          <w:rStyle w:val="FootnoteReference"/>
        </w:rPr>
        <w:footnoteReference w:id="26"/>
      </w:r>
      <w:r w:rsidR="0014793E" w:rsidRPr="00693B99">
        <w:rPr>
          <w:szCs w:val="22"/>
        </w:rPr>
        <w:t xml:space="preserve"> </w:t>
      </w:r>
      <w:r w:rsidR="0014793E" w:rsidRPr="00693B99">
        <w:rPr>
          <w:i/>
          <w:szCs w:val="22"/>
        </w:rPr>
        <w:t xml:space="preserve"> </w:t>
      </w:r>
      <w:r w:rsidR="004B650C" w:rsidRPr="00693B99">
        <w:rPr>
          <w:szCs w:val="22"/>
        </w:rPr>
        <w:t>The instructions for filing FCC Form 2100</w:t>
      </w:r>
      <w:r w:rsidR="00B339D0" w:rsidRPr="00693B99">
        <w:rPr>
          <w:szCs w:val="22"/>
        </w:rPr>
        <w:t xml:space="preserve"> -</w:t>
      </w:r>
      <w:r w:rsidR="004B650C" w:rsidRPr="00693B99">
        <w:rPr>
          <w:szCs w:val="22"/>
        </w:rPr>
        <w:t xml:space="preserve"> Schedule A </w:t>
      </w:r>
      <w:r w:rsidR="00B339D0" w:rsidRPr="00693B99">
        <w:rPr>
          <w:szCs w:val="22"/>
        </w:rPr>
        <w:t>(</w:t>
      </w:r>
      <w:r w:rsidR="004B650C" w:rsidRPr="00693B99">
        <w:rPr>
          <w:szCs w:val="22"/>
        </w:rPr>
        <w:t>full power stations</w:t>
      </w:r>
      <w:r w:rsidR="00B339D0" w:rsidRPr="00693B99">
        <w:rPr>
          <w:szCs w:val="22"/>
        </w:rPr>
        <w:t xml:space="preserve">) </w:t>
      </w:r>
      <w:r w:rsidR="004B650C" w:rsidRPr="00693B99">
        <w:rPr>
          <w:szCs w:val="22"/>
        </w:rPr>
        <w:t xml:space="preserve">and Schedule E </w:t>
      </w:r>
      <w:r w:rsidR="00B339D0" w:rsidRPr="00693B99">
        <w:rPr>
          <w:szCs w:val="22"/>
        </w:rPr>
        <w:t>(</w:t>
      </w:r>
      <w:r w:rsidR="004B650C" w:rsidRPr="00693B99">
        <w:rPr>
          <w:szCs w:val="22"/>
        </w:rPr>
        <w:t>Class A stations</w:t>
      </w:r>
      <w:r w:rsidR="00B339D0" w:rsidRPr="00693B99">
        <w:rPr>
          <w:szCs w:val="22"/>
        </w:rPr>
        <w:t>)</w:t>
      </w:r>
      <w:r w:rsidR="004B650C" w:rsidRPr="00693B99">
        <w:rPr>
          <w:szCs w:val="22"/>
        </w:rPr>
        <w:t xml:space="preserve"> are </w:t>
      </w:r>
      <w:r w:rsidR="00363B5B" w:rsidRPr="00693B99">
        <w:rPr>
          <w:szCs w:val="22"/>
        </w:rPr>
        <w:t>in</w:t>
      </w:r>
      <w:r w:rsidR="004B650C" w:rsidRPr="00693B99">
        <w:rPr>
          <w:szCs w:val="22"/>
        </w:rPr>
        <w:t>cluded in</w:t>
      </w:r>
      <w:r w:rsidR="00363B5B" w:rsidRPr="00693B99">
        <w:rPr>
          <w:szCs w:val="22"/>
        </w:rPr>
        <w:t xml:space="preserve"> Appendix A</w:t>
      </w:r>
      <w:r w:rsidR="006B3708" w:rsidRPr="00693B99">
        <w:rPr>
          <w:szCs w:val="22"/>
        </w:rPr>
        <w:t xml:space="preserve">. </w:t>
      </w:r>
      <w:r w:rsidR="002655A2" w:rsidRPr="00693B99">
        <w:rPr>
          <w:szCs w:val="22"/>
        </w:rPr>
        <w:t xml:space="preserve">Applications must propose modified facilities consistent with the technical parameters set forth in the </w:t>
      </w:r>
      <w:r w:rsidR="002655A2" w:rsidRPr="00693B99">
        <w:rPr>
          <w:i/>
          <w:szCs w:val="22"/>
        </w:rPr>
        <w:t>Closing and Reassignment Public Notice</w:t>
      </w:r>
      <w:r w:rsidR="002655A2" w:rsidRPr="00693B99">
        <w:rPr>
          <w:szCs w:val="22"/>
        </w:rPr>
        <w:t xml:space="preserve"> except as set forth below. </w:t>
      </w:r>
      <w:r w:rsidR="006B3708" w:rsidRPr="00693B99">
        <w:rPr>
          <w:szCs w:val="22"/>
        </w:rPr>
        <w:t xml:space="preserve"> These applications, including those that propose permissible contour extensions</w:t>
      </w:r>
      <w:r w:rsidR="008334D4" w:rsidRPr="00693B99">
        <w:rPr>
          <w:szCs w:val="22"/>
        </w:rPr>
        <w:t>,</w:t>
      </w:r>
      <w:r w:rsidRPr="00693B99">
        <w:rPr>
          <w:szCs w:val="22"/>
        </w:rPr>
        <w:t xml:space="preserve"> as discussed immediately below</w:t>
      </w:r>
      <w:r w:rsidR="006B3708" w:rsidRPr="00693B99">
        <w:rPr>
          <w:szCs w:val="22"/>
        </w:rPr>
        <w:t>, will be considered minor change applications</w:t>
      </w:r>
      <w:r w:rsidR="005D7902" w:rsidRPr="00693B99">
        <w:rPr>
          <w:rStyle w:val="FootnoteReference"/>
        </w:rPr>
        <w:footnoteReference w:id="27"/>
      </w:r>
      <w:r w:rsidRPr="00693B99">
        <w:rPr>
          <w:szCs w:val="22"/>
        </w:rPr>
        <w:t xml:space="preserve"> and e</w:t>
      </w:r>
      <w:r w:rsidR="006B3708" w:rsidRPr="00693B99">
        <w:rPr>
          <w:szCs w:val="22"/>
        </w:rPr>
        <w:t>xempt from filing fees.</w:t>
      </w:r>
      <w:r w:rsidR="006B3708" w:rsidRPr="00693B99">
        <w:rPr>
          <w:szCs w:val="22"/>
          <w:vertAlign w:val="superscript"/>
        </w:rPr>
        <w:footnoteReference w:id="28"/>
      </w:r>
      <w:r w:rsidR="003954C2" w:rsidRPr="00693B99">
        <w:rPr>
          <w:szCs w:val="22"/>
        </w:rPr>
        <w:t xml:space="preserve">  Although </w:t>
      </w:r>
      <w:r w:rsidR="00F379A8" w:rsidRPr="00693B99">
        <w:rPr>
          <w:szCs w:val="22"/>
        </w:rPr>
        <w:t xml:space="preserve">they have up to </w:t>
      </w:r>
      <w:r w:rsidR="003954C2" w:rsidRPr="00693B99">
        <w:rPr>
          <w:szCs w:val="22"/>
        </w:rPr>
        <w:t xml:space="preserve">90 days to do so, we encourage stations to file their applications as </w:t>
      </w:r>
      <w:r w:rsidR="00F379A8" w:rsidRPr="00693B99">
        <w:rPr>
          <w:szCs w:val="22"/>
        </w:rPr>
        <w:t xml:space="preserve">early </w:t>
      </w:r>
      <w:r w:rsidR="003954C2" w:rsidRPr="00693B99">
        <w:rPr>
          <w:szCs w:val="22"/>
        </w:rPr>
        <w:t>as possible</w:t>
      </w:r>
      <w:r w:rsidR="0060011F" w:rsidRPr="00693B99">
        <w:rPr>
          <w:szCs w:val="22"/>
        </w:rPr>
        <w:t xml:space="preserve"> following the release of the </w:t>
      </w:r>
      <w:r w:rsidR="0060011F" w:rsidRPr="00693B99">
        <w:rPr>
          <w:i/>
          <w:szCs w:val="22"/>
        </w:rPr>
        <w:t>Closing and Reassignment Public Notice</w:t>
      </w:r>
      <w:r w:rsidR="003954C2" w:rsidRPr="00693B99">
        <w:rPr>
          <w:szCs w:val="22"/>
        </w:rPr>
        <w:t>.</w:t>
      </w:r>
      <w:r w:rsidR="00965BFD" w:rsidRPr="00693B99">
        <w:rPr>
          <w:szCs w:val="22"/>
        </w:rPr>
        <w:t xml:space="preserve">  The earlier that stations submit their applications, the </w:t>
      </w:r>
      <w:r w:rsidR="008334D4" w:rsidRPr="00693B99">
        <w:rPr>
          <w:szCs w:val="22"/>
        </w:rPr>
        <w:t>quicker</w:t>
      </w:r>
      <w:r w:rsidR="00965BFD" w:rsidRPr="00693B99">
        <w:rPr>
          <w:szCs w:val="22"/>
        </w:rPr>
        <w:t xml:space="preserve"> the Media Bureau will be able to process them and authorize construction</w:t>
      </w:r>
      <w:r w:rsidR="00DB3F0F" w:rsidRPr="00693B99">
        <w:rPr>
          <w:szCs w:val="22"/>
        </w:rPr>
        <w:t>.</w:t>
      </w:r>
      <w:r w:rsidR="00965BFD" w:rsidRPr="00693B99">
        <w:rPr>
          <w:rStyle w:val="FootnoteReference"/>
        </w:rPr>
        <w:t xml:space="preserve"> </w:t>
      </w:r>
      <w:r w:rsidR="00965BFD" w:rsidRPr="00693B99">
        <w:rPr>
          <w:rStyle w:val="FootnoteReference"/>
        </w:rPr>
        <w:footnoteReference w:id="29"/>
      </w:r>
    </w:p>
    <w:p w14:paraId="634EA6E6" w14:textId="77777777" w:rsidR="001C0211" w:rsidRPr="00693B99" w:rsidRDefault="001C0211" w:rsidP="00C168F3">
      <w:pPr>
        <w:pStyle w:val="Heading3"/>
        <w:tabs>
          <w:tab w:val="clear" w:pos="2880"/>
          <w:tab w:val="num" w:pos="2160"/>
        </w:tabs>
        <w:ind w:left="2160"/>
        <w:rPr>
          <w:szCs w:val="22"/>
        </w:rPr>
      </w:pPr>
      <w:bookmarkStart w:id="33" w:name="_Toc466014516"/>
      <w:bookmarkStart w:id="34" w:name="_Toc466019457"/>
      <w:bookmarkStart w:id="35" w:name="_Toc468178143"/>
      <w:bookmarkStart w:id="36" w:name="_Toc471732165"/>
      <w:bookmarkStart w:id="37" w:name="_Toc471732241"/>
      <w:bookmarkStart w:id="38" w:name="_Toc471732536"/>
      <w:bookmarkStart w:id="39" w:name="_Toc471732609"/>
      <w:bookmarkStart w:id="40" w:name="_Toc471732872"/>
      <w:bookmarkStart w:id="41" w:name="_Toc471734049"/>
      <w:r w:rsidRPr="00693B99">
        <w:rPr>
          <w:szCs w:val="22"/>
        </w:rPr>
        <w:t xml:space="preserve">Flexibility to Expand Contour Coverage in Applications Filed During the Initial 90-Day </w:t>
      </w:r>
      <w:bookmarkEnd w:id="33"/>
      <w:bookmarkEnd w:id="34"/>
      <w:bookmarkEnd w:id="35"/>
      <w:r w:rsidR="00690695" w:rsidRPr="00693B99">
        <w:rPr>
          <w:szCs w:val="22"/>
        </w:rPr>
        <w:t>Window</w:t>
      </w:r>
      <w:bookmarkEnd w:id="36"/>
      <w:bookmarkEnd w:id="37"/>
      <w:bookmarkEnd w:id="38"/>
      <w:bookmarkEnd w:id="39"/>
      <w:bookmarkEnd w:id="40"/>
      <w:bookmarkEnd w:id="41"/>
      <w:r w:rsidRPr="00693B99">
        <w:rPr>
          <w:szCs w:val="22"/>
        </w:rPr>
        <w:t xml:space="preserve">  </w:t>
      </w:r>
    </w:p>
    <w:p w14:paraId="5B65BB7E" w14:textId="77777777" w:rsidR="006B3708" w:rsidRPr="00693B99" w:rsidRDefault="002655A2" w:rsidP="001C0211">
      <w:pPr>
        <w:numPr>
          <w:ilvl w:val="0"/>
          <w:numId w:val="2"/>
        </w:numPr>
        <w:tabs>
          <w:tab w:val="clear" w:pos="1080"/>
        </w:tabs>
        <w:spacing w:after="120"/>
        <w:rPr>
          <w:szCs w:val="22"/>
        </w:rPr>
      </w:pPr>
      <w:r w:rsidRPr="00693B99">
        <w:rPr>
          <w:szCs w:val="22"/>
        </w:rPr>
        <w:t>T</w:t>
      </w:r>
      <w:r w:rsidR="00873A60" w:rsidRPr="00693B99">
        <w:rPr>
          <w:szCs w:val="22"/>
        </w:rPr>
        <w:t xml:space="preserve">he Commission </w:t>
      </w:r>
      <w:r w:rsidRPr="00693B99">
        <w:rPr>
          <w:szCs w:val="22"/>
        </w:rPr>
        <w:t xml:space="preserve">has </w:t>
      </w:r>
      <w:r w:rsidR="00873A60" w:rsidRPr="00693B99">
        <w:rPr>
          <w:szCs w:val="22"/>
        </w:rPr>
        <w:t xml:space="preserve">provided </w:t>
      </w:r>
      <w:r w:rsidR="002244C9" w:rsidRPr="00693B99">
        <w:rPr>
          <w:szCs w:val="22"/>
        </w:rPr>
        <w:t xml:space="preserve">limited </w:t>
      </w:r>
      <w:r w:rsidR="00192A6F" w:rsidRPr="00693B99">
        <w:rPr>
          <w:szCs w:val="22"/>
        </w:rPr>
        <w:t xml:space="preserve">flexibility for </w:t>
      </w:r>
      <w:r w:rsidR="00873A60" w:rsidRPr="00693B99">
        <w:rPr>
          <w:szCs w:val="22"/>
        </w:rPr>
        <w:t>r</w:t>
      </w:r>
      <w:r w:rsidR="00C039AC" w:rsidRPr="00693B99">
        <w:rPr>
          <w:szCs w:val="22"/>
        </w:rPr>
        <w:t xml:space="preserve">eassigned </w:t>
      </w:r>
      <w:r w:rsidR="006B3708" w:rsidRPr="00693B99">
        <w:rPr>
          <w:szCs w:val="22"/>
        </w:rPr>
        <w:t xml:space="preserve">stations </w:t>
      </w:r>
      <w:r w:rsidR="00C039AC" w:rsidRPr="00693B99">
        <w:rPr>
          <w:szCs w:val="22"/>
        </w:rPr>
        <w:t xml:space="preserve">and band changing </w:t>
      </w:r>
      <w:r w:rsidR="006B3708" w:rsidRPr="00693B99">
        <w:rPr>
          <w:szCs w:val="22"/>
        </w:rPr>
        <w:t>stations to request</w:t>
      </w:r>
      <w:r w:rsidR="00AE4643" w:rsidRPr="00693B99">
        <w:rPr>
          <w:szCs w:val="22"/>
        </w:rPr>
        <w:t xml:space="preserve"> in their initial construction permit application</w:t>
      </w:r>
      <w:r w:rsidR="00D76B88" w:rsidRPr="00693B99">
        <w:rPr>
          <w:szCs w:val="22"/>
        </w:rPr>
        <w:t xml:space="preserve">s </w:t>
      </w:r>
      <w:r w:rsidR="00EA0B86" w:rsidRPr="00693B99">
        <w:rPr>
          <w:szCs w:val="22"/>
        </w:rPr>
        <w:t>transmission facilities</w:t>
      </w:r>
      <w:r w:rsidR="00AE4643" w:rsidRPr="00693B99">
        <w:rPr>
          <w:szCs w:val="22"/>
        </w:rPr>
        <w:t xml:space="preserve"> that will extend their </w:t>
      </w:r>
      <w:r w:rsidR="00363B5B" w:rsidRPr="00693B99">
        <w:rPr>
          <w:szCs w:val="22"/>
        </w:rPr>
        <w:t xml:space="preserve">post-auction </w:t>
      </w:r>
      <w:r w:rsidR="00AE4643" w:rsidRPr="00693B99">
        <w:rPr>
          <w:szCs w:val="22"/>
        </w:rPr>
        <w:t>coverage contour beyond</w:t>
      </w:r>
      <w:r w:rsidR="00EA0B86" w:rsidRPr="00693B99">
        <w:rPr>
          <w:szCs w:val="22"/>
        </w:rPr>
        <w:t xml:space="preserve"> </w:t>
      </w:r>
      <w:r w:rsidR="00AE4643" w:rsidRPr="00693B99">
        <w:rPr>
          <w:szCs w:val="22"/>
        </w:rPr>
        <w:t>the technical parameters</w:t>
      </w:r>
      <w:r w:rsidR="006B3708" w:rsidRPr="00693B99">
        <w:rPr>
          <w:szCs w:val="22"/>
        </w:rPr>
        <w:t xml:space="preserve"> specified in the </w:t>
      </w:r>
      <w:r w:rsidR="006B3708" w:rsidRPr="00693B99">
        <w:rPr>
          <w:i/>
          <w:szCs w:val="22"/>
        </w:rPr>
        <w:t>C</w:t>
      </w:r>
      <w:r w:rsidR="00290316" w:rsidRPr="00693B99">
        <w:rPr>
          <w:i/>
          <w:szCs w:val="22"/>
        </w:rPr>
        <w:t>losing and</w:t>
      </w:r>
      <w:r w:rsidR="00012DF5" w:rsidRPr="00693B99">
        <w:rPr>
          <w:i/>
          <w:szCs w:val="22"/>
        </w:rPr>
        <w:t xml:space="preserve"> </w:t>
      </w:r>
      <w:r w:rsidR="00290316" w:rsidRPr="00693B99">
        <w:rPr>
          <w:i/>
          <w:szCs w:val="22"/>
        </w:rPr>
        <w:t>Reassignment</w:t>
      </w:r>
      <w:r w:rsidR="006B3708" w:rsidRPr="00693B99">
        <w:rPr>
          <w:i/>
          <w:szCs w:val="22"/>
        </w:rPr>
        <w:t xml:space="preserve"> P</w:t>
      </w:r>
      <w:r w:rsidR="00D32F28" w:rsidRPr="00693B99">
        <w:rPr>
          <w:i/>
          <w:szCs w:val="22"/>
        </w:rPr>
        <w:t>ublic Notice</w:t>
      </w:r>
      <w:r w:rsidR="006B3708" w:rsidRPr="00693B99">
        <w:rPr>
          <w:rFonts w:eastAsia="Calibri"/>
          <w:szCs w:val="22"/>
        </w:rPr>
        <w:t>.</w:t>
      </w:r>
      <w:r w:rsidR="006B3708" w:rsidRPr="00693B99">
        <w:rPr>
          <w:rFonts w:eastAsia="Calibri"/>
          <w:szCs w:val="22"/>
          <w:vertAlign w:val="superscript"/>
        </w:rPr>
        <w:footnoteReference w:id="30"/>
      </w:r>
      <w:r w:rsidR="006B3708" w:rsidRPr="00693B99">
        <w:rPr>
          <w:rFonts w:eastAsia="Calibri"/>
          <w:szCs w:val="22"/>
        </w:rPr>
        <w:t xml:space="preserve"> </w:t>
      </w:r>
      <w:r w:rsidR="006B3708" w:rsidRPr="00693B99">
        <w:rPr>
          <w:szCs w:val="22"/>
        </w:rPr>
        <w:t xml:space="preserve"> </w:t>
      </w:r>
    </w:p>
    <w:p w14:paraId="68D6A6DD" w14:textId="1C11A5B5" w:rsidR="001C0211" w:rsidRPr="00693B99" w:rsidRDefault="006B3708" w:rsidP="00F44408">
      <w:pPr>
        <w:numPr>
          <w:ilvl w:val="0"/>
          <w:numId w:val="2"/>
        </w:numPr>
        <w:tabs>
          <w:tab w:val="clear" w:pos="1080"/>
          <w:tab w:val="num" w:pos="1440"/>
        </w:tabs>
        <w:spacing w:after="120"/>
        <w:rPr>
          <w:szCs w:val="22"/>
        </w:rPr>
      </w:pPr>
      <w:r w:rsidRPr="00693B99">
        <w:rPr>
          <w:i/>
          <w:szCs w:val="22"/>
        </w:rPr>
        <w:t>Reassigned Stations.</w:t>
      </w:r>
      <w:r w:rsidRPr="00693B99">
        <w:rPr>
          <w:szCs w:val="22"/>
        </w:rPr>
        <w:t xml:space="preserve">  A reassigned station may propose transmission facilities </w:t>
      </w:r>
      <w:r w:rsidR="000E708E" w:rsidRPr="00693B99">
        <w:rPr>
          <w:szCs w:val="22"/>
        </w:rPr>
        <w:t xml:space="preserve">in its initial construction permit application </w:t>
      </w:r>
      <w:r w:rsidRPr="00693B99">
        <w:rPr>
          <w:szCs w:val="22"/>
        </w:rPr>
        <w:t xml:space="preserve">that will extend its coverage contour </w:t>
      </w:r>
      <w:r w:rsidR="006B29BD" w:rsidRPr="00693B99">
        <w:rPr>
          <w:szCs w:val="22"/>
        </w:rPr>
        <w:t>if such facilities</w:t>
      </w:r>
      <w:r w:rsidR="00C16578" w:rsidRPr="00693B99">
        <w:rPr>
          <w:szCs w:val="22"/>
        </w:rPr>
        <w:t>:</w:t>
      </w:r>
      <w:r w:rsidR="006B29BD" w:rsidRPr="00693B99">
        <w:rPr>
          <w:szCs w:val="22"/>
        </w:rPr>
        <w:t xml:space="preserve"> </w:t>
      </w:r>
      <w:r w:rsidR="00A93DD5" w:rsidRPr="00693B99">
        <w:rPr>
          <w:szCs w:val="22"/>
        </w:rPr>
        <w:t>(1) are necessary</w:t>
      </w:r>
      <w:r w:rsidRPr="00693B99">
        <w:rPr>
          <w:szCs w:val="22"/>
        </w:rPr>
        <w:t xml:space="preserve"> to achieve the coverage contour specified in the </w:t>
      </w:r>
      <w:r w:rsidR="00290316" w:rsidRPr="00693B99">
        <w:rPr>
          <w:i/>
          <w:szCs w:val="22"/>
        </w:rPr>
        <w:t xml:space="preserve">Closing </w:t>
      </w:r>
      <w:r w:rsidR="00B16095" w:rsidRPr="00693B99">
        <w:rPr>
          <w:i/>
          <w:szCs w:val="22"/>
        </w:rPr>
        <w:t>and</w:t>
      </w:r>
      <w:r w:rsidR="00012DF5" w:rsidRPr="00693B99">
        <w:rPr>
          <w:i/>
          <w:szCs w:val="22"/>
        </w:rPr>
        <w:t xml:space="preserve"> </w:t>
      </w:r>
      <w:r w:rsidR="00290316" w:rsidRPr="00693B99">
        <w:rPr>
          <w:i/>
          <w:szCs w:val="22"/>
        </w:rPr>
        <w:t>Reassignment</w:t>
      </w:r>
      <w:r w:rsidRPr="00693B99">
        <w:rPr>
          <w:i/>
          <w:szCs w:val="22"/>
        </w:rPr>
        <w:t xml:space="preserve"> P</w:t>
      </w:r>
      <w:r w:rsidR="00D32F28" w:rsidRPr="00693B99">
        <w:rPr>
          <w:i/>
          <w:szCs w:val="22"/>
        </w:rPr>
        <w:t>ublic Notice</w:t>
      </w:r>
      <w:r w:rsidRPr="00693B99">
        <w:rPr>
          <w:szCs w:val="22"/>
        </w:rPr>
        <w:t xml:space="preserve"> or to address loss of coverage area resulting from </w:t>
      </w:r>
      <w:r w:rsidR="00D76B88" w:rsidRPr="00693B99">
        <w:rPr>
          <w:szCs w:val="22"/>
        </w:rPr>
        <w:t>its</w:t>
      </w:r>
      <w:r w:rsidRPr="00693B99">
        <w:rPr>
          <w:szCs w:val="22"/>
        </w:rPr>
        <w:t xml:space="preserve"> </w:t>
      </w:r>
      <w:r w:rsidR="00F8514E" w:rsidRPr="00693B99">
        <w:rPr>
          <w:szCs w:val="22"/>
        </w:rPr>
        <w:t>post-</w:t>
      </w:r>
      <w:r w:rsidR="0002538C" w:rsidRPr="00693B99">
        <w:rPr>
          <w:szCs w:val="22"/>
        </w:rPr>
        <w:t>auction</w:t>
      </w:r>
      <w:r w:rsidR="00640348" w:rsidRPr="00693B99">
        <w:rPr>
          <w:szCs w:val="22"/>
        </w:rPr>
        <w:t xml:space="preserve"> </w:t>
      </w:r>
      <w:r w:rsidR="006579C1" w:rsidRPr="00693B99">
        <w:rPr>
          <w:szCs w:val="22"/>
        </w:rPr>
        <w:t>channel</w:t>
      </w:r>
      <w:r w:rsidR="00A93DD5" w:rsidRPr="00693B99">
        <w:rPr>
          <w:szCs w:val="22"/>
        </w:rPr>
        <w:t xml:space="preserve"> assignment; (2) will</w:t>
      </w:r>
      <w:r w:rsidRPr="00693B99">
        <w:rPr>
          <w:szCs w:val="22"/>
        </w:rPr>
        <w:t xml:space="preserve"> not extend a full power station</w:t>
      </w:r>
      <w:r w:rsidR="00A93DD5" w:rsidRPr="00693B99">
        <w:rPr>
          <w:szCs w:val="22"/>
        </w:rPr>
        <w:t xml:space="preserve">’s </w:t>
      </w:r>
      <w:r w:rsidRPr="00693B99">
        <w:rPr>
          <w:szCs w:val="22"/>
        </w:rPr>
        <w:t>noise limited contour or</w:t>
      </w:r>
      <w:r w:rsidR="00A93DD5" w:rsidRPr="00693B99">
        <w:rPr>
          <w:szCs w:val="22"/>
        </w:rPr>
        <w:t xml:space="preserve"> </w:t>
      </w:r>
      <w:r w:rsidRPr="00693B99">
        <w:rPr>
          <w:szCs w:val="22"/>
        </w:rPr>
        <w:t>a Class A station</w:t>
      </w:r>
      <w:r w:rsidR="00A93DD5" w:rsidRPr="00693B99">
        <w:rPr>
          <w:szCs w:val="22"/>
        </w:rPr>
        <w:t xml:space="preserve">’s </w:t>
      </w:r>
      <w:r w:rsidRPr="00693B99">
        <w:rPr>
          <w:szCs w:val="22"/>
        </w:rPr>
        <w:t>protected contour by more than one percent in any direction</w:t>
      </w:r>
      <w:r w:rsidR="00A93DD5" w:rsidRPr="00693B99">
        <w:rPr>
          <w:szCs w:val="22"/>
        </w:rPr>
        <w:t>; and (3) will</w:t>
      </w:r>
      <w:r w:rsidRPr="00693B99">
        <w:rPr>
          <w:szCs w:val="22"/>
        </w:rPr>
        <w:t xml:space="preserve"> not cause new interference </w:t>
      </w:r>
      <w:r w:rsidR="00491AA7" w:rsidRPr="00693B99">
        <w:rPr>
          <w:szCs w:val="22"/>
        </w:rPr>
        <w:t>beyond</w:t>
      </w:r>
      <w:r w:rsidRPr="00693B99">
        <w:rPr>
          <w:szCs w:val="22"/>
        </w:rPr>
        <w:t xml:space="preserve"> 0.5 percent to </w:t>
      </w:r>
      <w:r w:rsidR="00EF72C7" w:rsidRPr="00693B99">
        <w:rPr>
          <w:szCs w:val="22"/>
        </w:rPr>
        <w:t xml:space="preserve">the technical parameters of </w:t>
      </w:r>
      <w:r w:rsidRPr="00693B99">
        <w:rPr>
          <w:szCs w:val="22"/>
        </w:rPr>
        <w:t>any other station</w:t>
      </w:r>
      <w:r w:rsidR="00EF72C7" w:rsidRPr="00693B99">
        <w:rPr>
          <w:szCs w:val="22"/>
        </w:rPr>
        <w:t xml:space="preserve"> </w:t>
      </w:r>
      <w:r w:rsidR="00077EBA" w:rsidRPr="00693B99">
        <w:rPr>
          <w:szCs w:val="22"/>
        </w:rPr>
        <w:t>based on the parameters</w:t>
      </w:r>
      <w:r w:rsidR="00EF72C7" w:rsidRPr="00693B99">
        <w:rPr>
          <w:szCs w:val="22"/>
        </w:rPr>
        <w:t xml:space="preserve"> specified in the </w:t>
      </w:r>
      <w:r w:rsidR="00EF72C7" w:rsidRPr="00693B99">
        <w:rPr>
          <w:i/>
          <w:szCs w:val="22"/>
        </w:rPr>
        <w:t>Closing and</w:t>
      </w:r>
      <w:r w:rsidR="00012DF5" w:rsidRPr="00693B99">
        <w:rPr>
          <w:i/>
          <w:szCs w:val="22"/>
        </w:rPr>
        <w:t xml:space="preserve"> </w:t>
      </w:r>
      <w:r w:rsidR="00EF72C7" w:rsidRPr="00693B99">
        <w:rPr>
          <w:i/>
          <w:szCs w:val="22"/>
        </w:rPr>
        <w:t>Reassignment P</w:t>
      </w:r>
      <w:r w:rsidR="00D32F28" w:rsidRPr="00693B99">
        <w:rPr>
          <w:i/>
          <w:szCs w:val="22"/>
        </w:rPr>
        <w:t>ublic Notice</w:t>
      </w:r>
      <w:r w:rsidRPr="00693B99">
        <w:rPr>
          <w:szCs w:val="22"/>
        </w:rPr>
        <w:t>.</w:t>
      </w:r>
      <w:r w:rsidRPr="00693B99">
        <w:rPr>
          <w:szCs w:val="22"/>
          <w:vertAlign w:val="superscript"/>
        </w:rPr>
        <w:footnoteReference w:id="31"/>
      </w:r>
    </w:p>
    <w:p w14:paraId="0DCC612D" w14:textId="77777777" w:rsidR="006B3708" w:rsidRPr="00693B99" w:rsidRDefault="006B3708" w:rsidP="001C0211">
      <w:pPr>
        <w:numPr>
          <w:ilvl w:val="0"/>
          <w:numId w:val="2"/>
        </w:numPr>
        <w:tabs>
          <w:tab w:val="clear" w:pos="1080"/>
          <w:tab w:val="num" w:pos="1440"/>
        </w:tabs>
        <w:spacing w:after="120"/>
        <w:rPr>
          <w:szCs w:val="22"/>
        </w:rPr>
      </w:pPr>
      <w:r w:rsidRPr="00693B99">
        <w:rPr>
          <w:i/>
          <w:szCs w:val="22"/>
        </w:rPr>
        <w:t>Band Chang</w:t>
      </w:r>
      <w:r w:rsidR="000E708E" w:rsidRPr="00693B99">
        <w:rPr>
          <w:i/>
          <w:szCs w:val="22"/>
        </w:rPr>
        <w:t>ing</w:t>
      </w:r>
      <w:r w:rsidRPr="00693B99">
        <w:rPr>
          <w:i/>
          <w:szCs w:val="22"/>
        </w:rPr>
        <w:t xml:space="preserve"> Stations.</w:t>
      </w:r>
      <w:r w:rsidRPr="00693B99">
        <w:rPr>
          <w:szCs w:val="22"/>
        </w:rPr>
        <w:t xml:space="preserve">  Band changing stations may specify </w:t>
      </w:r>
      <w:r w:rsidR="006166DC" w:rsidRPr="00693B99">
        <w:rPr>
          <w:szCs w:val="22"/>
        </w:rPr>
        <w:t>transmission facilities</w:t>
      </w:r>
      <w:r w:rsidRPr="00693B99">
        <w:rPr>
          <w:szCs w:val="22"/>
        </w:rPr>
        <w:t xml:space="preserve"> that would result in a larger coverage contour than that resulting from the technical parameters specified in the </w:t>
      </w:r>
      <w:r w:rsidRPr="00693B99">
        <w:rPr>
          <w:i/>
          <w:szCs w:val="22"/>
        </w:rPr>
        <w:t>C</w:t>
      </w:r>
      <w:r w:rsidR="00290316" w:rsidRPr="00693B99">
        <w:rPr>
          <w:i/>
          <w:szCs w:val="22"/>
        </w:rPr>
        <w:t>losing and</w:t>
      </w:r>
      <w:r w:rsidR="00012DF5" w:rsidRPr="00693B99">
        <w:rPr>
          <w:i/>
          <w:szCs w:val="22"/>
        </w:rPr>
        <w:t xml:space="preserve"> </w:t>
      </w:r>
      <w:r w:rsidR="00290316" w:rsidRPr="00693B99">
        <w:rPr>
          <w:i/>
          <w:szCs w:val="22"/>
        </w:rPr>
        <w:t>Reassignment</w:t>
      </w:r>
      <w:r w:rsidRPr="00693B99">
        <w:rPr>
          <w:i/>
          <w:szCs w:val="22"/>
        </w:rPr>
        <w:t xml:space="preserve"> P</w:t>
      </w:r>
      <w:r w:rsidR="00FF1531" w:rsidRPr="00693B99">
        <w:rPr>
          <w:i/>
          <w:szCs w:val="22"/>
        </w:rPr>
        <w:t>ublic Notice</w:t>
      </w:r>
      <w:r w:rsidRPr="00693B99">
        <w:rPr>
          <w:szCs w:val="22"/>
        </w:rPr>
        <w:t>, so long as the proposed facility will not cause new interference</w:t>
      </w:r>
      <w:r w:rsidR="00077EBA" w:rsidRPr="00693B99">
        <w:rPr>
          <w:szCs w:val="22"/>
        </w:rPr>
        <w:t xml:space="preserve"> </w:t>
      </w:r>
      <w:r w:rsidR="00491AA7" w:rsidRPr="00693B99">
        <w:rPr>
          <w:szCs w:val="22"/>
        </w:rPr>
        <w:t>beyond</w:t>
      </w:r>
      <w:r w:rsidRPr="00693B99">
        <w:rPr>
          <w:szCs w:val="22"/>
        </w:rPr>
        <w:t xml:space="preserve"> </w:t>
      </w:r>
      <w:r w:rsidR="00F862D6" w:rsidRPr="00693B99">
        <w:rPr>
          <w:szCs w:val="22"/>
        </w:rPr>
        <w:t xml:space="preserve">a rounding tolerance of </w:t>
      </w:r>
      <w:r w:rsidRPr="00693B99">
        <w:rPr>
          <w:szCs w:val="22"/>
        </w:rPr>
        <w:t>0.5 percent to any other station.</w:t>
      </w:r>
      <w:r w:rsidRPr="00693B99">
        <w:rPr>
          <w:szCs w:val="22"/>
          <w:vertAlign w:val="superscript"/>
        </w:rPr>
        <w:footnoteReference w:id="32"/>
      </w:r>
      <w:r w:rsidR="00D914B6" w:rsidRPr="00693B99">
        <w:rPr>
          <w:szCs w:val="22"/>
        </w:rPr>
        <w:t xml:space="preserve">  Such stations are not limited to the one percent contour increase restriction applicable to reassigned stations.</w:t>
      </w:r>
    </w:p>
    <w:p w14:paraId="74B8BC9B" w14:textId="77777777" w:rsidR="001C0211" w:rsidRPr="00693B99" w:rsidRDefault="001C0211" w:rsidP="00C168F3">
      <w:pPr>
        <w:pStyle w:val="Heading3"/>
        <w:ind w:hanging="1440"/>
        <w:rPr>
          <w:szCs w:val="22"/>
        </w:rPr>
      </w:pPr>
      <w:bookmarkStart w:id="42" w:name="_Toc466014517"/>
      <w:bookmarkStart w:id="43" w:name="_Toc466019458"/>
      <w:bookmarkStart w:id="44" w:name="_Toc468178144"/>
      <w:bookmarkStart w:id="45" w:name="_Toc471732166"/>
      <w:bookmarkStart w:id="46" w:name="_Toc471732242"/>
      <w:bookmarkStart w:id="47" w:name="_Toc471732537"/>
      <w:bookmarkStart w:id="48" w:name="_Toc471732610"/>
      <w:bookmarkStart w:id="49" w:name="_Toc471732873"/>
      <w:bookmarkStart w:id="50" w:name="_Toc471734050"/>
      <w:r w:rsidRPr="00693B99">
        <w:rPr>
          <w:szCs w:val="22"/>
        </w:rPr>
        <w:t>Applications that Qualify for Expedited Processing</w:t>
      </w:r>
      <w:bookmarkEnd w:id="42"/>
      <w:bookmarkEnd w:id="43"/>
      <w:bookmarkEnd w:id="44"/>
      <w:bookmarkEnd w:id="45"/>
      <w:bookmarkEnd w:id="46"/>
      <w:bookmarkEnd w:id="47"/>
      <w:bookmarkEnd w:id="48"/>
      <w:bookmarkEnd w:id="49"/>
      <w:bookmarkEnd w:id="50"/>
      <w:r w:rsidRPr="00693B99">
        <w:rPr>
          <w:szCs w:val="22"/>
        </w:rPr>
        <w:t xml:space="preserve">  </w:t>
      </w:r>
    </w:p>
    <w:p w14:paraId="6E288E87" w14:textId="77777777" w:rsidR="006B3708" w:rsidRPr="00693B99" w:rsidRDefault="006B3708" w:rsidP="001C0211">
      <w:pPr>
        <w:numPr>
          <w:ilvl w:val="0"/>
          <w:numId w:val="2"/>
        </w:numPr>
        <w:tabs>
          <w:tab w:val="clear" w:pos="1080"/>
          <w:tab w:val="num" w:pos="1440"/>
        </w:tabs>
        <w:spacing w:after="120"/>
        <w:rPr>
          <w:szCs w:val="22"/>
        </w:rPr>
      </w:pPr>
      <w:r w:rsidRPr="00693B99">
        <w:rPr>
          <w:szCs w:val="22"/>
        </w:rPr>
        <w:t>In order to expedite the transition, the Com</w:t>
      </w:r>
      <w:r w:rsidR="00363B5B" w:rsidRPr="00693B99">
        <w:rPr>
          <w:szCs w:val="22"/>
        </w:rPr>
        <w:t>mission provided for expedited</w:t>
      </w:r>
      <w:r w:rsidRPr="00693B99">
        <w:rPr>
          <w:szCs w:val="22"/>
        </w:rPr>
        <w:t xml:space="preserve"> proc</w:t>
      </w:r>
      <w:r w:rsidR="000E708E" w:rsidRPr="00693B99">
        <w:rPr>
          <w:szCs w:val="22"/>
        </w:rPr>
        <w:t xml:space="preserve">essing by the </w:t>
      </w:r>
      <w:r w:rsidR="00884706" w:rsidRPr="00693B99">
        <w:rPr>
          <w:szCs w:val="22"/>
        </w:rPr>
        <w:t xml:space="preserve">Media Bureau </w:t>
      </w:r>
      <w:r w:rsidR="00FA160A" w:rsidRPr="00693B99">
        <w:rPr>
          <w:szCs w:val="22"/>
        </w:rPr>
        <w:t xml:space="preserve">of </w:t>
      </w:r>
      <w:r w:rsidRPr="00693B99">
        <w:rPr>
          <w:szCs w:val="22"/>
        </w:rPr>
        <w:t xml:space="preserve">a </w:t>
      </w:r>
      <w:r w:rsidR="00884706" w:rsidRPr="00693B99">
        <w:rPr>
          <w:szCs w:val="22"/>
        </w:rPr>
        <w:t>construction permit</w:t>
      </w:r>
      <w:r w:rsidRPr="00693B99">
        <w:rPr>
          <w:szCs w:val="22"/>
        </w:rPr>
        <w:t xml:space="preserve"> application that: (1) does not seek to expand the coverage area, as defined by the technical parameters specified in the </w:t>
      </w:r>
      <w:r w:rsidRPr="00693B99">
        <w:rPr>
          <w:i/>
          <w:szCs w:val="22"/>
        </w:rPr>
        <w:t>C</w:t>
      </w:r>
      <w:r w:rsidR="00290316" w:rsidRPr="00693B99">
        <w:rPr>
          <w:i/>
          <w:szCs w:val="22"/>
        </w:rPr>
        <w:t>losing and Reassignment</w:t>
      </w:r>
      <w:r w:rsidRPr="00693B99">
        <w:rPr>
          <w:i/>
          <w:szCs w:val="22"/>
        </w:rPr>
        <w:t xml:space="preserve"> P</w:t>
      </w:r>
      <w:r w:rsidR="00D32F28" w:rsidRPr="00693B99">
        <w:rPr>
          <w:i/>
          <w:szCs w:val="22"/>
        </w:rPr>
        <w:t>ublic Notice</w:t>
      </w:r>
      <w:r w:rsidRPr="00693B99">
        <w:rPr>
          <w:szCs w:val="22"/>
        </w:rPr>
        <w:t xml:space="preserve">, in any direction; (2) seeks authorization for facilities that are no more than five percent smaller than those specified in the </w:t>
      </w:r>
      <w:r w:rsidRPr="00693B99">
        <w:rPr>
          <w:i/>
          <w:szCs w:val="22"/>
        </w:rPr>
        <w:t>C</w:t>
      </w:r>
      <w:r w:rsidR="00290316" w:rsidRPr="00693B99">
        <w:rPr>
          <w:i/>
          <w:szCs w:val="22"/>
        </w:rPr>
        <w:t>losing and</w:t>
      </w:r>
      <w:r w:rsidR="00012DF5" w:rsidRPr="00693B99">
        <w:rPr>
          <w:i/>
          <w:szCs w:val="22"/>
        </w:rPr>
        <w:t xml:space="preserve"> </w:t>
      </w:r>
      <w:r w:rsidR="00290316" w:rsidRPr="00693B99">
        <w:rPr>
          <w:i/>
          <w:szCs w:val="22"/>
        </w:rPr>
        <w:t>Reassignment</w:t>
      </w:r>
      <w:r w:rsidRPr="00693B99">
        <w:rPr>
          <w:i/>
          <w:szCs w:val="22"/>
        </w:rPr>
        <w:t xml:space="preserve"> P</w:t>
      </w:r>
      <w:r w:rsidR="00D32F28" w:rsidRPr="00693B99">
        <w:rPr>
          <w:i/>
          <w:szCs w:val="22"/>
        </w:rPr>
        <w:t>ublic Notice</w:t>
      </w:r>
      <w:r w:rsidRPr="00693B99">
        <w:rPr>
          <w:szCs w:val="22"/>
        </w:rPr>
        <w:t xml:space="preserve"> with respect to predicted population served; and (3) is filed within the </w:t>
      </w:r>
      <w:r w:rsidR="00873A60" w:rsidRPr="00693B99">
        <w:rPr>
          <w:szCs w:val="22"/>
        </w:rPr>
        <w:t xml:space="preserve">90-day </w:t>
      </w:r>
      <w:r w:rsidRPr="00693B99">
        <w:rPr>
          <w:szCs w:val="22"/>
        </w:rPr>
        <w:t>deadline.</w:t>
      </w:r>
      <w:r w:rsidRPr="00693B99">
        <w:rPr>
          <w:szCs w:val="22"/>
          <w:vertAlign w:val="superscript"/>
        </w:rPr>
        <w:footnoteReference w:id="33"/>
      </w:r>
      <w:r w:rsidRPr="00693B99">
        <w:rPr>
          <w:szCs w:val="22"/>
        </w:rPr>
        <w:t xml:space="preserve">  The Media Bureau expects to process applications </w:t>
      </w:r>
      <w:r w:rsidR="00FA160A" w:rsidRPr="00693B99">
        <w:rPr>
          <w:szCs w:val="22"/>
        </w:rPr>
        <w:t>meeting</w:t>
      </w:r>
      <w:r w:rsidR="000E708E" w:rsidRPr="00693B99">
        <w:rPr>
          <w:szCs w:val="22"/>
        </w:rPr>
        <w:t xml:space="preserve"> all three of these requirements </w:t>
      </w:r>
      <w:r w:rsidRPr="00693B99">
        <w:rPr>
          <w:szCs w:val="22"/>
        </w:rPr>
        <w:t xml:space="preserve">within </w:t>
      </w:r>
      <w:r w:rsidR="00B16095" w:rsidRPr="00693B99">
        <w:rPr>
          <w:szCs w:val="22"/>
        </w:rPr>
        <w:t>10</w:t>
      </w:r>
      <w:r w:rsidRPr="00693B99">
        <w:rPr>
          <w:szCs w:val="22"/>
        </w:rPr>
        <w:t xml:space="preserve"> </w:t>
      </w:r>
      <w:r w:rsidR="00E442AC" w:rsidRPr="00693B99">
        <w:rPr>
          <w:szCs w:val="22"/>
        </w:rPr>
        <w:t xml:space="preserve">business </w:t>
      </w:r>
      <w:r w:rsidRPr="00693B99">
        <w:rPr>
          <w:szCs w:val="22"/>
        </w:rPr>
        <w:t xml:space="preserve">days </w:t>
      </w:r>
      <w:r w:rsidR="00040602" w:rsidRPr="00693B99">
        <w:rPr>
          <w:szCs w:val="22"/>
        </w:rPr>
        <w:t xml:space="preserve">of </w:t>
      </w:r>
      <w:r w:rsidRPr="00693B99">
        <w:rPr>
          <w:szCs w:val="22"/>
        </w:rPr>
        <w:t>filing.</w:t>
      </w:r>
      <w:r w:rsidRPr="00693B99">
        <w:rPr>
          <w:szCs w:val="22"/>
          <w:vertAlign w:val="superscript"/>
        </w:rPr>
        <w:footnoteReference w:id="34"/>
      </w:r>
    </w:p>
    <w:p w14:paraId="24F0B393" w14:textId="77777777" w:rsidR="001C0211" w:rsidRPr="00693B99" w:rsidRDefault="001C0211" w:rsidP="00C168F3">
      <w:pPr>
        <w:pStyle w:val="Heading3"/>
        <w:ind w:hanging="1440"/>
        <w:rPr>
          <w:szCs w:val="22"/>
        </w:rPr>
      </w:pPr>
      <w:bookmarkStart w:id="51" w:name="_Toc466014518"/>
      <w:bookmarkStart w:id="52" w:name="_Toc466019459"/>
      <w:bookmarkStart w:id="53" w:name="_Toc468178145"/>
      <w:bookmarkStart w:id="54" w:name="_Toc471732167"/>
      <w:bookmarkStart w:id="55" w:name="_Toc471732243"/>
      <w:bookmarkStart w:id="56" w:name="_Toc471732538"/>
      <w:bookmarkStart w:id="57" w:name="_Toc471732611"/>
      <w:bookmarkStart w:id="58" w:name="_Toc471732874"/>
      <w:bookmarkStart w:id="59" w:name="_Toc471734051"/>
      <w:r w:rsidRPr="00693B99">
        <w:rPr>
          <w:szCs w:val="22"/>
        </w:rPr>
        <w:t>Incomplete or Defective Applications</w:t>
      </w:r>
      <w:bookmarkEnd w:id="51"/>
      <w:bookmarkEnd w:id="52"/>
      <w:bookmarkEnd w:id="53"/>
      <w:bookmarkEnd w:id="54"/>
      <w:bookmarkEnd w:id="55"/>
      <w:bookmarkEnd w:id="56"/>
      <w:bookmarkEnd w:id="57"/>
      <w:bookmarkEnd w:id="58"/>
      <w:bookmarkEnd w:id="59"/>
    </w:p>
    <w:p w14:paraId="4125E2D9" w14:textId="77777777" w:rsidR="006B3708" w:rsidRPr="00693B99" w:rsidRDefault="00FA160A" w:rsidP="001C0211">
      <w:pPr>
        <w:numPr>
          <w:ilvl w:val="0"/>
          <w:numId w:val="2"/>
        </w:numPr>
        <w:tabs>
          <w:tab w:val="clear" w:pos="1080"/>
          <w:tab w:val="num" w:pos="1440"/>
        </w:tabs>
        <w:spacing w:after="120"/>
        <w:rPr>
          <w:szCs w:val="22"/>
        </w:rPr>
      </w:pPr>
      <w:r w:rsidRPr="00693B99">
        <w:rPr>
          <w:szCs w:val="22"/>
        </w:rPr>
        <w:t>A s</w:t>
      </w:r>
      <w:r w:rsidR="006B3708" w:rsidRPr="00693B99">
        <w:rPr>
          <w:szCs w:val="22"/>
        </w:rPr>
        <w:t>tation that file</w:t>
      </w:r>
      <w:r w:rsidRPr="00693B99">
        <w:rPr>
          <w:szCs w:val="22"/>
        </w:rPr>
        <w:t>s an</w:t>
      </w:r>
      <w:r w:rsidR="006B3708" w:rsidRPr="00693B99">
        <w:rPr>
          <w:szCs w:val="22"/>
        </w:rPr>
        <w:t xml:space="preserve"> application</w:t>
      </w:r>
      <w:r w:rsidR="008C765D" w:rsidRPr="00693B99">
        <w:rPr>
          <w:szCs w:val="22"/>
        </w:rPr>
        <w:t xml:space="preserve"> </w:t>
      </w:r>
      <w:r w:rsidR="000E708E" w:rsidRPr="00693B99">
        <w:rPr>
          <w:szCs w:val="22"/>
        </w:rPr>
        <w:t xml:space="preserve">during the initial </w:t>
      </w:r>
      <w:r w:rsidR="00873A60" w:rsidRPr="00693B99">
        <w:rPr>
          <w:szCs w:val="22"/>
        </w:rPr>
        <w:t xml:space="preserve">90-day </w:t>
      </w:r>
      <w:r w:rsidR="00690695" w:rsidRPr="00693B99">
        <w:rPr>
          <w:szCs w:val="22"/>
        </w:rPr>
        <w:t>window</w:t>
      </w:r>
      <w:r w:rsidR="000E708E" w:rsidRPr="00693B99">
        <w:rPr>
          <w:szCs w:val="22"/>
        </w:rPr>
        <w:t xml:space="preserve"> </w:t>
      </w:r>
      <w:r w:rsidR="006B3708" w:rsidRPr="00693B99">
        <w:rPr>
          <w:szCs w:val="22"/>
        </w:rPr>
        <w:t xml:space="preserve">that </w:t>
      </w:r>
      <w:r w:rsidRPr="00693B99">
        <w:rPr>
          <w:szCs w:val="22"/>
        </w:rPr>
        <w:t xml:space="preserve">is </w:t>
      </w:r>
      <w:r w:rsidR="006B3708" w:rsidRPr="00693B99">
        <w:rPr>
          <w:szCs w:val="22"/>
        </w:rPr>
        <w:t xml:space="preserve">incomplete or defective will be contacted and afforded an opportunity to submit an amendment </w:t>
      </w:r>
      <w:r w:rsidR="001F0354" w:rsidRPr="00693B99">
        <w:rPr>
          <w:szCs w:val="22"/>
        </w:rPr>
        <w:t>via LMS</w:t>
      </w:r>
      <w:r w:rsidR="006B3708" w:rsidRPr="00693B99">
        <w:rPr>
          <w:szCs w:val="22"/>
        </w:rPr>
        <w:t xml:space="preserve"> to cure any defects.</w:t>
      </w:r>
      <w:r w:rsidR="006B3708" w:rsidRPr="00693B99">
        <w:rPr>
          <w:szCs w:val="22"/>
          <w:vertAlign w:val="superscript"/>
        </w:rPr>
        <w:footnoteReference w:id="35"/>
      </w:r>
      <w:r w:rsidR="006B3708" w:rsidRPr="00693B99">
        <w:rPr>
          <w:szCs w:val="22"/>
        </w:rPr>
        <w:t xml:space="preserve"> </w:t>
      </w:r>
      <w:r w:rsidR="00040602" w:rsidRPr="00693B99">
        <w:rPr>
          <w:szCs w:val="22"/>
        </w:rPr>
        <w:t xml:space="preserve"> </w:t>
      </w:r>
      <w:r w:rsidR="006B3708" w:rsidRPr="00693B99">
        <w:rPr>
          <w:szCs w:val="22"/>
        </w:rPr>
        <w:t xml:space="preserve">Failure to </w:t>
      </w:r>
      <w:r w:rsidR="00040602" w:rsidRPr="00693B99">
        <w:rPr>
          <w:szCs w:val="22"/>
        </w:rPr>
        <w:t>cure a</w:t>
      </w:r>
      <w:r w:rsidR="006B3708" w:rsidRPr="00693B99">
        <w:rPr>
          <w:szCs w:val="22"/>
        </w:rPr>
        <w:t xml:space="preserve"> defect will result in dismissal of the application.</w:t>
      </w:r>
      <w:r w:rsidR="006B3708" w:rsidRPr="00693B99">
        <w:rPr>
          <w:szCs w:val="22"/>
          <w:vertAlign w:val="superscript"/>
        </w:rPr>
        <w:footnoteReference w:id="36"/>
      </w:r>
      <w:r w:rsidR="006B3708" w:rsidRPr="00693B99">
        <w:rPr>
          <w:szCs w:val="22"/>
        </w:rPr>
        <w:t xml:space="preserve">  A </w:t>
      </w:r>
      <w:r w:rsidR="00EF72C7" w:rsidRPr="00693B99">
        <w:rPr>
          <w:szCs w:val="22"/>
        </w:rPr>
        <w:t>station</w:t>
      </w:r>
      <w:r w:rsidR="006B3708" w:rsidRPr="00693B99">
        <w:rPr>
          <w:szCs w:val="22"/>
        </w:rPr>
        <w:t xml:space="preserve"> whose application is dismissed must file a new application</w:t>
      </w:r>
      <w:r w:rsidR="005E4433" w:rsidRPr="00693B99">
        <w:rPr>
          <w:szCs w:val="22"/>
        </w:rPr>
        <w:t xml:space="preserve"> within 15 </w:t>
      </w:r>
      <w:r w:rsidR="00E442AC" w:rsidRPr="00693B99">
        <w:rPr>
          <w:szCs w:val="22"/>
        </w:rPr>
        <w:t xml:space="preserve">calendar </w:t>
      </w:r>
      <w:r w:rsidR="005E4433" w:rsidRPr="00693B99">
        <w:rPr>
          <w:szCs w:val="22"/>
        </w:rPr>
        <w:t>days of dismissal</w:t>
      </w:r>
      <w:r w:rsidR="006B3708" w:rsidRPr="00693B99">
        <w:rPr>
          <w:szCs w:val="22"/>
        </w:rPr>
        <w:t xml:space="preserve"> and pay the requisite filing fee.  </w:t>
      </w:r>
      <w:r w:rsidR="001742FF" w:rsidRPr="00693B99">
        <w:rPr>
          <w:szCs w:val="22"/>
        </w:rPr>
        <w:t>A s</w:t>
      </w:r>
      <w:r w:rsidR="006B3708" w:rsidRPr="00693B99">
        <w:rPr>
          <w:szCs w:val="22"/>
        </w:rPr>
        <w:t xml:space="preserve">tation </w:t>
      </w:r>
      <w:r w:rsidR="000E708E" w:rsidRPr="00693B99">
        <w:rPr>
          <w:szCs w:val="22"/>
        </w:rPr>
        <w:t>that file</w:t>
      </w:r>
      <w:r w:rsidR="001742FF" w:rsidRPr="00693B99">
        <w:rPr>
          <w:szCs w:val="22"/>
        </w:rPr>
        <w:t>s</w:t>
      </w:r>
      <w:r w:rsidR="000E708E" w:rsidRPr="00693B99">
        <w:rPr>
          <w:szCs w:val="22"/>
        </w:rPr>
        <w:t xml:space="preserve"> an amendment</w:t>
      </w:r>
      <w:r w:rsidR="000A158D" w:rsidRPr="00693B99">
        <w:rPr>
          <w:szCs w:val="22"/>
        </w:rPr>
        <w:t xml:space="preserve"> to cure its pending application</w:t>
      </w:r>
      <w:r w:rsidR="000E708E" w:rsidRPr="00693B99">
        <w:rPr>
          <w:szCs w:val="22"/>
        </w:rPr>
        <w:t xml:space="preserve"> or re</w:t>
      </w:r>
      <w:r w:rsidR="00040602" w:rsidRPr="00693B99">
        <w:rPr>
          <w:szCs w:val="22"/>
        </w:rPr>
        <w:t>-</w:t>
      </w:r>
      <w:r w:rsidR="000E708E" w:rsidRPr="00693B99">
        <w:rPr>
          <w:szCs w:val="22"/>
        </w:rPr>
        <w:t>file</w:t>
      </w:r>
      <w:r w:rsidR="001742FF" w:rsidRPr="00693B99">
        <w:rPr>
          <w:szCs w:val="22"/>
        </w:rPr>
        <w:t>s</w:t>
      </w:r>
      <w:r w:rsidR="000E708E" w:rsidRPr="00693B99">
        <w:rPr>
          <w:szCs w:val="22"/>
        </w:rPr>
        <w:t xml:space="preserve"> </w:t>
      </w:r>
      <w:r w:rsidR="001742FF" w:rsidRPr="00693B99">
        <w:rPr>
          <w:szCs w:val="22"/>
        </w:rPr>
        <w:t>its</w:t>
      </w:r>
      <w:r w:rsidR="000E708E" w:rsidRPr="00693B99">
        <w:rPr>
          <w:szCs w:val="22"/>
        </w:rPr>
        <w:t xml:space="preserve"> application will </w:t>
      </w:r>
      <w:r w:rsidR="00192A6F" w:rsidRPr="00693B99">
        <w:rPr>
          <w:szCs w:val="22"/>
        </w:rPr>
        <w:t xml:space="preserve">nonetheless </w:t>
      </w:r>
      <w:r w:rsidR="000E708E" w:rsidRPr="00693B99">
        <w:rPr>
          <w:szCs w:val="22"/>
        </w:rPr>
        <w:t xml:space="preserve">be required to </w:t>
      </w:r>
      <w:r w:rsidR="00963DC4" w:rsidRPr="00693B99">
        <w:rPr>
          <w:szCs w:val="22"/>
        </w:rPr>
        <w:t xml:space="preserve">meet its assigned </w:t>
      </w:r>
      <w:r w:rsidR="00C13698" w:rsidRPr="00693B99">
        <w:rPr>
          <w:szCs w:val="22"/>
        </w:rPr>
        <w:t>construction deadline</w:t>
      </w:r>
      <w:r w:rsidR="000E708E" w:rsidRPr="00693B99">
        <w:rPr>
          <w:szCs w:val="22"/>
        </w:rPr>
        <w:t>.</w:t>
      </w:r>
    </w:p>
    <w:p w14:paraId="657C6D81" w14:textId="77777777" w:rsidR="00D66D9F" w:rsidRPr="00693B99" w:rsidRDefault="00D66D9F" w:rsidP="00C168F3">
      <w:pPr>
        <w:pStyle w:val="Heading3"/>
        <w:ind w:hanging="1440"/>
        <w:rPr>
          <w:szCs w:val="22"/>
        </w:rPr>
      </w:pPr>
      <w:bookmarkStart w:id="60" w:name="_Toc466014519"/>
      <w:bookmarkStart w:id="61" w:name="_Toc466019460"/>
      <w:bookmarkStart w:id="62" w:name="_Toc468178146"/>
      <w:bookmarkStart w:id="63" w:name="_Toc471732168"/>
      <w:bookmarkStart w:id="64" w:name="_Toc471732244"/>
      <w:bookmarkStart w:id="65" w:name="_Toc471732539"/>
      <w:bookmarkStart w:id="66" w:name="_Toc471732612"/>
      <w:bookmarkStart w:id="67" w:name="_Toc471732875"/>
      <w:bookmarkStart w:id="68" w:name="_Toc471734052"/>
      <w:r w:rsidRPr="00693B99">
        <w:rPr>
          <w:szCs w:val="22"/>
        </w:rPr>
        <w:t>Minor Amendments and Modifications</w:t>
      </w:r>
      <w:bookmarkEnd w:id="60"/>
      <w:bookmarkEnd w:id="61"/>
      <w:bookmarkEnd w:id="62"/>
      <w:bookmarkEnd w:id="63"/>
      <w:bookmarkEnd w:id="64"/>
      <w:bookmarkEnd w:id="65"/>
      <w:bookmarkEnd w:id="66"/>
      <w:bookmarkEnd w:id="67"/>
      <w:bookmarkEnd w:id="68"/>
    </w:p>
    <w:p w14:paraId="7181E36C" w14:textId="1C779574" w:rsidR="00902E6A" w:rsidRPr="00693B99" w:rsidRDefault="00040602" w:rsidP="00D66D9F">
      <w:pPr>
        <w:numPr>
          <w:ilvl w:val="0"/>
          <w:numId w:val="2"/>
        </w:numPr>
        <w:tabs>
          <w:tab w:val="clear" w:pos="1080"/>
          <w:tab w:val="num" w:pos="1440"/>
        </w:tabs>
        <w:spacing w:after="120"/>
        <w:rPr>
          <w:szCs w:val="22"/>
        </w:rPr>
      </w:pPr>
      <w:r w:rsidRPr="00693B99">
        <w:rPr>
          <w:szCs w:val="22"/>
        </w:rPr>
        <w:t xml:space="preserve">A station </w:t>
      </w:r>
      <w:r w:rsidR="00902E6A" w:rsidRPr="00693B99">
        <w:rPr>
          <w:szCs w:val="22"/>
        </w:rPr>
        <w:t xml:space="preserve">may submit </w:t>
      </w:r>
      <w:r w:rsidR="00FA160A" w:rsidRPr="00693B99">
        <w:rPr>
          <w:szCs w:val="22"/>
        </w:rPr>
        <w:t xml:space="preserve">requests for </w:t>
      </w:r>
      <w:r w:rsidR="00902E6A" w:rsidRPr="00693B99">
        <w:rPr>
          <w:szCs w:val="22"/>
        </w:rPr>
        <w:t>minor amendments to pending applications</w:t>
      </w:r>
      <w:r w:rsidR="008A7BB0" w:rsidRPr="00693B99">
        <w:rPr>
          <w:szCs w:val="22"/>
        </w:rPr>
        <w:t xml:space="preserve"> or minor modifications to construction permits</w:t>
      </w:r>
      <w:r w:rsidR="00902E6A" w:rsidRPr="00693B99">
        <w:rPr>
          <w:szCs w:val="22"/>
        </w:rPr>
        <w:t xml:space="preserve"> at any time so long as the </w:t>
      </w:r>
      <w:r w:rsidR="005C5354" w:rsidRPr="00693B99">
        <w:rPr>
          <w:szCs w:val="22"/>
        </w:rPr>
        <w:t xml:space="preserve">proposed </w:t>
      </w:r>
      <w:r w:rsidR="00902E6A" w:rsidRPr="00693B99">
        <w:rPr>
          <w:szCs w:val="22"/>
        </w:rPr>
        <w:t xml:space="preserve">facility meets the technical parameters </w:t>
      </w:r>
      <w:r w:rsidRPr="00693B99">
        <w:rPr>
          <w:szCs w:val="22"/>
        </w:rPr>
        <w:t xml:space="preserve">identified </w:t>
      </w:r>
      <w:r w:rsidR="00902E6A" w:rsidRPr="00693B99">
        <w:rPr>
          <w:szCs w:val="22"/>
        </w:rPr>
        <w:t xml:space="preserve">in the </w:t>
      </w:r>
      <w:r w:rsidR="00902E6A" w:rsidRPr="00693B99">
        <w:rPr>
          <w:i/>
          <w:szCs w:val="22"/>
        </w:rPr>
        <w:t>C</w:t>
      </w:r>
      <w:r w:rsidR="00290316" w:rsidRPr="00693B99">
        <w:rPr>
          <w:i/>
          <w:szCs w:val="22"/>
        </w:rPr>
        <w:t>losing and</w:t>
      </w:r>
      <w:r w:rsidR="00012DF5" w:rsidRPr="00693B99">
        <w:rPr>
          <w:i/>
          <w:szCs w:val="22"/>
        </w:rPr>
        <w:t xml:space="preserve"> </w:t>
      </w:r>
      <w:r w:rsidR="00290316" w:rsidRPr="00693B99">
        <w:rPr>
          <w:i/>
          <w:szCs w:val="22"/>
        </w:rPr>
        <w:t>Reassignment</w:t>
      </w:r>
      <w:r w:rsidR="00902E6A" w:rsidRPr="00693B99">
        <w:rPr>
          <w:i/>
          <w:szCs w:val="22"/>
        </w:rPr>
        <w:t xml:space="preserve"> P</w:t>
      </w:r>
      <w:r w:rsidR="00D32F28" w:rsidRPr="00693B99">
        <w:rPr>
          <w:i/>
          <w:szCs w:val="22"/>
        </w:rPr>
        <w:t>ublic Notice</w:t>
      </w:r>
      <w:r w:rsidR="00902E6A" w:rsidRPr="00693B99">
        <w:rPr>
          <w:szCs w:val="22"/>
        </w:rPr>
        <w:t xml:space="preserve"> or the allowable variance</w:t>
      </w:r>
      <w:r w:rsidR="00993CB4" w:rsidRPr="00693B99">
        <w:rPr>
          <w:szCs w:val="22"/>
        </w:rPr>
        <w:t xml:space="preserve"> discussed</w:t>
      </w:r>
      <w:r w:rsidR="00BA6C52" w:rsidRPr="00693B99">
        <w:rPr>
          <w:szCs w:val="22"/>
        </w:rPr>
        <w:t xml:space="preserve"> </w:t>
      </w:r>
      <w:r w:rsidR="00FC7FC1" w:rsidRPr="00693B99">
        <w:rPr>
          <w:szCs w:val="22"/>
        </w:rPr>
        <w:t xml:space="preserve">in Section III.A.1 </w:t>
      </w:r>
      <w:r w:rsidR="00BA6C52" w:rsidRPr="00693B99">
        <w:rPr>
          <w:szCs w:val="22"/>
        </w:rPr>
        <w:t>above.</w:t>
      </w:r>
      <w:r w:rsidR="00640348" w:rsidRPr="00693B99">
        <w:rPr>
          <w:szCs w:val="22"/>
        </w:rPr>
        <w:t xml:space="preserve"> </w:t>
      </w:r>
      <w:r w:rsidR="00D914B6" w:rsidRPr="00693B99">
        <w:rPr>
          <w:szCs w:val="22"/>
        </w:rPr>
        <w:t xml:space="preserve"> </w:t>
      </w:r>
      <w:r w:rsidR="00902E6A" w:rsidRPr="00693B99">
        <w:rPr>
          <w:szCs w:val="22"/>
        </w:rPr>
        <w:t xml:space="preserve">Applicants must file </w:t>
      </w:r>
      <w:r w:rsidR="00902D55" w:rsidRPr="00693B99">
        <w:rPr>
          <w:szCs w:val="22"/>
        </w:rPr>
        <w:t xml:space="preserve">amendments to pending applications and </w:t>
      </w:r>
      <w:r w:rsidR="00BA6C52" w:rsidRPr="00693B99">
        <w:rPr>
          <w:szCs w:val="22"/>
        </w:rPr>
        <w:t xml:space="preserve">applications for </w:t>
      </w:r>
      <w:r w:rsidR="00902D55" w:rsidRPr="00693B99">
        <w:rPr>
          <w:szCs w:val="22"/>
        </w:rPr>
        <w:t>minor modifications of construction permits</w:t>
      </w:r>
      <w:r w:rsidR="00902E6A" w:rsidRPr="00693B99">
        <w:rPr>
          <w:szCs w:val="22"/>
        </w:rPr>
        <w:t xml:space="preserve"> </w:t>
      </w:r>
      <w:r w:rsidR="00B72AE1" w:rsidRPr="00693B99">
        <w:rPr>
          <w:szCs w:val="22"/>
        </w:rPr>
        <w:t xml:space="preserve">electronically </w:t>
      </w:r>
      <w:r w:rsidR="0002538C" w:rsidRPr="00693B99">
        <w:rPr>
          <w:szCs w:val="22"/>
        </w:rPr>
        <w:t>via</w:t>
      </w:r>
      <w:r w:rsidR="00902E6A" w:rsidRPr="00693B99">
        <w:rPr>
          <w:szCs w:val="22"/>
        </w:rPr>
        <w:t xml:space="preserve"> LMS</w:t>
      </w:r>
      <w:r w:rsidR="00363B5B" w:rsidRPr="00693B99">
        <w:rPr>
          <w:szCs w:val="22"/>
        </w:rPr>
        <w:t xml:space="preserve"> </w:t>
      </w:r>
      <w:r w:rsidR="0002538C" w:rsidRPr="00693B99">
        <w:rPr>
          <w:szCs w:val="22"/>
        </w:rPr>
        <w:t xml:space="preserve">by </w:t>
      </w:r>
      <w:r w:rsidR="00363B5B" w:rsidRPr="00693B99">
        <w:rPr>
          <w:szCs w:val="22"/>
        </w:rPr>
        <w:t>follow</w:t>
      </w:r>
      <w:r w:rsidR="00902D55" w:rsidRPr="00693B99">
        <w:rPr>
          <w:szCs w:val="22"/>
        </w:rPr>
        <w:t>ing</w:t>
      </w:r>
      <w:r w:rsidR="00363B5B" w:rsidRPr="00693B99">
        <w:rPr>
          <w:szCs w:val="22"/>
        </w:rPr>
        <w:t xml:space="preserve"> the </w:t>
      </w:r>
      <w:r w:rsidR="00640348" w:rsidRPr="00693B99">
        <w:rPr>
          <w:szCs w:val="22"/>
        </w:rPr>
        <w:t xml:space="preserve">instructions </w:t>
      </w:r>
      <w:r w:rsidR="00363B5B" w:rsidRPr="00693B99">
        <w:rPr>
          <w:szCs w:val="22"/>
        </w:rPr>
        <w:t>in Appendix A.</w:t>
      </w:r>
    </w:p>
    <w:p w14:paraId="1EFEA637" w14:textId="77777777" w:rsidR="00DA3400" w:rsidRPr="00693B99" w:rsidRDefault="00DA3400" w:rsidP="001A3823">
      <w:pPr>
        <w:pStyle w:val="Heading3"/>
        <w:ind w:hanging="1440"/>
        <w:rPr>
          <w:szCs w:val="22"/>
        </w:rPr>
      </w:pPr>
      <w:bookmarkStart w:id="69" w:name="_Toc471732169"/>
      <w:bookmarkStart w:id="70" w:name="_Toc471732245"/>
      <w:bookmarkStart w:id="71" w:name="_Toc471732540"/>
      <w:bookmarkStart w:id="72" w:name="_Toc471732613"/>
      <w:bookmarkStart w:id="73" w:name="_Toc471732876"/>
      <w:bookmarkStart w:id="74" w:name="_Toc471734053"/>
      <w:r w:rsidRPr="00693B99">
        <w:rPr>
          <w:szCs w:val="22"/>
        </w:rPr>
        <w:t>Requests for Waiver of Construction Permit Filing Deadline</w:t>
      </w:r>
      <w:bookmarkEnd w:id="69"/>
      <w:bookmarkEnd w:id="70"/>
      <w:bookmarkEnd w:id="71"/>
      <w:bookmarkEnd w:id="72"/>
      <w:bookmarkEnd w:id="73"/>
      <w:bookmarkEnd w:id="74"/>
    </w:p>
    <w:p w14:paraId="2A3B48C0" w14:textId="3848D9D5" w:rsidR="00D66D9F" w:rsidRPr="00693B99" w:rsidRDefault="003E1E83" w:rsidP="00DA3400">
      <w:pPr>
        <w:numPr>
          <w:ilvl w:val="0"/>
          <w:numId w:val="2"/>
        </w:numPr>
        <w:tabs>
          <w:tab w:val="clear" w:pos="1080"/>
          <w:tab w:val="num" w:pos="1440"/>
        </w:tabs>
        <w:spacing w:after="120"/>
        <w:rPr>
          <w:szCs w:val="22"/>
        </w:rPr>
      </w:pPr>
      <w:r w:rsidRPr="00693B99">
        <w:rPr>
          <w:szCs w:val="22"/>
        </w:rPr>
        <w:t>Reassigned stations</w:t>
      </w:r>
      <w:r w:rsidR="00A160BF" w:rsidRPr="00693B99">
        <w:rPr>
          <w:szCs w:val="22"/>
          <w:vertAlign w:val="superscript"/>
        </w:rPr>
        <w:t xml:space="preserve"> </w:t>
      </w:r>
      <w:r w:rsidRPr="00693B99">
        <w:rPr>
          <w:szCs w:val="22"/>
        </w:rPr>
        <w:t>and band changing stations that determine they are unable to construct facilities that meet the technical parameters specified</w:t>
      </w:r>
      <w:r w:rsidR="00810D5B" w:rsidRPr="00693B99">
        <w:rPr>
          <w:szCs w:val="22"/>
        </w:rPr>
        <w:t xml:space="preserve"> </w:t>
      </w:r>
      <w:r w:rsidRPr="00693B99">
        <w:rPr>
          <w:szCs w:val="22"/>
        </w:rPr>
        <w:t xml:space="preserve">in the </w:t>
      </w:r>
      <w:r w:rsidRPr="00693B99">
        <w:rPr>
          <w:i/>
          <w:szCs w:val="22"/>
        </w:rPr>
        <w:t>Closing and Reassignment P</w:t>
      </w:r>
      <w:r w:rsidR="00D32F28" w:rsidRPr="00693B99">
        <w:rPr>
          <w:i/>
          <w:szCs w:val="22"/>
        </w:rPr>
        <w:t>ublic Notice</w:t>
      </w:r>
      <w:r w:rsidRPr="00693B99">
        <w:rPr>
          <w:szCs w:val="22"/>
        </w:rPr>
        <w:t xml:space="preserve"> within the permissible contour c</w:t>
      </w:r>
      <w:r w:rsidR="008A4907" w:rsidRPr="00693B99">
        <w:rPr>
          <w:szCs w:val="22"/>
        </w:rPr>
        <w:t xml:space="preserve">overage variance discussed </w:t>
      </w:r>
      <w:r w:rsidR="006918EC" w:rsidRPr="00693B99">
        <w:rPr>
          <w:szCs w:val="22"/>
        </w:rPr>
        <w:t>in Section III.A.1</w:t>
      </w:r>
      <w:r w:rsidR="00FC7FC1" w:rsidRPr="00693B99">
        <w:rPr>
          <w:szCs w:val="22"/>
        </w:rPr>
        <w:t>,</w:t>
      </w:r>
      <w:r w:rsidRPr="00693B99">
        <w:rPr>
          <w:szCs w:val="22"/>
        </w:rPr>
        <w:t xml:space="preserve"> as well as statio</w:t>
      </w:r>
      <w:r w:rsidR="008A4907" w:rsidRPr="00693B99">
        <w:rPr>
          <w:szCs w:val="22"/>
        </w:rPr>
        <w:t xml:space="preserve">ns unable to meet the 90-day </w:t>
      </w:r>
      <w:r w:rsidRPr="00693B99">
        <w:rPr>
          <w:szCs w:val="22"/>
        </w:rPr>
        <w:t>filing deadline, may seek a waiver of the deadline.</w:t>
      </w:r>
      <w:r w:rsidR="00C546FF" w:rsidRPr="00693B99">
        <w:rPr>
          <w:rStyle w:val="FootnoteReference"/>
        </w:rPr>
        <w:footnoteReference w:id="37"/>
      </w:r>
      <w:r w:rsidRPr="00693B99">
        <w:rPr>
          <w:szCs w:val="22"/>
        </w:rPr>
        <w:t xml:space="preserve">  </w:t>
      </w:r>
      <w:r w:rsidR="00C81FAF" w:rsidRPr="00693B99">
        <w:rPr>
          <w:szCs w:val="22"/>
        </w:rPr>
        <w:t>For stations unable to construct, r</w:t>
      </w:r>
      <w:r w:rsidRPr="00693B99">
        <w:rPr>
          <w:szCs w:val="22"/>
        </w:rPr>
        <w:t>eque</w:t>
      </w:r>
      <w:r w:rsidR="00873A60" w:rsidRPr="00693B99">
        <w:rPr>
          <w:szCs w:val="22"/>
        </w:rPr>
        <w:t>sts for waiver of the 90-day</w:t>
      </w:r>
      <w:r w:rsidRPr="00693B99">
        <w:rPr>
          <w:szCs w:val="22"/>
        </w:rPr>
        <w:t xml:space="preserve"> filing deadline must be filed no later than </w:t>
      </w:r>
      <w:r w:rsidR="008A4907" w:rsidRPr="00693B99">
        <w:rPr>
          <w:szCs w:val="22"/>
        </w:rPr>
        <w:t>30 days prior to the</w:t>
      </w:r>
      <w:r w:rsidRPr="00693B99">
        <w:rPr>
          <w:szCs w:val="22"/>
        </w:rPr>
        <w:t xml:space="preserve"> deadline.</w:t>
      </w:r>
      <w:r w:rsidRPr="00693B99">
        <w:rPr>
          <w:szCs w:val="22"/>
          <w:vertAlign w:val="superscript"/>
        </w:rPr>
        <w:footnoteReference w:id="38"/>
      </w:r>
      <w:r w:rsidRPr="00693B99">
        <w:rPr>
          <w:szCs w:val="22"/>
        </w:rPr>
        <w:t xml:space="preserve">  Stations must submit their waiver requests in the form of a request for </w:t>
      </w:r>
      <w:r w:rsidR="007831AA" w:rsidRPr="00693B99">
        <w:rPr>
          <w:szCs w:val="22"/>
        </w:rPr>
        <w:t xml:space="preserve">a </w:t>
      </w:r>
      <w:r w:rsidR="008A4907" w:rsidRPr="00693B99">
        <w:rPr>
          <w:szCs w:val="22"/>
        </w:rPr>
        <w:t xml:space="preserve">legal </w:t>
      </w:r>
      <w:r w:rsidRPr="00693B99">
        <w:rPr>
          <w:szCs w:val="22"/>
        </w:rPr>
        <w:t xml:space="preserve">STA </w:t>
      </w:r>
      <w:r w:rsidR="008A4907" w:rsidRPr="00693B99">
        <w:rPr>
          <w:szCs w:val="22"/>
        </w:rPr>
        <w:t xml:space="preserve">via </w:t>
      </w:r>
      <w:r w:rsidRPr="00693B99">
        <w:rPr>
          <w:szCs w:val="22"/>
        </w:rPr>
        <w:t>LMS</w:t>
      </w:r>
      <w:r w:rsidR="00F67C0B" w:rsidRPr="00693B99">
        <w:rPr>
          <w:szCs w:val="22"/>
        </w:rPr>
        <w:t>,</w:t>
      </w:r>
      <w:r w:rsidRPr="00693B99">
        <w:rPr>
          <w:szCs w:val="22"/>
        </w:rPr>
        <w:t xml:space="preserve"> </w:t>
      </w:r>
      <w:r w:rsidR="00F67C0B" w:rsidRPr="00693B99">
        <w:rPr>
          <w:szCs w:val="22"/>
        </w:rPr>
        <w:t>in accordance with</w:t>
      </w:r>
      <w:r w:rsidRPr="00693B99">
        <w:rPr>
          <w:szCs w:val="22"/>
        </w:rPr>
        <w:t xml:space="preserve"> the instructions contained in Appendix A.  Stations should also send an electronic copy of the request via email to: </w:t>
      </w:r>
      <w:hyperlink r:id="rId8" w:history="1">
        <w:r w:rsidR="0064268C" w:rsidRPr="0011497D">
          <w:rPr>
            <w:rStyle w:val="Hyperlink"/>
            <w:szCs w:val="22"/>
          </w:rPr>
          <w:t>IATransitionlicensing@fcc.gov</w:t>
        </w:r>
      </w:hyperlink>
      <w:r w:rsidRPr="00693B99">
        <w:rPr>
          <w:szCs w:val="22"/>
        </w:rPr>
        <w:t>.  The staff will notify each requesting station of th</w:t>
      </w:r>
      <w:r w:rsidR="0047751C" w:rsidRPr="00693B99">
        <w:rPr>
          <w:szCs w:val="22"/>
        </w:rPr>
        <w:t>e grant or denial of a waiver</w:t>
      </w:r>
      <w:r w:rsidR="005516E4" w:rsidRPr="00693B99">
        <w:rPr>
          <w:szCs w:val="22"/>
        </w:rPr>
        <w:t xml:space="preserve">.  </w:t>
      </w:r>
      <w:r w:rsidR="00305D5F" w:rsidRPr="00693B99">
        <w:rPr>
          <w:szCs w:val="22"/>
        </w:rPr>
        <w:t xml:space="preserve">A station whose request is denied must submit its application </w:t>
      </w:r>
      <w:r w:rsidR="00FC7FC1" w:rsidRPr="00693B99">
        <w:rPr>
          <w:szCs w:val="22"/>
        </w:rPr>
        <w:t xml:space="preserve">no later than </w:t>
      </w:r>
      <w:r w:rsidR="00305D5F" w:rsidRPr="00693B99">
        <w:rPr>
          <w:szCs w:val="22"/>
        </w:rPr>
        <w:t xml:space="preserve">the 90-day deadline.  Failure to do so may result in </w:t>
      </w:r>
      <w:r w:rsidR="00F67C0B" w:rsidRPr="00693B99">
        <w:rPr>
          <w:szCs w:val="22"/>
        </w:rPr>
        <w:t xml:space="preserve">the </w:t>
      </w:r>
      <w:r w:rsidR="00305D5F" w:rsidRPr="00693B99">
        <w:rPr>
          <w:szCs w:val="22"/>
        </w:rPr>
        <w:t>imposition of a forfeiture or other sanctions.</w:t>
      </w:r>
      <w:r w:rsidR="00C546FF" w:rsidRPr="00693B99">
        <w:rPr>
          <w:szCs w:val="22"/>
          <w:vertAlign w:val="superscript"/>
        </w:rPr>
        <w:footnoteReference w:id="39"/>
      </w:r>
    </w:p>
    <w:p w14:paraId="3F62AD24" w14:textId="0C54F45E" w:rsidR="00D66D9F" w:rsidRPr="00693B99" w:rsidRDefault="009607DD" w:rsidP="00D66D9F">
      <w:pPr>
        <w:numPr>
          <w:ilvl w:val="0"/>
          <w:numId w:val="2"/>
        </w:numPr>
        <w:tabs>
          <w:tab w:val="clear" w:pos="1080"/>
          <w:tab w:val="num" w:pos="1440"/>
        </w:tabs>
        <w:spacing w:after="120"/>
        <w:rPr>
          <w:szCs w:val="22"/>
        </w:rPr>
      </w:pPr>
      <w:r w:rsidRPr="00693B99">
        <w:rPr>
          <w:szCs w:val="22"/>
        </w:rPr>
        <w:t>We</w:t>
      </w:r>
      <w:r w:rsidR="003E1E83" w:rsidRPr="00693B99">
        <w:rPr>
          <w:szCs w:val="22"/>
        </w:rPr>
        <w:t xml:space="preserve"> will </w:t>
      </w:r>
      <w:r w:rsidR="003E1E83" w:rsidRPr="00693B99">
        <w:rPr>
          <w:bCs/>
          <w:szCs w:val="22"/>
        </w:rPr>
        <w:t>look most favorably on requests demonstrat</w:t>
      </w:r>
      <w:r w:rsidR="00B11AE5" w:rsidRPr="00693B99">
        <w:rPr>
          <w:bCs/>
          <w:szCs w:val="22"/>
        </w:rPr>
        <w:t>ing</w:t>
      </w:r>
      <w:r w:rsidR="003E1E83" w:rsidRPr="00693B99">
        <w:rPr>
          <w:szCs w:val="22"/>
        </w:rPr>
        <w:t xml:space="preserve"> that, due to extraordinary technical or legal issues beyond </w:t>
      </w:r>
      <w:r w:rsidR="00B11AE5" w:rsidRPr="00693B99">
        <w:rPr>
          <w:szCs w:val="22"/>
        </w:rPr>
        <w:t>the station’</w:t>
      </w:r>
      <w:r w:rsidR="003E1E83" w:rsidRPr="00693B99">
        <w:rPr>
          <w:szCs w:val="22"/>
        </w:rPr>
        <w:t xml:space="preserve">s control, it is impossible to construct the facility specified in the </w:t>
      </w:r>
      <w:r w:rsidR="003E1E83" w:rsidRPr="00693B99">
        <w:rPr>
          <w:i/>
          <w:szCs w:val="22"/>
        </w:rPr>
        <w:t>Closing and Reassignment P</w:t>
      </w:r>
      <w:r w:rsidR="00D32F28" w:rsidRPr="00693B99">
        <w:rPr>
          <w:i/>
          <w:szCs w:val="22"/>
        </w:rPr>
        <w:t>ublic Notice</w:t>
      </w:r>
      <w:r w:rsidR="003E1E83" w:rsidRPr="00693B99">
        <w:rPr>
          <w:szCs w:val="22"/>
        </w:rPr>
        <w:t>.</w:t>
      </w:r>
      <w:r w:rsidR="003E1E83" w:rsidRPr="00693B99">
        <w:rPr>
          <w:szCs w:val="22"/>
          <w:vertAlign w:val="superscript"/>
        </w:rPr>
        <w:footnoteReference w:id="40"/>
      </w:r>
      <w:r w:rsidR="003E1E83" w:rsidRPr="00693B99">
        <w:rPr>
          <w:szCs w:val="22"/>
        </w:rPr>
        <w:t xml:space="preserve">  </w:t>
      </w:r>
      <w:r w:rsidR="003E1E83" w:rsidRPr="00693B99" w:rsidDel="00662EC7">
        <w:rPr>
          <w:szCs w:val="22"/>
        </w:rPr>
        <w:t xml:space="preserve">This could occur, for example, if a station is unable to construct </w:t>
      </w:r>
      <w:r w:rsidR="003E1E83" w:rsidRPr="00693B99">
        <w:rPr>
          <w:szCs w:val="22"/>
        </w:rPr>
        <w:t>a</w:t>
      </w:r>
      <w:r w:rsidR="00B11AE5" w:rsidRPr="00693B99">
        <w:rPr>
          <w:szCs w:val="22"/>
        </w:rPr>
        <w:t xml:space="preserve"> compliant</w:t>
      </w:r>
      <w:r w:rsidR="003E1E83" w:rsidRPr="00693B99" w:rsidDel="00662EC7">
        <w:rPr>
          <w:szCs w:val="22"/>
        </w:rPr>
        <w:t xml:space="preserve"> facility</w:t>
      </w:r>
      <w:r w:rsidR="003E1E83" w:rsidRPr="00693B99">
        <w:rPr>
          <w:szCs w:val="22"/>
        </w:rPr>
        <w:t xml:space="preserve"> </w:t>
      </w:r>
      <w:r w:rsidR="003E1E83" w:rsidRPr="00693B99" w:rsidDel="00662EC7">
        <w:rPr>
          <w:szCs w:val="22"/>
        </w:rPr>
        <w:t xml:space="preserve">on </w:t>
      </w:r>
      <w:r w:rsidR="003E1E83" w:rsidRPr="00693B99">
        <w:rPr>
          <w:szCs w:val="22"/>
        </w:rPr>
        <w:t>its current</w:t>
      </w:r>
      <w:r w:rsidR="003E1E83" w:rsidRPr="00693B99" w:rsidDel="00662EC7">
        <w:rPr>
          <w:szCs w:val="22"/>
        </w:rPr>
        <w:t xml:space="preserve"> tower</w:t>
      </w:r>
      <w:r w:rsidR="003E1E83" w:rsidRPr="00693B99">
        <w:rPr>
          <w:szCs w:val="22"/>
        </w:rPr>
        <w:t xml:space="preserve"> and a replacement tower cannot be constructed from which the station would be able to meet the </w:t>
      </w:r>
      <w:r w:rsidR="00B11AE5" w:rsidRPr="00693B99">
        <w:rPr>
          <w:szCs w:val="22"/>
        </w:rPr>
        <w:t xml:space="preserve">specified </w:t>
      </w:r>
      <w:r w:rsidR="003E1E83" w:rsidRPr="00693B99">
        <w:rPr>
          <w:szCs w:val="22"/>
        </w:rPr>
        <w:t>technical parameters.</w:t>
      </w:r>
      <w:r w:rsidR="003E1E83" w:rsidRPr="00693B99">
        <w:rPr>
          <w:rStyle w:val="FootnoteReference"/>
        </w:rPr>
        <w:footnoteReference w:id="41"/>
      </w:r>
      <w:r w:rsidR="003E1E83" w:rsidRPr="00693B99">
        <w:rPr>
          <w:szCs w:val="22"/>
        </w:rPr>
        <w:t xml:space="preserve">  A station </w:t>
      </w:r>
      <w:r w:rsidR="00B11AE5" w:rsidRPr="00693B99">
        <w:rPr>
          <w:szCs w:val="22"/>
        </w:rPr>
        <w:t>granted a waiver under</w:t>
      </w:r>
      <w:r w:rsidR="003E1E83" w:rsidRPr="00693B99">
        <w:rPr>
          <w:szCs w:val="22"/>
        </w:rPr>
        <w:t xml:space="preserve"> this “unable to construct” standard will be allowed to file </w:t>
      </w:r>
      <w:r w:rsidR="005C5354" w:rsidRPr="00693B99">
        <w:rPr>
          <w:szCs w:val="22"/>
        </w:rPr>
        <w:t xml:space="preserve">an </w:t>
      </w:r>
      <w:r w:rsidR="003E1E83" w:rsidRPr="00693B99">
        <w:rPr>
          <w:szCs w:val="22"/>
        </w:rPr>
        <w:t>application for a construction permit for an alternate channel or expanded facilities during the first priority filing window described below.</w:t>
      </w:r>
      <w:r w:rsidR="003E1E83" w:rsidRPr="00693B99">
        <w:rPr>
          <w:szCs w:val="22"/>
          <w:vertAlign w:val="superscript"/>
        </w:rPr>
        <w:footnoteReference w:id="42"/>
      </w:r>
    </w:p>
    <w:p w14:paraId="47990B2E" w14:textId="77777777" w:rsidR="00D66D9F" w:rsidRPr="00693B99" w:rsidRDefault="003E1E83" w:rsidP="00D66D9F">
      <w:pPr>
        <w:numPr>
          <w:ilvl w:val="0"/>
          <w:numId w:val="2"/>
        </w:numPr>
        <w:tabs>
          <w:tab w:val="clear" w:pos="1080"/>
          <w:tab w:val="num" w:pos="1440"/>
        </w:tabs>
        <w:spacing w:after="120"/>
        <w:rPr>
          <w:szCs w:val="22"/>
        </w:rPr>
      </w:pPr>
      <w:r w:rsidRPr="00693B99">
        <w:rPr>
          <w:szCs w:val="22"/>
        </w:rPr>
        <w:t xml:space="preserve">We emphasize that any station that is granted a waiver of the construction permit application deadline </w:t>
      </w:r>
      <w:r w:rsidR="005608F6" w:rsidRPr="00693B99">
        <w:rPr>
          <w:szCs w:val="22"/>
        </w:rPr>
        <w:t xml:space="preserve">nonetheless will be required to </w:t>
      </w:r>
      <w:r w:rsidR="006918EC" w:rsidRPr="00693B99">
        <w:rPr>
          <w:szCs w:val="22"/>
        </w:rPr>
        <w:t xml:space="preserve">meet its </w:t>
      </w:r>
      <w:r w:rsidR="00C13698" w:rsidRPr="00693B99">
        <w:rPr>
          <w:szCs w:val="22"/>
        </w:rPr>
        <w:t>construction deadline</w:t>
      </w:r>
      <w:r w:rsidR="005608F6" w:rsidRPr="00693B99">
        <w:rPr>
          <w:szCs w:val="22"/>
        </w:rPr>
        <w:t>.</w:t>
      </w:r>
      <w:r w:rsidRPr="00693B99">
        <w:rPr>
          <w:szCs w:val="22"/>
          <w:vertAlign w:val="superscript"/>
        </w:rPr>
        <w:footnoteReference w:id="43"/>
      </w:r>
    </w:p>
    <w:p w14:paraId="554EBA07" w14:textId="77777777" w:rsidR="00DA3400" w:rsidRPr="00693B99" w:rsidRDefault="00DA3400" w:rsidP="00DA3400">
      <w:pPr>
        <w:pStyle w:val="Heading2"/>
        <w:rPr>
          <w:szCs w:val="22"/>
        </w:rPr>
      </w:pPr>
      <w:bookmarkStart w:id="75" w:name="_Toc471732170"/>
      <w:bookmarkStart w:id="76" w:name="_Toc471732246"/>
      <w:bookmarkStart w:id="77" w:name="_Toc471732541"/>
      <w:bookmarkStart w:id="78" w:name="_Toc471732614"/>
      <w:bookmarkStart w:id="79" w:name="_Toc471732877"/>
      <w:bookmarkStart w:id="80" w:name="_Toc471734054"/>
      <w:r w:rsidRPr="00693B99">
        <w:rPr>
          <w:szCs w:val="22"/>
        </w:rPr>
        <w:t>Alternate Channel/Expanded Facilities Filing Windows</w:t>
      </w:r>
      <w:bookmarkEnd w:id="75"/>
      <w:bookmarkEnd w:id="76"/>
      <w:bookmarkEnd w:id="77"/>
      <w:bookmarkEnd w:id="78"/>
      <w:bookmarkEnd w:id="79"/>
      <w:bookmarkEnd w:id="80"/>
    </w:p>
    <w:p w14:paraId="484381F9" w14:textId="77777777" w:rsidR="0069658A" w:rsidRPr="00693B99" w:rsidRDefault="0069658A" w:rsidP="00DA3400">
      <w:pPr>
        <w:numPr>
          <w:ilvl w:val="0"/>
          <w:numId w:val="2"/>
        </w:numPr>
        <w:tabs>
          <w:tab w:val="clear" w:pos="1080"/>
          <w:tab w:val="num" w:pos="1440"/>
        </w:tabs>
        <w:spacing w:after="120"/>
        <w:rPr>
          <w:szCs w:val="22"/>
        </w:rPr>
      </w:pPr>
      <w:r w:rsidRPr="00693B99">
        <w:rPr>
          <w:snapToGrid/>
          <w:szCs w:val="22"/>
        </w:rPr>
        <w:t>After the staff substantially completes its processing of the construction permit applications</w:t>
      </w:r>
      <w:r w:rsidR="003F2D5A" w:rsidRPr="00693B99">
        <w:rPr>
          <w:snapToGrid/>
          <w:szCs w:val="22"/>
        </w:rPr>
        <w:t xml:space="preserve"> filed </w:t>
      </w:r>
      <w:r w:rsidR="003050BF" w:rsidRPr="00693B99">
        <w:rPr>
          <w:snapToGrid/>
          <w:szCs w:val="22"/>
        </w:rPr>
        <w:t xml:space="preserve">during </w:t>
      </w:r>
      <w:r w:rsidR="00690695" w:rsidRPr="00693B99">
        <w:rPr>
          <w:snapToGrid/>
          <w:szCs w:val="22"/>
        </w:rPr>
        <w:t>the initial 90-day window</w:t>
      </w:r>
      <w:r w:rsidR="00E651B4" w:rsidRPr="00693B99">
        <w:rPr>
          <w:snapToGrid/>
          <w:szCs w:val="22"/>
        </w:rPr>
        <w:t>, the Media Bureau will issue</w:t>
      </w:r>
      <w:r w:rsidRPr="00693B99">
        <w:rPr>
          <w:snapToGrid/>
          <w:szCs w:val="22"/>
        </w:rPr>
        <w:t xml:space="preserve"> </w:t>
      </w:r>
      <w:r w:rsidR="00D914B6" w:rsidRPr="00693B99">
        <w:rPr>
          <w:snapToGrid/>
          <w:szCs w:val="22"/>
        </w:rPr>
        <w:t>p</w:t>
      </w:r>
      <w:r w:rsidRPr="00693B99">
        <w:rPr>
          <w:snapToGrid/>
          <w:szCs w:val="22"/>
        </w:rPr>
        <w:t xml:space="preserve">ublic </w:t>
      </w:r>
      <w:r w:rsidR="00D914B6" w:rsidRPr="00693B99">
        <w:rPr>
          <w:snapToGrid/>
          <w:szCs w:val="22"/>
        </w:rPr>
        <w:t>n</w:t>
      </w:r>
      <w:r w:rsidRPr="00693B99">
        <w:rPr>
          <w:snapToGrid/>
          <w:szCs w:val="22"/>
        </w:rPr>
        <w:t>otice</w:t>
      </w:r>
      <w:r w:rsidR="004342C3" w:rsidRPr="00693B99">
        <w:rPr>
          <w:snapToGrid/>
          <w:szCs w:val="22"/>
        </w:rPr>
        <w:t>s</w:t>
      </w:r>
      <w:r w:rsidRPr="00693B99">
        <w:rPr>
          <w:snapToGrid/>
          <w:szCs w:val="22"/>
        </w:rPr>
        <w:t xml:space="preserve"> announcing two</w:t>
      </w:r>
      <w:r w:rsidR="00F67C0B" w:rsidRPr="00693B99">
        <w:rPr>
          <w:snapToGrid/>
          <w:szCs w:val="22"/>
        </w:rPr>
        <w:t>,</w:t>
      </w:r>
      <w:r w:rsidRPr="00693B99">
        <w:rPr>
          <w:snapToGrid/>
          <w:szCs w:val="22"/>
        </w:rPr>
        <w:t xml:space="preserve"> </w:t>
      </w:r>
      <w:r w:rsidR="00873A60" w:rsidRPr="00693B99">
        <w:rPr>
          <w:snapToGrid/>
          <w:szCs w:val="22"/>
        </w:rPr>
        <w:t>30</w:t>
      </w:r>
      <w:r w:rsidRPr="00693B99">
        <w:rPr>
          <w:snapToGrid/>
          <w:szCs w:val="22"/>
        </w:rPr>
        <w:t>-day fi</w:t>
      </w:r>
      <w:r w:rsidR="006B4399" w:rsidRPr="00693B99">
        <w:rPr>
          <w:snapToGrid/>
          <w:szCs w:val="22"/>
        </w:rPr>
        <w:t xml:space="preserve">ling windows </w:t>
      </w:r>
      <w:r w:rsidR="00FC7FC1" w:rsidRPr="00693B99">
        <w:rPr>
          <w:snapToGrid/>
          <w:szCs w:val="22"/>
        </w:rPr>
        <w:t xml:space="preserve">for stations </w:t>
      </w:r>
      <w:r w:rsidRPr="00693B99">
        <w:rPr>
          <w:snapToGrid/>
          <w:szCs w:val="22"/>
        </w:rPr>
        <w:t>to seek alternate channels and</w:t>
      </w:r>
      <w:r w:rsidR="0087779A" w:rsidRPr="00693B99">
        <w:rPr>
          <w:snapToGrid/>
          <w:szCs w:val="22"/>
        </w:rPr>
        <w:t>/or</w:t>
      </w:r>
      <w:r w:rsidRPr="00693B99">
        <w:rPr>
          <w:snapToGrid/>
          <w:szCs w:val="22"/>
        </w:rPr>
        <w:t xml:space="preserve"> expanded facilities from those set forth in the </w:t>
      </w:r>
      <w:r w:rsidRPr="00693B99">
        <w:rPr>
          <w:i/>
          <w:snapToGrid/>
          <w:szCs w:val="22"/>
        </w:rPr>
        <w:t>C</w:t>
      </w:r>
      <w:r w:rsidR="00290316" w:rsidRPr="00693B99">
        <w:rPr>
          <w:i/>
          <w:snapToGrid/>
          <w:szCs w:val="22"/>
        </w:rPr>
        <w:t>losing and Reassignment</w:t>
      </w:r>
      <w:r w:rsidRPr="00693B99">
        <w:rPr>
          <w:i/>
          <w:snapToGrid/>
          <w:szCs w:val="22"/>
        </w:rPr>
        <w:t xml:space="preserve"> P</w:t>
      </w:r>
      <w:r w:rsidR="00D32F28" w:rsidRPr="00693B99">
        <w:rPr>
          <w:i/>
          <w:snapToGrid/>
          <w:szCs w:val="22"/>
        </w:rPr>
        <w:t>ublic Notice</w:t>
      </w:r>
      <w:r w:rsidRPr="00693B99">
        <w:rPr>
          <w:snapToGrid/>
          <w:szCs w:val="22"/>
        </w:rPr>
        <w:t>.  These filing windows will run consec</w:t>
      </w:r>
      <w:r w:rsidR="004B08C2" w:rsidRPr="00693B99">
        <w:rPr>
          <w:snapToGrid/>
          <w:szCs w:val="22"/>
        </w:rPr>
        <w:t>utively</w:t>
      </w:r>
      <w:r w:rsidR="00FC7FC1" w:rsidRPr="00693B99">
        <w:rPr>
          <w:snapToGrid/>
          <w:szCs w:val="22"/>
        </w:rPr>
        <w:t>,</w:t>
      </w:r>
      <w:r w:rsidR="002E2F88" w:rsidRPr="00693B99">
        <w:rPr>
          <w:snapToGrid/>
          <w:szCs w:val="22"/>
        </w:rPr>
        <w:t xml:space="preserve"> with a brief period in between.  </w:t>
      </w:r>
      <w:r w:rsidR="004B08C2" w:rsidRPr="00693B99">
        <w:rPr>
          <w:snapToGrid/>
          <w:szCs w:val="22"/>
        </w:rPr>
        <w:t xml:space="preserve">Filings in the first </w:t>
      </w:r>
      <w:r w:rsidR="0087779A" w:rsidRPr="00693B99">
        <w:rPr>
          <w:snapToGrid/>
          <w:szCs w:val="22"/>
        </w:rPr>
        <w:t>“</w:t>
      </w:r>
      <w:r w:rsidR="004B08C2" w:rsidRPr="00693B99">
        <w:rPr>
          <w:snapToGrid/>
          <w:szCs w:val="22"/>
        </w:rPr>
        <w:t>priority</w:t>
      </w:r>
      <w:r w:rsidR="0087779A" w:rsidRPr="00693B99">
        <w:rPr>
          <w:snapToGrid/>
          <w:szCs w:val="22"/>
        </w:rPr>
        <w:t>”</w:t>
      </w:r>
      <w:r w:rsidRPr="00693B99">
        <w:rPr>
          <w:snapToGrid/>
          <w:szCs w:val="22"/>
        </w:rPr>
        <w:t xml:space="preserve"> filing window will be limited to</w:t>
      </w:r>
      <w:r w:rsidR="00363B5B" w:rsidRPr="00693B99">
        <w:rPr>
          <w:snapToGrid/>
          <w:szCs w:val="22"/>
        </w:rPr>
        <w:t>:</w:t>
      </w:r>
      <w:r w:rsidRPr="00693B99">
        <w:rPr>
          <w:snapToGrid/>
          <w:szCs w:val="22"/>
        </w:rPr>
        <w:t xml:space="preserve"> </w:t>
      </w:r>
      <w:r w:rsidR="00974440" w:rsidRPr="00693B99">
        <w:rPr>
          <w:snapToGrid/>
          <w:szCs w:val="22"/>
        </w:rPr>
        <w:t xml:space="preserve">(1) </w:t>
      </w:r>
      <w:r w:rsidR="006B4399" w:rsidRPr="00693B99">
        <w:rPr>
          <w:snapToGrid/>
          <w:szCs w:val="22"/>
        </w:rPr>
        <w:t xml:space="preserve">reassigned stations and band changing </w:t>
      </w:r>
      <w:r w:rsidRPr="00693B99">
        <w:rPr>
          <w:snapToGrid/>
          <w:szCs w:val="22"/>
        </w:rPr>
        <w:t xml:space="preserve">stations “unable to construct” </w:t>
      </w:r>
      <w:r w:rsidR="00933BAF" w:rsidRPr="00693B99">
        <w:rPr>
          <w:szCs w:val="22"/>
        </w:rPr>
        <w:t xml:space="preserve">facilities that meet the technical parameters specified in </w:t>
      </w:r>
      <w:r w:rsidRPr="00693B99">
        <w:rPr>
          <w:snapToGrid/>
          <w:szCs w:val="22"/>
        </w:rPr>
        <w:t xml:space="preserve">the </w:t>
      </w:r>
      <w:r w:rsidRPr="00693B99">
        <w:rPr>
          <w:i/>
          <w:snapToGrid/>
          <w:szCs w:val="22"/>
        </w:rPr>
        <w:t>C</w:t>
      </w:r>
      <w:r w:rsidR="00290316" w:rsidRPr="00693B99">
        <w:rPr>
          <w:i/>
          <w:snapToGrid/>
          <w:szCs w:val="22"/>
        </w:rPr>
        <w:t>losing and Reassignment</w:t>
      </w:r>
      <w:r w:rsidRPr="00693B99">
        <w:rPr>
          <w:i/>
          <w:snapToGrid/>
          <w:szCs w:val="22"/>
        </w:rPr>
        <w:t xml:space="preserve"> P</w:t>
      </w:r>
      <w:r w:rsidR="00D32F28" w:rsidRPr="00693B99">
        <w:rPr>
          <w:i/>
          <w:snapToGrid/>
          <w:szCs w:val="22"/>
        </w:rPr>
        <w:t>ublic Notice</w:t>
      </w:r>
      <w:r w:rsidR="00AA4413" w:rsidRPr="00693B99">
        <w:rPr>
          <w:snapToGrid/>
          <w:szCs w:val="22"/>
        </w:rPr>
        <w:t xml:space="preserve">; (2) </w:t>
      </w:r>
      <w:r w:rsidR="006B4399" w:rsidRPr="00693B99">
        <w:rPr>
          <w:snapToGrid/>
          <w:kern w:val="0"/>
          <w:szCs w:val="22"/>
        </w:rPr>
        <w:t>any</w:t>
      </w:r>
      <w:r w:rsidR="00AA26F7" w:rsidRPr="00693B99">
        <w:rPr>
          <w:szCs w:val="22"/>
        </w:rPr>
        <w:t xml:space="preserve"> </w:t>
      </w:r>
      <w:r w:rsidR="00AA26F7" w:rsidRPr="00693B99">
        <w:rPr>
          <w:snapToGrid/>
          <w:kern w:val="0"/>
          <w:szCs w:val="22"/>
        </w:rPr>
        <w:t>reassigned station, band changing station, or non-reassigned</w:t>
      </w:r>
      <w:r w:rsidR="006B4399" w:rsidRPr="00693B99">
        <w:rPr>
          <w:snapToGrid/>
          <w:kern w:val="0"/>
          <w:szCs w:val="22"/>
        </w:rPr>
        <w:t xml:space="preserve"> station entitled to protection in the repacking process that is</w:t>
      </w:r>
      <w:r w:rsidRPr="00693B99">
        <w:rPr>
          <w:snapToGrid/>
          <w:szCs w:val="22"/>
        </w:rPr>
        <w:t xml:space="preserve"> predicted to experience a loss in </w:t>
      </w:r>
      <w:r w:rsidR="00933BAF" w:rsidRPr="00693B99">
        <w:rPr>
          <w:snapToGrid/>
          <w:szCs w:val="22"/>
        </w:rPr>
        <w:t xml:space="preserve">population served </w:t>
      </w:r>
      <w:r w:rsidRPr="00693B99">
        <w:rPr>
          <w:snapToGrid/>
          <w:szCs w:val="22"/>
        </w:rPr>
        <w:t>in excess of one percent</w:t>
      </w:r>
      <w:r w:rsidR="005E468A" w:rsidRPr="00693B99">
        <w:rPr>
          <w:snapToGrid/>
          <w:szCs w:val="22"/>
        </w:rPr>
        <w:t xml:space="preserve"> as a result of the repacking process</w:t>
      </w:r>
      <w:r w:rsidR="00974440" w:rsidRPr="00693B99">
        <w:rPr>
          <w:snapToGrid/>
          <w:szCs w:val="22"/>
        </w:rPr>
        <w:t xml:space="preserve">; </w:t>
      </w:r>
      <w:r w:rsidRPr="00693B99">
        <w:rPr>
          <w:snapToGrid/>
          <w:szCs w:val="22"/>
        </w:rPr>
        <w:t xml:space="preserve">and </w:t>
      </w:r>
      <w:r w:rsidR="00974440" w:rsidRPr="00693B99">
        <w:rPr>
          <w:snapToGrid/>
          <w:szCs w:val="22"/>
        </w:rPr>
        <w:t>(3)</w:t>
      </w:r>
      <w:r w:rsidRPr="00693B99">
        <w:rPr>
          <w:snapToGrid/>
          <w:szCs w:val="22"/>
        </w:rPr>
        <w:t xml:space="preserve"> Class A stations that did not receive protection in the repacking process and </w:t>
      </w:r>
      <w:r w:rsidR="00902D55" w:rsidRPr="00693B99">
        <w:rPr>
          <w:snapToGrid/>
          <w:szCs w:val="22"/>
        </w:rPr>
        <w:t>were</w:t>
      </w:r>
      <w:r w:rsidRPr="00693B99">
        <w:rPr>
          <w:snapToGrid/>
          <w:szCs w:val="22"/>
        </w:rPr>
        <w:t xml:space="preserve"> displaced</w:t>
      </w:r>
      <w:r w:rsidR="00902D55" w:rsidRPr="00693B99">
        <w:rPr>
          <w:snapToGrid/>
          <w:szCs w:val="22"/>
        </w:rPr>
        <w:t xml:space="preserve"> during the repacking process</w:t>
      </w:r>
      <w:r w:rsidRPr="00693B99">
        <w:rPr>
          <w:snapToGrid/>
          <w:szCs w:val="22"/>
        </w:rPr>
        <w:t>.</w:t>
      </w:r>
      <w:r w:rsidR="00CA6D21" w:rsidRPr="00693B99">
        <w:rPr>
          <w:rStyle w:val="FootnoteReference"/>
          <w:snapToGrid/>
        </w:rPr>
        <w:t xml:space="preserve"> </w:t>
      </w:r>
      <w:r w:rsidR="00CA6D21" w:rsidRPr="00693B99">
        <w:rPr>
          <w:rStyle w:val="FootnoteReference"/>
          <w:snapToGrid/>
        </w:rPr>
        <w:footnoteReference w:id="44"/>
      </w:r>
      <w:r w:rsidRPr="00693B99">
        <w:rPr>
          <w:snapToGrid/>
          <w:szCs w:val="22"/>
        </w:rPr>
        <w:t xml:space="preserve">  All </w:t>
      </w:r>
      <w:r w:rsidR="002E2F88" w:rsidRPr="00693B99">
        <w:rPr>
          <w:snapToGrid/>
          <w:szCs w:val="22"/>
        </w:rPr>
        <w:t xml:space="preserve">other </w:t>
      </w:r>
      <w:r w:rsidRPr="00693B99">
        <w:rPr>
          <w:snapToGrid/>
          <w:szCs w:val="22"/>
        </w:rPr>
        <w:t>reassigned stations and band changing stations will have an opportunity to file in the second window.</w:t>
      </w:r>
    </w:p>
    <w:p w14:paraId="60DE08B8" w14:textId="77777777" w:rsidR="00D66D9F" w:rsidRPr="00693B99" w:rsidRDefault="00D66D9F" w:rsidP="00C80FF3">
      <w:pPr>
        <w:pStyle w:val="Heading3"/>
        <w:ind w:hanging="1440"/>
        <w:rPr>
          <w:szCs w:val="22"/>
        </w:rPr>
      </w:pPr>
      <w:bookmarkStart w:id="81" w:name="_Toc466014523"/>
      <w:bookmarkStart w:id="82" w:name="_Toc466019464"/>
      <w:bookmarkStart w:id="83" w:name="_Toc468178149"/>
      <w:bookmarkStart w:id="84" w:name="_Toc471732171"/>
      <w:bookmarkStart w:id="85" w:name="_Toc471732247"/>
      <w:bookmarkStart w:id="86" w:name="_Toc471732542"/>
      <w:bookmarkStart w:id="87" w:name="_Toc471732615"/>
      <w:bookmarkStart w:id="88" w:name="_Toc471732878"/>
      <w:bookmarkStart w:id="89" w:name="_Toc471734055"/>
      <w:r w:rsidRPr="00693B99">
        <w:rPr>
          <w:szCs w:val="22"/>
        </w:rPr>
        <w:t>Expanded Facilities and Alternat</w:t>
      </w:r>
      <w:r w:rsidR="006E115B" w:rsidRPr="00693B99">
        <w:rPr>
          <w:szCs w:val="22"/>
        </w:rPr>
        <w:t>e</w:t>
      </w:r>
      <w:r w:rsidRPr="00693B99">
        <w:rPr>
          <w:szCs w:val="22"/>
        </w:rPr>
        <w:t xml:space="preserve"> Channel Proposal Requirements</w:t>
      </w:r>
      <w:bookmarkEnd w:id="81"/>
      <w:bookmarkEnd w:id="82"/>
      <w:bookmarkEnd w:id="83"/>
      <w:bookmarkEnd w:id="84"/>
      <w:bookmarkEnd w:id="85"/>
      <w:bookmarkEnd w:id="86"/>
      <w:bookmarkEnd w:id="87"/>
      <w:bookmarkEnd w:id="88"/>
      <w:bookmarkEnd w:id="89"/>
    </w:p>
    <w:p w14:paraId="41015DD3" w14:textId="77777777" w:rsidR="00D66D9F" w:rsidRPr="00693B99" w:rsidRDefault="0069658A" w:rsidP="00D66D9F">
      <w:pPr>
        <w:numPr>
          <w:ilvl w:val="0"/>
          <w:numId w:val="2"/>
        </w:numPr>
        <w:tabs>
          <w:tab w:val="clear" w:pos="1080"/>
          <w:tab w:val="num" w:pos="1440"/>
        </w:tabs>
        <w:spacing w:after="120"/>
        <w:rPr>
          <w:szCs w:val="22"/>
        </w:rPr>
      </w:pPr>
      <w:r w:rsidRPr="00693B99">
        <w:rPr>
          <w:i/>
          <w:szCs w:val="22"/>
        </w:rPr>
        <w:t xml:space="preserve">Expanded Facilities.  </w:t>
      </w:r>
      <w:r w:rsidR="006B4399" w:rsidRPr="00693B99">
        <w:rPr>
          <w:szCs w:val="22"/>
        </w:rPr>
        <w:t xml:space="preserve">All </w:t>
      </w:r>
      <w:r w:rsidRPr="00693B99">
        <w:rPr>
          <w:szCs w:val="22"/>
        </w:rPr>
        <w:t>applications for expanded facilities will be limited to those that would be considered a minor change under the Commission’s rules, i</w:t>
      </w:r>
      <w:r w:rsidR="00244EFA" w:rsidRPr="00693B99">
        <w:rPr>
          <w:szCs w:val="22"/>
        </w:rPr>
        <w:t>.</w:t>
      </w:r>
      <w:r w:rsidRPr="00693B99">
        <w:rPr>
          <w:szCs w:val="22"/>
        </w:rPr>
        <w:t>e</w:t>
      </w:r>
      <w:r w:rsidR="00244EFA" w:rsidRPr="00693B99">
        <w:rPr>
          <w:szCs w:val="22"/>
        </w:rPr>
        <w:t>.</w:t>
      </w:r>
      <w:r w:rsidRPr="00693B99">
        <w:rPr>
          <w:szCs w:val="22"/>
        </w:rPr>
        <w:t>, that propose a change in height above average terrain, effective radiated power, antenna pattern, or transmitter location.</w:t>
      </w:r>
      <w:r w:rsidR="009D7FFC" w:rsidRPr="00693B99">
        <w:rPr>
          <w:szCs w:val="22"/>
          <w:vertAlign w:val="superscript"/>
        </w:rPr>
        <w:footnoteReference w:id="45"/>
      </w:r>
      <w:r w:rsidRPr="00693B99">
        <w:rPr>
          <w:szCs w:val="22"/>
        </w:rPr>
        <w:t xml:space="preserve">  </w:t>
      </w:r>
      <w:r w:rsidR="000457D3" w:rsidRPr="00693B99">
        <w:rPr>
          <w:szCs w:val="22"/>
        </w:rPr>
        <w:t>R</w:t>
      </w:r>
      <w:r w:rsidR="004C6A14" w:rsidRPr="00693B99">
        <w:rPr>
          <w:szCs w:val="22"/>
        </w:rPr>
        <w:t xml:space="preserve">eassigned </w:t>
      </w:r>
      <w:r w:rsidRPr="00693B99">
        <w:rPr>
          <w:szCs w:val="22"/>
        </w:rPr>
        <w:t>station</w:t>
      </w:r>
      <w:r w:rsidR="000457D3" w:rsidRPr="00693B99">
        <w:rPr>
          <w:szCs w:val="22"/>
        </w:rPr>
        <w:t>s that seek to</w:t>
      </w:r>
      <w:r w:rsidRPr="00693B99">
        <w:rPr>
          <w:szCs w:val="22"/>
        </w:rPr>
        <w:t xml:space="preserve"> </w:t>
      </w:r>
      <w:r w:rsidR="00D6289D" w:rsidRPr="00693B99">
        <w:rPr>
          <w:szCs w:val="22"/>
        </w:rPr>
        <w:t xml:space="preserve">extend </w:t>
      </w:r>
      <w:r w:rsidRPr="00693B99">
        <w:rPr>
          <w:szCs w:val="22"/>
        </w:rPr>
        <w:t>the</w:t>
      </w:r>
      <w:r w:rsidR="000457D3" w:rsidRPr="00693B99">
        <w:rPr>
          <w:szCs w:val="22"/>
        </w:rPr>
        <w:t>ir</w:t>
      </w:r>
      <w:r w:rsidRPr="00693B99">
        <w:rPr>
          <w:szCs w:val="22"/>
        </w:rPr>
        <w:t xml:space="preserve"> contour</w:t>
      </w:r>
      <w:r w:rsidR="000457D3" w:rsidRPr="00693B99">
        <w:rPr>
          <w:szCs w:val="22"/>
        </w:rPr>
        <w:t>s</w:t>
      </w:r>
      <w:r w:rsidRPr="00693B99">
        <w:rPr>
          <w:szCs w:val="22"/>
        </w:rPr>
        <w:t xml:space="preserve"> beyond one percent in any direction from the </w:t>
      </w:r>
      <w:r w:rsidR="00D6289D" w:rsidRPr="00693B99">
        <w:rPr>
          <w:szCs w:val="22"/>
        </w:rPr>
        <w:t>contour</w:t>
      </w:r>
      <w:r w:rsidRPr="00693B99">
        <w:rPr>
          <w:szCs w:val="22"/>
        </w:rPr>
        <w:t xml:space="preserve"> defined by the technical parameters specified in the </w:t>
      </w:r>
      <w:r w:rsidRPr="00693B99">
        <w:rPr>
          <w:i/>
          <w:szCs w:val="22"/>
        </w:rPr>
        <w:t>C</w:t>
      </w:r>
      <w:r w:rsidR="00290316" w:rsidRPr="00693B99">
        <w:rPr>
          <w:i/>
          <w:szCs w:val="22"/>
        </w:rPr>
        <w:t>losing and Reassignment</w:t>
      </w:r>
      <w:r w:rsidRPr="00693B99">
        <w:rPr>
          <w:i/>
          <w:szCs w:val="22"/>
        </w:rPr>
        <w:t xml:space="preserve"> P</w:t>
      </w:r>
      <w:r w:rsidR="00D32F28" w:rsidRPr="00693B99">
        <w:rPr>
          <w:i/>
          <w:szCs w:val="22"/>
        </w:rPr>
        <w:t>ublic Notice</w:t>
      </w:r>
      <w:r w:rsidR="000457D3" w:rsidRPr="00693B99">
        <w:rPr>
          <w:i/>
          <w:szCs w:val="22"/>
        </w:rPr>
        <w:t xml:space="preserve"> </w:t>
      </w:r>
      <w:r w:rsidR="000457D3" w:rsidRPr="00693B99">
        <w:rPr>
          <w:szCs w:val="22"/>
        </w:rPr>
        <w:t>must file applications for expanded facilities</w:t>
      </w:r>
      <w:r w:rsidRPr="00693B99">
        <w:rPr>
          <w:szCs w:val="22"/>
        </w:rPr>
        <w:t>.</w:t>
      </w:r>
      <w:r w:rsidRPr="00693B99">
        <w:rPr>
          <w:szCs w:val="22"/>
          <w:vertAlign w:val="superscript"/>
        </w:rPr>
        <w:footnoteReference w:id="46"/>
      </w:r>
    </w:p>
    <w:p w14:paraId="6C793F77" w14:textId="322F6EE6" w:rsidR="00BF75FC" w:rsidRPr="00693B99" w:rsidRDefault="0069658A" w:rsidP="00D66D9F">
      <w:pPr>
        <w:numPr>
          <w:ilvl w:val="0"/>
          <w:numId w:val="2"/>
        </w:numPr>
        <w:tabs>
          <w:tab w:val="clear" w:pos="1080"/>
          <w:tab w:val="num" w:pos="1440"/>
        </w:tabs>
        <w:spacing w:after="120"/>
        <w:rPr>
          <w:szCs w:val="22"/>
        </w:rPr>
      </w:pPr>
      <w:r w:rsidRPr="00693B99">
        <w:rPr>
          <w:i/>
          <w:szCs w:val="22"/>
        </w:rPr>
        <w:t>Alternate Channels.</w:t>
      </w:r>
      <w:r w:rsidR="00D914B6" w:rsidRPr="00693B99">
        <w:rPr>
          <w:i/>
          <w:szCs w:val="22"/>
        </w:rPr>
        <w:t xml:space="preserve"> </w:t>
      </w:r>
      <w:r w:rsidR="0062428E" w:rsidRPr="00693B99">
        <w:rPr>
          <w:i/>
          <w:szCs w:val="22"/>
        </w:rPr>
        <w:t xml:space="preserve"> </w:t>
      </w:r>
      <w:r w:rsidR="001E04C5" w:rsidRPr="00693B99">
        <w:rPr>
          <w:szCs w:val="22"/>
        </w:rPr>
        <w:t xml:space="preserve">An application for an alternate channel will be considered a major change application and thus will be subject to the local public notice requirements of Section 73.3580 of the Commission’s </w:t>
      </w:r>
      <w:r w:rsidR="002E2F88" w:rsidRPr="00693B99">
        <w:rPr>
          <w:szCs w:val="22"/>
        </w:rPr>
        <w:t>r</w:t>
      </w:r>
      <w:r w:rsidR="001E04C5" w:rsidRPr="00693B99">
        <w:rPr>
          <w:szCs w:val="22"/>
        </w:rPr>
        <w:t>ules</w:t>
      </w:r>
      <w:r w:rsidR="001E04C5" w:rsidRPr="00693B99">
        <w:rPr>
          <w:szCs w:val="22"/>
          <w:vertAlign w:val="superscript"/>
        </w:rPr>
        <w:footnoteReference w:id="47"/>
      </w:r>
      <w:r w:rsidR="001E04C5" w:rsidRPr="00693B99">
        <w:rPr>
          <w:szCs w:val="22"/>
        </w:rPr>
        <w:t xml:space="preserve"> and a </w:t>
      </w:r>
      <w:r w:rsidR="00873A60" w:rsidRPr="00693B99">
        <w:rPr>
          <w:szCs w:val="22"/>
        </w:rPr>
        <w:t>30</w:t>
      </w:r>
      <w:r w:rsidR="001E04C5" w:rsidRPr="00693B99">
        <w:rPr>
          <w:szCs w:val="22"/>
        </w:rPr>
        <w:t>-day period for the filing of petitions to deny prior to grant.</w:t>
      </w:r>
      <w:r w:rsidR="001E04C5" w:rsidRPr="00693B99">
        <w:rPr>
          <w:szCs w:val="22"/>
          <w:vertAlign w:val="superscript"/>
        </w:rPr>
        <w:footnoteReference w:id="48"/>
      </w:r>
      <w:r w:rsidR="001E04C5" w:rsidRPr="00693B99">
        <w:rPr>
          <w:szCs w:val="22"/>
        </w:rPr>
        <w:t xml:space="preserve">  </w:t>
      </w:r>
      <w:r w:rsidR="000457D3" w:rsidRPr="00693B99">
        <w:rPr>
          <w:szCs w:val="22"/>
        </w:rPr>
        <w:t>B</w:t>
      </w:r>
      <w:r w:rsidRPr="00693B99">
        <w:rPr>
          <w:szCs w:val="22"/>
        </w:rPr>
        <w:t>and changing station</w:t>
      </w:r>
      <w:r w:rsidR="000457D3" w:rsidRPr="00693B99">
        <w:rPr>
          <w:szCs w:val="22"/>
        </w:rPr>
        <w:t>s</w:t>
      </w:r>
      <w:r w:rsidR="00F44408" w:rsidRPr="00693B99">
        <w:rPr>
          <w:szCs w:val="22"/>
        </w:rPr>
        <w:t xml:space="preserve"> </w:t>
      </w:r>
      <w:r w:rsidR="003820CD" w:rsidRPr="00693B99">
        <w:rPr>
          <w:szCs w:val="22"/>
        </w:rPr>
        <w:t>may not</w:t>
      </w:r>
      <w:r w:rsidRPr="00693B99">
        <w:rPr>
          <w:szCs w:val="22"/>
        </w:rPr>
        <w:t xml:space="preserve"> </w:t>
      </w:r>
      <w:r w:rsidR="000457D3" w:rsidRPr="00693B99">
        <w:rPr>
          <w:szCs w:val="22"/>
        </w:rPr>
        <w:t>apply</w:t>
      </w:r>
      <w:r w:rsidRPr="00693B99">
        <w:rPr>
          <w:szCs w:val="22"/>
        </w:rPr>
        <w:t xml:space="preserve"> for alternate channel</w:t>
      </w:r>
      <w:r w:rsidR="000457D3" w:rsidRPr="00693B99">
        <w:rPr>
          <w:szCs w:val="22"/>
        </w:rPr>
        <w:t xml:space="preserve">s outside of their </w:t>
      </w:r>
      <w:r w:rsidR="00AA26F7" w:rsidRPr="00693B99">
        <w:rPr>
          <w:szCs w:val="22"/>
        </w:rPr>
        <w:t xml:space="preserve">post-auction </w:t>
      </w:r>
      <w:r w:rsidR="005E468A" w:rsidRPr="00693B99">
        <w:rPr>
          <w:szCs w:val="22"/>
        </w:rPr>
        <w:t>ban</w:t>
      </w:r>
      <w:r w:rsidR="006A4451" w:rsidRPr="00693B99">
        <w:rPr>
          <w:szCs w:val="22"/>
        </w:rPr>
        <w:t>d</w:t>
      </w:r>
      <w:r w:rsidR="000457D3" w:rsidRPr="00693B99">
        <w:rPr>
          <w:szCs w:val="22"/>
        </w:rPr>
        <w:t>s</w:t>
      </w:r>
      <w:r w:rsidR="006A4451" w:rsidRPr="00693B99">
        <w:rPr>
          <w:szCs w:val="22"/>
        </w:rPr>
        <w:t>.</w:t>
      </w:r>
      <w:r w:rsidRPr="00693B99">
        <w:rPr>
          <w:szCs w:val="22"/>
          <w:vertAlign w:val="superscript"/>
        </w:rPr>
        <w:footnoteReference w:id="49"/>
      </w:r>
      <w:r w:rsidRPr="00693B99">
        <w:rPr>
          <w:szCs w:val="22"/>
        </w:rPr>
        <w:t xml:space="preserve">  </w:t>
      </w:r>
      <w:r w:rsidR="002E2F88" w:rsidRPr="00693B99">
        <w:rPr>
          <w:szCs w:val="22"/>
        </w:rPr>
        <w:t xml:space="preserve">Reassigned stations </w:t>
      </w:r>
      <w:r w:rsidR="00854927" w:rsidRPr="00693B99">
        <w:rPr>
          <w:szCs w:val="22"/>
        </w:rPr>
        <w:t xml:space="preserve">are not similarly limited and </w:t>
      </w:r>
      <w:r w:rsidR="007F54D1" w:rsidRPr="00693B99">
        <w:rPr>
          <w:szCs w:val="22"/>
        </w:rPr>
        <w:t>may apply for</w:t>
      </w:r>
      <w:r w:rsidR="002E2F88" w:rsidRPr="00693B99">
        <w:rPr>
          <w:szCs w:val="22"/>
        </w:rPr>
        <w:t xml:space="preserve"> any channe</w:t>
      </w:r>
      <w:r w:rsidR="002950F9" w:rsidRPr="00693B99">
        <w:rPr>
          <w:szCs w:val="22"/>
        </w:rPr>
        <w:t>l in the reorganized</w:t>
      </w:r>
      <w:r w:rsidR="002E2F88" w:rsidRPr="00693B99">
        <w:rPr>
          <w:szCs w:val="22"/>
        </w:rPr>
        <w:t xml:space="preserve"> television band.</w:t>
      </w:r>
    </w:p>
    <w:p w14:paraId="0284B3F1" w14:textId="77777777" w:rsidR="00D66D9F" w:rsidRPr="00693B99" w:rsidRDefault="00D66D9F" w:rsidP="00C80FF3">
      <w:pPr>
        <w:pStyle w:val="Heading3"/>
        <w:ind w:hanging="1440"/>
        <w:rPr>
          <w:szCs w:val="22"/>
        </w:rPr>
      </w:pPr>
      <w:bookmarkStart w:id="90" w:name="_Toc466014524"/>
      <w:bookmarkStart w:id="91" w:name="_Toc466019465"/>
      <w:bookmarkStart w:id="92" w:name="_Toc468178150"/>
      <w:bookmarkStart w:id="93" w:name="_Toc471732172"/>
      <w:bookmarkStart w:id="94" w:name="_Toc471732248"/>
      <w:bookmarkStart w:id="95" w:name="_Toc471732543"/>
      <w:bookmarkStart w:id="96" w:name="_Toc471732616"/>
      <w:bookmarkStart w:id="97" w:name="_Toc471732879"/>
      <w:bookmarkStart w:id="98" w:name="_Toc471734056"/>
      <w:r w:rsidRPr="00693B99">
        <w:rPr>
          <w:szCs w:val="22"/>
        </w:rPr>
        <w:t>First Priority</w:t>
      </w:r>
      <w:r w:rsidR="00690695" w:rsidRPr="00693B99">
        <w:rPr>
          <w:szCs w:val="22"/>
        </w:rPr>
        <w:t xml:space="preserve"> </w:t>
      </w:r>
      <w:r w:rsidRPr="00693B99">
        <w:rPr>
          <w:szCs w:val="22"/>
        </w:rPr>
        <w:t xml:space="preserve">Window Timing and </w:t>
      </w:r>
      <w:bookmarkEnd w:id="90"/>
      <w:bookmarkEnd w:id="91"/>
      <w:r w:rsidR="00E75C3F" w:rsidRPr="00693B99">
        <w:rPr>
          <w:szCs w:val="22"/>
        </w:rPr>
        <w:t>Eligibility</w:t>
      </w:r>
      <w:bookmarkEnd w:id="92"/>
      <w:bookmarkEnd w:id="93"/>
      <w:bookmarkEnd w:id="94"/>
      <w:bookmarkEnd w:id="95"/>
      <w:bookmarkEnd w:id="96"/>
      <w:bookmarkEnd w:id="97"/>
      <w:bookmarkEnd w:id="98"/>
    </w:p>
    <w:p w14:paraId="37F7D3D5" w14:textId="77777777" w:rsidR="00A15661" w:rsidRPr="00693B99" w:rsidRDefault="0062428E" w:rsidP="002950F9">
      <w:pPr>
        <w:numPr>
          <w:ilvl w:val="0"/>
          <w:numId w:val="2"/>
        </w:numPr>
        <w:tabs>
          <w:tab w:val="clear" w:pos="1080"/>
          <w:tab w:val="num" w:pos="1440"/>
        </w:tabs>
        <w:spacing w:after="120"/>
        <w:rPr>
          <w:szCs w:val="22"/>
        </w:rPr>
      </w:pPr>
      <w:r w:rsidRPr="00693B99">
        <w:rPr>
          <w:i/>
          <w:szCs w:val="22"/>
        </w:rPr>
        <w:t xml:space="preserve">Timing.  </w:t>
      </w:r>
      <w:r w:rsidR="0069658A" w:rsidRPr="00693B99">
        <w:rPr>
          <w:szCs w:val="22"/>
        </w:rPr>
        <w:t xml:space="preserve">We anticipate opening the </w:t>
      </w:r>
      <w:r w:rsidR="00A37939" w:rsidRPr="00693B99">
        <w:rPr>
          <w:szCs w:val="22"/>
        </w:rPr>
        <w:t xml:space="preserve">first </w:t>
      </w:r>
      <w:r w:rsidR="0069658A" w:rsidRPr="00693B99">
        <w:rPr>
          <w:szCs w:val="22"/>
        </w:rPr>
        <w:t xml:space="preserve">priority window approximately </w:t>
      </w:r>
      <w:r w:rsidR="00873A60" w:rsidRPr="00693B99">
        <w:rPr>
          <w:szCs w:val="22"/>
        </w:rPr>
        <w:t xml:space="preserve">120 days </w:t>
      </w:r>
      <w:r w:rsidR="0069658A" w:rsidRPr="00693B99">
        <w:rPr>
          <w:szCs w:val="22"/>
        </w:rPr>
        <w:t xml:space="preserve">after the release of the </w:t>
      </w:r>
      <w:r w:rsidR="0069658A" w:rsidRPr="00693B99">
        <w:rPr>
          <w:i/>
          <w:szCs w:val="22"/>
        </w:rPr>
        <w:t>C</w:t>
      </w:r>
      <w:r w:rsidR="00290316" w:rsidRPr="00693B99">
        <w:rPr>
          <w:i/>
          <w:szCs w:val="22"/>
        </w:rPr>
        <w:t>losing and Reassignment</w:t>
      </w:r>
      <w:r w:rsidR="0069658A" w:rsidRPr="00693B99">
        <w:rPr>
          <w:i/>
          <w:szCs w:val="22"/>
        </w:rPr>
        <w:t xml:space="preserve"> P</w:t>
      </w:r>
      <w:r w:rsidR="00D32F28" w:rsidRPr="00693B99">
        <w:rPr>
          <w:i/>
          <w:szCs w:val="22"/>
        </w:rPr>
        <w:t>ublic Notice</w:t>
      </w:r>
      <w:r w:rsidR="0069658A" w:rsidRPr="00693B99">
        <w:rPr>
          <w:szCs w:val="22"/>
        </w:rPr>
        <w:t>.</w:t>
      </w:r>
      <w:r w:rsidR="0069658A" w:rsidRPr="00693B99">
        <w:rPr>
          <w:szCs w:val="22"/>
          <w:vertAlign w:val="superscript"/>
        </w:rPr>
        <w:footnoteReference w:id="50"/>
      </w:r>
      <w:r w:rsidR="0069658A" w:rsidRPr="00693B99">
        <w:rPr>
          <w:szCs w:val="22"/>
        </w:rPr>
        <w:t xml:space="preserve">  </w:t>
      </w:r>
      <w:r w:rsidR="00A15661" w:rsidRPr="00693B99">
        <w:rPr>
          <w:szCs w:val="22"/>
        </w:rPr>
        <w:t xml:space="preserve">Applicants in the first </w:t>
      </w:r>
      <w:r w:rsidR="00690695" w:rsidRPr="00693B99">
        <w:rPr>
          <w:szCs w:val="22"/>
        </w:rPr>
        <w:t xml:space="preserve">priority </w:t>
      </w:r>
      <w:r w:rsidR="00A15661" w:rsidRPr="00693B99">
        <w:rPr>
          <w:szCs w:val="22"/>
        </w:rPr>
        <w:t xml:space="preserve">window must protect the construction permit facilities of reassigned stations and band changing stations filed in the initial 90-day window if those stations’ applications have been granted or remain pending.  Otherwise, applicants in the first </w:t>
      </w:r>
      <w:r w:rsidR="00690695" w:rsidRPr="00693B99">
        <w:rPr>
          <w:szCs w:val="22"/>
        </w:rPr>
        <w:t xml:space="preserve">priority </w:t>
      </w:r>
      <w:r w:rsidR="00A15661" w:rsidRPr="00693B99">
        <w:rPr>
          <w:szCs w:val="22"/>
        </w:rPr>
        <w:t xml:space="preserve">window must protect the facilities specified in the </w:t>
      </w:r>
      <w:r w:rsidR="00A15661" w:rsidRPr="00693B99">
        <w:rPr>
          <w:i/>
          <w:szCs w:val="22"/>
        </w:rPr>
        <w:t xml:space="preserve">Closing and Reassignment Public Notice.  </w:t>
      </w:r>
      <w:r w:rsidR="00A15661" w:rsidRPr="00693B99">
        <w:rPr>
          <w:szCs w:val="22"/>
        </w:rPr>
        <w:t xml:space="preserve">In addition, all applications filed in the first </w:t>
      </w:r>
      <w:r w:rsidR="00690695" w:rsidRPr="00693B99">
        <w:rPr>
          <w:szCs w:val="22"/>
        </w:rPr>
        <w:t xml:space="preserve">priority </w:t>
      </w:r>
      <w:r w:rsidR="00A15661" w:rsidRPr="00693B99">
        <w:rPr>
          <w:szCs w:val="22"/>
        </w:rPr>
        <w:t>window must protect the facilities specified in applications filed before the April 2013 freeze with “cut-off” protection.</w:t>
      </w:r>
      <w:r w:rsidR="00A15661" w:rsidRPr="00693B99">
        <w:rPr>
          <w:rStyle w:val="FootnoteReference"/>
        </w:rPr>
        <w:footnoteReference w:id="51"/>
      </w:r>
      <w:r w:rsidR="002950F9" w:rsidRPr="00693B99">
        <w:rPr>
          <w:szCs w:val="22"/>
        </w:rPr>
        <w:t xml:space="preserve"> </w:t>
      </w:r>
      <w:r w:rsidR="0057711E" w:rsidRPr="00693B99">
        <w:rPr>
          <w:szCs w:val="22"/>
        </w:rPr>
        <w:t xml:space="preserve"> </w:t>
      </w:r>
      <w:r w:rsidR="002950F9" w:rsidRPr="00693B99">
        <w:rPr>
          <w:szCs w:val="22"/>
        </w:rPr>
        <w:t>The facilities proposed in applications filed during the first priority window will be entitled to interference protection from subsequently filed applications and amendments</w:t>
      </w:r>
      <w:r w:rsidR="0057711E" w:rsidRPr="00693B99">
        <w:rPr>
          <w:szCs w:val="22"/>
        </w:rPr>
        <w:t xml:space="preserve"> thereto</w:t>
      </w:r>
      <w:r w:rsidR="002950F9" w:rsidRPr="00693B99">
        <w:rPr>
          <w:szCs w:val="22"/>
        </w:rPr>
        <w:t>.</w:t>
      </w:r>
      <w:r w:rsidR="002950F9" w:rsidRPr="00693B99">
        <w:rPr>
          <w:szCs w:val="22"/>
          <w:vertAlign w:val="superscript"/>
        </w:rPr>
        <w:footnoteReference w:id="52"/>
      </w:r>
    </w:p>
    <w:p w14:paraId="39865D76" w14:textId="77777777" w:rsidR="00D66D9F" w:rsidRPr="00693B99" w:rsidRDefault="00BD147F" w:rsidP="00D66D9F">
      <w:pPr>
        <w:numPr>
          <w:ilvl w:val="0"/>
          <w:numId w:val="2"/>
        </w:numPr>
        <w:tabs>
          <w:tab w:val="clear" w:pos="1080"/>
          <w:tab w:val="num" w:pos="1440"/>
        </w:tabs>
        <w:spacing w:after="120"/>
        <w:rPr>
          <w:szCs w:val="22"/>
        </w:rPr>
      </w:pPr>
      <w:r w:rsidRPr="00693B99">
        <w:rPr>
          <w:i/>
          <w:szCs w:val="22"/>
        </w:rPr>
        <w:t xml:space="preserve">Eligibility - </w:t>
      </w:r>
      <w:r w:rsidR="0069658A" w:rsidRPr="00693B99">
        <w:rPr>
          <w:i/>
          <w:szCs w:val="22"/>
        </w:rPr>
        <w:t>Stations Unable to Construct.</w:t>
      </w:r>
      <w:r w:rsidR="0069658A" w:rsidRPr="00693B99">
        <w:rPr>
          <w:szCs w:val="22"/>
        </w:rPr>
        <w:t xml:space="preserve"> </w:t>
      </w:r>
      <w:r w:rsidR="003278F3" w:rsidRPr="00693B99">
        <w:rPr>
          <w:szCs w:val="22"/>
        </w:rPr>
        <w:t xml:space="preserve"> </w:t>
      </w:r>
      <w:r w:rsidR="005E468A" w:rsidRPr="00693B99">
        <w:rPr>
          <w:szCs w:val="22"/>
        </w:rPr>
        <w:t>R</w:t>
      </w:r>
      <w:r w:rsidR="0069658A" w:rsidRPr="00693B99">
        <w:rPr>
          <w:szCs w:val="22"/>
        </w:rPr>
        <w:t xml:space="preserve">eassigned stations or band changing stations that receive a waiver of the </w:t>
      </w:r>
      <w:r w:rsidR="00456822" w:rsidRPr="00693B99">
        <w:rPr>
          <w:szCs w:val="22"/>
        </w:rPr>
        <w:t>90-day</w:t>
      </w:r>
      <w:r w:rsidR="0069658A" w:rsidRPr="00693B99">
        <w:rPr>
          <w:szCs w:val="22"/>
        </w:rPr>
        <w:t xml:space="preserve"> filing deadline based on a demonstration that they are “unable to construct” </w:t>
      </w:r>
      <w:r w:rsidR="005E468A" w:rsidRPr="00693B99">
        <w:rPr>
          <w:szCs w:val="22"/>
        </w:rPr>
        <w:t xml:space="preserve">may file for </w:t>
      </w:r>
      <w:r w:rsidR="0087779A" w:rsidRPr="00693B99">
        <w:rPr>
          <w:szCs w:val="22"/>
        </w:rPr>
        <w:t xml:space="preserve">an alternate channel and/or </w:t>
      </w:r>
      <w:r w:rsidR="005E468A" w:rsidRPr="00693B99">
        <w:rPr>
          <w:szCs w:val="22"/>
        </w:rPr>
        <w:t xml:space="preserve">expanded facilities in the first </w:t>
      </w:r>
      <w:r w:rsidR="00712A63" w:rsidRPr="00693B99">
        <w:rPr>
          <w:szCs w:val="22"/>
        </w:rPr>
        <w:t xml:space="preserve">priority </w:t>
      </w:r>
      <w:r w:rsidR="005E468A" w:rsidRPr="00693B99">
        <w:rPr>
          <w:szCs w:val="22"/>
        </w:rPr>
        <w:t>window</w:t>
      </w:r>
      <w:r w:rsidR="0069658A" w:rsidRPr="00693B99">
        <w:rPr>
          <w:szCs w:val="22"/>
        </w:rPr>
        <w:t>.</w:t>
      </w:r>
      <w:r w:rsidR="0069658A" w:rsidRPr="00693B99">
        <w:rPr>
          <w:szCs w:val="22"/>
          <w:vertAlign w:val="superscript"/>
        </w:rPr>
        <w:footnoteReference w:id="53"/>
      </w:r>
      <w:r w:rsidR="0069658A" w:rsidRPr="00693B99">
        <w:rPr>
          <w:szCs w:val="22"/>
        </w:rPr>
        <w:t xml:space="preserve">  </w:t>
      </w:r>
      <w:r w:rsidR="00344D5C" w:rsidRPr="00693B99">
        <w:rPr>
          <w:szCs w:val="22"/>
        </w:rPr>
        <w:t>Such stations</w:t>
      </w:r>
      <w:r w:rsidR="00D35F43" w:rsidRPr="00693B99">
        <w:rPr>
          <w:szCs w:val="22"/>
        </w:rPr>
        <w:t xml:space="preserve"> must submit their</w:t>
      </w:r>
      <w:r w:rsidR="0069658A" w:rsidRPr="00693B99">
        <w:rPr>
          <w:szCs w:val="22"/>
        </w:rPr>
        <w:t xml:space="preserve"> </w:t>
      </w:r>
      <w:r w:rsidR="00C80FF3" w:rsidRPr="00693B99">
        <w:rPr>
          <w:szCs w:val="22"/>
        </w:rPr>
        <w:t>application</w:t>
      </w:r>
      <w:r w:rsidR="00E75C3F" w:rsidRPr="00693B99">
        <w:rPr>
          <w:szCs w:val="22"/>
        </w:rPr>
        <w:t>s</w:t>
      </w:r>
      <w:r w:rsidR="00C80FF3" w:rsidRPr="00693B99">
        <w:rPr>
          <w:szCs w:val="22"/>
        </w:rPr>
        <w:t xml:space="preserve"> via</w:t>
      </w:r>
      <w:r w:rsidR="0069658A" w:rsidRPr="00693B99">
        <w:rPr>
          <w:szCs w:val="22"/>
        </w:rPr>
        <w:t xml:space="preserve"> LMS using either FCC Form 2100 – Schedule A (full power stations) or Schedul</w:t>
      </w:r>
      <w:r w:rsidR="00E651B4" w:rsidRPr="00693B99">
        <w:rPr>
          <w:szCs w:val="22"/>
        </w:rPr>
        <w:t xml:space="preserve">e E (Class A stations) </w:t>
      </w:r>
      <w:r w:rsidR="0057711E" w:rsidRPr="00693B99">
        <w:rPr>
          <w:szCs w:val="22"/>
        </w:rPr>
        <w:t>in accordance with</w:t>
      </w:r>
      <w:r w:rsidR="0069658A" w:rsidRPr="00693B99">
        <w:rPr>
          <w:szCs w:val="22"/>
        </w:rPr>
        <w:t xml:space="preserve"> the procedures outlined in Appendix A.</w:t>
      </w:r>
      <w:r w:rsidR="0069658A" w:rsidRPr="00693B99">
        <w:rPr>
          <w:szCs w:val="22"/>
          <w:vertAlign w:val="superscript"/>
        </w:rPr>
        <w:footnoteReference w:id="54"/>
      </w:r>
      <w:r w:rsidR="0069658A" w:rsidRPr="00693B99">
        <w:rPr>
          <w:szCs w:val="22"/>
        </w:rPr>
        <w:t xml:space="preserve">  </w:t>
      </w:r>
      <w:r w:rsidR="00854927" w:rsidRPr="00693B99">
        <w:rPr>
          <w:szCs w:val="22"/>
        </w:rPr>
        <w:t xml:space="preserve">Because these applications </w:t>
      </w:r>
      <w:r w:rsidR="0057711E" w:rsidRPr="00693B99">
        <w:rPr>
          <w:szCs w:val="22"/>
        </w:rPr>
        <w:t xml:space="preserve">will </w:t>
      </w:r>
      <w:r w:rsidR="00854927" w:rsidRPr="00693B99">
        <w:rPr>
          <w:szCs w:val="22"/>
        </w:rPr>
        <w:t>constitute these stations</w:t>
      </w:r>
      <w:r w:rsidR="0087779A" w:rsidRPr="00693B99">
        <w:rPr>
          <w:szCs w:val="22"/>
        </w:rPr>
        <w:t>’</w:t>
      </w:r>
      <w:r w:rsidR="00854927" w:rsidRPr="00693B99">
        <w:rPr>
          <w:szCs w:val="22"/>
        </w:rPr>
        <w:t xml:space="preserve"> initial application</w:t>
      </w:r>
      <w:r w:rsidR="0057711E" w:rsidRPr="00693B99">
        <w:rPr>
          <w:szCs w:val="22"/>
        </w:rPr>
        <w:t>s</w:t>
      </w:r>
      <w:r w:rsidR="00854927" w:rsidRPr="00693B99">
        <w:rPr>
          <w:szCs w:val="22"/>
        </w:rPr>
        <w:t xml:space="preserve"> for construction permit</w:t>
      </w:r>
      <w:r w:rsidR="0057711E" w:rsidRPr="00693B99">
        <w:rPr>
          <w:szCs w:val="22"/>
        </w:rPr>
        <w:t>s</w:t>
      </w:r>
      <w:r w:rsidR="00854927" w:rsidRPr="00693B99">
        <w:rPr>
          <w:szCs w:val="22"/>
        </w:rPr>
        <w:t xml:space="preserve">, </w:t>
      </w:r>
      <w:r w:rsidR="0057711E" w:rsidRPr="00693B99">
        <w:rPr>
          <w:szCs w:val="22"/>
        </w:rPr>
        <w:t xml:space="preserve">the applications </w:t>
      </w:r>
      <w:r w:rsidR="0069658A" w:rsidRPr="00693B99">
        <w:rPr>
          <w:szCs w:val="22"/>
        </w:rPr>
        <w:t>will not be subject to a filing fee.</w:t>
      </w:r>
      <w:r w:rsidR="0069658A" w:rsidRPr="00693B99">
        <w:rPr>
          <w:szCs w:val="22"/>
          <w:vertAlign w:val="superscript"/>
        </w:rPr>
        <w:footnoteReference w:id="55"/>
      </w:r>
    </w:p>
    <w:p w14:paraId="72BC427E" w14:textId="77777777" w:rsidR="0069658A" w:rsidRPr="00693B99" w:rsidRDefault="009F5ED1" w:rsidP="00DA3400">
      <w:pPr>
        <w:numPr>
          <w:ilvl w:val="0"/>
          <w:numId w:val="2"/>
        </w:numPr>
        <w:tabs>
          <w:tab w:val="clear" w:pos="1080"/>
          <w:tab w:val="num" w:pos="1440"/>
        </w:tabs>
        <w:spacing w:after="120"/>
        <w:rPr>
          <w:szCs w:val="22"/>
        </w:rPr>
      </w:pPr>
      <w:r w:rsidRPr="00693B99">
        <w:rPr>
          <w:i/>
          <w:szCs w:val="22"/>
        </w:rPr>
        <w:t>Stations</w:t>
      </w:r>
      <w:r w:rsidR="0069658A" w:rsidRPr="00693B99">
        <w:rPr>
          <w:i/>
          <w:szCs w:val="22"/>
        </w:rPr>
        <w:t xml:space="preserve"> with </w:t>
      </w:r>
      <w:r w:rsidR="006E4B1F" w:rsidRPr="00693B99">
        <w:rPr>
          <w:i/>
          <w:szCs w:val="22"/>
        </w:rPr>
        <w:t xml:space="preserve">Excess </w:t>
      </w:r>
      <w:r w:rsidR="0069658A" w:rsidRPr="00693B99">
        <w:rPr>
          <w:i/>
          <w:szCs w:val="22"/>
        </w:rPr>
        <w:t xml:space="preserve">Aggregate Interference </w:t>
      </w:r>
      <w:r w:rsidR="005856E2" w:rsidRPr="00693B99">
        <w:rPr>
          <w:i/>
          <w:szCs w:val="22"/>
        </w:rPr>
        <w:t>and/or</w:t>
      </w:r>
      <w:r w:rsidR="0069658A" w:rsidRPr="00693B99">
        <w:rPr>
          <w:i/>
          <w:szCs w:val="22"/>
        </w:rPr>
        <w:t xml:space="preserve"> </w:t>
      </w:r>
      <w:r w:rsidR="005856E2" w:rsidRPr="00693B99">
        <w:rPr>
          <w:i/>
          <w:szCs w:val="22"/>
        </w:rPr>
        <w:t>Terrain</w:t>
      </w:r>
      <w:r w:rsidR="0069658A" w:rsidRPr="00693B99">
        <w:rPr>
          <w:i/>
          <w:szCs w:val="22"/>
        </w:rPr>
        <w:t xml:space="preserve"> Loss.</w:t>
      </w:r>
      <w:r w:rsidR="00515F1E" w:rsidRPr="00693B99">
        <w:rPr>
          <w:i/>
          <w:szCs w:val="22"/>
        </w:rPr>
        <w:t xml:space="preserve"> </w:t>
      </w:r>
      <w:r w:rsidR="0062428E" w:rsidRPr="00693B99">
        <w:rPr>
          <w:i/>
          <w:szCs w:val="22"/>
        </w:rPr>
        <w:t xml:space="preserve"> </w:t>
      </w:r>
      <w:r w:rsidR="007A4F05" w:rsidRPr="00693B99">
        <w:rPr>
          <w:szCs w:val="22"/>
        </w:rPr>
        <w:t>A r</w:t>
      </w:r>
      <w:r w:rsidR="0069658A" w:rsidRPr="00693B99">
        <w:rPr>
          <w:szCs w:val="22"/>
        </w:rPr>
        <w:t xml:space="preserve">eassigned station </w:t>
      </w:r>
      <w:r w:rsidR="007A4F05" w:rsidRPr="00693B99">
        <w:rPr>
          <w:szCs w:val="22"/>
        </w:rPr>
        <w:t xml:space="preserve">or </w:t>
      </w:r>
      <w:r w:rsidR="0069658A" w:rsidRPr="00693B99">
        <w:rPr>
          <w:szCs w:val="22"/>
        </w:rPr>
        <w:t>band changing station that demonstrate</w:t>
      </w:r>
      <w:r w:rsidR="007A4F05" w:rsidRPr="00693B99">
        <w:rPr>
          <w:szCs w:val="22"/>
        </w:rPr>
        <w:t>s</w:t>
      </w:r>
      <w:r w:rsidR="0069658A" w:rsidRPr="00693B99">
        <w:rPr>
          <w:szCs w:val="22"/>
        </w:rPr>
        <w:t xml:space="preserve"> that </w:t>
      </w:r>
      <w:r w:rsidR="007A4F05" w:rsidRPr="00693B99">
        <w:rPr>
          <w:szCs w:val="22"/>
        </w:rPr>
        <w:t>it is</w:t>
      </w:r>
      <w:r w:rsidR="0069658A" w:rsidRPr="00693B99">
        <w:rPr>
          <w:szCs w:val="22"/>
        </w:rPr>
        <w:t xml:space="preserve"> predicted to experience a loss in population served in excess of one percent as a result of </w:t>
      </w:r>
      <w:r w:rsidR="00824669" w:rsidRPr="00693B99">
        <w:rPr>
          <w:szCs w:val="22"/>
        </w:rPr>
        <w:t xml:space="preserve">its </w:t>
      </w:r>
      <w:r w:rsidR="0069658A" w:rsidRPr="00693B99">
        <w:rPr>
          <w:szCs w:val="22"/>
        </w:rPr>
        <w:t xml:space="preserve">channel assignment specified in the </w:t>
      </w:r>
      <w:r w:rsidR="00290316" w:rsidRPr="00693B99">
        <w:rPr>
          <w:i/>
          <w:szCs w:val="22"/>
        </w:rPr>
        <w:t>Closing and Reassignment</w:t>
      </w:r>
      <w:r w:rsidR="0069658A" w:rsidRPr="00693B99">
        <w:rPr>
          <w:i/>
          <w:szCs w:val="22"/>
        </w:rPr>
        <w:t xml:space="preserve"> P</w:t>
      </w:r>
      <w:r w:rsidR="00D32F28" w:rsidRPr="00693B99">
        <w:rPr>
          <w:i/>
          <w:szCs w:val="22"/>
        </w:rPr>
        <w:t xml:space="preserve">ublic </w:t>
      </w:r>
      <w:r w:rsidR="0069658A" w:rsidRPr="00693B99">
        <w:rPr>
          <w:i/>
          <w:szCs w:val="22"/>
        </w:rPr>
        <w:t>N</w:t>
      </w:r>
      <w:r w:rsidR="00D32F28" w:rsidRPr="00693B99">
        <w:rPr>
          <w:i/>
          <w:szCs w:val="22"/>
        </w:rPr>
        <w:t>otice</w:t>
      </w:r>
      <w:r w:rsidR="0069658A" w:rsidRPr="00693B99">
        <w:rPr>
          <w:szCs w:val="22"/>
        </w:rPr>
        <w:t xml:space="preserve">, either because of new </w:t>
      </w:r>
      <w:r w:rsidR="005856E2" w:rsidRPr="00693B99">
        <w:rPr>
          <w:szCs w:val="22"/>
        </w:rPr>
        <w:t xml:space="preserve">aggregate </w:t>
      </w:r>
      <w:r w:rsidR="0069658A" w:rsidRPr="00693B99">
        <w:rPr>
          <w:szCs w:val="22"/>
        </w:rPr>
        <w:t>station-to-station interference or terrain loss (or a combination of both)</w:t>
      </w:r>
      <w:r w:rsidR="00D35F43" w:rsidRPr="00693B99">
        <w:rPr>
          <w:szCs w:val="22"/>
        </w:rPr>
        <w:t>,</w:t>
      </w:r>
      <w:r w:rsidR="0069658A" w:rsidRPr="00693B99">
        <w:rPr>
          <w:szCs w:val="22"/>
        </w:rPr>
        <w:t xml:space="preserve"> </w:t>
      </w:r>
      <w:r w:rsidR="007F54D1" w:rsidRPr="00693B99">
        <w:rPr>
          <w:szCs w:val="22"/>
        </w:rPr>
        <w:t>may propose expanded facilities or an alternate chann</w:t>
      </w:r>
      <w:r w:rsidR="00C32B97" w:rsidRPr="00693B99">
        <w:rPr>
          <w:szCs w:val="22"/>
        </w:rPr>
        <w:t>el by filing an amendment to the</w:t>
      </w:r>
      <w:r w:rsidR="007F54D1" w:rsidRPr="00693B99">
        <w:rPr>
          <w:szCs w:val="22"/>
        </w:rPr>
        <w:t xml:space="preserve"> application </w:t>
      </w:r>
      <w:r w:rsidR="00C32B97" w:rsidRPr="00693B99">
        <w:rPr>
          <w:szCs w:val="22"/>
        </w:rPr>
        <w:t xml:space="preserve">it filed </w:t>
      </w:r>
      <w:r w:rsidR="007F54D1" w:rsidRPr="00693B99">
        <w:rPr>
          <w:szCs w:val="22"/>
        </w:rPr>
        <w:t>by the initial 90-day filing deadline or, if the application has been granted, by filing an application to modify its construction permit</w:t>
      </w:r>
      <w:r w:rsidR="0069658A" w:rsidRPr="00693B99">
        <w:rPr>
          <w:szCs w:val="22"/>
        </w:rPr>
        <w:t>.</w:t>
      </w:r>
      <w:r w:rsidR="0069658A" w:rsidRPr="00693B99">
        <w:rPr>
          <w:szCs w:val="22"/>
          <w:vertAlign w:val="superscript"/>
        </w:rPr>
        <w:footnoteReference w:id="56"/>
      </w:r>
      <w:r w:rsidR="0069658A" w:rsidRPr="00693B99">
        <w:rPr>
          <w:szCs w:val="22"/>
        </w:rPr>
        <w:t xml:space="preserve">  </w:t>
      </w:r>
      <w:r w:rsidR="005336B6" w:rsidRPr="00693B99">
        <w:rPr>
          <w:szCs w:val="22"/>
        </w:rPr>
        <w:t>T</w:t>
      </w:r>
      <w:r w:rsidR="0069658A" w:rsidRPr="00693B99">
        <w:rPr>
          <w:szCs w:val="22"/>
        </w:rPr>
        <w:t>he station</w:t>
      </w:r>
      <w:r w:rsidR="005336B6" w:rsidRPr="00693B99">
        <w:rPr>
          <w:szCs w:val="22"/>
        </w:rPr>
        <w:t>’s filing</w:t>
      </w:r>
      <w:r w:rsidR="0069658A" w:rsidRPr="00693B99">
        <w:rPr>
          <w:szCs w:val="22"/>
        </w:rPr>
        <w:t xml:space="preserve"> must include an exhibit demonstrating the predicted population loss.  </w:t>
      </w:r>
      <w:r w:rsidR="00582FF3" w:rsidRPr="00693B99">
        <w:rPr>
          <w:szCs w:val="22"/>
        </w:rPr>
        <w:t xml:space="preserve">Such stations must </w:t>
      </w:r>
      <w:r w:rsidR="00F01F51" w:rsidRPr="00693B99">
        <w:rPr>
          <w:szCs w:val="22"/>
        </w:rPr>
        <w:t xml:space="preserve">electronically </w:t>
      </w:r>
      <w:r w:rsidR="00582FF3" w:rsidRPr="00693B99">
        <w:rPr>
          <w:szCs w:val="22"/>
        </w:rPr>
        <w:t xml:space="preserve">submit an application for </w:t>
      </w:r>
      <w:r w:rsidR="006F1420" w:rsidRPr="00693B99">
        <w:rPr>
          <w:szCs w:val="22"/>
        </w:rPr>
        <w:t>modification of their</w:t>
      </w:r>
      <w:r w:rsidR="00582FF3" w:rsidRPr="00693B99">
        <w:rPr>
          <w:szCs w:val="22"/>
        </w:rPr>
        <w:t xml:space="preserve"> </w:t>
      </w:r>
      <w:r w:rsidR="00AA4413" w:rsidRPr="00693B99">
        <w:rPr>
          <w:szCs w:val="22"/>
        </w:rPr>
        <w:t xml:space="preserve">construction permit </w:t>
      </w:r>
      <w:r w:rsidR="00C80FF3" w:rsidRPr="00693B99">
        <w:rPr>
          <w:szCs w:val="22"/>
        </w:rPr>
        <w:t>via</w:t>
      </w:r>
      <w:r w:rsidR="00582FF3" w:rsidRPr="00693B99">
        <w:rPr>
          <w:szCs w:val="22"/>
        </w:rPr>
        <w:t xml:space="preserve"> LMS using either FCC Form 2100 – Schedule A (full power stations) or Schedule E (Class A stations)</w:t>
      </w:r>
      <w:r w:rsidR="00824669" w:rsidRPr="00693B99">
        <w:rPr>
          <w:szCs w:val="22"/>
        </w:rPr>
        <w:t>,</w:t>
      </w:r>
      <w:r w:rsidR="00582FF3" w:rsidRPr="00693B99">
        <w:rPr>
          <w:szCs w:val="22"/>
        </w:rPr>
        <w:t xml:space="preserve"> or an amendment </w:t>
      </w:r>
      <w:r w:rsidR="00E651B4" w:rsidRPr="00693B99">
        <w:rPr>
          <w:szCs w:val="22"/>
        </w:rPr>
        <w:t>to their pending application by</w:t>
      </w:r>
      <w:r w:rsidR="00582FF3" w:rsidRPr="00693B99">
        <w:rPr>
          <w:szCs w:val="22"/>
        </w:rPr>
        <w:t xml:space="preserve"> follow</w:t>
      </w:r>
      <w:r w:rsidR="00E651B4" w:rsidRPr="00693B99">
        <w:rPr>
          <w:szCs w:val="22"/>
        </w:rPr>
        <w:t>ing</w:t>
      </w:r>
      <w:r w:rsidR="00582FF3" w:rsidRPr="00693B99">
        <w:rPr>
          <w:szCs w:val="22"/>
        </w:rPr>
        <w:t xml:space="preserve"> the procedures outlined in Appendix A. </w:t>
      </w:r>
      <w:r w:rsidR="007D3DB5" w:rsidRPr="00693B99">
        <w:rPr>
          <w:szCs w:val="22"/>
        </w:rPr>
        <w:t xml:space="preserve"> </w:t>
      </w:r>
      <w:r w:rsidR="0069658A" w:rsidRPr="00693B99">
        <w:rPr>
          <w:szCs w:val="22"/>
        </w:rPr>
        <w:t>These applications will be subject to a filing fee.</w:t>
      </w:r>
      <w:r w:rsidR="0069658A" w:rsidRPr="00693B99">
        <w:rPr>
          <w:szCs w:val="22"/>
          <w:vertAlign w:val="superscript"/>
        </w:rPr>
        <w:footnoteReference w:id="57"/>
      </w:r>
    </w:p>
    <w:p w14:paraId="3B4FD8AE" w14:textId="77777777" w:rsidR="00D66D9F" w:rsidRPr="00693B99" w:rsidRDefault="00C0031A" w:rsidP="00D66D9F">
      <w:pPr>
        <w:numPr>
          <w:ilvl w:val="0"/>
          <w:numId w:val="2"/>
        </w:numPr>
        <w:tabs>
          <w:tab w:val="clear" w:pos="1080"/>
          <w:tab w:val="num" w:pos="1440"/>
        </w:tabs>
        <w:spacing w:after="120"/>
        <w:rPr>
          <w:szCs w:val="22"/>
        </w:rPr>
      </w:pPr>
      <w:r w:rsidRPr="00693B99">
        <w:rPr>
          <w:i/>
          <w:snapToGrid/>
          <w:szCs w:val="22"/>
        </w:rPr>
        <w:t xml:space="preserve">Non-Reassigned </w:t>
      </w:r>
      <w:r w:rsidR="009F5ED1" w:rsidRPr="00693B99">
        <w:rPr>
          <w:i/>
          <w:snapToGrid/>
          <w:szCs w:val="22"/>
        </w:rPr>
        <w:t xml:space="preserve">Stations with </w:t>
      </w:r>
      <w:r w:rsidR="007F54D1" w:rsidRPr="00693B99">
        <w:rPr>
          <w:i/>
          <w:snapToGrid/>
          <w:szCs w:val="22"/>
        </w:rPr>
        <w:t xml:space="preserve">Excess </w:t>
      </w:r>
      <w:r w:rsidR="00D66D9F" w:rsidRPr="00693B99">
        <w:rPr>
          <w:i/>
          <w:snapToGrid/>
          <w:szCs w:val="22"/>
        </w:rPr>
        <w:t>Population Loss</w:t>
      </w:r>
      <w:r w:rsidR="009F5ED1" w:rsidRPr="00693B99">
        <w:rPr>
          <w:i/>
          <w:snapToGrid/>
          <w:szCs w:val="22"/>
        </w:rPr>
        <w:t xml:space="preserve">.  </w:t>
      </w:r>
      <w:r w:rsidR="00AA4413" w:rsidRPr="00693B99">
        <w:rPr>
          <w:snapToGrid/>
          <w:szCs w:val="22"/>
        </w:rPr>
        <w:t xml:space="preserve">Stations </w:t>
      </w:r>
      <w:r w:rsidR="00D66D9F" w:rsidRPr="00693B99">
        <w:rPr>
          <w:snapToGrid/>
          <w:szCs w:val="22"/>
        </w:rPr>
        <w:t xml:space="preserve">not </w:t>
      </w:r>
      <w:r w:rsidR="004E128B" w:rsidRPr="00693B99">
        <w:rPr>
          <w:snapToGrid/>
          <w:szCs w:val="22"/>
        </w:rPr>
        <w:t xml:space="preserve">reassigned to new </w:t>
      </w:r>
      <w:r w:rsidR="0062428E" w:rsidRPr="00693B99">
        <w:rPr>
          <w:snapToGrid/>
          <w:szCs w:val="22"/>
        </w:rPr>
        <w:t xml:space="preserve">post-auction </w:t>
      </w:r>
      <w:r w:rsidR="004E128B" w:rsidRPr="00693B99">
        <w:rPr>
          <w:snapToGrid/>
          <w:szCs w:val="22"/>
        </w:rPr>
        <w:t>channels but</w:t>
      </w:r>
      <w:r w:rsidR="00AA4413" w:rsidRPr="00693B99">
        <w:rPr>
          <w:snapToGrid/>
          <w:szCs w:val="22"/>
        </w:rPr>
        <w:t xml:space="preserve"> </w:t>
      </w:r>
      <w:r w:rsidR="006E4B1F" w:rsidRPr="00693B99">
        <w:rPr>
          <w:snapToGrid/>
          <w:szCs w:val="22"/>
        </w:rPr>
        <w:t xml:space="preserve">that </w:t>
      </w:r>
      <w:r w:rsidR="00AA4413" w:rsidRPr="00693B99">
        <w:rPr>
          <w:snapToGrid/>
          <w:szCs w:val="22"/>
        </w:rPr>
        <w:t>were entitled to protection in the repacking process and are predicted to experience a loss in population served in excess of one percent because of new station-to-station interference may submit a</w:t>
      </w:r>
      <w:r w:rsidR="00F9565E" w:rsidRPr="00693B99">
        <w:rPr>
          <w:snapToGrid/>
          <w:szCs w:val="22"/>
        </w:rPr>
        <w:t xml:space="preserve"> construction permit</w:t>
      </w:r>
      <w:r w:rsidR="00AA4413" w:rsidRPr="00693B99">
        <w:rPr>
          <w:snapToGrid/>
          <w:szCs w:val="22"/>
        </w:rPr>
        <w:t xml:space="preserve"> application </w:t>
      </w:r>
      <w:r w:rsidR="00515F1E" w:rsidRPr="00693B99">
        <w:rPr>
          <w:szCs w:val="22"/>
        </w:rPr>
        <w:t>proposing expanded facilities or an alternate channel and demonstrating the predicted population loss</w:t>
      </w:r>
      <w:r w:rsidR="00533B9E" w:rsidRPr="00693B99">
        <w:rPr>
          <w:szCs w:val="22"/>
        </w:rPr>
        <w:t>.  Applications must be filed</w:t>
      </w:r>
      <w:r w:rsidR="00515F1E" w:rsidRPr="00693B99">
        <w:rPr>
          <w:szCs w:val="22"/>
        </w:rPr>
        <w:t xml:space="preserve"> </w:t>
      </w:r>
      <w:r w:rsidR="005336B6" w:rsidRPr="00693B99">
        <w:rPr>
          <w:szCs w:val="22"/>
        </w:rPr>
        <w:t xml:space="preserve">via LMS </w:t>
      </w:r>
      <w:r w:rsidR="00AA4413" w:rsidRPr="00693B99">
        <w:rPr>
          <w:szCs w:val="22"/>
        </w:rPr>
        <w:t>using FCC Form 2100 – Schedule A (full power stations) or Schedule E (Class A stations).</w:t>
      </w:r>
      <w:r w:rsidR="00335977" w:rsidRPr="00693B99">
        <w:rPr>
          <w:rStyle w:val="FootnoteReference"/>
        </w:rPr>
        <w:footnoteReference w:id="58"/>
      </w:r>
      <w:r w:rsidR="00AA4413" w:rsidRPr="00693B99">
        <w:rPr>
          <w:szCs w:val="22"/>
        </w:rPr>
        <w:t xml:space="preserve">  These applications will be subject to a filing fe</w:t>
      </w:r>
      <w:r w:rsidR="00BE402B" w:rsidRPr="00693B99">
        <w:rPr>
          <w:szCs w:val="22"/>
        </w:rPr>
        <w:t xml:space="preserve">e.  </w:t>
      </w:r>
      <w:r w:rsidR="009F5ED1" w:rsidRPr="00693B99">
        <w:rPr>
          <w:szCs w:val="22"/>
        </w:rPr>
        <w:t>In addition, t</w:t>
      </w:r>
      <w:r w:rsidR="00BE402B" w:rsidRPr="00693B99">
        <w:rPr>
          <w:szCs w:val="22"/>
        </w:rPr>
        <w:t xml:space="preserve">he </w:t>
      </w:r>
      <w:r w:rsidR="00AA4413" w:rsidRPr="00693B99">
        <w:rPr>
          <w:szCs w:val="22"/>
        </w:rPr>
        <w:t xml:space="preserve">costs </w:t>
      </w:r>
      <w:r w:rsidR="005336B6" w:rsidRPr="00693B99">
        <w:rPr>
          <w:szCs w:val="22"/>
        </w:rPr>
        <w:t xml:space="preserve">incurred by </w:t>
      </w:r>
      <w:r w:rsidR="00BE402B" w:rsidRPr="00693B99">
        <w:rPr>
          <w:szCs w:val="22"/>
        </w:rPr>
        <w:t xml:space="preserve">non-reassigned stations </w:t>
      </w:r>
      <w:r w:rsidR="005336B6" w:rsidRPr="00693B99">
        <w:rPr>
          <w:szCs w:val="22"/>
        </w:rPr>
        <w:t xml:space="preserve">to construct </w:t>
      </w:r>
      <w:r w:rsidR="00AA4413" w:rsidRPr="00693B99">
        <w:rPr>
          <w:snapToGrid/>
          <w:szCs w:val="22"/>
        </w:rPr>
        <w:t>alternate channels or expanded facilities will not be reimbursable from the Reimbursement Fund.</w:t>
      </w:r>
      <w:r w:rsidR="00995A03" w:rsidRPr="00693B99">
        <w:rPr>
          <w:rStyle w:val="FootnoteReference"/>
          <w:snapToGrid/>
          <w:kern w:val="0"/>
          <w:sz w:val="22"/>
          <w:szCs w:val="22"/>
        </w:rPr>
        <w:footnoteReference w:id="59"/>
      </w:r>
    </w:p>
    <w:p w14:paraId="01385D43" w14:textId="77777777" w:rsidR="0069658A" w:rsidRPr="00693B99" w:rsidRDefault="0069658A" w:rsidP="0076614B">
      <w:pPr>
        <w:numPr>
          <w:ilvl w:val="0"/>
          <w:numId w:val="2"/>
        </w:numPr>
        <w:tabs>
          <w:tab w:val="clear" w:pos="1080"/>
          <w:tab w:val="num" w:pos="1440"/>
        </w:tabs>
        <w:spacing w:after="120"/>
        <w:rPr>
          <w:szCs w:val="22"/>
        </w:rPr>
      </w:pPr>
      <w:r w:rsidRPr="00693B99">
        <w:rPr>
          <w:i/>
          <w:szCs w:val="22"/>
        </w:rPr>
        <w:t xml:space="preserve">Displaced Class A Stations. </w:t>
      </w:r>
      <w:r w:rsidRPr="00693B99">
        <w:rPr>
          <w:szCs w:val="22"/>
        </w:rPr>
        <w:t xml:space="preserve"> Any Class A station that was not protected</w:t>
      </w:r>
      <w:r w:rsidR="00F9565E" w:rsidRPr="00693B99">
        <w:rPr>
          <w:szCs w:val="22"/>
        </w:rPr>
        <w:t xml:space="preserve"> in</w:t>
      </w:r>
      <w:r w:rsidRPr="00693B99">
        <w:rPr>
          <w:szCs w:val="22"/>
        </w:rPr>
        <w:t xml:space="preserve"> the repacking </w:t>
      </w:r>
      <w:r w:rsidR="00A72640" w:rsidRPr="00693B99">
        <w:rPr>
          <w:szCs w:val="22"/>
        </w:rPr>
        <w:t>process</w:t>
      </w:r>
      <w:r w:rsidRPr="00693B99">
        <w:rPr>
          <w:szCs w:val="22"/>
        </w:rPr>
        <w:t xml:space="preserve"> </w:t>
      </w:r>
      <w:r w:rsidR="00F9565E" w:rsidRPr="00693B99">
        <w:rPr>
          <w:szCs w:val="22"/>
        </w:rPr>
        <w:t>may</w:t>
      </w:r>
      <w:r w:rsidRPr="00693B99">
        <w:rPr>
          <w:szCs w:val="22"/>
        </w:rPr>
        <w:t xml:space="preserve"> file a displacement application in the first </w:t>
      </w:r>
      <w:r w:rsidR="005B36E6" w:rsidRPr="00693B99">
        <w:rPr>
          <w:szCs w:val="22"/>
        </w:rPr>
        <w:t xml:space="preserve">priority </w:t>
      </w:r>
      <w:r w:rsidRPr="00693B99">
        <w:rPr>
          <w:szCs w:val="22"/>
        </w:rPr>
        <w:t>window</w:t>
      </w:r>
      <w:r w:rsidR="00072A2D" w:rsidRPr="00693B99">
        <w:rPr>
          <w:szCs w:val="22"/>
        </w:rPr>
        <w:t>.</w:t>
      </w:r>
      <w:r w:rsidR="00072A2D" w:rsidRPr="00693B99">
        <w:rPr>
          <w:rStyle w:val="FootnoteReference"/>
        </w:rPr>
        <w:footnoteReference w:id="60"/>
      </w:r>
      <w:r w:rsidR="00072A2D" w:rsidRPr="00693B99">
        <w:rPr>
          <w:szCs w:val="22"/>
        </w:rPr>
        <w:t xml:space="preserve"> </w:t>
      </w:r>
      <w:r w:rsidR="00515F1E" w:rsidRPr="00693B99">
        <w:rPr>
          <w:szCs w:val="22"/>
        </w:rPr>
        <w:t xml:space="preserve"> </w:t>
      </w:r>
      <w:r w:rsidR="007A4F05" w:rsidRPr="00693B99">
        <w:rPr>
          <w:szCs w:val="22"/>
        </w:rPr>
        <w:t>The s</w:t>
      </w:r>
      <w:r w:rsidR="00072A2D" w:rsidRPr="00693B99">
        <w:rPr>
          <w:szCs w:val="22"/>
        </w:rPr>
        <w:t>tation must</w:t>
      </w:r>
      <w:r w:rsidR="005B36E6" w:rsidRPr="00693B99">
        <w:rPr>
          <w:szCs w:val="22"/>
        </w:rPr>
        <w:t xml:space="preserve"> electronically</w:t>
      </w:r>
      <w:r w:rsidR="00072A2D" w:rsidRPr="00693B99">
        <w:rPr>
          <w:szCs w:val="22"/>
        </w:rPr>
        <w:t xml:space="preserve"> file a displacement application</w:t>
      </w:r>
      <w:r w:rsidR="005B36E6" w:rsidRPr="00693B99">
        <w:rPr>
          <w:szCs w:val="22"/>
        </w:rPr>
        <w:t xml:space="preserve"> via LMS</w:t>
      </w:r>
      <w:r w:rsidR="00072A2D" w:rsidRPr="00693B99">
        <w:rPr>
          <w:szCs w:val="22"/>
        </w:rPr>
        <w:t xml:space="preserve"> using FCC Form 2100 – Schedule E</w:t>
      </w:r>
      <w:r w:rsidR="00824669" w:rsidRPr="00693B99">
        <w:rPr>
          <w:szCs w:val="22"/>
        </w:rPr>
        <w:t xml:space="preserve">, in accordance with </w:t>
      </w:r>
      <w:r w:rsidR="00072A2D" w:rsidRPr="00693B99">
        <w:rPr>
          <w:szCs w:val="22"/>
        </w:rPr>
        <w:t>the instructions</w:t>
      </w:r>
      <w:r w:rsidR="00824669" w:rsidRPr="00693B99">
        <w:rPr>
          <w:szCs w:val="22"/>
        </w:rPr>
        <w:t xml:space="preserve"> contained</w:t>
      </w:r>
      <w:r w:rsidR="00072A2D" w:rsidRPr="00693B99">
        <w:rPr>
          <w:szCs w:val="22"/>
        </w:rPr>
        <w:t xml:space="preserve"> in Appendix A.</w:t>
      </w:r>
      <w:r w:rsidR="00072A2D" w:rsidRPr="00693B99">
        <w:rPr>
          <w:szCs w:val="22"/>
          <w:vertAlign w:val="superscript"/>
        </w:rPr>
        <w:footnoteReference w:id="61"/>
      </w:r>
      <w:r w:rsidR="00072A2D" w:rsidRPr="00693B99">
        <w:rPr>
          <w:szCs w:val="22"/>
        </w:rPr>
        <w:t xml:space="preserve"> </w:t>
      </w:r>
      <w:r w:rsidRPr="00693B99">
        <w:rPr>
          <w:szCs w:val="22"/>
        </w:rPr>
        <w:t xml:space="preserve"> </w:t>
      </w:r>
      <w:r w:rsidR="00072A2D" w:rsidRPr="00693B99">
        <w:rPr>
          <w:szCs w:val="22"/>
        </w:rPr>
        <w:t>The application must</w:t>
      </w:r>
      <w:r w:rsidRPr="00693B99">
        <w:rPr>
          <w:szCs w:val="22"/>
        </w:rPr>
        <w:t xml:space="preserve"> specify a new channel </w:t>
      </w:r>
      <w:r w:rsidR="005B36E6" w:rsidRPr="00693B99">
        <w:rPr>
          <w:szCs w:val="22"/>
        </w:rPr>
        <w:t xml:space="preserve">or </w:t>
      </w:r>
      <w:r w:rsidR="004E063B" w:rsidRPr="00693B99">
        <w:rPr>
          <w:szCs w:val="22"/>
        </w:rPr>
        <w:t xml:space="preserve">other </w:t>
      </w:r>
      <w:r w:rsidR="005B36E6" w:rsidRPr="00693B99">
        <w:rPr>
          <w:szCs w:val="22"/>
        </w:rPr>
        <w:t xml:space="preserve">modification </w:t>
      </w:r>
      <w:r w:rsidRPr="00693B99">
        <w:rPr>
          <w:szCs w:val="22"/>
        </w:rPr>
        <w:t>that would comply with the interference and technical rules.</w:t>
      </w:r>
      <w:r w:rsidRPr="00693B99">
        <w:rPr>
          <w:szCs w:val="22"/>
          <w:vertAlign w:val="superscript"/>
        </w:rPr>
        <w:footnoteReference w:id="62"/>
      </w:r>
      <w:r w:rsidRPr="00693B99">
        <w:rPr>
          <w:szCs w:val="22"/>
        </w:rPr>
        <w:t xml:space="preserve"> </w:t>
      </w:r>
      <w:r w:rsidR="003278F3" w:rsidRPr="00693B99">
        <w:rPr>
          <w:szCs w:val="22"/>
        </w:rPr>
        <w:t xml:space="preserve"> </w:t>
      </w:r>
      <w:r w:rsidRPr="00693B99">
        <w:rPr>
          <w:szCs w:val="22"/>
        </w:rPr>
        <w:t xml:space="preserve">The proposed </w:t>
      </w:r>
      <w:r w:rsidR="005B36E6" w:rsidRPr="00693B99">
        <w:rPr>
          <w:szCs w:val="22"/>
        </w:rPr>
        <w:t>facility</w:t>
      </w:r>
      <w:r w:rsidRPr="00693B99">
        <w:rPr>
          <w:szCs w:val="22"/>
        </w:rPr>
        <w:t xml:space="preserve"> must also comply with </w:t>
      </w:r>
      <w:r w:rsidRPr="00693B99">
        <w:rPr>
          <w:snapToGrid/>
          <w:kern w:val="0"/>
          <w:szCs w:val="22"/>
        </w:rPr>
        <w:t>Section 336(f)(7)(B) of the Communications Act, which prevents the Commission from approving a modification of a Class A license</w:t>
      </w:r>
      <w:r w:rsidR="00824669" w:rsidRPr="00693B99">
        <w:rPr>
          <w:snapToGrid/>
          <w:kern w:val="0"/>
          <w:szCs w:val="22"/>
        </w:rPr>
        <w:t>,</w:t>
      </w:r>
      <w:r w:rsidRPr="00693B99">
        <w:rPr>
          <w:snapToGrid/>
          <w:kern w:val="0"/>
          <w:szCs w:val="22"/>
        </w:rPr>
        <w:t xml:space="preserve"> “unless the . . . licensee shows” that its proposal would not cause interference to </w:t>
      </w:r>
      <w:r w:rsidR="00824669" w:rsidRPr="00693B99">
        <w:rPr>
          <w:snapToGrid/>
          <w:kern w:val="0"/>
          <w:szCs w:val="22"/>
        </w:rPr>
        <w:t xml:space="preserve">a </w:t>
      </w:r>
      <w:r w:rsidRPr="00693B99">
        <w:rPr>
          <w:snapToGrid/>
          <w:kern w:val="0"/>
          <w:szCs w:val="22"/>
        </w:rPr>
        <w:t xml:space="preserve">LPTV </w:t>
      </w:r>
      <w:r w:rsidR="00824669" w:rsidRPr="00693B99">
        <w:rPr>
          <w:snapToGrid/>
          <w:kern w:val="0"/>
          <w:szCs w:val="22"/>
        </w:rPr>
        <w:t xml:space="preserve">facility </w:t>
      </w:r>
      <w:r w:rsidRPr="00693B99">
        <w:rPr>
          <w:snapToGrid/>
          <w:kern w:val="0"/>
          <w:szCs w:val="22"/>
        </w:rPr>
        <w:t>or translator facilities authorized or proposed before “the application for . . . modification of such a license . . . was filed.”</w:t>
      </w:r>
      <w:r w:rsidRPr="00693B99">
        <w:rPr>
          <w:snapToGrid/>
          <w:kern w:val="0"/>
          <w:szCs w:val="22"/>
          <w:vertAlign w:val="superscript"/>
        </w:rPr>
        <w:footnoteReference w:id="63"/>
      </w:r>
      <w:r w:rsidRPr="00693B99">
        <w:rPr>
          <w:snapToGrid/>
          <w:kern w:val="0"/>
          <w:szCs w:val="22"/>
        </w:rPr>
        <w:t xml:space="preserve"> </w:t>
      </w:r>
      <w:r w:rsidR="003278F3" w:rsidRPr="00693B99">
        <w:rPr>
          <w:snapToGrid/>
          <w:kern w:val="0"/>
          <w:szCs w:val="22"/>
        </w:rPr>
        <w:t xml:space="preserve"> </w:t>
      </w:r>
      <w:r w:rsidR="008E7020" w:rsidRPr="00693B99">
        <w:rPr>
          <w:snapToGrid/>
          <w:szCs w:val="22"/>
        </w:rPr>
        <w:t>We note that c</w:t>
      </w:r>
      <w:r w:rsidR="00AE3920" w:rsidRPr="00693B99">
        <w:rPr>
          <w:szCs w:val="22"/>
        </w:rPr>
        <w:t xml:space="preserve">osts associated </w:t>
      </w:r>
      <w:r w:rsidR="00AE3920" w:rsidRPr="00693B99">
        <w:rPr>
          <w:snapToGrid/>
          <w:kern w:val="0"/>
          <w:szCs w:val="22"/>
        </w:rPr>
        <w:t xml:space="preserve">with constructing any Class A displacement facilities will not be </w:t>
      </w:r>
      <w:r w:rsidR="00824669" w:rsidRPr="00693B99">
        <w:rPr>
          <w:snapToGrid/>
          <w:kern w:val="0"/>
          <w:szCs w:val="22"/>
        </w:rPr>
        <w:t xml:space="preserve">eligible for reimbursement </w:t>
      </w:r>
      <w:r w:rsidR="00AE3920" w:rsidRPr="00693B99">
        <w:rPr>
          <w:snapToGrid/>
          <w:kern w:val="0"/>
          <w:szCs w:val="22"/>
        </w:rPr>
        <w:t>from the Reimbursement Fund.</w:t>
      </w:r>
      <w:r w:rsidR="00536A47" w:rsidRPr="00693B99">
        <w:rPr>
          <w:rStyle w:val="FootnoteReference"/>
          <w:snapToGrid/>
          <w:kern w:val="0"/>
          <w:sz w:val="22"/>
          <w:szCs w:val="22"/>
        </w:rPr>
        <w:footnoteReference w:id="64"/>
      </w:r>
    </w:p>
    <w:p w14:paraId="6A5E82D8" w14:textId="77777777" w:rsidR="00D66D9F" w:rsidRPr="00693B99" w:rsidRDefault="00D66D9F" w:rsidP="00C80FF3">
      <w:pPr>
        <w:pStyle w:val="Heading3"/>
        <w:ind w:hanging="1440"/>
        <w:rPr>
          <w:szCs w:val="22"/>
        </w:rPr>
      </w:pPr>
      <w:bookmarkStart w:id="99" w:name="_Toc466014525"/>
      <w:bookmarkStart w:id="100" w:name="_Toc466019466"/>
      <w:bookmarkStart w:id="101" w:name="_Toc468178151"/>
      <w:bookmarkStart w:id="102" w:name="_Toc471732173"/>
      <w:bookmarkStart w:id="103" w:name="_Toc471732249"/>
      <w:bookmarkStart w:id="104" w:name="_Toc471732544"/>
      <w:bookmarkStart w:id="105" w:name="_Toc471732617"/>
      <w:bookmarkStart w:id="106" w:name="_Toc471732880"/>
      <w:bookmarkStart w:id="107" w:name="_Toc471734057"/>
      <w:r w:rsidRPr="00693B99">
        <w:rPr>
          <w:szCs w:val="22"/>
        </w:rPr>
        <w:t>Second Window Timing and Requirements</w:t>
      </w:r>
      <w:bookmarkEnd w:id="99"/>
      <w:bookmarkEnd w:id="100"/>
      <w:bookmarkEnd w:id="101"/>
      <w:bookmarkEnd w:id="102"/>
      <w:bookmarkEnd w:id="103"/>
      <w:bookmarkEnd w:id="104"/>
      <w:bookmarkEnd w:id="105"/>
      <w:bookmarkEnd w:id="106"/>
      <w:bookmarkEnd w:id="107"/>
    </w:p>
    <w:p w14:paraId="46CE7874" w14:textId="77777777" w:rsidR="0069658A" w:rsidRPr="00693B99" w:rsidRDefault="0069658A" w:rsidP="00D66D9F">
      <w:pPr>
        <w:numPr>
          <w:ilvl w:val="0"/>
          <w:numId w:val="2"/>
        </w:numPr>
        <w:tabs>
          <w:tab w:val="clear" w:pos="1080"/>
          <w:tab w:val="num" w:pos="1440"/>
        </w:tabs>
        <w:spacing w:after="120"/>
        <w:rPr>
          <w:szCs w:val="22"/>
        </w:rPr>
      </w:pPr>
      <w:r w:rsidRPr="00693B99">
        <w:rPr>
          <w:szCs w:val="22"/>
        </w:rPr>
        <w:t>During the second</w:t>
      </w:r>
      <w:r w:rsidR="00FE4358" w:rsidRPr="00693B99">
        <w:rPr>
          <w:szCs w:val="22"/>
        </w:rPr>
        <w:t xml:space="preserve"> </w:t>
      </w:r>
      <w:r w:rsidRPr="00693B99">
        <w:rPr>
          <w:szCs w:val="22"/>
        </w:rPr>
        <w:t xml:space="preserve">window, any reassigned station or band changing station may file an amendment to </w:t>
      </w:r>
      <w:r w:rsidR="00D14863" w:rsidRPr="00693B99">
        <w:rPr>
          <w:szCs w:val="22"/>
        </w:rPr>
        <w:t>its</w:t>
      </w:r>
      <w:r w:rsidR="003C6C33" w:rsidRPr="00693B99">
        <w:rPr>
          <w:szCs w:val="22"/>
        </w:rPr>
        <w:t xml:space="preserve"> </w:t>
      </w:r>
      <w:r w:rsidRPr="00693B99">
        <w:rPr>
          <w:szCs w:val="22"/>
        </w:rPr>
        <w:t xml:space="preserve">initial construction permit application, if still pending, or a modification to </w:t>
      </w:r>
      <w:r w:rsidR="00D14863" w:rsidRPr="00693B99">
        <w:rPr>
          <w:szCs w:val="22"/>
        </w:rPr>
        <w:t>its</w:t>
      </w:r>
      <w:r w:rsidR="003C6C33" w:rsidRPr="00693B99">
        <w:rPr>
          <w:szCs w:val="22"/>
        </w:rPr>
        <w:t xml:space="preserve"> </w:t>
      </w:r>
      <w:r w:rsidRPr="00693B99">
        <w:rPr>
          <w:szCs w:val="22"/>
        </w:rPr>
        <w:t>construction permit</w:t>
      </w:r>
      <w:r w:rsidR="005336B6" w:rsidRPr="00693B99">
        <w:rPr>
          <w:szCs w:val="22"/>
        </w:rPr>
        <w:t>, if granted,</w:t>
      </w:r>
      <w:r w:rsidRPr="00693B99">
        <w:rPr>
          <w:szCs w:val="22"/>
        </w:rPr>
        <w:t xml:space="preserve"> to seek an alternate channel or expanded facility from that specified in the </w:t>
      </w:r>
      <w:r w:rsidRPr="00693B99">
        <w:rPr>
          <w:i/>
          <w:szCs w:val="22"/>
        </w:rPr>
        <w:t>C</w:t>
      </w:r>
      <w:r w:rsidR="00290316" w:rsidRPr="00693B99">
        <w:rPr>
          <w:i/>
          <w:szCs w:val="22"/>
        </w:rPr>
        <w:t>losing and</w:t>
      </w:r>
      <w:r w:rsidR="00012DF5" w:rsidRPr="00693B99">
        <w:rPr>
          <w:i/>
          <w:szCs w:val="22"/>
        </w:rPr>
        <w:t xml:space="preserve"> </w:t>
      </w:r>
      <w:r w:rsidRPr="00693B99">
        <w:rPr>
          <w:i/>
          <w:szCs w:val="22"/>
        </w:rPr>
        <w:t>R</w:t>
      </w:r>
      <w:r w:rsidR="00290316" w:rsidRPr="00693B99">
        <w:rPr>
          <w:i/>
          <w:szCs w:val="22"/>
        </w:rPr>
        <w:t>eassignment</w:t>
      </w:r>
      <w:r w:rsidRPr="00693B99">
        <w:rPr>
          <w:i/>
          <w:szCs w:val="22"/>
        </w:rPr>
        <w:t xml:space="preserve"> P</w:t>
      </w:r>
      <w:r w:rsidR="00FF1531" w:rsidRPr="00693B99">
        <w:rPr>
          <w:i/>
          <w:szCs w:val="22"/>
        </w:rPr>
        <w:t>ublic Notice</w:t>
      </w:r>
      <w:r w:rsidRPr="00693B99">
        <w:rPr>
          <w:szCs w:val="22"/>
        </w:rPr>
        <w:t>.</w:t>
      </w:r>
      <w:r w:rsidR="0007386A" w:rsidRPr="00693B99">
        <w:rPr>
          <w:rStyle w:val="FootnoteReference"/>
        </w:rPr>
        <w:footnoteReference w:id="65"/>
      </w:r>
      <w:r w:rsidR="009D7B8D" w:rsidRPr="00693B99">
        <w:rPr>
          <w:szCs w:val="22"/>
        </w:rPr>
        <w:t xml:space="preserve"> </w:t>
      </w:r>
      <w:r w:rsidR="003C6C33" w:rsidRPr="00693B99">
        <w:rPr>
          <w:szCs w:val="22"/>
        </w:rPr>
        <w:t xml:space="preserve"> </w:t>
      </w:r>
      <w:r w:rsidR="001138C0" w:rsidRPr="00693B99">
        <w:rPr>
          <w:szCs w:val="22"/>
        </w:rPr>
        <w:t xml:space="preserve">We anticipate </w:t>
      </w:r>
      <w:r w:rsidRPr="00693B99">
        <w:rPr>
          <w:szCs w:val="22"/>
        </w:rPr>
        <w:t>open</w:t>
      </w:r>
      <w:r w:rsidR="001138C0" w:rsidRPr="00693B99">
        <w:rPr>
          <w:szCs w:val="22"/>
        </w:rPr>
        <w:t>ing</w:t>
      </w:r>
      <w:r w:rsidRPr="00693B99">
        <w:rPr>
          <w:szCs w:val="22"/>
        </w:rPr>
        <w:t xml:space="preserve"> this window approximately </w:t>
      </w:r>
      <w:r w:rsidR="00456822" w:rsidRPr="00693B99">
        <w:rPr>
          <w:szCs w:val="22"/>
        </w:rPr>
        <w:t xml:space="preserve">14 to 30 days </w:t>
      </w:r>
      <w:r w:rsidRPr="00693B99">
        <w:rPr>
          <w:szCs w:val="22"/>
        </w:rPr>
        <w:t xml:space="preserve">after the close of the first priority filing window.  </w:t>
      </w:r>
      <w:r w:rsidR="00582FF3" w:rsidRPr="00693B99">
        <w:rPr>
          <w:szCs w:val="22"/>
        </w:rPr>
        <w:t>All of t</w:t>
      </w:r>
      <w:r w:rsidRPr="00693B99">
        <w:rPr>
          <w:szCs w:val="22"/>
        </w:rPr>
        <w:t>he applications and amendments filed during th</w:t>
      </w:r>
      <w:r w:rsidR="003B2BFC" w:rsidRPr="00693B99">
        <w:rPr>
          <w:szCs w:val="22"/>
        </w:rPr>
        <w:t>e</w:t>
      </w:r>
      <w:r w:rsidRPr="00693B99">
        <w:rPr>
          <w:szCs w:val="22"/>
        </w:rPr>
        <w:t xml:space="preserve"> second window</w:t>
      </w:r>
      <w:r w:rsidR="006F21FC" w:rsidRPr="00693B99">
        <w:rPr>
          <w:rStyle w:val="CommentReference"/>
          <w:sz w:val="22"/>
          <w:szCs w:val="22"/>
        </w:rPr>
        <w:t xml:space="preserve"> </w:t>
      </w:r>
      <w:r w:rsidRPr="00693B99">
        <w:rPr>
          <w:szCs w:val="22"/>
        </w:rPr>
        <w:t xml:space="preserve">must protect the facilities proposed in the first </w:t>
      </w:r>
      <w:r w:rsidR="004B08C2" w:rsidRPr="00693B99">
        <w:rPr>
          <w:szCs w:val="22"/>
        </w:rPr>
        <w:t>priority</w:t>
      </w:r>
      <w:r w:rsidRPr="00693B99">
        <w:rPr>
          <w:szCs w:val="22"/>
        </w:rPr>
        <w:t xml:space="preserve"> window, and will be entitled to interference protection from subsequently</w:t>
      </w:r>
      <w:r w:rsidR="00593690" w:rsidRPr="00693B99">
        <w:rPr>
          <w:szCs w:val="22"/>
        </w:rPr>
        <w:t>-</w:t>
      </w:r>
      <w:r w:rsidRPr="00693B99">
        <w:rPr>
          <w:szCs w:val="22"/>
        </w:rPr>
        <w:t>filed amendments and modification applications</w:t>
      </w:r>
      <w:r w:rsidR="00C81275" w:rsidRPr="00693B99">
        <w:rPr>
          <w:szCs w:val="22"/>
        </w:rPr>
        <w:t xml:space="preserve"> filed after the close of the second window</w:t>
      </w:r>
      <w:r w:rsidRPr="00693B99">
        <w:rPr>
          <w:szCs w:val="22"/>
        </w:rPr>
        <w:t>.</w:t>
      </w:r>
      <w:r w:rsidRPr="00693B99">
        <w:rPr>
          <w:szCs w:val="22"/>
          <w:vertAlign w:val="superscript"/>
        </w:rPr>
        <w:footnoteReference w:id="66"/>
      </w:r>
      <w:r w:rsidRPr="00693B99">
        <w:rPr>
          <w:szCs w:val="22"/>
        </w:rPr>
        <w:t xml:space="preserve">  </w:t>
      </w:r>
      <w:r w:rsidR="003016C6" w:rsidRPr="00693B99">
        <w:rPr>
          <w:szCs w:val="22"/>
        </w:rPr>
        <w:t>Applicants in the second window must also protect the construction permit facilities of reassigned stations and band changing stations filed in the initial 90-day window if those stations’ applications have been granted or remain pending.  Otherwise, applicants in the second window must protect t</w:t>
      </w:r>
      <w:r w:rsidR="004E4779" w:rsidRPr="00693B99">
        <w:rPr>
          <w:szCs w:val="22"/>
        </w:rPr>
        <w:t xml:space="preserve">he facilities specified in the </w:t>
      </w:r>
      <w:r w:rsidR="003016C6" w:rsidRPr="00693B99">
        <w:rPr>
          <w:i/>
          <w:szCs w:val="22"/>
        </w:rPr>
        <w:t xml:space="preserve">Channel and Reassignment Public Notice.  </w:t>
      </w:r>
      <w:r w:rsidR="003016C6" w:rsidRPr="00693B99">
        <w:rPr>
          <w:szCs w:val="22"/>
        </w:rPr>
        <w:t>In addition, all applications</w:t>
      </w:r>
      <w:r w:rsidR="002950F9" w:rsidRPr="00693B99">
        <w:rPr>
          <w:szCs w:val="22"/>
        </w:rPr>
        <w:t xml:space="preserve"> filed in the second window</w:t>
      </w:r>
      <w:r w:rsidR="003016C6" w:rsidRPr="00693B99">
        <w:rPr>
          <w:szCs w:val="22"/>
        </w:rPr>
        <w:t xml:space="preserve"> must protect applications that were filed before the April 2013 freeze and have “cut-off” protection.</w:t>
      </w:r>
      <w:r w:rsidR="003016C6" w:rsidRPr="00693B99">
        <w:rPr>
          <w:rStyle w:val="FootnoteReference"/>
        </w:rPr>
        <w:footnoteReference w:id="67"/>
      </w:r>
      <w:r w:rsidR="003016C6" w:rsidRPr="00693B99">
        <w:rPr>
          <w:szCs w:val="22"/>
        </w:rPr>
        <w:t xml:space="preserve">  </w:t>
      </w:r>
      <w:r w:rsidRPr="00693B99">
        <w:rPr>
          <w:szCs w:val="22"/>
        </w:rPr>
        <w:t>Applications and amendments filed in th</w:t>
      </w:r>
      <w:r w:rsidR="003B2BFC" w:rsidRPr="00693B99">
        <w:rPr>
          <w:szCs w:val="22"/>
        </w:rPr>
        <w:t>e second</w:t>
      </w:r>
      <w:r w:rsidRPr="00693B99">
        <w:rPr>
          <w:szCs w:val="22"/>
        </w:rPr>
        <w:t xml:space="preserve"> window will be subject to </w:t>
      </w:r>
      <w:r w:rsidR="00824669" w:rsidRPr="00693B99">
        <w:rPr>
          <w:szCs w:val="22"/>
        </w:rPr>
        <w:t xml:space="preserve">the </w:t>
      </w:r>
      <w:r w:rsidRPr="00693B99">
        <w:rPr>
          <w:szCs w:val="22"/>
        </w:rPr>
        <w:t>applicable filing fees.</w:t>
      </w:r>
      <w:r w:rsidRPr="00693B99">
        <w:rPr>
          <w:szCs w:val="22"/>
          <w:vertAlign w:val="superscript"/>
        </w:rPr>
        <w:footnoteReference w:id="68"/>
      </w:r>
    </w:p>
    <w:p w14:paraId="79EFD33A" w14:textId="77777777" w:rsidR="00D66D9F" w:rsidRPr="00693B99" w:rsidRDefault="00D66D9F" w:rsidP="00C80FF3">
      <w:pPr>
        <w:pStyle w:val="Heading3"/>
        <w:ind w:hanging="1440"/>
        <w:rPr>
          <w:szCs w:val="22"/>
        </w:rPr>
      </w:pPr>
      <w:bookmarkStart w:id="108" w:name="_Toc466014526"/>
      <w:bookmarkStart w:id="109" w:name="_Toc466019467"/>
      <w:bookmarkStart w:id="110" w:name="_Toc468178152"/>
      <w:bookmarkStart w:id="111" w:name="_Toc471732174"/>
      <w:bookmarkStart w:id="112" w:name="_Toc471732250"/>
      <w:bookmarkStart w:id="113" w:name="_Toc471732545"/>
      <w:bookmarkStart w:id="114" w:name="_Toc471732618"/>
      <w:bookmarkStart w:id="115" w:name="_Toc471732881"/>
      <w:bookmarkStart w:id="116" w:name="_Toc471734058"/>
      <w:r w:rsidRPr="00693B99">
        <w:rPr>
          <w:szCs w:val="22"/>
        </w:rPr>
        <w:t>Cut-Off Protection and Mutually Exclusive (MX) Applications</w:t>
      </w:r>
      <w:bookmarkEnd w:id="108"/>
      <w:bookmarkEnd w:id="109"/>
      <w:bookmarkEnd w:id="110"/>
      <w:bookmarkEnd w:id="111"/>
      <w:bookmarkEnd w:id="112"/>
      <w:bookmarkEnd w:id="113"/>
      <w:bookmarkEnd w:id="114"/>
      <w:bookmarkEnd w:id="115"/>
      <w:bookmarkEnd w:id="116"/>
    </w:p>
    <w:p w14:paraId="00875727" w14:textId="77777777" w:rsidR="0069658A" w:rsidRPr="00693B99" w:rsidRDefault="004668DF" w:rsidP="00D66D9F">
      <w:pPr>
        <w:numPr>
          <w:ilvl w:val="0"/>
          <w:numId w:val="2"/>
        </w:numPr>
        <w:tabs>
          <w:tab w:val="clear" w:pos="1080"/>
          <w:tab w:val="num" w:pos="1440"/>
        </w:tabs>
        <w:spacing w:after="120"/>
        <w:rPr>
          <w:szCs w:val="22"/>
        </w:rPr>
      </w:pPr>
      <w:r w:rsidRPr="00693B99">
        <w:rPr>
          <w:szCs w:val="22"/>
        </w:rPr>
        <w:t>A</w:t>
      </w:r>
      <w:r w:rsidR="0069658A" w:rsidRPr="00693B99">
        <w:rPr>
          <w:szCs w:val="22"/>
        </w:rPr>
        <w:t xml:space="preserve">pplications filed during either </w:t>
      </w:r>
      <w:r w:rsidR="00D66B9C" w:rsidRPr="00693B99">
        <w:rPr>
          <w:szCs w:val="22"/>
        </w:rPr>
        <w:t>the first</w:t>
      </w:r>
      <w:r w:rsidR="0099769A" w:rsidRPr="00693B99">
        <w:rPr>
          <w:szCs w:val="22"/>
        </w:rPr>
        <w:t xml:space="preserve"> </w:t>
      </w:r>
      <w:r w:rsidR="00AE7A5F" w:rsidRPr="00693B99">
        <w:rPr>
          <w:szCs w:val="22"/>
        </w:rPr>
        <w:t xml:space="preserve">priority window </w:t>
      </w:r>
      <w:r w:rsidR="006F21FC" w:rsidRPr="00693B99">
        <w:rPr>
          <w:szCs w:val="22"/>
        </w:rPr>
        <w:t>or second window</w:t>
      </w:r>
      <w:r w:rsidR="0069658A" w:rsidRPr="00693B99">
        <w:rPr>
          <w:szCs w:val="22"/>
        </w:rPr>
        <w:t xml:space="preserve"> will be treated as</w:t>
      </w:r>
      <w:r w:rsidR="00582FF3" w:rsidRPr="00693B99">
        <w:rPr>
          <w:szCs w:val="22"/>
        </w:rPr>
        <w:t xml:space="preserve"> filed on the last day of th</w:t>
      </w:r>
      <w:r w:rsidR="0031037B" w:rsidRPr="00693B99">
        <w:rPr>
          <w:szCs w:val="22"/>
        </w:rPr>
        <w:t>at</w:t>
      </w:r>
      <w:r w:rsidR="00582FF3" w:rsidRPr="00693B99">
        <w:rPr>
          <w:szCs w:val="22"/>
        </w:rPr>
        <w:t xml:space="preserve"> window</w:t>
      </w:r>
      <w:r w:rsidR="00A37939" w:rsidRPr="00693B99">
        <w:rPr>
          <w:szCs w:val="22"/>
        </w:rPr>
        <w:t xml:space="preserve"> for purposes of determining mutual exclusivity</w:t>
      </w:r>
      <w:r w:rsidR="0069658A" w:rsidRPr="00693B99">
        <w:rPr>
          <w:szCs w:val="22"/>
        </w:rPr>
        <w:t xml:space="preserve">. </w:t>
      </w:r>
      <w:r w:rsidR="001138C0" w:rsidRPr="00693B99">
        <w:rPr>
          <w:szCs w:val="22"/>
        </w:rPr>
        <w:t xml:space="preserve"> </w:t>
      </w:r>
      <w:r w:rsidR="00582FF3" w:rsidRPr="00693B99">
        <w:rPr>
          <w:szCs w:val="22"/>
        </w:rPr>
        <w:t>S</w:t>
      </w:r>
      <w:r w:rsidR="00244EFA" w:rsidRPr="00693B99">
        <w:rPr>
          <w:szCs w:val="22"/>
        </w:rPr>
        <w:t xml:space="preserve">tations filing </w:t>
      </w:r>
      <w:r w:rsidR="0069658A" w:rsidRPr="00693B99">
        <w:rPr>
          <w:szCs w:val="22"/>
        </w:rPr>
        <w:t xml:space="preserve">applications during either window that are determined to be MX </w:t>
      </w:r>
      <w:r w:rsidR="001C5B93" w:rsidRPr="00693B99">
        <w:rPr>
          <w:szCs w:val="22"/>
        </w:rPr>
        <w:t xml:space="preserve">with another application filed in the </w:t>
      </w:r>
      <w:r w:rsidR="002062AD" w:rsidRPr="00693B99">
        <w:rPr>
          <w:szCs w:val="22"/>
        </w:rPr>
        <w:t xml:space="preserve">same </w:t>
      </w:r>
      <w:r w:rsidR="001C5B93" w:rsidRPr="00693B99">
        <w:rPr>
          <w:szCs w:val="22"/>
        </w:rPr>
        <w:t xml:space="preserve">window </w:t>
      </w:r>
      <w:r w:rsidR="0047751C" w:rsidRPr="00693B99">
        <w:rPr>
          <w:szCs w:val="22"/>
        </w:rPr>
        <w:t>will be notified</w:t>
      </w:r>
      <w:r w:rsidR="001C5B93" w:rsidRPr="00693B99">
        <w:rPr>
          <w:szCs w:val="22"/>
        </w:rPr>
        <w:t xml:space="preserve"> </w:t>
      </w:r>
      <w:r w:rsidR="0069658A" w:rsidRPr="00693B99">
        <w:rPr>
          <w:szCs w:val="22"/>
        </w:rPr>
        <w:t>and will be given a</w:t>
      </w:r>
      <w:r w:rsidR="00CB4644" w:rsidRPr="00693B99">
        <w:rPr>
          <w:szCs w:val="22"/>
        </w:rPr>
        <w:t xml:space="preserve"> 90-day</w:t>
      </w:r>
      <w:r w:rsidR="0069658A" w:rsidRPr="00693B99">
        <w:rPr>
          <w:szCs w:val="22"/>
        </w:rPr>
        <w:t xml:space="preserve"> </w:t>
      </w:r>
      <w:r w:rsidR="008D32B1" w:rsidRPr="00693B99">
        <w:rPr>
          <w:szCs w:val="22"/>
        </w:rPr>
        <w:t xml:space="preserve">period </w:t>
      </w:r>
      <w:r w:rsidR="0069658A" w:rsidRPr="00693B99">
        <w:rPr>
          <w:szCs w:val="22"/>
        </w:rPr>
        <w:t>to resolve the MX by proposing a technical solution or settlement</w:t>
      </w:r>
      <w:r w:rsidR="00E944F7" w:rsidRPr="00693B99">
        <w:rPr>
          <w:rStyle w:val="FootnoteReference"/>
        </w:rPr>
        <w:footnoteReference w:id="69"/>
      </w:r>
      <w:r w:rsidR="0069658A" w:rsidRPr="00693B99">
        <w:rPr>
          <w:szCs w:val="22"/>
        </w:rPr>
        <w:t xml:space="preserve"> in an amendment to the</w:t>
      </w:r>
      <w:r w:rsidR="00570C26" w:rsidRPr="00693B99">
        <w:rPr>
          <w:szCs w:val="22"/>
        </w:rPr>
        <w:t>ir</w:t>
      </w:r>
      <w:r w:rsidR="0069658A" w:rsidRPr="00693B99">
        <w:rPr>
          <w:szCs w:val="22"/>
        </w:rPr>
        <w:t xml:space="preserve"> pending application</w:t>
      </w:r>
      <w:r w:rsidR="00570C26" w:rsidRPr="00693B99">
        <w:rPr>
          <w:szCs w:val="22"/>
        </w:rPr>
        <w:t>s</w:t>
      </w:r>
      <w:r w:rsidR="0069658A" w:rsidRPr="00693B99">
        <w:rPr>
          <w:szCs w:val="22"/>
        </w:rPr>
        <w:t>.</w:t>
      </w:r>
      <w:r w:rsidR="0069658A" w:rsidRPr="00693B99">
        <w:rPr>
          <w:szCs w:val="22"/>
          <w:vertAlign w:val="superscript"/>
        </w:rPr>
        <w:footnoteReference w:id="70"/>
      </w:r>
    </w:p>
    <w:p w14:paraId="6327290A" w14:textId="77777777" w:rsidR="00D66D9F" w:rsidRPr="00693B99" w:rsidRDefault="00D66D9F" w:rsidP="00C80FF3">
      <w:pPr>
        <w:pStyle w:val="Heading3"/>
        <w:ind w:hanging="1440"/>
        <w:rPr>
          <w:szCs w:val="22"/>
        </w:rPr>
      </w:pPr>
      <w:bookmarkStart w:id="117" w:name="_Toc466014527"/>
      <w:bookmarkStart w:id="118" w:name="_Toc466019468"/>
      <w:bookmarkStart w:id="119" w:name="_Toc468178153"/>
      <w:bookmarkStart w:id="120" w:name="_Toc471732175"/>
      <w:bookmarkStart w:id="121" w:name="_Toc471732251"/>
      <w:bookmarkStart w:id="122" w:name="_Toc471732546"/>
      <w:bookmarkStart w:id="123" w:name="_Toc471732619"/>
      <w:bookmarkStart w:id="124" w:name="_Toc471732882"/>
      <w:bookmarkStart w:id="125" w:name="_Toc471734059"/>
      <w:r w:rsidRPr="00693B99">
        <w:rPr>
          <w:szCs w:val="22"/>
        </w:rPr>
        <w:t>Incomplete or Defective Applications</w:t>
      </w:r>
      <w:bookmarkEnd w:id="117"/>
      <w:bookmarkEnd w:id="118"/>
      <w:bookmarkEnd w:id="119"/>
      <w:bookmarkEnd w:id="120"/>
      <w:bookmarkEnd w:id="121"/>
      <w:bookmarkEnd w:id="122"/>
      <w:bookmarkEnd w:id="123"/>
      <w:bookmarkEnd w:id="124"/>
      <w:bookmarkEnd w:id="125"/>
    </w:p>
    <w:p w14:paraId="705E5579" w14:textId="60BE4299" w:rsidR="00675A71" w:rsidRPr="00693B99" w:rsidRDefault="0088128F" w:rsidP="00D66D9F">
      <w:pPr>
        <w:numPr>
          <w:ilvl w:val="0"/>
          <w:numId w:val="2"/>
        </w:numPr>
        <w:tabs>
          <w:tab w:val="clear" w:pos="1080"/>
          <w:tab w:val="num" w:pos="1440"/>
        </w:tabs>
        <w:spacing w:after="120"/>
        <w:rPr>
          <w:szCs w:val="22"/>
        </w:rPr>
      </w:pPr>
      <w:r w:rsidRPr="00693B99">
        <w:rPr>
          <w:szCs w:val="22"/>
        </w:rPr>
        <w:t xml:space="preserve">A station that files an application for a construction permit during </w:t>
      </w:r>
      <w:r w:rsidR="006F21FC" w:rsidRPr="00693B99">
        <w:rPr>
          <w:szCs w:val="22"/>
        </w:rPr>
        <w:t xml:space="preserve">either </w:t>
      </w:r>
      <w:r w:rsidRPr="00693B99">
        <w:rPr>
          <w:szCs w:val="22"/>
        </w:rPr>
        <w:t xml:space="preserve">the </w:t>
      </w:r>
      <w:r w:rsidR="008001AC" w:rsidRPr="00693B99">
        <w:rPr>
          <w:szCs w:val="22"/>
        </w:rPr>
        <w:t xml:space="preserve">first </w:t>
      </w:r>
      <w:r w:rsidR="006F21FC" w:rsidRPr="00693B99">
        <w:rPr>
          <w:szCs w:val="22"/>
        </w:rPr>
        <w:t xml:space="preserve">priority window </w:t>
      </w:r>
      <w:r w:rsidR="008001AC" w:rsidRPr="00693B99">
        <w:rPr>
          <w:szCs w:val="22"/>
        </w:rPr>
        <w:t>or second</w:t>
      </w:r>
      <w:r w:rsidR="00D34C05" w:rsidRPr="00693B99">
        <w:rPr>
          <w:szCs w:val="22"/>
        </w:rPr>
        <w:t xml:space="preserve"> </w:t>
      </w:r>
      <w:r w:rsidR="006F21FC" w:rsidRPr="00693B99">
        <w:rPr>
          <w:szCs w:val="22"/>
        </w:rPr>
        <w:t>window</w:t>
      </w:r>
      <w:r w:rsidRPr="00693B99">
        <w:rPr>
          <w:szCs w:val="22"/>
        </w:rPr>
        <w:t xml:space="preserve"> that is incomplete or defect</w:t>
      </w:r>
      <w:r w:rsidR="0047751C" w:rsidRPr="00693B99">
        <w:rPr>
          <w:szCs w:val="22"/>
        </w:rPr>
        <w:t xml:space="preserve">ive will be contacted </w:t>
      </w:r>
      <w:r w:rsidRPr="00693B99">
        <w:rPr>
          <w:szCs w:val="22"/>
        </w:rPr>
        <w:t>and afforded an opportunity to submit an amendment via LMS to cure any defects.</w:t>
      </w:r>
      <w:r w:rsidRPr="00693B99">
        <w:rPr>
          <w:szCs w:val="22"/>
          <w:vertAlign w:val="superscript"/>
        </w:rPr>
        <w:footnoteReference w:id="71"/>
      </w:r>
      <w:r w:rsidRPr="00693B99">
        <w:rPr>
          <w:szCs w:val="22"/>
        </w:rPr>
        <w:t xml:space="preserve"> </w:t>
      </w:r>
      <w:r w:rsidR="008D32B1" w:rsidRPr="00693B99">
        <w:rPr>
          <w:szCs w:val="22"/>
        </w:rPr>
        <w:t xml:space="preserve"> </w:t>
      </w:r>
      <w:r w:rsidRPr="00693B99">
        <w:rPr>
          <w:szCs w:val="22"/>
        </w:rPr>
        <w:t>Failure to correct any defect will result in dismissal of the application.</w:t>
      </w:r>
      <w:r w:rsidRPr="00693B99">
        <w:rPr>
          <w:szCs w:val="22"/>
          <w:vertAlign w:val="superscript"/>
        </w:rPr>
        <w:footnoteReference w:id="72"/>
      </w:r>
      <w:r w:rsidR="00974B5A" w:rsidRPr="00693B99">
        <w:rPr>
          <w:szCs w:val="22"/>
        </w:rPr>
        <w:t xml:space="preserve"> </w:t>
      </w:r>
      <w:r w:rsidR="00690695" w:rsidRPr="00693B99">
        <w:rPr>
          <w:szCs w:val="22"/>
        </w:rPr>
        <w:t xml:space="preserve"> </w:t>
      </w:r>
      <w:r w:rsidR="0087779A" w:rsidRPr="00693B99">
        <w:rPr>
          <w:szCs w:val="22"/>
        </w:rPr>
        <w:t xml:space="preserve">If </w:t>
      </w:r>
      <w:r w:rsidR="00C13698" w:rsidRPr="00693B99">
        <w:rPr>
          <w:szCs w:val="22"/>
        </w:rPr>
        <w:t xml:space="preserve">either </w:t>
      </w:r>
      <w:r w:rsidR="0087779A" w:rsidRPr="00693B99">
        <w:rPr>
          <w:szCs w:val="22"/>
        </w:rPr>
        <w:t xml:space="preserve">an application filed during the first </w:t>
      </w:r>
      <w:r w:rsidR="00690695" w:rsidRPr="00693B99">
        <w:rPr>
          <w:szCs w:val="22"/>
        </w:rPr>
        <w:t xml:space="preserve">priority </w:t>
      </w:r>
      <w:r w:rsidR="0087779A" w:rsidRPr="00693B99">
        <w:rPr>
          <w:szCs w:val="22"/>
        </w:rPr>
        <w:t>window by</w:t>
      </w:r>
      <w:r w:rsidR="00A72BB2" w:rsidRPr="00693B99">
        <w:rPr>
          <w:szCs w:val="22"/>
        </w:rPr>
        <w:t>:</w:t>
      </w:r>
      <w:r w:rsidR="0087779A" w:rsidRPr="00693B99">
        <w:rPr>
          <w:szCs w:val="22"/>
        </w:rPr>
        <w:t xml:space="preserve"> </w:t>
      </w:r>
      <w:r w:rsidR="00A72BB2" w:rsidRPr="00693B99">
        <w:rPr>
          <w:szCs w:val="22"/>
        </w:rPr>
        <w:t xml:space="preserve">(1) </w:t>
      </w:r>
      <w:r w:rsidR="0087779A" w:rsidRPr="00693B99">
        <w:rPr>
          <w:szCs w:val="22"/>
        </w:rPr>
        <w:t xml:space="preserve">a station that was unable to construct the facilities specified in the </w:t>
      </w:r>
      <w:r w:rsidR="0087779A" w:rsidRPr="00693B99">
        <w:rPr>
          <w:i/>
          <w:szCs w:val="22"/>
        </w:rPr>
        <w:t>Closing and Reassignment Public Notice</w:t>
      </w:r>
      <w:r w:rsidR="0087779A" w:rsidRPr="00693B99">
        <w:rPr>
          <w:szCs w:val="22"/>
        </w:rPr>
        <w:t xml:space="preserve"> or </w:t>
      </w:r>
      <w:r w:rsidR="00A72BB2" w:rsidRPr="00693B99">
        <w:rPr>
          <w:szCs w:val="22"/>
        </w:rPr>
        <w:t xml:space="preserve">(2) </w:t>
      </w:r>
      <w:r w:rsidR="0087779A" w:rsidRPr="00693B99">
        <w:rPr>
          <w:szCs w:val="22"/>
        </w:rPr>
        <w:t>a displaced Class A station is dismissed then the station must file a new application within 15 days of dismissal and pay the requisite filing fee.  All other applications filed in the windows that are dismissed may not be re-filed until the Media Bureau lifts the freeze on the filing of minor change applications.</w:t>
      </w:r>
      <w:r w:rsidR="0087779A" w:rsidRPr="00693B99">
        <w:rPr>
          <w:rStyle w:val="FootnoteReference"/>
        </w:rPr>
        <w:footnoteReference w:id="73"/>
      </w:r>
    </w:p>
    <w:p w14:paraId="6E01FD63" w14:textId="77777777" w:rsidR="00675A71" w:rsidRPr="00693B99" w:rsidRDefault="00675A71" w:rsidP="00675A71">
      <w:pPr>
        <w:pStyle w:val="Heading2"/>
        <w:rPr>
          <w:szCs w:val="22"/>
        </w:rPr>
      </w:pPr>
      <w:bookmarkStart w:id="126" w:name="_Toc471732176"/>
      <w:bookmarkStart w:id="127" w:name="_Toc471732252"/>
      <w:bookmarkStart w:id="128" w:name="_Toc471732547"/>
      <w:bookmarkStart w:id="129" w:name="_Toc471732620"/>
      <w:bookmarkStart w:id="130" w:name="_Toc471732883"/>
      <w:bookmarkStart w:id="131" w:name="_Toc471734060"/>
      <w:r w:rsidRPr="00693B99">
        <w:rPr>
          <w:szCs w:val="22"/>
        </w:rPr>
        <w:t>International Coordination</w:t>
      </w:r>
      <w:bookmarkEnd w:id="126"/>
      <w:bookmarkEnd w:id="127"/>
      <w:bookmarkEnd w:id="128"/>
      <w:bookmarkEnd w:id="129"/>
      <w:bookmarkEnd w:id="130"/>
      <w:bookmarkEnd w:id="131"/>
    </w:p>
    <w:p w14:paraId="5D62B7AC" w14:textId="77777777" w:rsidR="00BA61A2" w:rsidRPr="00693B99" w:rsidRDefault="0087779A" w:rsidP="00BA61A2">
      <w:pPr>
        <w:numPr>
          <w:ilvl w:val="0"/>
          <w:numId w:val="2"/>
        </w:numPr>
        <w:tabs>
          <w:tab w:val="clear" w:pos="1080"/>
          <w:tab w:val="num" w:pos="1440"/>
        </w:tabs>
        <w:spacing w:after="120"/>
        <w:rPr>
          <w:szCs w:val="22"/>
        </w:rPr>
      </w:pPr>
      <w:r w:rsidRPr="00693B99">
        <w:rPr>
          <w:szCs w:val="22"/>
        </w:rPr>
        <w:t xml:space="preserve">  </w:t>
      </w:r>
      <w:bookmarkStart w:id="132" w:name="_Ref462063637"/>
      <w:r w:rsidR="00BA61A2" w:rsidRPr="00693B99">
        <w:rPr>
          <w:szCs w:val="22"/>
        </w:rPr>
        <w:t xml:space="preserve">Applications filed by reassigned stations and band changing stations to implement their post-auction channel facilities must adhere to technical parameters included in any coordinated arrangements between the Commission and the Canadian and Mexican regulatory agencies.  Applications in the U.S.-Mexico border zone may not require additional coordination if they do not expand the noise-limited contour beyond the range of post-auction technical parameters negotiated with Mexico.      Applications in the U.S.-Canada border zone may not require additional coordination if they do not expand the noise-limited contour by more than one percent in any direction beyond that predicted by the technical parameters listed in the </w:t>
      </w:r>
      <w:r w:rsidR="00BA61A2" w:rsidRPr="00693B99">
        <w:rPr>
          <w:i/>
          <w:szCs w:val="22"/>
        </w:rPr>
        <w:t>Closing and Reassignment Public Notice</w:t>
      </w:r>
      <w:r w:rsidR="00BA61A2" w:rsidRPr="00693B99">
        <w:rPr>
          <w:szCs w:val="22"/>
        </w:rPr>
        <w:t xml:space="preserve">, provided that the proposed facilities would not cause more than 0.5 percent new station-to-station interference to Canadian assignments or allotments.  Applications for alternate channels or expanded facilities beyond these limits may require international coordination to assess potential cross-border interference and the potential impact on the construction deadline phases.  </w:t>
      </w:r>
    </w:p>
    <w:p w14:paraId="2F2D334D" w14:textId="77777777" w:rsidR="00DA3400" w:rsidRPr="00693B99" w:rsidRDefault="00DA3400" w:rsidP="00DA3400">
      <w:pPr>
        <w:pStyle w:val="Heading2"/>
        <w:rPr>
          <w:szCs w:val="22"/>
        </w:rPr>
      </w:pPr>
      <w:bookmarkStart w:id="133" w:name="_Toc471732177"/>
      <w:bookmarkStart w:id="134" w:name="_Toc471732253"/>
      <w:bookmarkStart w:id="135" w:name="_Toc471732548"/>
      <w:bookmarkStart w:id="136" w:name="_Toc471732621"/>
      <w:bookmarkStart w:id="137" w:name="_Toc471732884"/>
      <w:bookmarkStart w:id="138" w:name="_Toc471734061"/>
      <w:r w:rsidRPr="00693B99">
        <w:rPr>
          <w:szCs w:val="22"/>
        </w:rPr>
        <w:t>Transition Phases and Phase Completion Dates</w:t>
      </w:r>
      <w:bookmarkEnd w:id="133"/>
      <w:bookmarkEnd w:id="134"/>
      <w:bookmarkEnd w:id="135"/>
      <w:bookmarkEnd w:id="136"/>
      <w:bookmarkEnd w:id="137"/>
      <w:bookmarkEnd w:id="138"/>
    </w:p>
    <w:p w14:paraId="7415E770" w14:textId="77777777" w:rsidR="00D66D9F" w:rsidRPr="00693B99" w:rsidRDefault="006B3708" w:rsidP="00646FDF">
      <w:pPr>
        <w:pStyle w:val="ParaNum"/>
        <w:tabs>
          <w:tab w:val="clear" w:pos="1080"/>
          <w:tab w:val="num" w:pos="1440"/>
        </w:tabs>
        <w:rPr>
          <w:szCs w:val="22"/>
        </w:rPr>
      </w:pPr>
      <w:r w:rsidRPr="00693B99">
        <w:rPr>
          <w:szCs w:val="22"/>
        </w:rPr>
        <w:t xml:space="preserve">As </w:t>
      </w:r>
      <w:r w:rsidR="000316AC" w:rsidRPr="00693B99">
        <w:rPr>
          <w:szCs w:val="22"/>
        </w:rPr>
        <w:t>stated</w:t>
      </w:r>
      <w:r w:rsidR="00D1485C" w:rsidRPr="00693B99">
        <w:rPr>
          <w:szCs w:val="22"/>
        </w:rPr>
        <w:t xml:space="preserve"> above</w:t>
      </w:r>
      <w:r w:rsidR="003B2BFC" w:rsidRPr="00693B99">
        <w:rPr>
          <w:szCs w:val="22"/>
        </w:rPr>
        <w:t>,</w:t>
      </w:r>
      <w:r w:rsidRPr="00693B99">
        <w:rPr>
          <w:szCs w:val="22"/>
        </w:rPr>
        <w:t xml:space="preserve"> </w:t>
      </w:r>
      <w:r w:rsidR="00F942D8" w:rsidRPr="00693B99">
        <w:rPr>
          <w:szCs w:val="22"/>
        </w:rPr>
        <w:t xml:space="preserve">in the </w:t>
      </w:r>
      <w:r w:rsidR="00F942D8" w:rsidRPr="00693B99">
        <w:rPr>
          <w:i/>
          <w:szCs w:val="22"/>
        </w:rPr>
        <w:t>T</w:t>
      </w:r>
      <w:r w:rsidR="00F87872" w:rsidRPr="00693B99">
        <w:rPr>
          <w:i/>
          <w:szCs w:val="22"/>
        </w:rPr>
        <w:t>ransition Scheduling</w:t>
      </w:r>
      <w:r w:rsidR="00F942D8" w:rsidRPr="00693B99">
        <w:rPr>
          <w:i/>
          <w:szCs w:val="22"/>
        </w:rPr>
        <w:t xml:space="preserve"> </w:t>
      </w:r>
      <w:r w:rsidR="00612365" w:rsidRPr="00693B99">
        <w:rPr>
          <w:i/>
          <w:szCs w:val="22"/>
        </w:rPr>
        <w:t xml:space="preserve">Adoption </w:t>
      </w:r>
      <w:r w:rsidR="00F942D8" w:rsidRPr="00693B99">
        <w:rPr>
          <w:i/>
          <w:szCs w:val="22"/>
        </w:rPr>
        <w:t>Public Notice</w:t>
      </w:r>
      <w:r w:rsidR="00F942D8" w:rsidRPr="00693B99">
        <w:rPr>
          <w:szCs w:val="22"/>
        </w:rPr>
        <w:t xml:space="preserve">, </w:t>
      </w:r>
      <w:r w:rsidRPr="00693B99">
        <w:rPr>
          <w:szCs w:val="22"/>
        </w:rPr>
        <w:t>the Media Bureau</w:t>
      </w:r>
      <w:r w:rsidR="003B2BFC" w:rsidRPr="00693B99">
        <w:rPr>
          <w:szCs w:val="22"/>
        </w:rPr>
        <w:t>,</w:t>
      </w:r>
      <w:r w:rsidRPr="00693B99">
        <w:rPr>
          <w:szCs w:val="22"/>
        </w:rPr>
        <w:t xml:space="preserve"> </w:t>
      </w:r>
      <w:r w:rsidR="00A301E0" w:rsidRPr="00693B99">
        <w:rPr>
          <w:szCs w:val="22"/>
        </w:rPr>
        <w:t>in consultation with IA</w:t>
      </w:r>
      <w:r w:rsidR="002B1DDB" w:rsidRPr="00693B99">
        <w:rPr>
          <w:szCs w:val="22"/>
        </w:rPr>
        <w:t xml:space="preserve"> </w:t>
      </w:r>
      <w:r w:rsidR="00A301E0" w:rsidRPr="00693B99">
        <w:rPr>
          <w:szCs w:val="22"/>
        </w:rPr>
        <w:t>T</w:t>
      </w:r>
      <w:r w:rsidR="002B1DDB" w:rsidRPr="00693B99">
        <w:rPr>
          <w:szCs w:val="22"/>
        </w:rPr>
        <w:t xml:space="preserve">ask </w:t>
      </w:r>
      <w:r w:rsidR="00A301E0" w:rsidRPr="00693B99">
        <w:rPr>
          <w:szCs w:val="22"/>
        </w:rPr>
        <w:t>F</w:t>
      </w:r>
      <w:r w:rsidR="002B1DDB" w:rsidRPr="00693B99">
        <w:rPr>
          <w:szCs w:val="22"/>
        </w:rPr>
        <w:t>orce</w:t>
      </w:r>
      <w:r w:rsidR="00A301E0" w:rsidRPr="00693B99">
        <w:rPr>
          <w:szCs w:val="22"/>
        </w:rPr>
        <w:t xml:space="preserve">, WTB, and </w:t>
      </w:r>
      <w:r w:rsidR="00B10C6D" w:rsidRPr="00693B99">
        <w:rPr>
          <w:szCs w:val="22"/>
        </w:rPr>
        <w:t>the Office of Engineering and Technology</w:t>
      </w:r>
      <w:r w:rsidR="00A301E0" w:rsidRPr="00693B99">
        <w:rPr>
          <w:szCs w:val="22"/>
        </w:rPr>
        <w:t xml:space="preserve">, </w:t>
      </w:r>
      <w:r w:rsidR="000316AC" w:rsidRPr="00693B99">
        <w:rPr>
          <w:szCs w:val="22"/>
        </w:rPr>
        <w:t xml:space="preserve">has </w:t>
      </w:r>
      <w:r w:rsidR="00F942D8" w:rsidRPr="00693B99">
        <w:rPr>
          <w:szCs w:val="22"/>
        </w:rPr>
        <w:t xml:space="preserve">announced its plan to adopt </w:t>
      </w:r>
      <w:r w:rsidRPr="00693B99">
        <w:rPr>
          <w:szCs w:val="22"/>
        </w:rPr>
        <w:t xml:space="preserve">a phased transition schedule for reassigned </w:t>
      </w:r>
      <w:r w:rsidR="00D1485C" w:rsidRPr="00693B99">
        <w:rPr>
          <w:szCs w:val="22"/>
        </w:rPr>
        <w:t>stations and band changing stations</w:t>
      </w:r>
      <w:r w:rsidRPr="00693B99">
        <w:rPr>
          <w:szCs w:val="22"/>
        </w:rPr>
        <w:t>.</w:t>
      </w:r>
      <w:r w:rsidR="00F942D8" w:rsidRPr="00693B99">
        <w:rPr>
          <w:rStyle w:val="FootnoteReference"/>
        </w:rPr>
        <w:footnoteReference w:id="74"/>
      </w:r>
      <w:r w:rsidRPr="00693B99">
        <w:rPr>
          <w:szCs w:val="22"/>
        </w:rPr>
        <w:t xml:space="preserve"> </w:t>
      </w:r>
      <w:r w:rsidR="00656A09" w:rsidRPr="00693B99">
        <w:rPr>
          <w:szCs w:val="22"/>
        </w:rPr>
        <w:t xml:space="preserve"> </w:t>
      </w:r>
      <w:r w:rsidRPr="00693B99">
        <w:rPr>
          <w:szCs w:val="22"/>
        </w:rPr>
        <w:t>Under th</w:t>
      </w:r>
      <w:r w:rsidR="000316AC" w:rsidRPr="00693B99">
        <w:rPr>
          <w:szCs w:val="22"/>
        </w:rPr>
        <w:t>e</w:t>
      </w:r>
      <w:r w:rsidR="007A7B38" w:rsidRPr="00693B99">
        <w:rPr>
          <w:szCs w:val="22"/>
        </w:rPr>
        <w:t xml:space="preserve"> </w:t>
      </w:r>
      <w:r w:rsidRPr="00693B99">
        <w:rPr>
          <w:szCs w:val="22"/>
        </w:rPr>
        <w:t xml:space="preserve">approach, stations </w:t>
      </w:r>
      <w:r w:rsidR="003762DA" w:rsidRPr="00693B99">
        <w:rPr>
          <w:szCs w:val="22"/>
        </w:rPr>
        <w:t>will</w:t>
      </w:r>
      <w:r w:rsidRPr="00693B99">
        <w:rPr>
          <w:szCs w:val="22"/>
        </w:rPr>
        <w:t xml:space="preserve"> be assigned to one of </w:t>
      </w:r>
      <w:r w:rsidR="00D1485C" w:rsidRPr="00693B99">
        <w:rPr>
          <w:szCs w:val="22"/>
        </w:rPr>
        <w:t xml:space="preserve">ten </w:t>
      </w:r>
      <w:r w:rsidRPr="00693B99">
        <w:rPr>
          <w:szCs w:val="22"/>
        </w:rPr>
        <w:t>transition phases with sequential testing periods and phase completion dates.</w:t>
      </w:r>
      <w:r w:rsidR="007A7B38" w:rsidRPr="00693B99">
        <w:rPr>
          <w:rStyle w:val="FootnoteReference"/>
        </w:rPr>
        <w:footnoteReference w:id="75"/>
      </w:r>
      <w:r w:rsidR="00656A09" w:rsidRPr="00693B99">
        <w:rPr>
          <w:szCs w:val="22"/>
        </w:rPr>
        <w:t xml:space="preserve"> </w:t>
      </w:r>
      <w:r w:rsidRPr="00693B99">
        <w:rPr>
          <w:szCs w:val="22"/>
        </w:rPr>
        <w:t xml:space="preserve"> </w:t>
      </w:r>
      <w:r w:rsidR="008E793C" w:rsidRPr="00693B99">
        <w:rPr>
          <w:szCs w:val="22"/>
        </w:rPr>
        <w:t xml:space="preserve">The transition phases and phase completion dates will be announced in the </w:t>
      </w:r>
      <w:r w:rsidR="008E793C" w:rsidRPr="00693B99">
        <w:rPr>
          <w:i/>
          <w:szCs w:val="22"/>
        </w:rPr>
        <w:t>Closing and Reassignment Public Notice</w:t>
      </w:r>
      <w:r w:rsidR="008E793C" w:rsidRPr="00693B99">
        <w:rPr>
          <w:szCs w:val="22"/>
        </w:rPr>
        <w:t>.</w:t>
      </w:r>
      <w:r w:rsidR="008E793C" w:rsidRPr="00693B99">
        <w:rPr>
          <w:szCs w:val="22"/>
          <w:vertAlign w:val="superscript"/>
        </w:rPr>
        <w:footnoteReference w:id="76"/>
      </w:r>
      <w:r w:rsidR="008E793C" w:rsidRPr="00693B99">
        <w:rPr>
          <w:szCs w:val="22"/>
        </w:rPr>
        <w:t xml:space="preserve"> </w:t>
      </w:r>
      <w:r w:rsidRPr="00693B99">
        <w:rPr>
          <w:szCs w:val="22"/>
        </w:rPr>
        <w:t xml:space="preserve"> </w:t>
      </w:r>
      <w:r w:rsidR="00E651B4" w:rsidRPr="00693B99">
        <w:rPr>
          <w:szCs w:val="22"/>
        </w:rPr>
        <w:t>T</w:t>
      </w:r>
      <w:r w:rsidRPr="00693B99">
        <w:rPr>
          <w:szCs w:val="22"/>
        </w:rPr>
        <w:t>he phase completion date</w:t>
      </w:r>
      <w:r w:rsidR="00D1485C" w:rsidRPr="00693B99">
        <w:rPr>
          <w:szCs w:val="22"/>
        </w:rPr>
        <w:t xml:space="preserve">, which will be the station’s </w:t>
      </w:r>
      <w:r w:rsidRPr="00693B99">
        <w:rPr>
          <w:szCs w:val="22"/>
        </w:rPr>
        <w:t>construction deadline</w:t>
      </w:r>
      <w:r w:rsidR="009D7B8D" w:rsidRPr="00693B99">
        <w:rPr>
          <w:szCs w:val="22"/>
        </w:rPr>
        <w:t xml:space="preserve"> as assigned by the Media Bureau</w:t>
      </w:r>
      <w:r w:rsidR="003C6C33" w:rsidRPr="00693B99">
        <w:rPr>
          <w:szCs w:val="22"/>
        </w:rPr>
        <w:t>,</w:t>
      </w:r>
      <w:r w:rsidRPr="00693B99">
        <w:rPr>
          <w:szCs w:val="22"/>
        </w:rPr>
        <w:t xml:space="preserve"> </w:t>
      </w:r>
      <w:r w:rsidR="00F942D8" w:rsidRPr="00693B99">
        <w:rPr>
          <w:szCs w:val="22"/>
        </w:rPr>
        <w:t>will</w:t>
      </w:r>
      <w:r w:rsidR="007A7B38" w:rsidRPr="00693B99">
        <w:rPr>
          <w:szCs w:val="22"/>
        </w:rPr>
        <w:t xml:space="preserve"> be</w:t>
      </w:r>
      <w:r w:rsidRPr="00693B99">
        <w:rPr>
          <w:szCs w:val="22"/>
        </w:rPr>
        <w:t xml:space="preserve"> the last day that a station may operate on its pre-auction channel</w:t>
      </w:r>
      <w:bookmarkEnd w:id="132"/>
      <w:r w:rsidR="00D1485C" w:rsidRPr="00693B99">
        <w:rPr>
          <w:szCs w:val="22"/>
        </w:rPr>
        <w:t xml:space="preserve"> absent </w:t>
      </w:r>
      <w:r w:rsidR="005D1467" w:rsidRPr="00693B99">
        <w:rPr>
          <w:szCs w:val="22"/>
        </w:rPr>
        <w:t>the grant of an STA</w:t>
      </w:r>
      <w:r w:rsidR="00D345B1" w:rsidRPr="00693B99">
        <w:rPr>
          <w:szCs w:val="22"/>
        </w:rPr>
        <w:t>.  Any such STA</w:t>
      </w:r>
      <w:r w:rsidR="003C6C33" w:rsidRPr="00693B99">
        <w:rPr>
          <w:szCs w:val="22"/>
        </w:rPr>
        <w:t xml:space="preserve"> </w:t>
      </w:r>
      <w:r w:rsidR="00F942D8" w:rsidRPr="00693B99">
        <w:rPr>
          <w:szCs w:val="22"/>
        </w:rPr>
        <w:t>will</w:t>
      </w:r>
      <w:r w:rsidR="003C6C33" w:rsidRPr="00693B99">
        <w:rPr>
          <w:szCs w:val="22"/>
        </w:rPr>
        <w:t xml:space="preserve"> be granted</w:t>
      </w:r>
      <w:r w:rsidR="00D1485C" w:rsidRPr="00693B99">
        <w:rPr>
          <w:szCs w:val="22"/>
        </w:rPr>
        <w:t xml:space="preserve"> </w:t>
      </w:r>
      <w:r w:rsidR="00F942D8" w:rsidRPr="00693B99">
        <w:rPr>
          <w:szCs w:val="22"/>
        </w:rPr>
        <w:t xml:space="preserve">only </w:t>
      </w:r>
      <w:r w:rsidR="00D1485C" w:rsidRPr="00693B99">
        <w:rPr>
          <w:szCs w:val="22"/>
        </w:rPr>
        <w:t xml:space="preserve">in very limited circumstances and </w:t>
      </w:r>
      <w:r w:rsidR="00A2062D" w:rsidRPr="00693B99">
        <w:rPr>
          <w:szCs w:val="22"/>
        </w:rPr>
        <w:t xml:space="preserve">will </w:t>
      </w:r>
      <w:r w:rsidR="00D1485C" w:rsidRPr="00693B99">
        <w:rPr>
          <w:szCs w:val="22"/>
        </w:rPr>
        <w:t xml:space="preserve">not </w:t>
      </w:r>
      <w:r w:rsidR="001F6E04" w:rsidRPr="00693B99">
        <w:rPr>
          <w:szCs w:val="22"/>
        </w:rPr>
        <w:t xml:space="preserve">extend beyond the </w:t>
      </w:r>
      <w:r w:rsidR="00C80FF3" w:rsidRPr="00693B99">
        <w:rPr>
          <w:szCs w:val="22"/>
        </w:rPr>
        <w:t>end of the</w:t>
      </w:r>
      <w:r w:rsidR="00B119D4" w:rsidRPr="00693B99">
        <w:rPr>
          <w:szCs w:val="22"/>
        </w:rPr>
        <w:t xml:space="preserve"> </w:t>
      </w:r>
      <w:r w:rsidR="00A301E0" w:rsidRPr="00693B99">
        <w:rPr>
          <w:szCs w:val="22"/>
        </w:rPr>
        <w:t>t</w:t>
      </w:r>
      <w:r w:rsidR="00D1485C" w:rsidRPr="00693B99">
        <w:rPr>
          <w:szCs w:val="22"/>
        </w:rPr>
        <w:t xml:space="preserve">ransition </w:t>
      </w:r>
      <w:r w:rsidR="00A301E0" w:rsidRPr="00693B99">
        <w:rPr>
          <w:szCs w:val="22"/>
        </w:rPr>
        <w:t>p</w:t>
      </w:r>
      <w:r w:rsidR="00D1485C" w:rsidRPr="00693B99">
        <w:rPr>
          <w:szCs w:val="22"/>
        </w:rPr>
        <w:t>eriod.</w:t>
      </w:r>
      <w:r w:rsidRPr="00693B99">
        <w:rPr>
          <w:szCs w:val="22"/>
          <w:vertAlign w:val="superscript"/>
        </w:rPr>
        <w:footnoteReference w:id="77"/>
      </w:r>
      <w:r w:rsidR="00225F1F" w:rsidRPr="00693B99">
        <w:rPr>
          <w:szCs w:val="22"/>
        </w:rPr>
        <w:t xml:space="preserve">  </w:t>
      </w:r>
      <w:r w:rsidR="008E793C" w:rsidRPr="00693B99">
        <w:rPr>
          <w:szCs w:val="22"/>
        </w:rPr>
        <w:t xml:space="preserve">To the extent that the Media Bureau denies a request for a station to continue operating on its pre-auction channel past its construction permit deadline, the </w:t>
      </w:r>
      <w:r w:rsidR="00261289" w:rsidRPr="00693B99">
        <w:rPr>
          <w:szCs w:val="22"/>
        </w:rPr>
        <w:t xml:space="preserve">Media </w:t>
      </w:r>
      <w:r w:rsidR="008E793C" w:rsidRPr="00693B99">
        <w:rPr>
          <w:szCs w:val="22"/>
        </w:rPr>
        <w:t xml:space="preserve">Bureau </w:t>
      </w:r>
      <w:r w:rsidR="00B11800" w:rsidRPr="00693B99">
        <w:rPr>
          <w:szCs w:val="22"/>
        </w:rPr>
        <w:t>noted that stations can explore a vari</w:t>
      </w:r>
      <w:r w:rsidR="00261289" w:rsidRPr="00693B99">
        <w:rPr>
          <w:szCs w:val="22"/>
        </w:rPr>
        <w:t>ety of options to assist with their post-auction transitions, including the use of temporary channels and interim or auxiliary facilities.</w:t>
      </w:r>
      <w:r w:rsidR="00261289" w:rsidRPr="00693B99">
        <w:rPr>
          <w:rStyle w:val="FootnoteReference"/>
        </w:rPr>
        <w:footnoteReference w:id="78"/>
      </w:r>
      <w:r w:rsidR="00261289" w:rsidRPr="00693B99">
        <w:rPr>
          <w:szCs w:val="22"/>
        </w:rPr>
        <w:t xml:space="preserve">   </w:t>
      </w:r>
    </w:p>
    <w:p w14:paraId="075CA50F" w14:textId="77777777" w:rsidR="00D66D9F" w:rsidRPr="00693B99" w:rsidRDefault="00D66D9F" w:rsidP="00C80FF3">
      <w:pPr>
        <w:pStyle w:val="Heading3"/>
        <w:ind w:hanging="1440"/>
        <w:rPr>
          <w:szCs w:val="22"/>
        </w:rPr>
      </w:pPr>
      <w:bookmarkStart w:id="139" w:name="_Toc466014529"/>
      <w:bookmarkStart w:id="140" w:name="_Toc466019470"/>
      <w:bookmarkStart w:id="141" w:name="_Toc468178156"/>
      <w:bookmarkStart w:id="142" w:name="_Toc471732178"/>
      <w:bookmarkStart w:id="143" w:name="_Toc471732254"/>
      <w:bookmarkStart w:id="144" w:name="_Toc471732549"/>
      <w:bookmarkStart w:id="145" w:name="_Toc471732622"/>
      <w:bookmarkStart w:id="146" w:name="_Toc471732885"/>
      <w:bookmarkStart w:id="147" w:name="_Toc471734062"/>
      <w:r w:rsidRPr="00693B99">
        <w:rPr>
          <w:szCs w:val="22"/>
        </w:rPr>
        <w:t>Extensions of Time to Construct Post-Auction Channel Facilities and Tolling</w:t>
      </w:r>
      <w:bookmarkEnd w:id="139"/>
      <w:bookmarkEnd w:id="140"/>
      <w:bookmarkEnd w:id="141"/>
      <w:bookmarkEnd w:id="142"/>
      <w:bookmarkEnd w:id="143"/>
      <w:bookmarkEnd w:id="144"/>
      <w:bookmarkEnd w:id="145"/>
      <w:bookmarkEnd w:id="146"/>
      <w:bookmarkEnd w:id="147"/>
    </w:p>
    <w:p w14:paraId="0834DD2F" w14:textId="77777777" w:rsidR="00D66D9F" w:rsidRPr="00693B99" w:rsidRDefault="006C3F4D" w:rsidP="00D66D9F">
      <w:pPr>
        <w:numPr>
          <w:ilvl w:val="0"/>
          <w:numId w:val="2"/>
        </w:numPr>
        <w:tabs>
          <w:tab w:val="clear" w:pos="1080"/>
          <w:tab w:val="num" w:pos="1440"/>
        </w:tabs>
        <w:autoSpaceDE w:val="0"/>
        <w:autoSpaceDN w:val="0"/>
        <w:adjustRightInd w:val="0"/>
        <w:spacing w:after="120"/>
        <w:rPr>
          <w:szCs w:val="22"/>
        </w:rPr>
      </w:pPr>
      <w:r w:rsidRPr="00693B99">
        <w:rPr>
          <w:szCs w:val="22"/>
        </w:rPr>
        <w:t>Reassigned stations and band changing stations that are unable to complete constru</w:t>
      </w:r>
      <w:r w:rsidR="002D29AB" w:rsidRPr="00693B99">
        <w:rPr>
          <w:szCs w:val="22"/>
        </w:rPr>
        <w:t xml:space="preserve">ction of their </w:t>
      </w:r>
      <w:r w:rsidR="00ED7968" w:rsidRPr="00693B99">
        <w:rPr>
          <w:szCs w:val="22"/>
        </w:rPr>
        <w:t>post-auction</w:t>
      </w:r>
      <w:r w:rsidR="002D29AB" w:rsidRPr="00693B99">
        <w:rPr>
          <w:szCs w:val="22"/>
        </w:rPr>
        <w:t xml:space="preserve"> </w:t>
      </w:r>
      <w:r w:rsidRPr="00693B99">
        <w:rPr>
          <w:szCs w:val="22"/>
        </w:rPr>
        <w:t xml:space="preserve">channel facilities by their </w:t>
      </w:r>
      <w:r w:rsidR="000316AC" w:rsidRPr="00693B99">
        <w:rPr>
          <w:szCs w:val="22"/>
        </w:rPr>
        <w:t>deadlines</w:t>
      </w:r>
      <w:r w:rsidRPr="00693B99">
        <w:rPr>
          <w:szCs w:val="22"/>
        </w:rPr>
        <w:t xml:space="preserve"> may seek a </w:t>
      </w:r>
      <w:r w:rsidRPr="00693B99">
        <w:rPr>
          <w:i/>
          <w:szCs w:val="22"/>
        </w:rPr>
        <w:t>single</w:t>
      </w:r>
      <w:r w:rsidRPr="00693B99">
        <w:rPr>
          <w:szCs w:val="22"/>
        </w:rPr>
        <w:t xml:space="preserve"> extension of up to </w:t>
      </w:r>
      <w:r w:rsidR="00456822" w:rsidRPr="00693B99">
        <w:rPr>
          <w:szCs w:val="22"/>
        </w:rPr>
        <w:t>180 days</w:t>
      </w:r>
      <w:r w:rsidRPr="00693B99">
        <w:rPr>
          <w:szCs w:val="22"/>
        </w:rPr>
        <w:t>.</w:t>
      </w:r>
      <w:r w:rsidRPr="00693B99">
        <w:rPr>
          <w:szCs w:val="22"/>
          <w:vertAlign w:val="superscript"/>
        </w:rPr>
        <w:footnoteReference w:id="79"/>
      </w:r>
      <w:r w:rsidRPr="00693B99">
        <w:rPr>
          <w:szCs w:val="22"/>
        </w:rPr>
        <w:t xml:space="preserve"> </w:t>
      </w:r>
      <w:r w:rsidR="00A301E0" w:rsidRPr="00693B99">
        <w:rPr>
          <w:szCs w:val="22"/>
        </w:rPr>
        <w:t xml:space="preserve"> </w:t>
      </w:r>
      <w:r w:rsidRPr="00693B99">
        <w:rPr>
          <w:szCs w:val="22"/>
        </w:rPr>
        <w:t xml:space="preserve">Stations anticipating the need for an extension must submit an extension application </w:t>
      </w:r>
      <w:r w:rsidR="003762DA" w:rsidRPr="00693B99">
        <w:rPr>
          <w:szCs w:val="22"/>
        </w:rPr>
        <w:t xml:space="preserve">electronically </w:t>
      </w:r>
      <w:r w:rsidR="00E92FC8" w:rsidRPr="00693B99">
        <w:rPr>
          <w:szCs w:val="22"/>
        </w:rPr>
        <w:t xml:space="preserve">via </w:t>
      </w:r>
      <w:r w:rsidR="003762DA" w:rsidRPr="00693B99">
        <w:rPr>
          <w:szCs w:val="22"/>
        </w:rPr>
        <w:t xml:space="preserve">LMS </w:t>
      </w:r>
      <w:r w:rsidRPr="00693B99">
        <w:rPr>
          <w:szCs w:val="22"/>
        </w:rPr>
        <w:t>on FCC Form 2100 – Schedule 337</w:t>
      </w:r>
      <w:r w:rsidR="00DA3141" w:rsidRPr="00693B99">
        <w:rPr>
          <w:szCs w:val="22"/>
        </w:rPr>
        <w:t>,</w:t>
      </w:r>
      <w:r w:rsidRPr="00693B99">
        <w:rPr>
          <w:szCs w:val="22"/>
        </w:rPr>
        <w:t xml:space="preserve"> not less than </w:t>
      </w:r>
      <w:r w:rsidR="00456822" w:rsidRPr="00693B99">
        <w:rPr>
          <w:szCs w:val="22"/>
        </w:rPr>
        <w:t>90</w:t>
      </w:r>
      <w:r w:rsidRPr="00693B99">
        <w:rPr>
          <w:szCs w:val="22"/>
        </w:rPr>
        <w:t xml:space="preserve"> days before their </w:t>
      </w:r>
      <w:r w:rsidR="000316AC" w:rsidRPr="00693B99">
        <w:rPr>
          <w:szCs w:val="22"/>
        </w:rPr>
        <w:t>deadlines</w:t>
      </w:r>
      <w:r w:rsidR="00B77FE4" w:rsidRPr="00693B99">
        <w:rPr>
          <w:szCs w:val="22"/>
        </w:rPr>
        <w:t>.</w:t>
      </w:r>
      <w:r w:rsidR="009616E8" w:rsidRPr="00693B99">
        <w:rPr>
          <w:rStyle w:val="FootnoteReference"/>
        </w:rPr>
        <w:footnoteReference w:id="80"/>
      </w:r>
    </w:p>
    <w:p w14:paraId="6F161868" w14:textId="77777777" w:rsidR="00D66D9F" w:rsidRPr="00693B99" w:rsidRDefault="006C3F4D" w:rsidP="00D66D9F">
      <w:pPr>
        <w:numPr>
          <w:ilvl w:val="0"/>
          <w:numId w:val="2"/>
        </w:numPr>
        <w:tabs>
          <w:tab w:val="clear" w:pos="1080"/>
          <w:tab w:val="num" w:pos="1440"/>
        </w:tabs>
        <w:autoSpaceDE w:val="0"/>
        <w:autoSpaceDN w:val="0"/>
        <w:adjustRightInd w:val="0"/>
        <w:spacing w:after="120"/>
        <w:rPr>
          <w:szCs w:val="22"/>
        </w:rPr>
      </w:pPr>
      <w:r w:rsidRPr="00693B99">
        <w:rPr>
          <w:szCs w:val="22"/>
        </w:rPr>
        <w:t xml:space="preserve">An application for extension of time to construct must include an exhibit </w:t>
      </w:r>
      <w:r w:rsidR="00DA3141" w:rsidRPr="00693B99">
        <w:rPr>
          <w:szCs w:val="22"/>
        </w:rPr>
        <w:t>demonstrating</w:t>
      </w:r>
      <w:r w:rsidRPr="00693B99">
        <w:rPr>
          <w:szCs w:val="22"/>
        </w:rPr>
        <w:t xml:space="preserve"> that, despite all reasonable efforts, </w:t>
      </w:r>
      <w:r w:rsidR="00DA3141" w:rsidRPr="00693B99">
        <w:rPr>
          <w:szCs w:val="22"/>
        </w:rPr>
        <w:t xml:space="preserve">the station </w:t>
      </w:r>
      <w:r w:rsidRPr="00693B99">
        <w:rPr>
          <w:szCs w:val="22"/>
        </w:rPr>
        <w:t>is unable to complete construction of its new facility on time due to circumstances that were either unforeseeable or beyond its control.</w:t>
      </w:r>
      <w:r w:rsidRPr="00693B99">
        <w:rPr>
          <w:szCs w:val="22"/>
          <w:vertAlign w:val="superscript"/>
        </w:rPr>
        <w:footnoteReference w:id="81"/>
      </w:r>
      <w:r w:rsidRPr="00693B99">
        <w:rPr>
          <w:szCs w:val="22"/>
        </w:rPr>
        <w:t xml:space="preserve"> </w:t>
      </w:r>
      <w:r w:rsidR="00A301E0" w:rsidRPr="00693B99">
        <w:rPr>
          <w:szCs w:val="22"/>
        </w:rPr>
        <w:t xml:space="preserve"> </w:t>
      </w:r>
      <w:r w:rsidR="00DA3141" w:rsidRPr="00693B99">
        <w:rPr>
          <w:szCs w:val="22"/>
        </w:rPr>
        <w:t>To illustrate</w:t>
      </w:r>
      <w:r w:rsidR="00C13698" w:rsidRPr="00693B99">
        <w:rPr>
          <w:szCs w:val="22"/>
        </w:rPr>
        <w:t>, t</w:t>
      </w:r>
      <w:r w:rsidRPr="00693B99">
        <w:rPr>
          <w:szCs w:val="22"/>
        </w:rPr>
        <w:t xml:space="preserve">he following circumstances </w:t>
      </w:r>
      <w:r w:rsidR="00DA3141" w:rsidRPr="00693B99">
        <w:rPr>
          <w:szCs w:val="22"/>
        </w:rPr>
        <w:t xml:space="preserve">might </w:t>
      </w:r>
      <w:r w:rsidRPr="00693B99">
        <w:rPr>
          <w:szCs w:val="22"/>
        </w:rPr>
        <w:t>justify an extension of a station’s construction deadline: (1) weather-related delays</w:t>
      </w:r>
      <w:r w:rsidR="005D1467" w:rsidRPr="00693B99">
        <w:rPr>
          <w:szCs w:val="22"/>
        </w:rPr>
        <w:t>;</w:t>
      </w:r>
      <w:r w:rsidRPr="00693B99">
        <w:rPr>
          <w:szCs w:val="22"/>
        </w:rPr>
        <w:t xml:space="preserve"> (2) delays in construction due to the unavailability of equipment or a tower crew; (3) tower lease disputes; (4) unusual technical challenges</w:t>
      </w:r>
      <w:r w:rsidR="00E87608" w:rsidRPr="00693B99">
        <w:rPr>
          <w:szCs w:val="22"/>
        </w:rPr>
        <w:t>;</w:t>
      </w:r>
      <w:r w:rsidRPr="00693B99">
        <w:rPr>
          <w:szCs w:val="22"/>
        </w:rPr>
        <w:t xml:space="preserve"> or (5) delays </w:t>
      </w:r>
      <w:r w:rsidR="00E87608" w:rsidRPr="00693B99">
        <w:rPr>
          <w:szCs w:val="22"/>
        </w:rPr>
        <w:t>cause</w:t>
      </w:r>
      <w:r w:rsidR="005D610D" w:rsidRPr="00693B99">
        <w:rPr>
          <w:szCs w:val="22"/>
        </w:rPr>
        <w:t>d</w:t>
      </w:r>
      <w:r w:rsidR="00E87608" w:rsidRPr="00693B99">
        <w:rPr>
          <w:szCs w:val="22"/>
        </w:rPr>
        <w:t xml:space="preserve"> by the need to </w:t>
      </w:r>
      <w:r w:rsidRPr="00693B99">
        <w:rPr>
          <w:szCs w:val="22"/>
        </w:rPr>
        <w:t xml:space="preserve">obtain government approvals, such as land use or zoning approvals, or </w:t>
      </w:r>
      <w:r w:rsidR="00E87608" w:rsidRPr="00693B99">
        <w:rPr>
          <w:szCs w:val="22"/>
        </w:rPr>
        <w:t>to observe</w:t>
      </w:r>
      <w:r w:rsidRPr="00693B99">
        <w:rPr>
          <w:szCs w:val="22"/>
        </w:rPr>
        <w:t xml:space="preserve"> competitive bidding requirements prior to purchasing equipment or services.</w:t>
      </w:r>
      <w:r w:rsidRPr="00693B99">
        <w:rPr>
          <w:szCs w:val="22"/>
          <w:vertAlign w:val="superscript"/>
        </w:rPr>
        <w:footnoteReference w:id="82"/>
      </w:r>
    </w:p>
    <w:p w14:paraId="3DB340CC" w14:textId="77777777" w:rsidR="00D66D9F" w:rsidRPr="00693B99" w:rsidRDefault="006C3F4D" w:rsidP="00D66D9F">
      <w:pPr>
        <w:numPr>
          <w:ilvl w:val="0"/>
          <w:numId w:val="2"/>
        </w:numPr>
        <w:tabs>
          <w:tab w:val="clear" w:pos="1080"/>
          <w:tab w:val="num" w:pos="1440"/>
        </w:tabs>
        <w:autoSpaceDE w:val="0"/>
        <w:autoSpaceDN w:val="0"/>
        <w:adjustRightInd w:val="0"/>
        <w:spacing w:after="120"/>
        <w:rPr>
          <w:szCs w:val="22"/>
        </w:rPr>
      </w:pPr>
      <w:r w:rsidRPr="00693B99">
        <w:rPr>
          <w:szCs w:val="22"/>
        </w:rPr>
        <w:t xml:space="preserve">Additionally, in limited circumstances, stations may rely on “financial hardship” as a criterion for seeking an extension of time.  Such circumstances </w:t>
      </w:r>
      <w:r w:rsidR="00A301E0" w:rsidRPr="00693B99">
        <w:rPr>
          <w:szCs w:val="22"/>
        </w:rPr>
        <w:t xml:space="preserve">may </w:t>
      </w:r>
      <w:r w:rsidRPr="00693B99">
        <w:rPr>
          <w:szCs w:val="22"/>
        </w:rPr>
        <w:t xml:space="preserve">include </w:t>
      </w:r>
      <w:r w:rsidR="00A301E0" w:rsidRPr="00693B99">
        <w:rPr>
          <w:szCs w:val="22"/>
        </w:rPr>
        <w:t xml:space="preserve">a situation </w:t>
      </w:r>
      <w:r w:rsidR="00E87608" w:rsidRPr="00693B99">
        <w:rPr>
          <w:szCs w:val="22"/>
        </w:rPr>
        <w:t xml:space="preserve">in which </w:t>
      </w:r>
      <w:r w:rsidRPr="00693B99">
        <w:rPr>
          <w:szCs w:val="22"/>
        </w:rPr>
        <w:t>a station is subject to an active bankrupt</w:t>
      </w:r>
      <w:r w:rsidR="006816F3" w:rsidRPr="00693B99">
        <w:rPr>
          <w:szCs w:val="22"/>
        </w:rPr>
        <w:t>cy</w:t>
      </w:r>
      <w:r w:rsidRPr="00693B99">
        <w:rPr>
          <w:szCs w:val="22"/>
        </w:rPr>
        <w:t xml:space="preserve"> or receivership proceeding.  In such a case, the station must show that it has filed requests to proceed with construction of the post-auction facility in the relevant court proceeding.</w:t>
      </w:r>
      <w:r w:rsidRPr="00693B99">
        <w:rPr>
          <w:szCs w:val="22"/>
          <w:vertAlign w:val="superscript"/>
        </w:rPr>
        <w:footnoteReference w:id="83"/>
      </w:r>
      <w:r w:rsidRPr="00693B99">
        <w:rPr>
          <w:szCs w:val="22"/>
        </w:rPr>
        <w:t xml:space="preserve"> </w:t>
      </w:r>
      <w:r w:rsidR="0031037B" w:rsidRPr="00693B99">
        <w:rPr>
          <w:szCs w:val="22"/>
        </w:rPr>
        <w:t xml:space="preserve"> </w:t>
      </w:r>
      <w:r w:rsidR="00803F3A" w:rsidRPr="00693B99">
        <w:rPr>
          <w:szCs w:val="22"/>
        </w:rPr>
        <w:t>A s</w:t>
      </w:r>
      <w:r w:rsidRPr="00693B99">
        <w:rPr>
          <w:szCs w:val="22"/>
        </w:rPr>
        <w:t xml:space="preserve">tation </w:t>
      </w:r>
      <w:r w:rsidR="00A301E0" w:rsidRPr="00693B99">
        <w:rPr>
          <w:szCs w:val="22"/>
        </w:rPr>
        <w:t xml:space="preserve">requesting </w:t>
      </w:r>
      <w:r w:rsidRPr="00693B99">
        <w:rPr>
          <w:szCs w:val="22"/>
        </w:rPr>
        <w:t xml:space="preserve">an extension of time based on financial hardship </w:t>
      </w:r>
      <w:r w:rsidR="00A301E0" w:rsidRPr="00693B99">
        <w:rPr>
          <w:szCs w:val="22"/>
        </w:rPr>
        <w:t xml:space="preserve">that </w:t>
      </w:r>
      <w:r w:rsidR="00803F3A" w:rsidRPr="00693B99">
        <w:rPr>
          <w:szCs w:val="22"/>
        </w:rPr>
        <w:t>is</w:t>
      </w:r>
      <w:r w:rsidR="00A301E0" w:rsidRPr="00693B99">
        <w:rPr>
          <w:szCs w:val="22"/>
        </w:rPr>
        <w:t xml:space="preserve"> not in </w:t>
      </w:r>
      <w:r w:rsidR="00803F3A" w:rsidRPr="00693B99">
        <w:rPr>
          <w:szCs w:val="22"/>
        </w:rPr>
        <w:t xml:space="preserve">a </w:t>
      </w:r>
      <w:r w:rsidR="00A301E0" w:rsidRPr="00693B99">
        <w:rPr>
          <w:szCs w:val="22"/>
        </w:rPr>
        <w:t>bankruptcy</w:t>
      </w:r>
      <w:r w:rsidR="00803F3A" w:rsidRPr="00693B99">
        <w:rPr>
          <w:szCs w:val="22"/>
        </w:rPr>
        <w:t xml:space="preserve"> or receivership</w:t>
      </w:r>
      <w:r w:rsidR="00A301E0" w:rsidRPr="00693B99">
        <w:rPr>
          <w:szCs w:val="22"/>
        </w:rPr>
        <w:t xml:space="preserve"> proceeding </w:t>
      </w:r>
      <w:r w:rsidRPr="00693B99">
        <w:rPr>
          <w:szCs w:val="22"/>
        </w:rPr>
        <w:t xml:space="preserve">must demonstrate that additional time is warranted due to rare and exceptional financial circumstances that were unforeseeable or beyond its control, and that it </w:t>
      </w:r>
      <w:r w:rsidR="007D3DB5" w:rsidRPr="00693B99">
        <w:rPr>
          <w:szCs w:val="22"/>
        </w:rPr>
        <w:t>made</w:t>
      </w:r>
      <w:r w:rsidRPr="00693B99">
        <w:rPr>
          <w:szCs w:val="22"/>
        </w:rPr>
        <w:t xml:space="preserve"> all reasonable efforts to resolve </w:t>
      </w:r>
      <w:r w:rsidR="003762DA" w:rsidRPr="00693B99">
        <w:rPr>
          <w:szCs w:val="22"/>
        </w:rPr>
        <w:t xml:space="preserve">those </w:t>
      </w:r>
      <w:r w:rsidRPr="00693B99">
        <w:rPr>
          <w:szCs w:val="22"/>
        </w:rPr>
        <w:t>issue</w:t>
      </w:r>
      <w:r w:rsidR="003762DA" w:rsidRPr="00693B99">
        <w:rPr>
          <w:szCs w:val="22"/>
        </w:rPr>
        <w:t>s</w:t>
      </w:r>
      <w:r w:rsidRPr="00693B99">
        <w:rPr>
          <w:szCs w:val="22"/>
        </w:rPr>
        <w:t>.</w:t>
      </w:r>
      <w:r w:rsidRPr="00693B99">
        <w:rPr>
          <w:szCs w:val="22"/>
          <w:vertAlign w:val="superscript"/>
        </w:rPr>
        <w:footnoteReference w:id="84"/>
      </w:r>
    </w:p>
    <w:p w14:paraId="20C9A50F" w14:textId="5DB346C9" w:rsidR="00D66D9F" w:rsidRPr="00693B99" w:rsidRDefault="0031037B" w:rsidP="00D66D9F">
      <w:pPr>
        <w:numPr>
          <w:ilvl w:val="0"/>
          <w:numId w:val="2"/>
        </w:numPr>
        <w:tabs>
          <w:tab w:val="clear" w:pos="1080"/>
          <w:tab w:val="num" w:pos="1440"/>
        </w:tabs>
        <w:autoSpaceDE w:val="0"/>
        <w:autoSpaceDN w:val="0"/>
        <w:adjustRightInd w:val="0"/>
        <w:spacing w:after="120"/>
        <w:rPr>
          <w:szCs w:val="22"/>
        </w:rPr>
      </w:pPr>
      <w:r w:rsidRPr="00693B99">
        <w:rPr>
          <w:szCs w:val="22"/>
        </w:rPr>
        <w:t>W</w:t>
      </w:r>
      <w:r w:rsidR="006C3F4D" w:rsidRPr="00693B99">
        <w:rPr>
          <w:szCs w:val="22"/>
        </w:rPr>
        <w:t xml:space="preserve">e remind stations that additional time to construct beyond the </w:t>
      </w:r>
      <w:r w:rsidR="005D610D" w:rsidRPr="00693B99">
        <w:rPr>
          <w:szCs w:val="22"/>
        </w:rPr>
        <w:t>180-day</w:t>
      </w:r>
      <w:r w:rsidR="006C3F4D" w:rsidRPr="00693B99">
        <w:rPr>
          <w:szCs w:val="22"/>
        </w:rPr>
        <w:t xml:space="preserve"> extended </w:t>
      </w:r>
      <w:r w:rsidR="00225F1F" w:rsidRPr="00693B99">
        <w:rPr>
          <w:szCs w:val="22"/>
        </w:rPr>
        <w:t>deadline</w:t>
      </w:r>
      <w:r w:rsidR="006C3F4D" w:rsidRPr="00693B99">
        <w:rPr>
          <w:szCs w:val="22"/>
        </w:rPr>
        <w:t xml:space="preserve"> may </w:t>
      </w:r>
      <w:r w:rsidR="003762DA" w:rsidRPr="00693B99">
        <w:rPr>
          <w:szCs w:val="22"/>
        </w:rPr>
        <w:t xml:space="preserve">only </w:t>
      </w:r>
      <w:r w:rsidR="006C3F4D" w:rsidRPr="00693B99">
        <w:rPr>
          <w:szCs w:val="22"/>
        </w:rPr>
        <w:t>be sought pursuant to the Commission’s strict “tolling” rule.</w:t>
      </w:r>
      <w:r w:rsidR="006C3F4D" w:rsidRPr="00693B99">
        <w:rPr>
          <w:szCs w:val="22"/>
          <w:vertAlign w:val="superscript"/>
        </w:rPr>
        <w:footnoteReference w:id="85"/>
      </w:r>
      <w:r w:rsidR="006C3F4D" w:rsidRPr="00693B99">
        <w:rPr>
          <w:szCs w:val="22"/>
        </w:rPr>
        <w:t xml:space="preserve"> </w:t>
      </w:r>
      <w:r w:rsidR="002009F3" w:rsidRPr="00693B99">
        <w:rPr>
          <w:szCs w:val="22"/>
        </w:rPr>
        <w:t xml:space="preserve"> </w:t>
      </w:r>
      <w:r w:rsidR="00DA3141" w:rsidRPr="00693B99">
        <w:rPr>
          <w:szCs w:val="22"/>
        </w:rPr>
        <w:t xml:space="preserve">The tolling </w:t>
      </w:r>
      <w:r w:rsidR="006C3F4D" w:rsidRPr="00693B99">
        <w:rPr>
          <w:szCs w:val="22"/>
        </w:rPr>
        <w:t xml:space="preserve">rule provides that a construction permit deadline may be tolled </w:t>
      </w:r>
      <w:r w:rsidR="00E87608" w:rsidRPr="00693B99">
        <w:rPr>
          <w:szCs w:val="22"/>
        </w:rPr>
        <w:t xml:space="preserve">only </w:t>
      </w:r>
      <w:r w:rsidR="004811F4" w:rsidRPr="00693B99">
        <w:rPr>
          <w:szCs w:val="22"/>
        </w:rPr>
        <w:t xml:space="preserve">for </w:t>
      </w:r>
      <w:r w:rsidR="006C3F4D" w:rsidRPr="00693B99">
        <w:rPr>
          <w:szCs w:val="22"/>
        </w:rPr>
        <w:t>specific circumstances</w:t>
      </w:r>
      <w:r w:rsidR="004811F4" w:rsidRPr="00693B99">
        <w:rPr>
          <w:szCs w:val="22"/>
        </w:rPr>
        <w:t xml:space="preserve"> not under the licensee</w:t>
      </w:r>
      <w:r w:rsidR="00E87608" w:rsidRPr="00693B99">
        <w:rPr>
          <w:szCs w:val="22"/>
        </w:rPr>
        <w:t>’</w:t>
      </w:r>
      <w:r w:rsidR="004811F4" w:rsidRPr="00693B99">
        <w:rPr>
          <w:szCs w:val="22"/>
        </w:rPr>
        <w:t>s control</w:t>
      </w:r>
      <w:r w:rsidR="00DA3141" w:rsidRPr="00693B99">
        <w:rPr>
          <w:szCs w:val="22"/>
        </w:rPr>
        <w:t>,</w:t>
      </w:r>
      <w:r w:rsidR="006C3F4D" w:rsidRPr="00693B99">
        <w:rPr>
          <w:szCs w:val="22"/>
        </w:rPr>
        <w:t xml:space="preserve"> such as acts of God or delays due to administrative or judicial review.</w:t>
      </w:r>
      <w:r w:rsidR="006C3F4D" w:rsidRPr="00693B99">
        <w:rPr>
          <w:szCs w:val="22"/>
          <w:vertAlign w:val="superscript"/>
        </w:rPr>
        <w:footnoteReference w:id="86"/>
      </w:r>
      <w:r w:rsidR="006C3F4D" w:rsidRPr="00693B99">
        <w:rPr>
          <w:szCs w:val="22"/>
        </w:rPr>
        <w:t xml:space="preserve">  </w:t>
      </w:r>
      <w:r w:rsidR="003429CA" w:rsidRPr="00693B99">
        <w:rPr>
          <w:szCs w:val="22"/>
        </w:rPr>
        <w:t>Stations must electronically file t</w:t>
      </w:r>
      <w:r w:rsidR="006C3F4D" w:rsidRPr="00693B99">
        <w:rPr>
          <w:szCs w:val="22"/>
        </w:rPr>
        <w:t xml:space="preserve">olling requests </w:t>
      </w:r>
      <w:r w:rsidR="00DA3141" w:rsidRPr="00693B99">
        <w:rPr>
          <w:szCs w:val="22"/>
        </w:rPr>
        <w:t xml:space="preserve">via </w:t>
      </w:r>
      <w:r w:rsidR="006C3F4D" w:rsidRPr="00693B99">
        <w:rPr>
          <w:szCs w:val="22"/>
        </w:rPr>
        <w:t>LMS</w:t>
      </w:r>
      <w:r w:rsidR="00DA3141" w:rsidRPr="00693B99">
        <w:rPr>
          <w:szCs w:val="22"/>
        </w:rPr>
        <w:t xml:space="preserve">, in accordance with </w:t>
      </w:r>
      <w:r w:rsidR="006C3F4D" w:rsidRPr="00693B99">
        <w:rPr>
          <w:szCs w:val="22"/>
        </w:rPr>
        <w:t xml:space="preserve">the instructions in Appendix A.  Stations may also seek a waiver of the tolling rule </w:t>
      </w:r>
      <w:r w:rsidR="00876689" w:rsidRPr="00693B99">
        <w:rPr>
          <w:szCs w:val="22"/>
        </w:rPr>
        <w:t xml:space="preserve">to </w:t>
      </w:r>
      <w:r w:rsidR="005D1467" w:rsidRPr="00693B99">
        <w:rPr>
          <w:szCs w:val="22"/>
        </w:rPr>
        <w:t>receive</w:t>
      </w:r>
      <w:r w:rsidR="00876689" w:rsidRPr="00693B99">
        <w:rPr>
          <w:szCs w:val="22"/>
        </w:rPr>
        <w:t xml:space="preserve"> additional time to construct in</w:t>
      </w:r>
      <w:r w:rsidR="006C3F4D" w:rsidRPr="00693B99">
        <w:rPr>
          <w:szCs w:val="22"/>
        </w:rPr>
        <w:t xml:space="preserve"> the case </w:t>
      </w:r>
      <w:r w:rsidR="00876689" w:rsidRPr="00693B99">
        <w:rPr>
          <w:szCs w:val="22"/>
        </w:rPr>
        <w:t xml:space="preserve">where </w:t>
      </w:r>
      <w:r w:rsidR="006C3F4D" w:rsidRPr="00693B99">
        <w:rPr>
          <w:szCs w:val="22"/>
        </w:rPr>
        <w:t>“rare or exceptional circumstances”</w:t>
      </w:r>
      <w:r w:rsidR="00876689" w:rsidRPr="00693B99">
        <w:rPr>
          <w:szCs w:val="22"/>
        </w:rPr>
        <w:t xml:space="preserve"> prevent construction</w:t>
      </w:r>
      <w:r w:rsidR="00820F00" w:rsidRPr="00693B99">
        <w:rPr>
          <w:szCs w:val="22"/>
        </w:rPr>
        <w:t>,</w:t>
      </w:r>
      <w:r w:rsidR="003429CA" w:rsidRPr="00693B99">
        <w:rPr>
          <w:szCs w:val="22"/>
        </w:rPr>
        <w:t xml:space="preserve"> following the instructions for requesting tolling in Appendix A</w:t>
      </w:r>
      <w:r w:rsidR="009C6BF0" w:rsidRPr="00693B99">
        <w:rPr>
          <w:szCs w:val="22"/>
        </w:rPr>
        <w:t>.</w:t>
      </w:r>
      <w:r w:rsidR="006C3F4D" w:rsidRPr="00693B99">
        <w:rPr>
          <w:szCs w:val="22"/>
          <w:vertAlign w:val="superscript"/>
        </w:rPr>
        <w:footnoteReference w:id="87"/>
      </w:r>
      <w:r w:rsidR="006C3F4D" w:rsidRPr="00693B99">
        <w:rPr>
          <w:szCs w:val="22"/>
        </w:rPr>
        <w:t xml:space="preserve">  </w:t>
      </w:r>
      <w:r w:rsidR="003429CA" w:rsidRPr="00693B99">
        <w:rPr>
          <w:szCs w:val="22"/>
        </w:rPr>
        <w:t>Stations should send</w:t>
      </w:r>
      <w:r w:rsidR="006C3F4D" w:rsidRPr="00693B99">
        <w:rPr>
          <w:szCs w:val="22"/>
        </w:rPr>
        <w:t xml:space="preserve"> an electronic copy of all tolling requests and tolling waivers </w:t>
      </w:r>
      <w:r w:rsidR="003429CA" w:rsidRPr="00693B99">
        <w:rPr>
          <w:szCs w:val="22"/>
        </w:rPr>
        <w:t>via</w:t>
      </w:r>
      <w:r w:rsidR="006C3F4D" w:rsidRPr="00693B99">
        <w:rPr>
          <w:szCs w:val="22"/>
        </w:rPr>
        <w:t xml:space="preserve"> email to:  </w:t>
      </w:r>
      <w:hyperlink r:id="rId9" w:history="1">
        <w:r w:rsidR="004342C3" w:rsidRPr="00693B99">
          <w:rPr>
            <w:rStyle w:val="Hyperlink"/>
            <w:color w:val="auto"/>
            <w:szCs w:val="22"/>
          </w:rPr>
          <w:t>IATransitionlicensing@fcc.gov</w:t>
        </w:r>
      </w:hyperlink>
      <w:r w:rsidR="005B2E43" w:rsidRPr="00693B99">
        <w:rPr>
          <w:szCs w:val="22"/>
          <w:u w:val="single"/>
        </w:rPr>
        <w:t>.</w:t>
      </w:r>
      <w:r w:rsidR="006C3F4D" w:rsidRPr="00693B99">
        <w:rPr>
          <w:szCs w:val="22"/>
        </w:rPr>
        <w:t xml:space="preserve"> </w:t>
      </w:r>
    </w:p>
    <w:p w14:paraId="72CDE6D8" w14:textId="77777777" w:rsidR="00DA3400" w:rsidRPr="00693B99" w:rsidRDefault="002950F9" w:rsidP="00DA3400">
      <w:pPr>
        <w:numPr>
          <w:ilvl w:val="0"/>
          <w:numId w:val="2"/>
        </w:numPr>
        <w:tabs>
          <w:tab w:val="clear" w:pos="1080"/>
          <w:tab w:val="num" w:pos="1440"/>
        </w:tabs>
        <w:autoSpaceDE w:val="0"/>
        <w:autoSpaceDN w:val="0"/>
        <w:adjustRightInd w:val="0"/>
        <w:spacing w:after="120"/>
        <w:rPr>
          <w:szCs w:val="22"/>
        </w:rPr>
      </w:pPr>
      <w:r w:rsidRPr="00693B99">
        <w:rPr>
          <w:szCs w:val="22"/>
        </w:rPr>
        <w:t>In addition</w:t>
      </w:r>
      <w:r w:rsidR="007E4252" w:rsidRPr="00693B99">
        <w:rPr>
          <w:szCs w:val="22"/>
        </w:rPr>
        <w:t>, as outlined in Section V</w:t>
      </w:r>
      <w:r w:rsidRPr="00693B99">
        <w:rPr>
          <w:szCs w:val="22"/>
        </w:rPr>
        <w:t xml:space="preserve">, we remind stations that the Media Bureau has also </w:t>
      </w:r>
      <w:r w:rsidR="007E4252" w:rsidRPr="00693B99">
        <w:rPr>
          <w:szCs w:val="22"/>
        </w:rPr>
        <w:t>announced that</w:t>
      </w:r>
      <w:r w:rsidRPr="00693B99">
        <w:rPr>
          <w:szCs w:val="22"/>
        </w:rPr>
        <w:t>, prior to grant, it will evaluate all extension applications to determine whether grant will delay or disrupt the post-auction transition schedule.</w:t>
      </w:r>
    </w:p>
    <w:p w14:paraId="601DE7B9" w14:textId="77777777" w:rsidR="0047751C" w:rsidRPr="00693B99" w:rsidRDefault="002950F9" w:rsidP="00DA3400">
      <w:pPr>
        <w:numPr>
          <w:ilvl w:val="0"/>
          <w:numId w:val="2"/>
        </w:numPr>
        <w:tabs>
          <w:tab w:val="clear" w:pos="1080"/>
          <w:tab w:val="num" w:pos="1440"/>
        </w:tabs>
        <w:autoSpaceDE w:val="0"/>
        <w:autoSpaceDN w:val="0"/>
        <w:adjustRightInd w:val="0"/>
        <w:spacing w:after="120"/>
        <w:rPr>
          <w:szCs w:val="22"/>
        </w:rPr>
      </w:pPr>
      <w:r w:rsidRPr="00693B99">
        <w:rPr>
          <w:szCs w:val="22"/>
        </w:rPr>
        <w:t>Absent the grant of an STA as discussed below, a reassigned station or a band changing station must cease operating on its pre-auction channel by its construction permit deadline even if construction of the station’s post-auction channel</w:t>
      </w:r>
      <w:r w:rsidR="00DA3141" w:rsidRPr="00693B99">
        <w:rPr>
          <w:szCs w:val="22"/>
        </w:rPr>
        <w:t xml:space="preserve"> facility</w:t>
      </w:r>
      <w:r w:rsidRPr="00693B99">
        <w:rPr>
          <w:szCs w:val="22"/>
        </w:rPr>
        <w:t xml:space="preserve"> is not complete.  Grant of an extension of time to construct a station’s post-auction channel</w:t>
      </w:r>
      <w:r w:rsidR="00DA3141" w:rsidRPr="00693B99">
        <w:rPr>
          <w:szCs w:val="22"/>
        </w:rPr>
        <w:t xml:space="preserve"> facility</w:t>
      </w:r>
      <w:r w:rsidRPr="00693B99">
        <w:rPr>
          <w:szCs w:val="22"/>
        </w:rPr>
        <w:t xml:space="preserve"> will not extend the time during which the licensee may operate on its pre-auction channel</w:t>
      </w:r>
      <w:r w:rsidR="006C3F4D" w:rsidRPr="00693B99">
        <w:rPr>
          <w:szCs w:val="22"/>
        </w:rPr>
        <w:t>.</w:t>
      </w:r>
      <w:r w:rsidR="001D2243" w:rsidRPr="00693B99">
        <w:rPr>
          <w:rStyle w:val="FootnoteReference"/>
        </w:rPr>
        <w:footnoteReference w:id="88"/>
      </w:r>
      <w:bookmarkStart w:id="148" w:name="_Toc466014530"/>
    </w:p>
    <w:p w14:paraId="764F9CC3" w14:textId="77777777" w:rsidR="00EE1F9A" w:rsidRPr="00693B99" w:rsidRDefault="00EE1F9A" w:rsidP="00C168F3">
      <w:pPr>
        <w:pStyle w:val="Heading3"/>
        <w:ind w:hanging="1440"/>
        <w:rPr>
          <w:szCs w:val="22"/>
        </w:rPr>
      </w:pPr>
      <w:bookmarkStart w:id="149" w:name="_Toc466019471"/>
      <w:bookmarkStart w:id="150" w:name="_Toc468178157"/>
      <w:bookmarkStart w:id="151" w:name="_Toc471732179"/>
      <w:bookmarkStart w:id="152" w:name="_Toc471732255"/>
      <w:bookmarkStart w:id="153" w:name="_Toc471732550"/>
      <w:bookmarkStart w:id="154" w:name="_Toc471732623"/>
      <w:bookmarkStart w:id="155" w:name="_Toc471732886"/>
      <w:bookmarkStart w:id="156" w:name="_Toc471734063"/>
      <w:r w:rsidRPr="00693B99">
        <w:rPr>
          <w:szCs w:val="22"/>
        </w:rPr>
        <w:t>Additional Flexibility</w:t>
      </w:r>
      <w:bookmarkEnd w:id="148"/>
      <w:bookmarkEnd w:id="149"/>
      <w:bookmarkEnd w:id="150"/>
      <w:bookmarkEnd w:id="151"/>
      <w:bookmarkEnd w:id="152"/>
      <w:bookmarkEnd w:id="153"/>
      <w:bookmarkEnd w:id="154"/>
      <w:bookmarkEnd w:id="155"/>
      <w:bookmarkEnd w:id="156"/>
    </w:p>
    <w:p w14:paraId="673DEF01" w14:textId="77777777" w:rsidR="00EE1F9A" w:rsidRPr="00693B99" w:rsidRDefault="00FB1195" w:rsidP="00EE1F9A">
      <w:pPr>
        <w:numPr>
          <w:ilvl w:val="0"/>
          <w:numId w:val="2"/>
        </w:numPr>
        <w:tabs>
          <w:tab w:val="clear" w:pos="1080"/>
          <w:tab w:val="num" w:pos="1440"/>
        </w:tabs>
        <w:autoSpaceDE w:val="0"/>
        <w:autoSpaceDN w:val="0"/>
        <w:adjustRightInd w:val="0"/>
        <w:spacing w:after="120"/>
        <w:rPr>
          <w:szCs w:val="22"/>
        </w:rPr>
      </w:pPr>
      <w:r w:rsidRPr="00693B99">
        <w:rPr>
          <w:szCs w:val="22"/>
        </w:rPr>
        <w:t>“</w:t>
      </w:r>
      <w:r w:rsidR="00F140E1" w:rsidRPr="00693B99">
        <w:rPr>
          <w:szCs w:val="22"/>
        </w:rPr>
        <w:t>[I</w:t>
      </w:r>
      <w:r w:rsidR="00790ECF" w:rsidRPr="00693B99">
        <w:rPr>
          <w:szCs w:val="22"/>
        </w:rPr>
        <w:t>]</w:t>
      </w:r>
      <w:r w:rsidRPr="00693B99">
        <w:rPr>
          <w:szCs w:val="22"/>
        </w:rPr>
        <w:t>n order to facilitate timely construction of new facilities and to minimize any time broadcasters may be off the air,”</w:t>
      </w:r>
      <w:r w:rsidR="00225F1F" w:rsidRPr="00693B99">
        <w:rPr>
          <w:szCs w:val="22"/>
        </w:rPr>
        <w:t xml:space="preserve"> </w:t>
      </w:r>
      <w:r w:rsidR="00E01406" w:rsidRPr="00693B99">
        <w:rPr>
          <w:szCs w:val="22"/>
        </w:rPr>
        <w:t>reassigned stations and band changing stations</w:t>
      </w:r>
      <w:r w:rsidRPr="00693B99">
        <w:rPr>
          <w:szCs w:val="22"/>
        </w:rPr>
        <w:t xml:space="preserve"> </w:t>
      </w:r>
      <w:r w:rsidR="00225F1F" w:rsidRPr="00693B99">
        <w:rPr>
          <w:szCs w:val="22"/>
        </w:rPr>
        <w:t xml:space="preserve">may </w:t>
      </w:r>
      <w:r w:rsidR="00E01406" w:rsidRPr="00693B99">
        <w:rPr>
          <w:szCs w:val="22"/>
        </w:rPr>
        <w:t xml:space="preserve">request an STA to </w:t>
      </w:r>
      <w:r w:rsidRPr="00693B99">
        <w:rPr>
          <w:szCs w:val="22"/>
        </w:rPr>
        <w:t>operate with temporary facilities while they complete construction</w:t>
      </w:r>
      <w:r w:rsidR="00244BFF" w:rsidRPr="00693B99">
        <w:rPr>
          <w:szCs w:val="22"/>
        </w:rPr>
        <w:t xml:space="preserve"> of their </w:t>
      </w:r>
      <w:r w:rsidR="00ED7968" w:rsidRPr="00693B99">
        <w:rPr>
          <w:szCs w:val="22"/>
        </w:rPr>
        <w:t>post-auction</w:t>
      </w:r>
      <w:r w:rsidR="00865519" w:rsidRPr="00693B99">
        <w:rPr>
          <w:szCs w:val="22"/>
        </w:rPr>
        <w:t xml:space="preserve"> </w:t>
      </w:r>
      <w:r w:rsidR="00244BFF" w:rsidRPr="00693B99">
        <w:rPr>
          <w:szCs w:val="22"/>
        </w:rPr>
        <w:t>channel facilities</w:t>
      </w:r>
      <w:r w:rsidRPr="00693B99">
        <w:rPr>
          <w:szCs w:val="22"/>
        </w:rPr>
        <w:t>.</w:t>
      </w:r>
      <w:r w:rsidRPr="00693B99">
        <w:rPr>
          <w:rStyle w:val="FootnoteReference"/>
        </w:rPr>
        <w:footnoteReference w:id="89"/>
      </w:r>
      <w:r w:rsidRPr="00693B99">
        <w:rPr>
          <w:szCs w:val="22"/>
        </w:rPr>
        <w:t xml:space="preserve">  </w:t>
      </w:r>
      <w:r w:rsidR="006B3708" w:rsidRPr="00693B99">
        <w:rPr>
          <w:szCs w:val="22"/>
        </w:rPr>
        <w:t xml:space="preserve">We clarify that all requests for </w:t>
      </w:r>
      <w:r w:rsidR="007C6830" w:rsidRPr="00693B99">
        <w:rPr>
          <w:szCs w:val="22"/>
        </w:rPr>
        <w:t>an</w:t>
      </w:r>
      <w:r w:rsidR="00533B9E" w:rsidRPr="00693B99">
        <w:rPr>
          <w:szCs w:val="22"/>
        </w:rPr>
        <w:t xml:space="preserve"> STA</w:t>
      </w:r>
      <w:r w:rsidR="006B3708" w:rsidRPr="00693B99">
        <w:rPr>
          <w:szCs w:val="22"/>
        </w:rPr>
        <w:t xml:space="preserve"> must be filed electronically </w:t>
      </w:r>
      <w:r w:rsidR="001F0354" w:rsidRPr="00693B99">
        <w:rPr>
          <w:szCs w:val="22"/>
        </w:rPr>
        <w:t>via LMS</w:t>
      </w:r>
      <w:r w:rsidR="006B3708" w:rsidRPr="00693B99">
        <w:rPr>
          <w:szCs w:val="22"/>
        </w:rPr>
        <w:t xml:space="preserve"> and, for commercial stations, will require payment of a filing fee.  Instructions for filing </w:t>
      </w:r>
      <w:r w:rsidR="001F0354" w:rsidRPr="00693B99">
        <w:rPr>
          <w:szCs w:val="22"/>
        </w:rPr>
        <w:t>via LMS</w:t>
      </w:r>
      <w:r w:rsidR="006B3708" w:rsidRPr="00693B99">
        <w:rPr>
          <w:szCs w:val="22"/>
        </w:rPr>
        <w:t xml:space="preserve"> are contained in Appendix A. </w:t>
      </w:r>
      <w:r w:rsidR="00ED7968" w:rsidRPr="00693B99">
        <w:rPr>
          <w:szCs w:val="22"/>
        </w:rPr>
        <w:t xml:space="preserve"> </w:t>
      </w:r>
      <w:r w:rsidR="006B3708" w:rsidRPr="00693B99">
        <w:rPr>
          <w:szCs w:val="22"/>
        </w:rPr>
        <w:t xml:space="preserve">All STAs </w:t>
      </w:r>
      <w:r w:rsidR="00D5007E" w:rsidRPr="00693B99">
        <w:rPr>
          <w:szCs w:val="22"/>
        </w:rPr>
        <w:t>for temporary facilities</w:t>
      </w:r>
      <w:r w:rsidR="006B3708" w:rsidRPr="00693B99">
        <w:rPr>
          <w:szCs w:val="22"/>
        </w:rPr>
        <w:t xml:space="preserve"> granted in connection with the post-auction transition will be for a maximum of 180 days.</w:t>
      </w:r>
      <w:r w:rsidR="006B3708" w:rsidRPr="00693B99">
        <w:rPr>
          <w:szCs w:val="22"/>
          <w:vertAlign w:val="superscript"/>
        </w:rPr>
        <w:footnoteReference w:id="90"/>
      </w:r>
      <w:r w:rsidR="006B3708" w:rsidRPr="00693B99">
        <w:rPr>
          <w:szCs w:val="22"/>
        </w:rPr>
        <w:t xml:space="preserve">  In addition, the Media Bureau reserves the right to modify or cancel an STA at any time</w:t>
      </w:r>
      <w:r w:rsidR="006A0260" w:rsidRPr="00693B99">
        <w:rPr>
          <w:szCs w:val="22"/>
        </w:rPr>
        <w:t>,</w:t>
      </w:r>
      <w:r w:rsidR="006B3708" w:rsidRPr="00693B99">
        <w:rPr>
          <w:szCs w:val="22"/>
        </w:rPr>
        <w:t xml:space="preserve"> without prior notice</w:t>
      </w:r>
      <w:r w:rsidR="006A0260" w:rsidRPr="00693B99">
        <w:rPr>
          <w:szCs w:val="22"/>
        </w:rPr>
        <w:t>,</w:t>
      </w:r>
      <w:r w:rsidR="006B3708" w:rsidRPr="00693B99">
        <w:rPr>
          <w:szCs w:val="22"/>
        </w:rPr>
        <w:t xml:space="preserve"> </w:t>
      </w:r>
      <w:r w:rsidR="006A0260" w:rsidRPr="00693B99">
        <w:rPr>
          <w:szCs w:val="22"/>
        </w:rPr>
        <w:t xml:space="preserve">at </w:t>
      </w:r>
      <w:r w:rsidR="006B3708" w:rsidRPr="00693B99">
        <w:rPr>
          <w:szCs w:val="22"/>
        </w:rPr>
        <w:t>its sole discretion.</w:t>
      </w:r>
      <w:r w:rsidR="006B3708" w:rsidRPr="00693B99">
        <w:rPr>
          <w:szCs w:val="22"/>
          <w:vertAlign w:val="superscript"/>
        </w:rPr>
        <w:footnoteReference w:id="91"/>
      </w:r>
    </w:p>
    <w:p w14:paraId="4E06F778" w14:textId="7845C150" w:rsidR="00B27FDE" w:rsidRPr="00693B99" w:rsidRDefault="006A0260" w:rsidP="00B27FDE">
      <w:pPr>
        <w:numPr>
          <w:ilvl w:val="0"/>
          <w:numId w:val="2"/>
        </w:numPr>
        <w:tabs>
          <w:tab w:val="clear" w:pos="1080"/>
          <w:tab w:val="num" w:pos="1440"/>
        </w:tabs>
        <w:autoSpaceDE w:val="0"/>
        <w:autoSpaceDN w:val="0"/>
        <w:adjustRightInd w:val="0"/>
        <w:spacing w:after="120"/>
        <w:rPr>
          <w:szCs w:val="22"/>
        </w:rPr>
      </w:pPr>
      <w:r w:rsidRPr="00693B99">
        <w:rPr>
          <w:szCs w:val="22"/>
        </w:rPr>
        <w:t>To illustrate</w:t>
      </w:r>
      <w:r w:rsidR="00790ECF" w:rsidRPr="00693B99">
        <w:rPr>
          <w:szCs w:val="22"/>
        </w:rPr>
        <w:t xml:space="preserve">, </w:t>
      </w:r>
      <w:r w:rsidRPr="00693B99">
        <w:rPr>
          <w:szCs w:val="22"/>
        </w:rPr>
        <w:t xml:space="preserve">examples of </w:t>
      </w:r>
      <w:r w:rsidR="00790ECF" w:rsidRPr="00693B99">
        <w:rPr>
          <w:szCs w:val="22"/>
        </w:rPr>
        <w:t>p</w:t>
      </w:r>
      <w:r w:rsidR="00211EC6" w:rsidRPr="00693B99">
        <w:rPr>
          <w:szCs w:val="22"/>
        </w:rPr>
        <w:t>otential temporary facilities could</w:t>
      </w:r>
      <w:r w:rsidR="00FB1195" w:rsidRPr="00693B99">
        <w:rPr>
          <w:szCs w:val="22"/>
        </w:rPr>
        <w:t xml:space="preserve"> include</w:t>
      </w:r>
      <w:r w:rsidRPr="00693B99">
        <w:rPr>
          <w:szCs w:val="22"/>
        </w:rPr>
        <w:t xml:space="preserve">: </w:t>
      </w:r>
      <w:r w:rsidR="00FB1195" w:rsidRPr="00693B99">
        <w:rPr>
          <w:szCs w:val="22"/>
        </w:rPr>
        <w:t xml:space="preserve"> </w:t>
      </w:r>
      <w:r w:rsidR="00211EC6" w:rsidRPr="00693B99">
        <w:rPr>
          <w:szCs w:val="22"/>
        </w:rPr>
        <w:t>a station</w:t>
      </w:r>
      <w:r w:rsidR="00FB1195" w:rsidRPr="00693B99">
        <w:rPr>
          <w:szCs w:val="22"/>
        </w:rPr>
        <w:t xml:space="preserve"> operating on </w:t>
      </w:r>
      <w:r w:rsidR="00211EC6" w:rsidRPr="00693B99">
        <w:rPr>
          <w:szCs w:val="22"/>
        </w:rPr>
        <w:t>its</w:t>
      </w:r>
      <w:r w:rsidR="00FB1195" w:rsidRPr="00693B99">
        <w:rPr>
          <w:szCs w:val="22"/>
        </w:rPr>
        <w:t xml:space="preserve"> </w:t>
      </w:r>
      <w:r w:rsidR="00ED7968" w:rsidRPr="00693B99">
        <w:rPr>
          <w:szCs w:val="22"/>
        </w:rPr>
        <w:t>assigned post-auction</w:t>
      </w:r>
      <w:r w:rsidR="00865519" w:rsidRPr="00693B99">
        <w:rPr>
          <w:szCs w:val="22"/>
        </w:rPr>
        <w:t xml:space="preserve"> </w:t>
      </w:r>
      <w:r w:rsidR="00FB1195" w:rsidRPr="00693B99">
        <w:rPr>
          <w:szCs w:val="22"/>
        </w:rPr>
        <w:t>channel with</w:t>
      </w:r>
      <w:r w:rsidR="00E651B4" w:rsidRPr="00693B99">
        <w:rPr>
          <w:szCs w:val="22"/>
        </w:rPr>
        <w:t xml:space="preserve"> parameters at variance from its</w:t>
      </w:r>
      <w:r w:rsidR="00FB1195" w:rsidRPr="00693B99">
        <w:rPr>
          <w:szCs w:val="22"/>
        </w:rPr>
        <w:t xml:space="preserve"> </w:t>
      </w:r>
      <w:r w:rsidR="00211EC6" w:rsidRPr="00693B99">
        <w:rPr>
          <w:szCs w:val="22"/>
        </w:rPr>
        <w:t>post-auction</w:t>
      </w:r>
      <w:r w:rsidR="00FB1195" w:rsidRPr="00693B99">
        <w:rPr>
          <w:szCs w:val="22"/>
        </w:rPr>
        <w:t xml:space="preserve"> construction permit</w:t>
      </w:r>
      <w:r w:rsidR="00CF124C" w:rsidRPr="00693B99">
        <w:rPr>
          <w:szCs w:val="22"/>
        </w:rPr>
        <w:t>;</w:t>
      </w:r>
      <w:r w:rsidR="00FB1195" w:rsidRPr="00693B99">
        <w:rPr>
          <w:szCs w:val="22"/>
        </w:rPr>
        <w:t xml:space="preserve"> operating from a temporary antenna</w:t>
      </w:r>
      <w:r w:rsidR="00CF124C" w:rsidRPr="00693B99">
        <w:rPr>
          <w:szCs w:val="22"/>
        </w:rPr>
        <w:t>;</w:t>
      </w:r>
      <w:r w:rsidR="00FB1195" w:rsidRPr="00693B99">
        <w:rPr>
          <w:szCs w:val="22"/>
        </w:rPr>
        <w:t xml:space="preserve"> operating on </w:t>
      </w:r>
      <w:r w:rsidR="001B4FBB" w:rsidRPr="00693B99">
        <w:rPr>
          <w:szCs w:val="22"/>
        </w:rPr>
        <w:t xml:space="preserve">a </w:t>
      </w:r>
      <w:r w:rsidR="00FB1195" w:rsidRPr="00693B99">
        <w:rPr>
          <w:szCs w:val="22"/>
        </w:rPr>
        <w:t>temporary channel</w:t>
      </w:r>
      <w:r w:rsidR="00F140E1" w:rsidRPr="00693B99">
        <w:rPr>
          <w:szCs w:val="22"/>
        </w:rPr>
        <w:t>,</w:t>
      </w:r>
      <w:r w:rsidR="00FB1195" w:rsidRPr="00693B99">
        <w:rPr>
          <w:szCs w:val="22"/>
        </w:rPr>
        <w:t xml:space="preserve"> including fo</w:t>
      </w:r>
      <w:r w:rsidR="006B3708" w:rsidRPr="00693B99">
        <w:rPr>
          <w:szCs w:val="22"/>
        </w:rPr>
        <w:t xml:space="preserve">r a short period of time on a channel relinquished </w:t>
      </w:r>
      <w:r w:rsidR="00FB1195" w:rsidRPr="00693B99">
        <w:rPr>
          <w:szCs w:val="22"/>
        </w:rPr>
        <w:t xml:space="preserve">by a </w:t>
      </w:r>
      <w:r w:rsidR="007557C8" w:rsidRPr="00693B99">
        <w:rPr>
          <w:szCs w:val="22"/>
        </w:rPr>
        <w:t>reverse auction winner</w:t>
      </w:r>
      <w:r w:rsidR="00CF124C" w:rsidRPr="00693B99">
        <w:rPr>
          <w:szCs w:val="22"/>
        </w:rPr>
        <w:t>;</w:t>
      </w:r>
      <w:r w:rsidR="00284CAC" w:rsidRPr="00693B99">
        <w:rPr>
          <w:szCs w:val="22"/>
        </w:rPr>
        <w:t xml:space="preserve"> and t</w:t>
      </w:r>
      <w:r w:rsidRPr="00693B99">
        <w:rPr>
          <w:szCs w:val="22"/>
        </w:rPr>
        <w:t>he t</w:t>
      </w:r>
      <w:r w:rsidR="00284CAC" w:rsidRPr="00693B99">
        <w:rPr>
          <w:szCs w:val="22"/>
        </w:rPr>
        <w:t xml:space="preserve">emporary </w:t>
      </w:r>
      <w:r w:rsidR="0005265A" w:rsidRPr="00693B99">
        <w:rPr>
          <w:szCs w:val="22"/>
        </w:rPr>
        <w:t>joint use of a</w:t>
      </w:r>
      <w:r w:rsidR="00284CAC" w:rsidRPr="00693B99">
        <w:rPr>
          <w:szCs w:val="22"/>
        </w:rPr>
        <w:t xml:space="preserve"> channel</w:t>
      </w:r>
      <w:r w:rsidR="001D2243" w:rsidRPr="00693B99">
        <w:rPr>
          <w:szCs w:val="22"/>
        </w:rPr>
        <w:t>.</w:t>
      </w:r>
      <w:r w:rsidR="006B3708" w:rsidRPr="00693B99">
        <w:rPr>
          <w:szCs w:val="22"/>
          <w:vertAlign w:val="superscript"/>
        </w:rPr>
        <w:footnoteReference w:id="92"/>
      </w:r>
      <w:r w:rsidR="00225F1F" w:rsidRPr="00693B99">
        <w:rPr>
          <w:i/>
          <w:szCs w:val="22"/>
        </w:rPr>
        <w:t xml:space="preserve">  </w:t>
      </w:r>
      <w:r w:rsidR="00225F1F" w:rsidRPr="00693B99">
        <w:rPr>
          <w:szCs w:val="22"/>
        </w:rPr>
        <w:t>S</w:t>
      </w:r>
      <w:r w:rsidR="000834A4" w:rsidRPr="00693B99">
        <w:rPr>
          <w:szCs w:val="22"/>
        </w:rPr>
        <w:t>tations</w:t>
      </w:r>
      <w:r w:rsidR="00FB1195" w:rsidRPr="00693B99">
        <w:rPr>
          <w:szCs w:val="22"/>
        </w:rPr>
        <w:t xml:space="preserve"> </w:t>
      </w:r>
      <w:r w:rsidR="00225F1F" w:rsidRPr="00693B99">
        <w:rPr>
          <w:szCs w:val="22"/>
        </w:rPr>
        <w:t xml:space="preserve">also </w:t>
      </w:r>
      <w:r w:rsidR="00FB1195" w:rsidRPr="00693B99">
        <w:rPr>
          <w:szCs w:val="22"/>
        </w:rPr>
        <w:t>may request a</w:t>
      </w:r>
      <w:r w:rsidR="005F1D20" w:rsidRPr="00693B99">
        <w:rPr>
          <w:szCs w:val="22"/>
        </w:rPr>
        <w:t>n</w:t>
      </w:r>
      <w:r w:rsidR="00FB1195" w:rsidRPr="00693B99">
        <w:rPr>
          <w:szCs w:val="22"/>
        </w:rPr>
        <w:t xml:space="preserve"> STA to continue to operate </w:t>
      </w:r>
      <w:r w:rsidR="0088080C" w:rsidRPr="00693B99">
        <w:rPr>
          <w:szCs w:val="22"/>
        </w:rPr>
        <w:t xml:space="preserve">on their pre-auction channels beyond their </w:t>
      </w:r>
      <w:r w:rsidR="0047103C" w:rsidRPr="00693B99">
        <w:rPr>
          <w:szCs w:val="22"/>
        </w:rPr>
        <w:t xml:space="preserve">phase completion </w:t>
      </w:r>
      <w:r w:rsidR="002009F3" w:rsidRPr="00693B99">
        <w:rPr>
          <w:szCs w:val="22"/>
        </w:rPr>
        <w:t>deadline</w:t>
      </w:r>
      <w:r w:rsidR="007D3DB5" w:rsidRPr="00693B99">
        <w:rPr>
          <w:szCs w:val="22"/>
        </w:rPr>
        <w:t>s</w:t>
      </w:r>
      <w:r w:rsidR="0088080C" w:rsidRPr="00693B99">
        <w:rPr>
          <w:szCs w:val="22"/>
        </w:rPr>
        <w:t xml:space="preserve">.  </w:t>
      </w:r>
      <w:r w:rsidR="006B3708" w:rsidRPr="00693B99">
        <w:rPr>
          <w:szCs w:val="22"/>
        </w:rPr>
        <w:t>We will examine all such requests to determine whether they would serve the public interest, and we will require that all temporary authorizations not cause impermissible interference to other broadcast or wireless licensees.</w:t>
      </w:r>
      <w:r w:rsidR="006B3708" w:rsidRPr="00693B99">
        <w:rPr>
          <w:szCs w:val="22"/>
          <w:vertAlign w:val="superscript"/>
        </w:rPr>
        <w:footnoteReference w:id="93"/>
      </w:r>
      <w:r w:rsidR="00B27FDE" w:rsidRPr="00693B99">
        <w:rPr>
          <w:szCs w:val="22"/>
        </w:rPr>
        <w:t xml:space="preserve">  In addition</w:t>
      </w:r>
      <w:r w:rsidR="007E4252" w:rsidRPr="00693B99">
        <w:rPr>
          <w:szCs w:val="22"/>
        </w:rPr>
        <w:t>, as outlined in Section V</w:t>
      </w:r>
      <w:r w:rsidR="00B27FDE" w:rsidRPr="00693B99">
        <w:rPr>
          <w:szCs w:val="22"/>
        </w:rPr>
        <w:t>, we remind stations that the Media Bureau has a</w:t>
      </w:r>
      <w:r w:rsidR="00F942D8" w:rsidRPr="00693B99">
        <w:rPr>
          <w:szCs w:val="22"/>
        </w:rPr>
        <w:t>nnounced that</w:t>
      </w:r>
      <w:r w:rsidR="00B27FDE" w:rsidRPr="00693B99">
        <w:rPr>
          <w:szCs w:val="22"/>
        </w:rPr>
        <w:t xml:space="preserve"> it will evaluate all STA requests to determine whether grant </w:t>
      </w:r>
      <w:r w:rsidRPr="00693B99">
        <w:rPr>
          <w:szCs w:val="22"/>
        </w:rPr>
        <w:t xml:space="preserve">would </w:t>
      </w:r>
      <w:r w:rsidR="00B27FDE" w:rsidRPr="00693B99">
        <w:rPr>
          <w:szCs w:val="22"/>
        </w:rPr>
        <w:t>delay or disrupt the post-auction transition schedule.</w:t>
      </w:r>
      <w:r w:rsidR="00F12E6E" w:rsidRPr="00693B99">
        <w:rPr>
          <w:rStyle w:val="FootnoteReference"/>
        </w:rPr>
        <w:footnoteReference w:id="94"/>
      </w:r>
      <w:r w:rsidR="00990585" w:rsidRPr="00693B99">
        <w:rPr>
          <w:szCs w:val="22"/>
        </w:rPr>
        <w:t xml:space="preserve"> </w:t>
      </w:r>
      <w:r w:rsidRPr="00693B99">
        <w:rPr>
          <w:szCs w:val="22"/>
        </w:rPr>
        <w:t xml:space="preserve"> </w:t>
      </w:r>
      <w:r w:rsidR="00F140E1" w:rsidRPr="00693B99">
        <w:rPr>
          <w:szCs w:val="22"/>
        </w:rPr>
        <w:t>We</w:t>
      </w:r>
      <w:r w:rsidR="00990585" w:rsidRPr="00693B99">
        <w:rPr>
          <w:szCs w:val="22"/>
        </w:rPr>
        <w:t xml:space="preserve"> will not grant a</w:t>
      </w:r>
      <w:r w:rsidR="005F1D20" w:rsidRPr="00693B99">
        <w:rPr>
          <w:szCs w:val="22"/>
        </w:rPr>
        <w:t>n</w:t>
      </w:r>
      <w:r w:rsidR="00990585" w:rsidRPr="00693B99">
        <w:rPr>
          <w:szCs w:val="22"/>
        </w:rPr>
        <w:t xml:space="preserve"> STA that would authorize a station to operate on its pre-auction channel beyond the end of the 39-month transition period.</w:t>
      </w:r>
      <w:r w:rsidR="00990585" w:rsidRPr="00693B99">
        <w:rPr>
          <w:szCs w:val="22"/>
          <w:vertAlign w:val="superscript"/>
        </w:rPr>
        <w:footnoteReference w:id="95"/>
      </w:r>
      <w:r w:rsidR="00990585" w:rsidRPr="00693B99">
        <w:rPr>
          <w:szCs w:val="22"/>
        </w:rPr>
        <w:t xml:space="preserve">  </w:t>
      </w:r>
    </w:p>
    <w:p w14:paraId="7C5084F7" w14:textId="77777777" w:rsidR="00EE1F9A" w:rsidRPr="00693B99" w:rsidRDefault="00EE1F9A" w:rsidP="00C168F3">
      <w:pPr>
        <w:pStyle w:val="Heading3"/>
        <w:ind w:hanging="1440"/>
        <w:rPr>
          <w:szCs w:val="22"/>
        </w:rPr>
      </w:pPr>
      <w:bookmarkStart w:id="157" w:name="_Toc466014531"/>
      <w:bookmarkStart w:id="158" w:name="_Toc466019472"/>
      <w:bookmarkStart w:id="159" w:name="_Toc468178158"/>
      <w:bookmarkStart w:id="160" w:name="_Toc471732180"/>
      <w:bookmarkStart w:id="161" w:name="_Toc471732256"/>
      <w:bookmarkStart w:id="162" w:name="_Toc471732551"/>
      <w:bookmarkStart w:id="163" w:name="_Toc471732624"/>
      <w:bookmarkStart w:id="164" w:name="_Toc471732887"/>
      <w:bookmarkStart w:id="165" w:name="_Toc471734064"/>
      <w:r w:rsidRPr="00693B99">
        <w:rPr>
          <w:szCs w:val="22"/>
        </w:rPr>
        <w:t>Silent Authority and Section 312(g) of the Communications Act</w:t>
      </w:r>
      <w:bookmarkEnd w:id="157"/>
      <w:bookmarkEnd w:id="158"/>
      <w:bookmarkEnd w:id="159"/>
      <w:bookmarkEnd w:id="160"/>
      <w:bookmarkEnd w:id="161"/>
      <w:bookmarkEnd w:id="162"/>
      <w:bookmarkEnd w:id="163"/>
      <w:bookmarkEnd w:id="164"/>
      <w:bookmarkEnd w:id="165"/>
    </w:p>
    <w:p w14:paraId="3809F7C9" w14:textId="77777777" w:rsidR="006B3708" w:rsidRPr="00693B99" w:rsidRDefault="006B3708" w:rsidP="00EE1F9A">
      <w:pPr>
        <w:numPr>
          <w:ilvl w:val="0"/>
          <w:numId w:val="2"/>
        </w:numPr>
        <w:tabs>
          <w:tab w:val="clear" w:pos="1080"/>
          <w:tab w:val="num" w:pos="1440"/>
        </w:tabs>
        <w:autoSpaceDE w:val="0"/>
        <w:autoSpaceDN w:val="0"/>
        <w:adjustRightInd w:val="0"/>
        <w:spacing w:after="120"/>
        <w:rPr>
          <w:szCs w:val="22"/>
        </w:rPr>
      </w:pPr>
      <w:r w:rsidRPr="00693B99">
        <w:rPr>
          <w:szCs w:val="22"/>
        </w:rPr>
        <w:t xml:space="preserve">We recognize that, in order to successfully complete the transition to </w:t>
      </w:r>
      <w:r w:rsidR="00D076EA" w:rsidRPr="00693B99">
        <w:rPr>
          <w:szCs w:val="22"/>
        </w:rPr>
        <w:t xml:space="preserve">its </w:t>
      </w:r>
      <w:r w:rsidR="00463FBB" w:rsidRPr="00693B99">
        <w:rPr>
          <w:szCs w:val="22"/>
        </w:rPr>
        <w:t>post-auction</w:t>
      </w:r>
      <w:r w:rsidR="00865519" w:rsidRPr="00693B99">
        <w:rPr>
          <w:szCs w:val="22"/>
        </w:rPr>
        <w:t xml:space="preserve"> </w:t>
      </w:r>
      <w:r w:rsidRPr="00693B99">
        <w:rPr>
          <w:szCs w:val="22"/>
        </w:rPr>
        <w:t xml:space="preserve">channel, </w:t>
      </w:r>
      <w:r w:rsidR="00D076EA" w:rsidRPr="00693B99">
        <w:rPr>
          <w:szCs w:val="22"/>
        </w:rPr>
        <w:t xml:space="preserve">a </w:t>
      </w:r>
      <w:r w:rsidR="000834A4" w:rsidRPr="00693B99">
        <w:rPr>
          <w:szCs w:val="22"/>
        </w:rPr>
        <w:t xml:space="preserve">reassigned station </w:t>
      </w:r>
      <w:r w:rsidR="00D076EA" w:rsidRPr="00693B99">
        <w:rPr>
          <w:szCs w:val="22"/>
        </w:rPr>
        <w:t xml:space="preserve">or </w:t>
      </w:r>
      <w:r w:rsidR="000834A4" w:rsidRPr="00693B99">
        <w:rPr>
          <w:szCs w:val="22"/>
        </w:rPr>
        <w:t>band changing station</w:t>
      </w:r>
      <w:r w:rsidRPr="00693B99">
        <w:rPr>
          <w:szCs w:val="22"/>
        </w:rPr>
        <w:t xml:space="preserve"> may need to temporarily suspend operations or “go silent.”  We remind stations that the rules provide that a station may </w:t>
      </w:r>
      <w:r w:rsidR="00FB7BE5" w:rsidRPr="00693B99">
        <w:rPr>
          <w:szCs w:val="22"/>
        </w:rPr>
        <w:t>suspend</w:t>
      </w:r>
      <w:r w:rsidRPr="00693B99">
        <w:rPr>
          <w:szCs w:val="22"/>
        </w:rPr>
        <w:t xml:space="preserve"> operation</w:t>
      </w:r>
      <w:r w:rsidR="00FB7BE5" w:rsidRPr="00693B99">
        <w:rPr>
          <w:szCs w:val="22"/>
        </w:rPr>
        <w:t>s</w:t>
      </w:r>
      <w:r w:rsidRPr="00693B99">
        <w:rPr>
          <w:szCs w:val="22"/>
        </w:rPr>
        <w:t xml:space="preserve"> for a period of not more than </w:t>
      </w:r>
      <w:r w:rsidR="00CF6A2A" w:rsidRPr="00693B99">
        <w:rPr>
          <w:szCs w:val="22"/>
        </w:rPr>
        <w:t>30</w:t>
      </w:r>
      <w:r w:rsidR="001B4FBB" w:rsidRPr="00693B99">
        <w:rPr>
          <w:szCs w:val="22"/>
        </w:rPr>
        <w:t xml:space="preserve"> </w:t>
      </w:r>
      <w:r w:rsidRPr="00693B99">
        <w:rPr>
          <w:szCs w:val="22"/>
        </w:rPr>
        <w:t xml:space="preserve">days </w:t>
      </w:r>
      <w:r w:rsidR="006A0260" w:rsidRPr="00693B99">
        <w:rPr>
          <w:szCs w:val="22"/>
        </w:rPr>
        <w:t xml:space="preserve">absent </w:t>
      </w:r>
      <w:r w:rsidR="00604434" w:rsidRPr="00693B99">
        <w:rPr>
          <w:szCs w:val="22"/>
        </w:rPr>
        <w:t>specific</w:t>
      </w:r>
      <w:r w:rsidR="0088080C" w:rsidRPr="00693B99">
        <w:rPr>
          <w:szCs w:val="22"/>
        </w:rPr>
        <w:t xml:space="preserve"> authority from the Commission</w:t>
      </w:r>
      <w:r w:rsidRPr="00693B99">
        <w:rPr>
          <w:szCs w:val="22"/>
        </w:rPr>
        <w:t>.</w:t>
      </w:r>
      <w:r w:rsidR="000834A4" w:rsidRPr="00693B99">
        <w:rPr>
          <w:rStyle w:val="FootnoteReference"/>
        </w:rPr>
        <w:footnoteReference w:id="96"/>
      </w:r>
      <w:r w:rsidRPr="00693B99">
        <w:rPr>
          <w:szCs w:val="22"/>
        </w:rPr>
        <w:t xml:space="preserve"> </w:t>
      </w:r>
      <w:r w:rsidR="00463FBB" w:rsidRPr="00693B99">
        <w:rPr>
          <w:szCs w:val="22"/>
        </w:rPr>
        <w:t xml:space="preserve"> </w:t>
      </w:r>
      <w:r w:rsidR="0088080C" w:rsidRPr="00693B99">
        <w:rPr>
          <w:szCs w:val="22"/>
        </w:rPr>
        <w:t xml:space="preserve">Stations that remain silent for more than </w:t>
      </w:r>
      <w:r w:rsidR="00990585" w:rsidRPr="00693B99">
        <w:rPr>
          <w:szCs w:val="22"/>
        </w:rPr>
        <w:t>10</w:t>
      </w:r>
      <w:r w:rsidR="0088080C" w:rsidRPr="00693B99">
        <w:rPr>
          <w:szCs w:val="22"/>
        </w:rPr>
        <w:t xml:space="preserve"> days must notify the Commission </w:t>
      </w:r>
      <w:r w:rsidRPr="00693B99">
        <w:rPr>
          <w:szCs w:val="22"/>
        </w:rPr>
        <w:t xml:space="preserve">not later than the </w:t>
      </w:r>
      <w:r w:rsidR="0088080C" w:rsidRPr="00693B99">
        <w:rPr>
          <w:szCs w:val="22"/>
        </w:rPr>
        <w:t>tenth</w:t>
      </w:r>
      <w:r w:rsidRPr="00693B99">
        <w:rPr>
          <w:szCs w:val="22"/>
        </w:rPr>
        <w:t xml:space="preserve"> day of </w:t>
      </w:r>
      <w:r w:rsidR="00D5007E" w:rsidRPr="00693B99">
        <w:rPr>
          <w:szCs w:val="22"/>
        </w:rPr>
        <w:t>their</w:t>
      </w:r>
      <w:r w:rsidR="00FB7BE5" w:rsidRPr="00693B99">
        <w:rPr>
          <w:szCs w:val="22"/>
        </w:rPr>
        <w:t xml:space="preserve"> suspended</w:t>
      </w:r>
      <w:r w:rsidRPr="00693B99">
        <w:rPr>
          <w:szCs w:val="22"/>
        </w:rPr>
        <w:t xml:space="preserve"> operation</w:t>
      </w:r>
      <w:r w:rsidR="00FB7BE5" w:rsidRPr="00693B99">
        <w:rPr>
          <w:szCs w:val="22"/>
        </w:rPr>
        <w:t>s</w:t>
      </w:r>
      <w:r w:rsidR="000834A4" w:rsidRPr="00693B99">
        <w:rPr>
          <w:szCs w:val="22"/>
        </w:rPr>
        <w:t xml:space="preserve"> </w:t>
      </w:r>
      <w:r w:rsidR="00C94699" w:rsidRPr="00693B99">
        <w:rPr>
          <w:szCs w:val="22"/>
        </w:rPr>
        <w:t>by filing a Suspension of Operations Notification via LMS as outlined in Appendix A.</w:t>
      </w:r>
      <w:r w:rsidR="000834A4" w:rsidRPr="00693B99">
        <w:rPr>
          <w:szCs w:val="22"/>
          <w:vertAlign w:val="superscript"/>
        </w:rPr>
        <w:footnoteReference w:id="97"/>
      </w:r>
      <w:r w:rsidR="0088080C" w:rsidRPr="00693B99">
        <w:rPr>
          <w:szCs w:val="22"/>
        </w:rPr>
        <w:t xml:space="preserve"> </w:t>
      </w:r>
      <w:r w:rsidR="006A0260" w:rsidRPr="00693B99">
        <w:rPr>
          <w:szCs w:val="22"/>
        </w:rPr>
        <w:t xml:space="preserve"> </w:t>
      </w:r>
      <w:r w:rsidR="00C94699" w:rsidRPr="00693B99">
        <w:rPr>
          <w:szCs w:val="22"/>
        </w:rPr>
        <w:t>Stations that need to remain silent for more than 30 days must file a Silent STA via LMS as outlined in Appendix A</w:t>
      </w:r>
      <w:r w:rsidR="00990585" w:rsidRPr="00693B99">
        <w:rPr>
          <w:szCs w:val="22"/>
        </w:rPr>
        <w:t>,</w:t>
      </w:r>
      <w:r w:rsidR="00C168F3" w:rsidRPr="00693B99">
        <w:rPr>
          <w:szCs w:val="22"/>
        </w:rPr>
        <w:t xml:space="preserve"> and pay the requisite fee</w:t>
      </w:r>
      <w:r w:rsidR="00C94699" w:rsidRPr="00693B99">
        <w:rPr>
          <w:szCs w:val="22"/>
        </w:rPr>
        <w:t>.</w:t>
      </w:r>
      <w:r w:rsidR="00FB7BE5" w:rsidRPr="00693B99">
        <w:rPr>
          <w:szCs w:val="22"/>
        </w:rPr>
        <w:t xml:space="preserve"> </w:t>
      </w:r>
    </w:p>
    <w:p w14:paraId="71739DD4" w14:textId="77777777" w:rsidR="006B3708" w:rsidRPr="00693B99" w:rsidRDefault="00BC22C7" w:rsidP="001B1512">
      <w:pPr>
        <w:numPr>
          <w:ilvl w:val="0"/>
          <w:numId w:val="2"/>
        </w:numPr>
        <w:tabs>
          <w:tab w:val="clear" w:pos="1080"/>
          <w:tab w:val="num" w:pos="1440"/>
        </w:tabs>
        <w:spacing w:after="120"/>
        <w:rPr>
          <w:szCs w:val="22"/>
        </w:rPr>
      </w:pPr>
      <w:r w:rsidRPr="00693B99">
        <w:rPr>
          <w:szCs w:val="22"/>
        </w:rPr>
        <w:t>We also remind stations that the license of any station</w:t>
      </w:r>
      <w:r w:rsidR="00CF124C" w:rsidRPr="00693B99">
        <w:rPr>
          <w:szCs w:val="22"/>
        </w:rPr>
        <w:t xml:space="preserve"> that</w:t>
      </w:r>
      <w:r w:rsidRPr="00693B99">
        <w:rPr>
          <w:szCs w:val="22"/>
        </w:rPr>
        <w:t xml:space="preserve"> </w:t>
      </w:r>
      <w:r w:rsidR="00E442AC" w:rsidRPr="00693B99">
        <w:rPr>
          <w:szCs w:val="22"/>
        </w:rPr>
        <w:t>remains silent</w:t>
      </w:r>
      <w:r w:rsidRPr="00693B99">
        <w:rPr>
          <w:szCs w:val="22"/>
        </w:rPr>
        <w:t xml:space="preserve"> for any consecutive 12-month period expires </w:t>
      </w:r>
      <w:r w:rsidR="00D906C8" w:rsidRPr="00693B99">
        <w:rPr>
          <w:szCs w:val="22"/>
        </w:rPr>
        <w:t xml:space="preserve">automatically </w:t>
      </w:r>
      <w:r w:rsidRPr="00693B99">
        <w:rPr>
          <w:szCs w:val="22"/>
        </w:rPr>
        <w:t>at the end of that period</w:t>
      </w:r>
      <w:r w:rsidR="006A0260" w:rsidRPr="00693B99">
        <w:rPr>
          <w:szCs w:val="22"/>
        </w:rPr>
        <w:t>, by operation of law</w:t>
      </w:r>
      <w:r w:rsidRPr="00693B99">
        <w:rPr>
          <w:szCs w:val="22"/>
        </w:rPr>
        <w:t xml:space="preserve">, except that the Commission can extend or reinstate such </w:t>
      </w:r>
      <w:r w:rsidR="00F140E1" w:rsidRPr="00693B99">
        <w:rPr>
          <w:szCs w:val="22"/>
        </w:rPr>
        <w:t xml:space="preserve">a </w:t>
      </w:r>
      <w:r w:rsidRPr="00693B99">
        <w:rPr>
          <w:szCs w:val="22"/>
        </w:rPr>
        <w:t>license “to promote equity and fairness.”</w:t>
      </w:r>
      <w:r w:rsidRPr="00693B99">
        <w:rPr>
          <w:szCs w:val="22"/>
          <w:vertAlign w:val="superscript"/>
        </w:rPr>
        <w:footnoteReference w:id="98"/>
      </w:r>
      <w:r w:rsidR="00463FBB" w:rsidRPr="00693B99">
        <w:rPr>
          <w:szCs w:val="22"/>
        </w:rPr>
        <w:t xml:space="preserve"> </w:t>
      </w:r>
      <w:r w:rsidR="000834A4" w:rsidRPr="00693B99">
        <w:rPr>
          <w:szCs w:val="22"/>
        </w:rPr>
        <w:t xml:space="preserve"> </w:t>
      </w:r>
      <w:r w:rsidR="007F54D1" w:rsidRPr="00693B99">
        <w:rPr>
          <w:szCs w:val="22"/>
        </w:rPr>
        <w:t>A s</w:t>
      </w:r>
      <w:r w:rsidRPr="00693B99">
        <w:rPr>
          <w:szCs w:val="22"/>
        </w:rPr>
        <w:t>tation</w:t>
      </w:r>
      <w:r w:rsidR="000E0DC5" w:rsidRPr="00693B99">
        <w:rPr>
          <w:szCs w:val="22"/>
        </w:rPr>
        <w:t xml:space="preserve"> that remain</w:t>
      </w:r>
      <w:r w:rsidR="007F54D1" w:rsidRPr="00693B99">
        <w:rPr>
          <w:szCs w:val="22"/>
        </w:rPr>
        <w:t>s</w:t>
      </w:r>
      <w:r w:rsidR="000E0DC5" w:rsidRPr="00693B99">
        <w:rPr>
          <w:szCs w:val="22"/>
        </w:rPr>
        <w:t xml:space="preserve"> </w:t>
      </w:r>
      <w:r w:rsidR="00E442AC" w:rsidRPr="00693B99">
        <w:rPr>
          <w:szCs w:val="22"/>
        </w:rPr>
        <w:t>silent</w:t>
      </w:r>
      <w:r w:rsidR="000E0DC5" w:rsidRPr="00693B99">
        <w:rPr>
          <w:szCs w:val="22"/>
        </w:rPr>
        <w:t xml:space="preserve"> for any consecutive 12-month period may </w:t>
      </w:r>
      <w:r w:rsidR="00604434" w:rsidRPr="00693B99">
        <w:rPr>
          <w:szCs w:val="22"/>
        </w:rPr>
        <w:t>request</w:t>
      </w:r>
      <w:r w:rsidR="000E0DC5" w:rsidRPr="00693B99">
        <w:rPr>
          <w:szCs w:val="22"/>
        </w:rPr>
        <w:t xml:space="preserve"> an ext</w:t>
      </w:r>
      <w:r w:rsidR="007F54D1" w:rsidRPr="00693B99">
        <w:rPr>
          <w:szCs w:val="22"/>
        </w:rPr>
        <w:t>ension or reinstatement of its</w:t>
      </w:r>
      <w:r w:rsidR="000E0DC5" w:rsidRPr="00693B99">
        <w:rPr>
          <w:szCs w:val="22"/>
        </w:rPr>
        <w:t xml:space="preserve"> lic</w:t>
      </w:r>
      <w:r w:rsidRPr="00693B99">
        <w:rPr>
          <w:szCs w:val="22"/>
        </w:rPr>
        <w:t>ense</w:t>
      </w:r>
      <w:r w:rsidR="00523FCA" w:rsidRPr="00693B99">
        <w:rPr>
          <w:szCs w:val="22"/>
        </w:rPr>
        <w:t xml:space="preserve"> </w:t>
      </w:r>
      <w:r w:rsidR="000E0DC5" w:rsidRPr="00693B99">
        <w:rPr>
          <w:szCs w:val="22"/>
        </w:rPr>
        <w:t xml:space="preserve">and a waiver of the pertinent Commission rules by filing a </w:t>
      </w:r>
      <w:r w:rsidR="00A37939" w:rsidRPr="00693B99">
        <w:rPr>
          <w:szCs w:val="22"/>
        </w:rPr>
        <w:t xml:space="preserve">written request with </w:t>
      </w:r>
      <w:r w:rsidR="00523FCA" w:rsidRPr="00693B99">
        <w:rPr>
          <w:szCs w:val="22"/>
        </w:rPr>
        <w:t>the Commissi</w:t>
      </w:r>
      <w:r w:rsidR="00A37939" w:rsidRPr="00693B99">
        <w:rPr>
          <w:szCs w:val="22"/>
        </w:rPr>
        <w:t>on</w:t>
      </w:r>
      <w:r w:rsidRPr="00693B99">
        <w:rPr>
          <w:szCs w:val="22"/>
        </w:rPr>
        <w:t>.</w:t>
      </w:r>
      <w:r w:rsidRPr="00693B99">
        <w:rPr>
          <w:szCs w:val="22"/>
          <w:vertAlign w:val="superscript"/>
        </w:rPr>
        <w:footnoteReference w:id="99"/>
      </w:r>
      <w:r w:rsidR="00463FBB" w:rsidRPr="00693B99">
        <w:rPr>
          <w:szCs w:val="22"/>
        </w:rPr>
        <w:t xml:space="preserve"> </w:t>
      </w:r>
      <w:r w:rsidRPr="00693B99">
        <w:rPr>
          <w:szCs w:val="22"/>
        </w:rPr>
        <w:t xml:space="preserve"> In considering such requests, we will </w:t>
      </w:r>
      <w:r w:rsidR="000E0DC5" w:rsidRPr="00693B99">
        <w:rPr>
          <w:szCs w:val="22"/>
        </w:rPr>
        <w:t>examine whether the station ha</w:t>
      </w:r>
      <w:r w:rsidR="006F5834" w:rsidRPr="00693B99">
        <w:rPr>
          <w:szCs w:val="22"/>
        </w:rPr>
        <w:t>s</w:t>
      </w:r>
      <w:r w:rsidR="000E0DC5" w:rsidRPr="00693B99">
        <w:rPr>
          <w:szCs w:val="22"/>
        </w:rPr>
        <w:t xml:space="preserve"> demonstrated that its silence is the result of compelling reasons beyond the station’s control, including facts th</w:t>
      </w:r>
      <w:r w:rsidR="00604434" w:rsidRPr="00693B99">
        <w:rPr>
          <w:szCs w:val="22"/>
        </w:rPr>
        <w:t xml:space="preserve">at relate to </w:t>
      </w:r>
      <w:r w:rsidRPr="00693B99">
        <w:rPr>
          <w:szCs w:val="22"/>
        </w:rPr>
        <w:t xml:space="preserve">the </w:t>
      </w:r>
      <w:r w:rsidR="00990585" w:rsidRPr="00693B99">
        <w:rPr>
          <w:szCs w:val="22"/>
        </w:rPr>
        <w:t xml:space="preserve">post-auction </w:t>
      </w:r>
      <w:r w:rsidR="00523FCA" w:rsidRPr="00693B99">
        <w:rPr>
          <w:szCs w:val="22"/>
        </w:rPr>
        <w:t>transition</w:t>
      </w:r>
      <w:r w:rsidRPr="00693B99">
        <w:rPr>
          <w:szCs w:val="22"/>
        </w:rPr>
        <w:t xml:space="preserve"> process.</w:t>
      </w:r>
      <w:r w:rsidRPr="00693B99">
        <w:rPr>
          <w:szCs w:val="22"/>
          <w:vertAlign w:val="superscript"/>
        </w:rPr>
        <w:footnoteReference w:id="100"/>
      </w:r>
    </w:p>
    <w:p w14:paraId="7B7AB69D" w14:textId="77777777" w:rsidR="00EE1F9A" w:rsidRPr="00693B99" w:rsidRDefault="00EE1F9A" w:rsidP="00EE1F9A">
      <w:pPr>
        <w:pStyle w:val="Heading2"/>
        <w:rPr>
          <w:caps/>
          <w:szCs w:val="22"/>
        </w:rPr>
      </w:pPr>
      <w:bookmarkStart w:id="166" w:name="_Toc466014533"/>
      <w:bookmarkStart w:id="167" w:name="_Toc466019474"/>
      <w:bookmarkStart w:id="168" w:name="_Toc468178160"/>
      <w:bookmarkStart w:id="169" w:name="_Toc471732181"/>
      <w:bookmarkStart w:id="170" w:name="_Toc471732257"/>
      <w:bookmarkStart w:id="171" w:name="_Toc471732552"/>
      <w:bookmarkStart w:id="172" w:name="_Toc471732625"/>
      <w:bookmarkStart w:id="173" w:name="_Toc471732888"/>
      <w:bookmarkStart w:id="174" w:name="_Toc471734065"/>
      <w:r w:rsidRPr="00693B99">
        <w:rPr>
          <w:szCs w:val="22"/>
        </w:rPr>
        <w:t>Completion of Transition to Post-Auction Channel</w:t>
      </w:r>
      <w:bookmarkEnd w:id="166"/>
      <w:bookmarkEnd w:id="167"/>
      <w:bookmarkEnd w:id="168"/>
      <w:bookmarkEnd w:id="169"/>
      <w:bookmarkEnd w:id="170"/>
      <w:bookmarkEnd w:id="171"/>
      <w:bookmarkEnd w:id="172"/>
      <w:bookmarkEnd w:id="173"/>
      <w:bookmarkEnd w:id="174"/>
    </w:p>
    <w:p w14:paraId="2DBC94C1" w14:textId="77777777" w:rsidR="00EE1F9A" w:rsidRPr="00693B99" w:rsidRDefault="00EE1F9A" w:rsidP="001C7D45">
      <w:pPr>
        <w:pStyle w:val="Heading3"/>
        <w:tabs>
          <w:tab w:val="clear" w:pos="2880"/>
          <w:tab w:val="num" w:pos="2160"/>
        </w:tabs>
        <w:ind w:left="2160"/>
        <w:rPr>
          <w:szCs w:val="22"/>
        </w:rPr>
      </w:pPr>
      <w:bookmarkStart w:id="175" w:name="_Toc466014534"/>
      <w:bookmarkStart w:id="176" w:name="_Toc466019475"/>
      <w:bookmarkStart w:id="177" w:name="_Toc468178161"/>
      <w:bookmarkStart w:id="178" w:name="_Toc471732182"/>
      <w:bookmarkStart w:id="179" w:name="_Toc471732258"/>
      <w:bookmarkStart w:id="180" w:name="_Toc471732553"/>
      <w:bookmarkStart w:id="181" w:name="_Toc471732626"/>
      <w:bookmarkStart w:id="182" w:name="_Toc471732889"/>
      <w:bookmarkStart w:id="183" w:name="_Toc471734066"/>
      <w:r w:rsidRPr="00693B99">
        <w:rPr>
          <w:szCs w:val="22"/>
        </w:rPr>
        <w:t>Discontinuation of Operations on Pre-Auction Channel</w:t>
      </w:r>
      <w:bookmarkEnd w:id="175"/>
      <w:bookmarkEnd w:id="176"/>
      <w:bookmarkEnd w:id="177"/>
      <w:r w:rsidR="00425D76" w:rsidRPr="00693B99">
        <w:rPr>
          <w:szCs w:val="22"/>
        </w:rPr>
        <w:t>s</w:t>
      </w:r>
      <w:bookmarkEnd w:id="178"/>
      <w:bookmarkEnd w:id="179"/>
      <w:bookmarkEnd w:id="180"/>
      <w:bookmarkEnd w:id="181"/>
      <w:bookmarkEnd w:id="182"/>
      <w:bookmarkEnd w:id="183"/>
    </w:p>
    <w:p w14:paraId="36A3835C" w14:textId="27162030" w:rsidR="00EE1F9A" w:rsidRPr="00693B99" w:rsidRDefault="006B3708" w:rsidP="00EE1F9A">
      <w:pPr>
        <w:numPr>
          <w:ilvl w:val="0"/>
          <w:numId w:val="2"/>
        </w:numPr>
        <w:tabs>
          <w:tab w:val="clear" w:pos="1080"/>
        </w:tabs>
        <w:spacing w:after="120"/>
        <w:rPr>
          <w:szCs w:val="22"/>
        </w:rPr>
      </w:pPr>
      <w:r w:rsidRPr="00693B99">
        <w:rPr>
          <w:i/>
          <w:szCs w:val="22"/>
        </w:rPr>
        <w:t>Notice to Viewers.</w:t>
      </w:r>
      <w:r w:rsidRPr="00693B99">
        <w:rPr>
          <w:szCs w:val="22"/>
        </w:rPr>
        <w:t xml:space="preserve">  Reassigned stations and band changing stations must air notifications alerting viewers </w:t>
      </w:r>
      <w:r w:rsidR="0095232C" w:rsidRPr="00693B99">
        <w:rPr>
          <w:szCs w:val="22"/>
        </w:rPr>
        <w:t xml:space="preserve">prior to </w:t>
      </w:r>
      <w:r w:rsidRPr="00693B99">
        <w:rPr>
          <w:szCs w:val="22"/>
        </w:rPr>
        <w:t>transition</w:t>
      </w:r>
      <w:r w:rsidR="00425D76" w:rsidRPr="00693B99">
        <w:rPr>
          <w:szCs w:val="22"/>
        </w:rPr>
        <w:t>ing</w:t>
      </w:r>
      <w:r w:rsidRPr="00693B99">
        <w:rPr>
          <w:szCs w:val="22"/>
        </w:rPr>
        <w:t xml:space="preserve"> to their </w:t>
      </w:r>
      <w:r w:rsidR="0095232C" w:rsidRPr="00693B99">
        <w:rPr>
          <w:szCs w:val="22"/>
        </w:rPr>
        <w:t>post-auction</w:t>
      </w:r>
      <w:r w:rsidR="00865519" w:rsidRPr="00693B99">
        <w:rPr>
          <w:szCs w:val="22"/>
        </w:rPr>
        <w:t xml:space="preserve"> </w:t>
      </w:r>
      <w:r w:rsidRPr="00693B99">
        <w:rPr>
          <w:szCs w:val="22"/>
        </w:rPr>
        <w:t>channel</w:t>
      </w:r>
      <w:r w:rsidR="004422B7" w:rsidRPr="00693B99">
        <w:rPr>
          <w:szCs w:val="22"/>
        </w:rPr>
        <w:t>s</w:t>
      </w:r>
      <w:r w:rsidRPr="00693B99">
        <w:rPr>
          <w:szCs w:val="22"/>
        </w:rPr>
        <w:t>.</w:t>
      </w:r>
      <w:r w:rsidR="00261289" w:rsidRPr="00693B99">
        <w:rPr>
          <w:rStyle w:val="FootnoteReference"/>
        </w:rPr>
        <w:footnoteReference w:id="101"/>
      </w:r>
      <w:r w:rsidRPr="00693B99">
        <w:rPr>
          <w:szCs w:val="22"/>
        </w:rPr>
        <w:t xml:space="preserve">  </w:t>
      </w:r>
      <w:r w:rsidR="00D14ACA" w:rsidRPr="00693B99">
        <w:rPr>
          <w:szCs w:val="22"/>
        </w:rPr>
        <w:t>At a minimum, t</w:t>
      </w:r>
      <w:r w:rsidR="005051F8" w:rsidRPr="00693B99">
        <w:rPr>
          <w:szCs w:val="22"/>
        </w:rPr>
        <w:t xml:space="preserve">hese </w:t>
      </w:r>
      <w:r w:rsidR="008F0453" w:rsidRPr="00693B99">
        <w:rPr>
          <w:szCs w:val="22"/>
        </w:rPr>
        <w:t>stations must air</w:t>
      </w:r>
      <w:r w:rsidR="005051F8" w:rsidRPr="00693B99">
        <w:rPr>
          <w:szCs w:val="22"/>
        </w:rPr>
        <w:t xml:space="preserve"> either 60 seconds of on-air consumer education </w:t>
      </w:r>
      <w:r w:rsidR="00A0072D" w:rsidRPr="00693B99">
        <w:rPr>
          <w:szCs w:val="22"/>
        </w:rPr>
        <w:t>public service announcements (</w:t>
      </w:r>
      <w:r w:rsidR="005051F8" w:rsidRPr="00693B99">
        <w:rPr>
          <w:szCs w:val="22"/>
        </w:rPr>
        <w:t>PSAs</w:t>
      </w:r>
      <w:r w:rsidR="00A0072D" w:rsidRPr="00693B99">
        <w:rPr>
          <w:szCs w:val="22"/>
        </w:rPr>
        <w:t>)</w:t>
      </w:r>
      <w:r w:rsidR="005051F8" w:rsidRPr="00693B99">
        <w:rPr>
          <w:szCs w:val="22"/>
        </w:rPr>
        <w:t xml:space="preserve"> or 60 seconds of crawls per day for 30 days prior to termination of operations on their pre-auction channel</w:t>
      </w:r>
      <w:r w:rsidR="004422B7" w:rsidRPr="00693B99">
        <w:rPr>
          <w:szCs w:val="22"/>
        </w:rPr>
        <w:t>s</w:t>
      </w:r>
      <w:r w:rsidR="005051F8" w:rsidRPr="00693B99">
        <w:rPr>
          <w:szCs w:val="22"/>
        </w:rPr>
        <w:t>.</w:t>
      </w:r>
      <w:r w:rsidR="008F0453" w:rsidRPr="00693B99">
        <w:rPr>
          <w:rStyle w:val="FootnoteReference"/>
        </w:rPr>
        <w:footnoteReference w:id="102"/>
      </w:r>
      <w:r w:rsidR="005051F8" w:rsidRPr="00693B99">
        <w:rPr>
          <w:szCs w:val="22"/>
        </w:rPr>
        <w:t xml:space="preserve">  Stations will have the discretion to choose the timeslots for these PSAs or crawls.</w:t>
      </w:r>
      <w:r w:rsidR="00B04FAD" w:rsidRPr="00693B99">
        <w:rPr>
          <w:rStyle w:val="FootnoteReference"/>
        </w:rPr>
        <w:footnoteReference w:id="103"/>
      </w:r>
      <w:r w:rsidR="005051F8" w:rsidRPr="00693B99">
        <w:rPr>
          <w:szCs w:val="22"/>
        </w:rPr>
        <w:t xml:space="preserve">  </w:t>
      </w:r>
      <w:r w:rsidR="008F0453" w:rsidRPr="00693B99">
        <w:rPr>
          <w:szCs w:val="22"/>
        </w:rPr>
        <w:t xml:space="preserve">Transition PSAs and crawls must conform to the requirements set forth in the </w:t>
      </w:r>
      <w:r w:rsidR="00425D76" w:rsidRPr="00693B99">
        <w:rPr>
          <w:szCs w:val="22"/>
        </w:rPr>
        <w:t xml:space="preserve">Commission’s </w:t>
      </w:r>
      <w:r w:rsidR="008F0453" w:rsidRPr="00693B99">
        <w:rPr>
          <w:szCs w:val="22"/>
        </w:rPr>
        <w:t>rules</w:t>
      </w:r>
      <w:r w:rsidR="008F0453" w:rsidRPr="00693B99">
        <w:rPr>
          <w:kern w:val="0"/>
          <w:szCs w:val="22"/>
        </w:rPr>
        <w:t>.</w:t>
      </w:r>
      <w:r w:rsidR="008F0453" w:rsidRPr="00693B99">
        <w:rPr>
          <w:rStyle w:val="FootnoteReference"/>
          <w:kern w:val="0"/>
          <w:sz w:val="22"/>
          <w:szCs w:val="22"/>
        </w:rPr>
        <w:footnoteReference w:id="104"/>
      </w:r>
      <w:r w:rsidR="008D0269" w:rsidRPr="00693B99">
        <w:rPr>
          <w:kern w:val="0"/>
          <w:szCs w:val="22"/>
        </w:rPr>
        <w:t xml:space="preserve">  </w:t>
      </w:r>
      <w:r w:rsidR="008F3F09" w:rsidRPr="00693B99">
        <w:rPr>
          <w:szCs w:val="22"/>
        </w:rPr>
        <w:t>S</w:t>
      </w:r>
      <w:r w:rsidR="00D071ED" w:rsidRPr="00693B99">
        <w:rPr>
          <w:szCs w:val="22"/>
        </w:rPr>
        <w:t xml:space="preserve">tations </w:t>
      </w:r>
      <w:r w:rsidRPr="00693B99">
        <w:rPr>
          <w:szCs w:val="22"/>
        </w:rPr>
        <w:t>must include a certification that they have complied with the viewer notification</w:t>
      </w:r>
      <w:r w:rsidR="00875EA4" w:rsidRPr="00693B99">
        <w:rPr>
          <w:szCs w:val="22"/>
        </w:rPr>
        <w:t xml:space="preserve"> requirement</w:t>
      </w:r>
      <w:r w:rsidRPr="00693B99">
        <w:rPr>
          <w:szCs w:val="22"/>
        </w:rPr>
        <w:t xml:space="preserve">s in their </w:t>
      </w:r>
      <w:r w:rsidR="003D5F13" w:rsidRPr="00693B99">
        <w:rPr>
          <w:szCs w:val="22"/>
        </w:rPr>
        <w:t xml:space="preserve">online </w:t>
      </w:r>
      <w:r w:rsidRPr="00693B99">
        <w:rPr>
          <w:szCs w:val="22"/>
        </w:rPr>
        <w:t xml:space="preserve">public file within </w:t>
      </w:r>
      <w:r w:rsidR="00787171" w:rsidRPr="00693B99">
        <w:rPr>
          <w:szCs w:val="22"/>
        </w:rPr>
        <w:t xml:space="preserve">30 </w:t>
      </w:r>
      <w:r w:rsidRPr="00693B99">
        <w:rPr>
          <w:szCs w:val="22"/>
        </w:rPr>
        <w:t xml:space="preserve">days after beginning operation on their </w:t>
      </w:r>
      <w:r w:rsidR="0095232C" w:rsidRPr="00693B99">
        <w:rPr>
          <w:szCs w:val="22"/>
        </w:rPr>
        <w:t>post-auction</w:t>
      </w:r>
      <w:r w:rsidR="00865519" w:rsidRPr="00693B99">
        <w:rPr>
          <w:szCs w:val="22"/>
        </w:rPr>
        <w:t xml:space="preserve"> </w:t>
      </w:r>
      <w:r w:rsidR="00244BFF" w:rsidRPr="00693B99">
        <w:rPr>
          <w:szCs w:val="22"/>
        </w:rPr>
        <w:t>c</w:t>
      </w:r>
      <w:r w:rsidRPr="00693B99">
        <w:rPr>
          <w:szCs w:val="22"/>
        </w:rPr>
        <w:t>hannel.</w:t>
      </w:r>
      <w:r w:rsidRPr="00693B99">
        <w:rPr>
          <w:szCs w:val="22"/>
          <w:vertAlign w:val="superscript"/>
        </w:rPr>
        <w:footnoteReference w:id="105"/>
      </w:r>
    </w:p>
    <w:p w14:paraId="39F332B2" w14:textId="4C0FCD5E" w:rsidR="0007238D" w:rsidRPr="00693B99" w:rsidRDefault="006B3708" w:rsidP="0007238D">
      <w:pPr>
        <w:numPr>
          <w:ilvl w:val="0"/>
          <w:numId w:val="2"/>
        </w:numPr>
        <w:tabs>
          <w:tab w:val="clear" w:pos="1080"/>
        </w:tabs>
        <w:spacing w:after="120"/>
        <w:rPr>
          <w:szCs w:val="22"/>
        </w:rPr>
      </w:pPr>
      <w:r w:rsidRPr="00693B99">
        <w:rPr>
          <w:i/>
          <w:szCs w:val="22"/>
        </w:rPr>
        <w:t>Notice to MVPDs.</w:t>
      </w:r>
      <w:r w:rsidRPr="00693B99">
        <w:rPr>
          <w:szCs w:val="22"/>
        </w:rPr>
        <w:t xml:space="preserve"> </w:t>
      </w:r>
      <w:r w:rsidR="0095232C" w:rsidRPr="00693B99">
        <w:rPr>
          <w:szCs w:val="22"/>
        </w:rPr>
        <w:t xml:space="preserve"> </w:t>
      </w:r>
      <w:r w:rsidR="00FC1BCE" w:rsidRPr="00693B99">
        <w:rPr>
          <w:szCs w:val="22"/>
        </w:rPr>
        <w:t>Before</w:t>
      </w:r>
      <w:r w:rsidR="008F3F09" w:rsidRPr="00693B99">
        <w:rPr>
          <w:szCs w:val="22"/>
        </w:rPr>
        <w:t xml:space="preserve"> a</w:t>
      </w:r>
      <w:r w:rsidR="00875EA4" w:rsidRPr="00693B99">
        <w:rPr>
          <w:szCs w:val="22"/>
        </w:rPr>
        <w:t xml:space="preserve"> r</w:t>
      </w:r>
      <w:r w:rsidR="00531A22" w:rsidRPr="00693B99">
        <w:rPr>
          <w:szCs w:val="22"/>
        </w:rPr>
        <w:t xml:space="preserve">eassigned station </w:t>
      </w:r>
      <w:r w:rsidR="00875EA4" w:rsidRPr="00693B99">
        <w:rPr>
          <w:szCs w:val="22"/>
        </w:rPr>
        <w:t xml:space="preserve">or </w:t>
      </w:r>
      <w:r w:rsidR="00531A22" w:rsidRPr="00693B99">
        <w:rPr>
          <w:szCs w:val="22"/>
        </w:rPr>
        <w:t xml:space="preserve">band changing station </w:t>
      </w:r>
      <w:r w:rsidR="008F3F09" w:rsidRPr="00693B99">
        <w:rPr>
          <w:szCs w:val="22"/>
        </w:rPr>
        <w:t xml:space="preserve">moves to its post-auction channel, it </w:t>
      </w:r>
      <w:r w:rsidRPr="00693B99">
        <w:rPr>
          <w:szCs w:val="22"/>
        </w:rPr>
        <w:t xml:space="preserve">must provide notice to MVPDs </w:t>
      </w:r>
      <w:r w:rsidR="00D60FAF" w:rsidRPr="00693B99">
        <w:rPr>
          <w:szCs w:val="22"/>
        </w:rPr>
        <w:t>that currently carry the station and will continue to be obligated to carry the station</w:t>
      </w:r>
      <w:r w:rsidRPr="00693B99">
        <w:rPr>
          <w:szCs w:val="22"/>
        </w:rPr>
        <w:t>.</w:t>
      </w:r>
      <w:r w:rsidRPr="00693B99">
        <w:rPr>
          <w:szCs w:val="22"/>
          <w:vertAlign w:val="superscript"/>
        </w:rPr>
        <w:footnoteReference w:id="106"/>
      </w:r>
      <w:r w:rsidRPr="00693B99">
        <w:rPr>
          <w:szCs w:val="22"/>
        </w:rPr>
        <w:t xml:space="preserve">  The required notice must be provided in the form of a letter notification</w:t>
      </w:r>
      <w:r w:rsidR="000B273D" w:rsidRPr="00693B99">
        <w:rPr>
          <w:szCs w:val="22"/>
        </w:rPr>
        <w:t>,</w:t>
      </w:r>
      <w:r w:rsidRPr="00693B99">
        <w:rPr>
          <w:szCs w:val="22"/>
        </w:rPr>
        <w:t xml:space="preserve"> and </w:t>
      </w:r>
      <w:r w:rsidR="0095232C" w:rsidRPr="00693B99">
        <w:rPr>
          <w:szCs w:val="22"/>
        </w:rPr>
        <w:t xml:space="preserve">must </w:t>
      </w:r>
      <w:r w:rsidRPr="00693B99">
        <w:rPr>
          <w:szCs w:val="22"/>
        </w:rPr>
        <w:t xml:space="preserve">include the following information: (1) </w:t>
      </w:r>
      <w:r w:rsidR="000B273D" w:rsidRPr="00693B99">
        <w:rPr>
          <w:szCs w:val="22"/>
        </w:rPr>
        <w:t xml:space="preserve">the </w:t>
      </w:r>
      <w:r w:rsidRPr="00693B99">
        <w:rPr>
          <w:szCs w:val="22"/>
        </w:rPr>
        <w:t xml:space="preserve">date and time of any channel change; (2) </w:t>
      </w:r>
      <w:r w:rsidR="000B273D" w:rsidRPr="00693B99">
        <w:rPr>
          <w:szCs w:val="22"/>
        </w:rPr>
        <w:t xml:space="preserve">the </w:t>
      </w:r>
      <w:r w:rsidRPr="00693B99">
        <w:rPr>
          <w:szCs w:val="22"/>
        </w:rPr>
        <w:t>pre-auction and post-</w:t>
      </w:r>
      <w:r w:rsidR="0095232C" w:rsidRPr="00693B99">
        <w:rPr>
          <w:szCs w:val="22"/>
        </w:rPr>
        <w:t>auction</w:t>
      </w:r>
      <w:r w:rsidRPr="00693B99">
        <w:rPr>
          <w:szCs w:val="22"/>
        </w:rPr>
        <w:t xml:space="preserve"> channel assignments; (3) </w:t>
      </w:r>
      <w:r w:rsidR="000B273D" w:rsidRPr="00693B99">
        <w:rPr>
          <w:szCs w:val="22"/>
        </w:rPr>
        <w:t xml:space="preserve">the </w:t>
      </w:r>
      <w:r w:rsidRPr="00693B99">
        <w:rPr>
          <w:szCs w:val="22"/>
        </w:rPr>
        <w:t xml:space="preserve">modification, if any, to </w:t>
      </w:r>
      <w:r w:rsidR="000B273D" w:rsidRPr="00693B99">
        <w:rPr>
          <w:szCs w:val="22"/>
        </w:rPr>
        <w:t xml:space="preserve">the </w:t>
      </w:r>
      <w:r w:rsidRPr="00693B99">
        <w:rPr>
          <w:szCs w:val="22"/>
        </w:rPr>
        <w:t xml:space="preserve">antenna position, location, or power levels; </w:t>
      </w:r>
      <w:r w:rsidR="003050BF" w:rsidRPr="00693B99">
        <w:rPr>
          <w:szCs w:val="22"/>
        </w:rPr>
        <w:t xml:space="preserve">and </w:t>
      </w:r>
      <w:r w:rsidRPr="00693B99">
        <w:rPr>
          <w:szCs w:val="22"/>
        </w:rPr>
        <w:t>(4)</w:t>
      </w:r>
      <w:r w:rsidR="000B273D" w:rsidRPr="00693B99">
        <w:rPr>
          <w:szCs w:val="22"/>
        </w:rPr>
        <w:t xml:space="preserve"> the</w:t>
      </w:r>
      <w:r w:rsidR="0095232C" w:rsidRPr="00693B99">
        <w:rPr>
          <w:szCs w:val="22"/>
        </w:rPr>
        <w:t xml:space="preserve"> </w:t>
      </w:r>
      <w:r w:rsidRPr="00693B99">
        <w:rPr>
          <w:szCs w:val="22"/>
        </w:rPr>
        <w:t>engineering staff</w:t>
      </w:r>
      <w:r w:rsidR="000B273D" w:rsidRPr="00693B99">
        <w:rPr>
          <w:szCs w:val="22"/>
        </w:rPr>
        <w:t>’s</w:t>
      </w:r>
      <w:r w:rsidRPr="00693B99">
        <w:rPr>
          <w:szCs w:val="22"/>
        </w:rPr>
        <w:t xml:space="preserve"> contact information.</w:t>
      </w:r>
      <w:r w:rsidRPr="00693B99">
        <w:rPr>
          <w:szCs w:val="22"/>
          <w:vertAlign w:val="superscript"/>
        </w:rPr>
        <w:footnoteReference w:id="107"/>
      </w:r>
      <w:r w:rsidRPr="00693B99">
        <w:rPr>
          <w:szCs w:val="22"/>
        </w:rPr>
        <w:t xml:space="preserve"> </w:t>
      </w:r>
      <w:r w:rsidR="0095232C" w:rsidRPr="00693B99">
        <w:rPr>
          <w:szCs w:val="22"/>
        </w:rPr>
        <w:t xml:space="preserve"> </w:t>
      </w:r>
      <w:r w:rsidRPr="00693B99">
        <w:rPr>
          <w:szCs w:val="22"/>
        </w:rPr>
        <w:t>Should any of this information change during the station’s transition, an amended notification must be sent</w:t>
      </w:r>
      <w:r w:rsidR="008F0453" w:rsidRPr="00693B99">
        <w:rPr>
          <w:szCs w:val="22"/>
        </w:rPr>
        <w:t xml:space="preserve"> to MVPDs in the same form as the original notice</w:t>
      </w:r>
      <w:r w:rsidRPr="00693B99">
        <w:rPr>
          <w:szCs w:val="22"/>
        </w:rPr>
        <w:t>.</w:t>
      </w:r>
      <w:r w:rsidR="00D60FAF" w:rsidRPr="00693B99">
        <w:rPr>
          <w:rStyle w:val="FootnoteReference"/>
        </w:rPr>
        <w:footnoteReference w:id="108"/>
      </w:r>
      <w:r w:rsidRPr="00693B99">
        <w:rPr>
          <w:szCs w:val="22"/>
        </w:rPr>
        <w:t xml:space="preserve"> </w:t>
      </w:r>
      <w:r w:rsidR="0095232C" w:rsidRPr="00693B99">
        <w:rPr>
          <w:szCs w:val="22"/>
        </w:rPr>
        <w:t xml:space="preserve"> </w:t>
      </w:r>
      <w:r w:rsidRPr="00693B99">
        <w:rPr>
          <w:szCs w:val="22"/>
        </w:rPr>
        <w:t>For cable systems, the letter must be addressed to the system’s official address of record provided in the cable system’s most recent filing in the Cable Operations and Licensing System (“COALS”) Form 322.</w:t>
      </w:r>
      <w:r w:rsidR="00D60FAF" w:rsidRPr="00693B99">
        <w:rPr>
          <w:rStyle w:val="FootnoteReference"/>
        </w:rPr>
        <w:footnoteReference w:id="109"/>
      </w:r>
      <w:r w:rsidRPr="00693B99">
        <w:rPr>
          <w:szCs w:val="22"/>
        </w:rPr>
        <w:t xml:space="preserve"> </w:t>
      </w:r>
      <w:r w:rsidR="0095232C" w:rsidRPr="00693B99">
        <w:rPr>
          <w:szCs w:val="22"/>
        </w:rPr>
        <w:t xml:space="preserve"> </w:t>
      </w:r>
      <w:r w:rsidRPr="00693B99">
        <w:rPr>
          <w:szCs w:val="22"/>
        </w:rPr>
        <w:t>For all other MVPDs, the letter must be addressed to the official corporate address registered with the</w:t>
      </w:r>
      <w:r w:rsidR="00036FF9" w:rsidRPr="00693B99">
        <w:rPr>
          <w:szCs w:val="22"/>
        </w:rPr>
        <w:t xml:space="preserve"> MVPD’s</w:t>
      </w:r>
      <w:r w:rsidRPr="00693B99">
        <w:rPr>
          <w:szCs w:val="22"/>
        </w:rPr>
        <w:t xml:space="preserve"> </w:t>
      </w:r>
      <w:r w:rsidR="00036FF9" w:rsidRPr="00693B99">
        <w:rPr>
          <w:szCs w:val="22"/>
        </w:rPr>
        <w:t>s</w:t>
      </w:r>
      <w:r w:rsidRPr="00693B99">
        <w:rPr>
          <w:szCs w:val="22"/>
        </w:rPr>
        <w:t>tate of incorporation.</w:t>
      </w:r>
      <w:r w:rsidRPr="00693B99">
        <w:rPr>
          <w:szCs w:val="22"/>
          <w:vertAlign w:val="superscript"/>
        </w:rPr>
        <w:footnoteReference w:id="110"/>
      </w:r>
      <w:r w:rsidRPr="00693B99">
        <w:rPr>
          <w:szCs w:val="22"/>
        </w:rPr>
        <w:t xml:space="preserve">  The notification must be sent not less than </w:t>
      </w:r>
      <w:r w:rsidR="00531A22" w:rsidRPr="00693B99">
        <w:rPr>
          <w:szCs w:val="22"/>
        </w:rPr>
        <w:t>9</w:t>
      </w:r>
      <w:r w:rsidRPr="00693B99">
        <w:rPr>
          <w:szCs w:val="22"/>
        </w:rPr>
        <w:t xml:space="preserve">0 days prior to </w:t>
      </w:r>
      <w:r w:rsidR="001B0AC1" w:rsidRPr="00693B99">
        <w:rPr>
          <w:szCs w:val="22"/>
        </w:rPr>
        <w:t xml:space="preserve">the </w:t>
      </w:r>
      <w:r w:rsidR="005C4B62" w:rsidRPr="00693B99">
        <w:rPr>
          <w:szCs w:val="22"/>
        </w:rPr>
        <w:t>station</w:t>
      </w:r>
      <w:r w:rsidR="00875EA4" w:rsidRPr="00693B99">
        <w:rPr>
          <w:szCs w:val="22"/>
        </w:rPr>
        <w:t>’s</w:t>
      </w:r>
      <w:r w:rsidR="005C4B62" w:rsidRPr="00693B99">
        <w:rPr>
          <w:szCs w:val="22"/>
        </w:rPr>
        <w:t xml:space="preserve"> </w:t>
      </w:r>
      <w:r w:rsidR="00531A22" w:rsidRPr="00693B99">
        <w:rPr>
          <w:szCs w:val="22"/>
        </w:rPr>
        <w:t xml:space="preserve">transition to </w:t>
      </w:r>
      <w:r w:rsidR="001B0AC1" w:rsidRPr="00693B99">
        <w:rPr>
          <w:szCs w:val="22"/>
        </w:rPr>
        <w:t>its</w:t>
      </w:r>
      <w:r w:rsidR="008F0453" w:rsidRPr="00693B99">
        <w:rPr>
          <w:szCs w:val="22"/>
        </w:rPr>
        <w:t xml:space="preserve"> </w:t>
      </w:r>
      <w:r w:rsidR="00036FF9" w:rsidRPr="00693B99">
        <w:rPr>
          <w:szCs w:val="22"/>
        </w:rPr>
        <w:t>post-auction</w:t>
      </w:r>
      <w:r w:rsidR="00865519" w:rsidRPr="00693B99">
        <w:rPr>
          <w:szCs w:val="22"/>
        </w:rPr>
        <w:t xml:space="preserve"> </w:t>
      </w:r>
      <w:r w:rsidR="00531A22" w:rsidRPr="00693B99">
        <w:rPr>
          <w:szCs w:val="22"/>
        </w:rPr>
        <w:t>channel.</w:t>
      </w:r>
      <w:r w:rsidR="001B0AC1" w:rsidRPr="00693B99">
        <w:rPr>
          <w:rStyle w:val="FootnoteReference"/>
        </w:rPr>
        <w:footnoteReference w:id="111"/>
      </w:r>
      <w:r w:rsidR="00531A22" w:rsidRPr="00693B99">
        <w:rPr>
          <w:szCs w:val="22"/>
        </w:rPr>
        <w:t xml:space="preserve">  </w:t>
      </w:r>
      <w:r w:rsidRPr="00693B99">
        <w:rPr>
          <w:szCs w:val="22"/>
        </w:rPr>
        <w:t xml:space="preserve">Should a station’s anticipated transition date change </w:t>
      </w:r>
      <w:r w:rsidR="000E0DC5" w:rsidRPr="00693B99">
        <w:rPr>
          <w:szCs w:val="22"/>
        </w:rPr>
        <w:t>due to an unforeseen delay or change in</w:t>
      </w:r>
      <w:r w:rsidR="000B273D" w:rsidRPr="00693B99">
        <w:rPr>
          <w:szCs w:val="22"/>
        </w:rPr>
        <w:t xml:space="preserve"> its</w:t>
      </w:r>
      <w:r w:rsidR="000E0DC5" w:rsidRPr="00693B99">
        <w:rPr>
          <w:szCs w:val="22"/>
        </w:rPr>
        <w:t xml:space="preserve"> transition plan</w:t>
      </w:r>
      <w:r w:rsidRPr="00693B99">
        <w:rPr>
          <w:szCs w:val="22"/>
        </w:rPr>
        <w:t>, the station must send further notice</w:t>
      </w:r>
      <w:r w:rsidR="000B273D" w:rsidRPr="00693B99">
        <w:rPr>
          <w:szCs w:val="22"/>
        </w:rPr>
        <w:t>s</w:t>
      </w:r>
      <w:r w:rsidRPr="00693B99">
        <w:rPr>
          <w:szCs w:val="22"/>
        </w:rPr>
        <w:t xml:space="preserve"> to affected MVPDs informing them of the new anticipated transition date.</w:t>
      </w:r>
      <w:r w:rsidRPr="00693B99">
        <w:rPr>
          <w:szCs w:val="22"/>
          <w:vertAlign w:val="superscript"/>
        </w:rPr>
        <w:footnoteReference w:id="112"/>
      </w:r>
    </w:p>
    <w:p w14:paraId="41EC9B13" w14:textId="77777777" w:rsidR="0007238D" w:rsidRPr="00693B99" w:rsidRDefault="0007238D" w:rsidP="001C7D45">
      <w:pPr>
        <w:pStyle w:val="Heading3"/>
        <w:tabs>
          <w:tab w:val="clear" w:pos="2880"/>
        </w:tabs>
        <w:ind w:left="1440" w:firstLine="0"/>
        <w:rPr>
          <w:szCs w:val="22"/>
        </w:rPr>
      </w:pPr>
      <w:bookmarkStart w:id="184" w:name="_Toc466014535"/>
      <w:bookmarkStart w:id="185" w:name="_Toc466019476"/>
      <w:bookmarkStart w:id="186" w:name="_Toc468178162"/>
      <w:bookmarkStart w:id="187" w:name="_Toc471732183"/>
      <w:bookmarkStart w:id="188" w:name="_Toc471732259"/>
      <w:bookmarkStart w:id="189" w:name="_Toc471732554"/>
      <w:bookmarkStart w:id="190" w:name="_Toc471732627"/>
      <w:bookmarkStart w:id="191" w:name="_Toc471732890"/>
      <w:bookmarkStart w:id="192" w:name="_Toc471734067"/>
      <w:r w:rsidRPr="00693B99">
        <w:rPr>
          <w:szCs w:val="22"/>
        </w:rPr>
        <w:t>Commencement of Operation on Post-Auction Channel</w:t>
      </w:r>
      <w:bookmarkEnd w:id="184"/>
      <w:bookmarkEnd w:id="185"/>
      <w:bookmarkEnd w:id="186"/>
      <w:bookmarkEnd w:id="187"/>
      <w:bookmarkEnd w:id="188"/>
      <w:bookmarkEnd w:id="189"/>
      <w:bookmarkEnd w:id="190"/>
      <w:bookmarkEnd w:id="191"/>
      <w:bookmarkEnd w:id="192"/>
      <w:r w:rsidRPr="00693B99">
        <w:rPr>
          <w:szCs w:val="22"/>
        </w:rPr>
        <w:t xml:space="preserve"> </w:t>
      </w:r>
    </w:p>
    <w:p w14:paraId="2D05FB86" w14:textId="77777777" w:rsidR="00DA3400" w:rsidRPr="00693B99" w:rsidRDefault="00995A03" w:rsidP="00DA3400">
      <w:pPr>
        <w:numPr>
          <w:ilvl w:val="0"/>
          <w:numId w:val="2"/>
        </w:numPr>
        <w:tabs>
          <w:tab w:val="clear" w:pos="1080"/>
        </w:tabs>
        <w:spacing w:after="120"/>
        <w:rPr>
          <w:szCs w:val="22"/>
        </w:rPr>
      </w:pPr>
      <w:r w:rsidRPr="00693B99">
        <w:rPr>
          <w:szCs w:val="22"/>
        </w:rPr>
        <w:t>W</w:t>
      </w:r>
      <w:r w:rsidR="00F17E61" w:rsidRPr="00693B99">
        <w:rPr>
          <w:szCs w:val="22"/>
        </w:rPr>
        <w:t xml:space="preserve">ithin 10 days </w:t>
      </w:r>
      <w:r w:rsidR="00875EA4" w:rsidRPr="00693B99">
        <w:rPr>
          <w:szCs w:val="22"/>
        </w:rPr>
        <w:t xml:space="preserve">after </w:t>
      </w:r>
      <w:r w:rsidR="00F17E61" w:rsidRPr="00693B99">
        <w:rPr>
          <w:szCs w:val="22"/>
        </w:rPr>
        <w:t>commencement of program test authority</w:t>
      </w:r>
      <w:r w:rsidR="006B3708" w:rsidRPr="00693B99">
        <w:rPr>
          <w:szCs w:val="22"/>
        </w:rPr>
        <w:t xml:space="preserve">, </w:t>
      </w:r>
      <w:r w:rsidR="00875EA4" w:rsidRPr="00693B99">
        <w:rPr>
          <w:szCs w:val="22"/>
        </w:rPr>
        <w:t xml:space="preserve">a </w:t>
      </w:r>
      <w:r w:rsidR="006B3708" w:rsidRPr="00693B99">
        <w:rPr>
          <w:szCs w:val="22"/>
        </w:rPr>
        <w:t>licensee must su</w:t>
      </w:r>
      <w:r w:rsidR="00F218CB" w:rsidRPr="00693B99">
        <w:rPr>
          <w:szCs w:val="22"/>
        </w:rPr>
        <w:t>bmit an application for license</w:t>
      </w:r>
      <w:r w:rsidR="00F17E61" w:rsidRPr="00693B99">
        <w:rPr>
          <w:szCs w:val="22"/>
        </w:rPr>
        <w:t xml:space="preserve"> on </w:t>
      </w:r>
      <w:r w:rsidR="00875EA4" w:rsidRPr="00693B99">
        <w:rPr>
          <w:szCs w:val="22"/>
        </w:rPr>
        <w:t xml:space="preserve">its </w:t>
      </w:r>
      <w:r w:rsidR="00F17E61" w:rsidRPr="00693B99">
        <w:rPr>
          <w:szCs w:val="22"/>
        </w:rPr>
        <w:t>post-auction channel</w:t>
      </w:r>
      <w:r w:rsidR="006B3708" w:rsidRPr="00693B99">
        <w:rPr>
          <w:szCs w:val="22"/>
        </w:rPr>
        <w:t>.</w:t>
      </w:r>
      <w:r w:rsidR="001A7330" w:rsidRPr="00693B99">
        <w:rPr>
          <w:szCs w:val="22"/>
          <w:vertAlign w:val="superscript"/>
        </w:rPr>
        <w:t xml:space="preserve"> </w:t>
      </w:r>
      <w:r w:rsidR="001A7330" w:rsidRPr="00693B99">
        <w:rPr>
          <w:szCs w:val="22"/>
          <w:vertAlign w:val="superscript"/>
        </w:rPr>
        <w:footnoteReference w:id="113"/>
      </w:r>
      <w:r w:rsidR="006B3708" w:rsidRPr="00693B99">
        <w:rPr>
          <w:szCs w:val="22"/>
        </w:rPr>
        <w:t xml:space="preserve">  Applications for license </w:t>
      </w:r>
      <w:r w:rsidR="00F01982" w:rsidRPr="00693B99">
        <w:rPr>
          <w:szCs w:val="22"/>
        </w:rPr>
        <w:t>must be filed electronically</w:t>
      </w:r>
      <w:r w:rsidR="000B64AB" w:rsidRPr="00693B99">
        <w:rPr>
          <w:szCs w:val="22"/>
        </w:rPr>
        <w:t xml:space="preserve"> </w:t>
      </w:r>
      <w:r w:rsidR="001F0354" w:rsidRPr="00693B99">
        <w:rPr>
          <w:szCs w:val="22"/>
        </w:rPr>
        <w:t>via LMS</w:t>
      </w:r>
      <w:r w:rsidR="000B64AB" w:rsidRPr="00693B99">
        <w:rPr>
          <w:szCs w:val="22"/>
        </w:rPr>
        <w:t xml:space="preserve"> </w:t>
      </w:r>
      <w:r w:rsidR="00F17E61" w:rsidRPr="00693B99">
        <w:rPr>
          <w:szCs w:val="22"/>
        </w:rPr>
        <w:t>us</w:t>
      </w:r>
      <w:r w:rsidR="000B64AB" w:rsidRPr="00693B99">
        <w:rPr>
          <w:szCs w:val="22"/>
        </w:rPr>
        <w:t>ing</w:t>
      </w:r>
      <w:r w:rsidR="006B3708" w:rsidRPr="00693B99">
        <w:rPr>
          <w:szCs w:val="22"/>
        </w:rPr>
        <w:t xml:space="preserve"> FCC Form 2100 – Schedule B (full power) and Schedule F (Class A).  Commercial stations will be required to pay the requisite filing fee.  Instructions for filing </w:t>
      </w:r>
      <w:r w:rsidR="001F0354" w:rsidRPr="00693B99">
        <w:rPr>
          <w:szCs w:val="22"/>
        </w:rPr>
        <w:t>via LMS</w:t>
      </w:r>
      <w:r w:rsidR="006B3708" w:rsidRPr="00693B99">
        <w:rPr>
          <w:szCs w:val="22"/>
        </w:rPr>
        <w:t xml:space="preserve"> are contained in Appendix A.</w:t>
      </w:r>
    </w:p>
    <w:p w14:paraId="598F126E" w14:textId="77777777" w:rsidR="00DA3400" w:rsidRPr="00693B99" w:rsidRDefault="00DA3400" w:rsidP="00DA3400">
      <w:pPr>
        <w:pStyle w:val="Heading1"/>
        <w:rPr>
          <w:rFonts w:ascii="Times New Roman" w:hAnsi="Times New Roman"/>
          <w:szCs w:val="22"/>
        </w:rPr>
      </w:pPr>
      <w:bookmarkStart w:id="193" w:name="_Toc471732184"/>
      <w:bookmarkStart w:id="194" w:name="_Toc471732260"/>
      <w:bookmarkStart w:id="195" w:name="_Toc471732555"/>
      <w:bookmarkStart w:id="196" w:name="_Toc471732628"/>
      <w:bookmarkStart w:id="197" w:name="_Toc471732891"/>
      <w:bookmarkStart w:id="198" w:name="_Toc471734068"/>
      <w:r w:rsidRPr="00693B99">
        <w:rPr>
          <w:rFonts w:ascii="Times New Roman" w:hAnsi="Times New Roman"/>
          <w:szCs w:val="22"/>
        </w:rPr>
        <w:t>L</w:t>
      </w:r>
      <w:r w:rsidR="00527AB7" w:rsidRPr="00693B99">
        <w:rPr>
          <w:rFonts w:ascii="Times New Roman" w:hAnsi="Times New Roman"/>
          <w:szCs w:val="22"/>
        </w:rPr>
        <w:t>i</w:t>
      </w:r>
      <w:r w:rsidR="00A115B3" w:rsidRPr="00693B99">
        <w:rPr>
          <w:rFonts w:ascii="Times New Roman" w:hAnsi="Times New Roman"/>
          <w:szCs w:val="22"/>
        </w:rPr>
        <w:t>cense</w:t>
      </w:r>
      <w:r w:rsidRPr="00693B99">
        <w:rPr>
          <w:rFonts w:ascii="Times New Roman" w:hAnsi="Times New Roman"/>
          <w:szCs w:val="22"/>
        </w:rPr>
        <w:t xml:space="preserve"> R</w:t>
      </w:r>
      <w:r w:rsidR="00A115B3" w:rsidRPr="00693B99">
        <w:rPr>
          <w:rFonts w:ascii="Times New Roman" w:hAnsi="Times New Roman"/>
          <w:szCs w:val="22"/>
        </w:rPr>
        <w:t xml:space="preserve">elinquishment </w:t>
      </w:r>
      <w:r w:rsidRPr="00693B99">
        <w:rPr>
          <w:rFonts w:ascii="Times New Roman" w:hAnsi="Times New Roman"/>
          <w:szCs w:val="22"/>
        </w:rPr>
        <w:t>S</w:t>
      </w:r>
      <w:r w:rsidR="00A115B3" w:rsidRPr="00693B99">
        <w:rPr>
          <w:rFonts w:ascii="Times New Roman" w:hAnsi="Times New Roman"/>
          <w:szCs w:val="22"/>
        </w:rPr>
        <w:t>tations</w:t>
      </w:r>
      <w:r w:rsidRPr="00693B99">
        <w:rPr>
          <w:rFonts w:ascii="Times New Roman" w:hAnsi="Times New Roman"/>
          <w:szCs w:val="22"/>
        </w:rPr>
        <w:t xml:space="preserve"> </w:t>
      </w:r>
      <w:r w:rsidR="00A115B3" w:rsidRPr="00693B99">
        <w:rPr>
          <w:rFonts w:ascii="Times New Roman" w:hAnsi="Times New Roman"/>
          <w:szCs w:val="22"/>
        </w:rPr>
        <w:t>and</w:t>
      </w:r>
      <w:r w:rsidRPr="00693B99">
        <w:rPr>
          <w:rFonts w:ascii="Times New Roman" w:hAnsi="Times New Roman"/>
          <w:szCs w:val="22"/>
        </w:rPr>
        <w:t xml:space="preserve"> C</w:t>
      </w:r>
      <w:r w:rsidR="00A115B3" w:rsidRPr="00693B99">
        <w:rPr>
          <w:rFonts w:ascii="Times New Roman" w:hAnsi="Times New Roman"/>
          <w:szCs w:val="22"/>
        </w:rPr>
        <w:t xml:space="preserve">hannel </w:t>
      </w:r>
      <w:r w:rsidRPr="00693B99">
        <w:rPr>
          <w:rFonts w:ascii="Times New Roman" w:hAnsi="Times New Roman"/>
          <w:szCs w:val="22"/>
        </w:rPr>
        <w:t>S</w:t>
      </w:r>
      <w:r w:rsidR="00A115B3" w:rsidRPr="00693B99">
        <w:rPr>
          <w:rFonts w:ascii="Times New Roman" w:hAnsi="Times New Roman"/>
          <w:szCs w:val="22"/>
        </w:rPr>
        <w:t>haring</w:t>
      </w:r>
      <w:r w:rsidRPr="00693B99">
        <w:rPr>
          <w:rFonts w:ascii="Times New Roman" w:hAnsi="Times New Roman"/>
          <w:szCs w:val="22"/>
        </w:rPr>
        <w:t xml:space="preserve"> </w:t>
      </w:r>
      <w:bookmarkEnd w:id="193"/>
      <w:bookmarkEnd w:id="194"/>
      <w:r w:rsidR="00A115B3" w:rsidRPr="00693B99">
        <w:rPr>
          <w:rFonts w:ascii="Times New Roman" w:hAnsi="Times New Roman"/>
          <w:szCs w:val="22"/>
        </w:rPr>
        <w:t>STATIONS</w:t>
      </w:r>
      <w:bookmarkEnd w:id="195"/>
      <w:bookmarkEnd w:id="196"/>
      <w:bookmarkEnd w:id="197"/>
      <w:bookmarkEnd w:id="198"/>
    </w:p>
    <w:p w14:paraId="60C2DC20" w14:textId="154672BB" w:rsidR="0007238D" w:rsidRPr="00693B99" w:rsidRDefault="00AF3D4A" w:rsidP="00DA3400">
      <w:pPr>
        <w:numPr>
          <w:ilvl w:val="0"/>
          <w:numId w:val="2"/>
        </w:numPr>
        <w:tabs>
          <w:tab w:val="clear" w:pos="1080"/>
        </w:tabs>
        <w:spacing w:after="120"/>
        <w:rPr>
          <w:szCs w:val="22"/>
        </w:rPr>
      </w:pPr>
      <w:r w:rsidRPr="00693B99">
        <w:rPr>
          <w:szCs w:val="22"/>
        </w:rPr>
        <w:t xml:space="preserve">In this section, we address how reverse auction winning bidders will be informed of the process for receiving auction proceeds.  </w:t>
      </w:r>
      <w:r w:rsidR="00ED44CC" w:rsidRPr="00693B99">
        <w:rPr>
          <w:szCs w:val="22"/>
        </w:rPr>
        <w:t>F</w:t>
      </w:r>
      <w:r w:rsidR="0086151B" w:rsidRPr="00693B99">
        <w:rPr>
          <w:szCs w:val="22"/>
        </w:rPr>
        <w:t>or license relinquishment stations</w:t>
      </w:r>
      <w:r w:rsidR="00ED44CC" w:rsidRPr="00693B99">
        <w:rPr>
          <w:szCs w:val="22"/>
        </w:rPr>
        <w:t xml:space="preserve"> that will not become channel sharing stations</w:t>
      </w:r>
      <w:r w:rsidR="0086151B" w:rsidRPr="00693B99">
        <w:rPr>
          <w:szCs w:val="22"/>
        </w:rPr>
        <w:t xml:space="preserve">, we outline the process by which they must relinquish their </w:t>
      </w:r>
      <w:r w:rsidR="00E759A0" w:rsidRPr="00693B99">
        <w:rPr>
          <w:szCs w:val="22"/>
        </w:rPr>
        <w:t>licenses</w:t>
      </w:r>
      <w:r w:rsidR="00F81DED" w:rsidRPr="00693B99">
        <w:rPr>
          <w:szCs w:val="22"/>
        </w:rPr>
        <w:t xml:space="preserve">, including </w:t>
      </w:r>
      <w:r w:rsidR="00ED44CC" w:rsidRPr="00693B99">
        <w:rPr>
          <w:szCs w:val="22"/>
        </w:rPr>
        <w:t xml:space="preserve">the </w:t>
      </w:r>
      <w:r w:rsidR="00F81DED" w:rsidRPr="00693B99">
        <w:rPr>
          <w:szCs w:val="22"/>
        </w:rPr>
        <w:t xml:space="preserve">obligations for discontinuance of operations and </w:t>
      </w:r>
      <w:r w:rsidR="00ED44CC" w:rsidRPr="00693B99">
        <w:rPr>
          <w:szCs w:val="22"/>
        </w:rPr>
        <w:t xml:space="preserve">for </w:t>
      </w:r>
      <w:r w:rsidR="00F81DED" w:rsidRPr="00693B99">
        <w:rPr>
          <w:szCs w:val="22"/>
        </w:rPr>
        <w:t>provid</w:t>
      </w:r>
      <w:r w:rsidR="00ED44CC" w:rsidRPr="00693B99">
        <w:rPr>
          <w:szCs w:val="22"/>
        </w:rPr>
        <w:t>ing related</w:t>
      </w:r>
      <w:r w:rsidR="00F81DED" w:rsidRPr="00693B99">
        <w:rPr>
          <w:szCs w:val="22"/>
        </w:rPr>
        <w:t xml:space="preserve"> notice. </w:t>
      </w:r>
      <w:r w:rsidR="0086151B" w:rsidRPr="00693B99">
        <w:rPr>
          <w:szCs w:val="22"/>
        </w:rPr>
        <w:t xml:space="preserve"> </w:t>
      </w:r>
      <w:r w:rsidR="0039508B" w:rsidRPr="00693B99">
        <w:rPr>
          <w:szCs w:val="22"/>
        </w:rPr>
        <w:t>For channel sharing stations</w:t>
      </w:r>
      <w:r w:rsidR="00ED44CC" w:rsidRPr="00693B99">
        <w:rPr>
          <w:szCs w:val="22"/>
        </w:rPr>
        <w:t>,</w:t>
      </w:r>
      <w:r w:rsidR="0039508B" w:rsidRPr="00693B99">
        <w:rPr>
          <w:szCs w:val="22"/>
        </w:rPr>
        <w:t xml:space="preserve"> </w:t>
      </w:r>
      <w:r w:rsidR="00F81DED" w:rsidRPr="00693B99">
        <w:rPr>
          <w:szCs w:val="22"/>
        </w:rPr>
        <w:t xml:space="preserve">we set forth </w:t>
      </w:r>
      <w:r w:rsidR="0039508B" w:rsidRPr="00693B99">
        <w:rPr>
          <w:szCs w:val="22"/>
        </w:rPr>
        <w:t xml:space="preserve">the procedures </w:t>
      </w:r>
      <w:r w:rsidR="00ED44CC" w:rsidRPr="00693B99">
        <w:rPr>
          <w:szCs w:val="22"/>
        </w:rPr>
        <w:t xml:space="preserve">that </w:t>
      </w:r>
      <w:r w:rsidR="00D14ACA" w:rsidRPr="00693B99">
        <w:rPr>
          <w:szCs w:val="22"/>
        </w:rPr>
        <w:t xml:space="preserve">stations </w:t>
      </w:r>
      <w:r w:rsidR="00F81DED" w:rsidRPr="00693B99">
        <w:rPr>
          <w:szCs w:val="22"/>
        </w:rPr>
        <w:t>must</w:t>
      </w:r>
      <w:r w:rsidR="0039508B" w:rsidRPr="00693B99">
        <w:rPr>
          <w:szCs w:val="22"/>
        </w:rPr>
        <w:t xml:space="preserve"> follow </w:t>
      </w:r>
      <w:r w:rsidR="00ED44CC" w:rsidRPr="00693B99">
        <w:rPr>
          <w:szCs w:val="22"/>
        </w:rPr>
        <w:t>for</w:t>
      </w:r>
      <w:r w:rsidR="0039508B" w:rsidRPr="00693B99">
        <w:rPr>
          <w:szCs w:val="22"/>
        </w:rPr>
        <w:t xml:space="preserve"> licensing of their shared facilities</w:t>
      </w:r>
      <w:r w:rsidR="00F81DED" w:rsidRPr="00693B99">
        <w:rPr>
          <w:szCs w:val="22"/>
        </w:rPr>
        <w:t>,</w:t>
      </w:r>
      <w:r w:rsidR="0039508B" w:rsidRPr="00693B99">
        <w:rPr>
          <w:szCs w:val="22"/>
        </w:rPr>
        <w:t xml:space="preserve"> including when and how they must file an application for construction permit and how </w:t>
      </w:r>
      <w:r w:rsidR="001A7330" w:rsidRPr="00693B99">
        <w:rPr>
          <w:szCs w:val="22"/>
        </w:rPr>
        <w:t>to</w:t>
      </w:r>
      <w:r w:rsidR="0039508B" w:rsidRPr="00693B99">
        <w:rPr>
          <w:szCs w:val="22"/>
        </w:rPr>
        <w:t xml:space="preserve"> seek additional time</w:t>
      </w:r>
      <w:r w:rsidR="00ED44CC" w:rsidRPr="00693B99">
        <w:rPr>
          <w:szCs w:val="22"/>
        </w:rPr>
        <w:t xml:space="preserve">, as well as the </w:t>
      </w:r>
      <w:r w:rsidR="00F81DED" w:rsidRPr="00693B99">
        <w:rPr>
          <w:szCs w:val="22"/>
        </w:rPr>
        <w:t xml:space="preserve">obligations for </w:t>
      </w:r>
      <w:r w:rsidR="00ED44CC" w:rsidRPr="00693B99">
        <w:rPr>
          <w:szCs w:val="22"/>
        </w:rPr>
        <w:t xml:space="preserve">the </w:t>
      </w:r>
      <w:r w:rsidR="00F81DED" w:rsidRPr="00693B99">
        <w:rPr>
          <w:szCs w:val="22"/>
        </w:rPr>
        <w:t xml:space="preserve">discontinuance of operations and </w:t>
      </w:r>
      <w:r w:rsidR="00ED44CC" w:rsidRPr="00693B99">
        <w:rPr>
          <w:szCs w:val="22"/>
        </w:rPr>
        <w:t xml:space="preserve">for </w:t>
      </w:r>
      <w:r w:rsidR="00F81DED" w:rsidRPr="00693B99">
        <w:rPr>
          <w:szCs w:val="22"/>
        </w:rPr>
        <w:t>provid</w:t>
      </w:r>
      <w:r w:rsidR="00ED44CC" w:rsidRPr="00693B99">
        <w:rPr>
          <w:szCs w:val="22"/>
        </w:rPr>
        <w:t xml:space="preserve">ing </w:t>
      </w:r>
      <w:r w:rsidR="001A7330" w:rsidRPr="00693B99">
        <w:rPr>
          <w:szCs w:val="22"/>
        </w:rPr>
        <w:t xml:space="preserve">the associated </w:t>
      </w:r>
      <w:r w:rsidR="00F81DED" w:rsidRPr="00693B99">
        <w:rPr>
          <w:szCs w:val="22"/>
        </w:rPr>
        <w:t>notice</w:t>
      </w:r>
      <w:r w:rsidR="0039508B" w:rsidRPr="00693B99">
        <w:rPr>
          <w:szCs w:val="22"/>
        </w:rPr>
        <w:t>.</w:t>
      </w:r>
    </w:p>
    <w:p w14:paraId="2E83B37C" w14:textId="77777777" w:rsidR="0007238D" w:rsidRPr="00693B99" w:rsidRDefault="0007238D" w:rsidP="0007238D">
      <w:pPr>
        <w:pStyle w:val="Heading2"/>
        <w:rPr>
          <w:szCs w:val="22"/>
        </w:rPr>
      </w:pPr>
      <w:bookmarkStart w:id="199" w:name="_Toc466014537"/>
      <w:bookmarkStart w:id="200" w:name="_Toc466019478"/>
      <w:bookmarkStart w:id="201" w:name="_Toc468178164"/>
      <w:bookmarkStart w:id="202" w:name="_Toc471732185"/>
      <w:bookmarkStart w:id="203" w:name="_Toc471732261"/>
      <w:bookmarkStart w:id="204" w:name="_Toc471732556"/>
      <w:bookmarkStart w:id="205" w:name="_Toc471732629"/>
      <w:bookmarkStart w:id="206" w:name="_Toc471732892"/>
      <w:bookmarkStart w:id="207" w:name="_Toc471734069"/>
      <w:r w:rsidRPr="00693B99">
        <w:rPr>
          <w:szCs w:val="22"/>
        </w:rPr>
        <w:t>Payments to Reverse Auction Winning Bidders</w:t>
      </w:r>
      <w:bookmarkEnd w:id="199"/>
      <w:bookmarkEnd w:id="200"/>
      <w:bookmarkEnd w:id="201"/>
      <w:bookmarkEnd w:id="202"/>
      <w:bookmarkEnd w:id="203"/>
      <w:bookmarkEnd w:id="204"/>
      <w:bookmarkEnd w:id="205"/>
      <w:bookmarkEnd w:id="206"/>
      <w:bookmarkEnd w:id="207"/>
    </w:p>
    <w:p w14:paraId="0D895931" w14:textId="77777777" w:rsidR="00014E94" w:rsidRPr="00693B99" w:rsidRDefault="00014E94" w:rsidP="00014E94">
      <w:pPr>
        <w:numPr>
          <w:ilvl w:val="0"/>
          <w:numId w:val="2"/>
        </w:numPr>
        <w:tabs>
          <w:tab w:val="clear" w:pos="1080"/>
        </w:tabs>
        <w:spacing w:after="120"/>
        <w:rPr>
          <w:szCs w:val="22"/>
        </w:rPr>
      </w:pPr>
      <w:r w:rsidRPr="00693B99">
        <w:rPr>
          <w:szCs w:val="22"/>
        </w:rPr>
        <w:t xml:space="preserve">We will release a separate public notice informing winning bidders of the process for receiving auction proceeds at a later date.  That public notice will advise winning bidders about the process for providing instructions to the Commission for payments, including providing banking information and necessary certifications.  As previously stated, though </w:t>
      </w:r>
      <w:r w:rsidR="00E759A0" w:rsidRPr="00693B99">
        <w:rPr>
          <w:szCs w:val="22"/>
        </w:rPr>
        <w:t xml:space="preserve">providing </w:t>
      </w:r>
      <w:r w:rsidRPr="00693B99">
        <w:rPr>
          <w:szCs w:val="22"/>
        </w:rPr>
        <w:t>a precise timetable is not feasible, the Commission will share auction proceeds with broadcast licensees relinquishing spectrum usage rights as soon as practicable following the successful conclusion of the incentive auction.</w:t>
      </w:r>
      <w:r w:rsidRPr="00693B99">
        <w:rPr>
          <w:rStyle w:val="FootnoteReference"/>
        </w:rPr>
        <w:footnoteReference w:id="114"/>
      </w:r>
      <w:r w:rsidRPr="00693B99">
        <w:rPr>
          <w:szCs w:val="22"/>
        </w:rPr>
        <w:t xml:space="preserve">  The forthcoming public notice will detail the steps that a winning reverse auction licensee must take before auction proceeds can be disbursed once they become available.  In particular, the public notice will detail the form that winning reverse auction bidders will use to submit payment information, as well as processes for validating the information prior to the disbursement of any payments.</w:t>
      </w:r>
      <w:r w:rsidRPr="00693B99">
        <w:rPr>
          <w:rStyle w:val="FootnoteReference"/>
        </w:rPr>
        <w:footnoteReference w:id="115"/>
      </w:r>
      <w:r w:rsidRPr="00693B99">
        <w:rPr>
          <w:szCs w:val="22"/>
        </w:rPr>
        <w:t xml:space="preserve">  As described in a prior public notice, a winning bidder may provide instructions for payments to an account owned by a third-party.</w:t>
      </w:r>
      <w:r w:rsidRPr="00693B99">
        <w:rPr>
          <w:rStyle w:val="FootnoteReference"/>
        </w:rPr>
        <w:footnoteReference w:id="116"/>
      </w:r>
      <w:r w:rsidRPr="00693B99">
        <w:rPr>
          <w:szCs w:val="22"/>
        </w:rPr>
        <w:t xml:space="preserve"> </w:t>
      </w:r>
    </w:p>
    <w:p w14:paraId="692F68AB" w14:textId="57EA4654" w:rsidR="00DA3400" w:rsidRPr="00693B99" w:rsidRDefault="00AF3D4A" w:rsidP="00AF3D4A">
      <w:pPr>
        <w:numPr>
          <w:ilvl w:val="0"/>
          <w:numId w:val="2"/>
        </w:numPr>
        <w:tabs>
          <w:tab w:val="clear" w:pos="1080"/>
        </w:tabs>
        <w:spacing w:after="120"/>
        <w:rPr>
          <w:szCs w:val="22"/>
        </w:rPr>
      </w:pPr>
      <w:r w:rsidRPr="00693B99">
        <w:rPr>
          <w:szCs w:val="22"/>
        </w:rPr>
        <w:t xml:space="preserve">As a step prior to beginning this process, a representative from an entity that expects to receive a payment from the FCC for a winning reverse auction bid </w:t>
      </w:r>
      <w:r w:rsidR="00014E94" w:rsidRPr="00693B99">
        <w:rPr>
          <w:szCs w:val="22"/>
        </w:rPr>
        <w:t>must</w:t>
      </w:r>
      <w:r w:rsidRPr="00693B99">
        <w:rPr>
          <w:szCs w:val="22"/>
        </w:rPr>
        <w:t xml:space="preserve"> have logged in to the updated Commission Registration System (CORES) (</w:t>
      </w:r>
      <w:hyperlink r:id="rId10" w:history="1">
        <w:r w:rsidRPr="00693B99">
          <w:rPr>
            <w:rStyle w:val="Hyperlink"/>
            <w:color w:val="auto"/>
            <w:szCs w:val="22"/>
          </w:rPr>
          <w:t>https://apps.fcc.gov/cores</w:t>
        </w:r>
      </w:hyperlink>
      <w:r w:rsidRPr="00693B99">
        <w:rPr>
          <w:szCs w:val="22"/>
        </w:rPr>
        <w:t xml:space="preserve">) and set up a username and password.  Detailed instructions on how to register for an FCC Username Account can be found at: </w:t>
      </w:r>
      <w:hyperlink r:id="rId11" w:history="1">
        <w:r w:rsidRPr="00693B99">
          <w:rPr>
            <w:rStyle w:val="Hyperlink"/>
            <w:color w:val="auto"/>
            <w:szCs w:val="22"/>
          </w:rPr>
          <w:t>https://apps.fcc.gov/cores/html/Register_New_Account.htm</w:t>
        </w:r>
      </w:hyperlink>
      <w:r w:rsidRPr="00693B99">
        <w:rPr>
          <w:rStyle w:val="Hyperlink"/>
          <w:color w:val="auto"/>
          <w:szCs w:val="22"/>
          <w:u w:val="none"/>
        </w:rPr>
        <w:t>.</w:t>
      </w:r>
      <w:r w:rsidR="00656A09" w:rsidRPr="00693B99">
        <w:rPr>
          <w:rStyle w:val="FootnoteReference"/>
        </w:rPr>
        <w:footnoteReference w:id="117"/>
      </w:r>
      <w:r w:rsidR="00656A09" w:rsidRPr="00693B99">
        <w:rPr>
          <w:szCs w:val="22"/>
        </w:rPr>
        <w:t xml:space="preserve"> </w:t>
      </w:r>
      <w:r w:rsidRPr="00693B99">
        <w:rPr>
          <w:szCs w:val="22"/>
        </w:rPr>
        <w:t xml:space="preserve">For additional information, please contact the Updated CORES System hotline at 202-418-4120 or </w:t>
      </w:r>
      <w:hyperlink r:id="rId12" w:history="1">
        <w:r w:rsidRPr="00693B99">
          <w:rPr>
            <w:rStyle w:val="Hyperlink"/>
            <w:color w:val="auto"/>
            <w:szCs w:val="22"/>
          </w:rPr>
          <w:t>CoresPilot@fcc.gov</w:t>
        </w:r>
      </w:hyperlink>
      <w:r w:rsidRPr="00693B99">
        <w:rPr>
          <w:szCs w:val="22"/>
        </w:rPr>
        <w:t xml:space="preserve">. </w:t>
      </w:r>
    </w:p>
    <w:p w14:paraId="5ACF46FB" w14:textId="77777777" w:rsidR="00DA3400" w:rsidRPr="00693B99" w:rsidRDefault="00DA3400" w:rsidP="00DA3400">
      <w:pPr>
        <w:pStyle w:val="Heading2"/>
        <w:rPr>
          <w:szCs w:val="22"/>
        </w:rPr>
      </w:pPr>
      <w:bookmarkStart w:id="208" w:name="_Toc471732186"/>
      <w:bookmarkStart w:id="209" w:name="_Toc471732262"/>
      <w:bookmarkStart w:id="210" w:name="_Toc471732557"/>
      <w:bookmarkStart w:id="211" w:name="_Toc471732630"/>
      <w:bookmarkStart w:id="212" w:name="_Toc471732893"/>
      <w:bookmarkStart w:id="213" w:name="_Toc471734070"/>
      <w:r w:rsidRPr="00693B99">
        <w:rPr>
          <w:szCs w:val="22"/>
        </w:rPr>
        <w:t>License Relinquishment Transition Process</w:t>
      </w:r>
      <w:bookmarkEnd w:id="208"/>
      <w:bookmarkEnd w:id="209"/>
      <w:bookmarkEnd w:id="210"/>
      <w:bookmarkEnd w:id="211"/>
      <w:bookmarkEnd w:id="212"/>
      <w:bookmarkEnd w:id="213"/>
    </w:p>
    <w:p w14:paraId="5CE2E35F" w14:textId="77777777" w:rsidR="001645D4" w:rsidRPr="00693B99" w:rsidRDefault="00DA3400" w:rsidP="00DA3400">
      <w:pPr>
        <w:pStyle w:val="Heading3"/>
        <w:ind w:hanging="1440"/>
        <w:rPr>
          <w:szCs w:val="22"/>
        </w:rPr>
      </w:pPr>
      <w:bookmarkStart w:id="214" w:name="_Toc471732187"/>
      <w:bookmarkStart w:id="215" w:name="_Toc471732263"/>
      <w:bookmarkStart w:id="216" w:name="_Toc471732558"/>
      <w:bookmarkStart w:id="217" w:name="_Toc471732631"/>
      <w:bookmarkStart w:id="218" w:name="_Toc471732894"/>
      <w:bookmarkStart w:id="219" w:name="_Toc471734071"/>
      <w:r w:rsidRPr="00693B99">
        <w:rPr>
          <w:szCs w:val="22"/>
        </w:rPr>
        <w:t>Discontinuation of Operations</w:t>
      </w:r>
      <w:bookmarkEnd w:id="214"/>
      <w:bookmarkEnd w:id="215"/>
      <w:bookmarkEnd w:id="216"/>
      <w:bookmarkEnd w:id="217"/>
      <w:bookmarkEnd w:id="218"/>
      <w:bookmarkEnd w:id="219"/>
    </w:p>
    <w:p w14:paraId="0739ABB3" w14:textId="77777777" w:rsidR="00B27FDE" w:rsidRPr="00693B99" w:rsidRDefault="009872C6" w:rsidP="00DA3400">
      <w:pPr>
        <w:numPr>
          <w:ilvl w:val="0"/>
          <w:numId w:val="2"/>
        </w:numPr>
        <w:tabs>
          <w:tab w:val="clear" w:pos="1080"/>
        </w:tabs>
        <w:spacing w:after="120"/>
        <w:rPr>
          <w:szCs w:val="22"/>
        </w:rPr>
      </w:pPr>
      <w:r w:rsidRPr="00693B99">
        <w:rPr>
          <w:szCs w:val="22"/>
        </w:rPr>
        <w:t>A l</w:t>
      </w:r>
      <w:r w:rsidR="00BC3047" w:rsidRPr="00693B99">
        <w:rPr>
          <w:szCs w:val="22"/>
        </w:rPr>
        <w:t>icense r</w:t>
      </w:r>
      <w:r w:rsidR="006B3708" w:rsidRPr="00693B99">
        <w:rPr>
          <w:szCs w:val="22"/>
        </w:rPr>
        <w:t xml:space="preserve">elinquishment station must discontinue operations within </w:t>
      </w:r>
      <w:r w:rsidR="00CD56D0" w:rsidRPr="00693B99">
        <w:rPr>
          <w:szCs w:val="22"/>
        </w:rPr>
        <w:t xml:space="preserve">90 days </w:t>
      </w:r>
      <w:r w:rsidRPr="00693B99">
        <w:rPr>
          <w:szCs w:val="22"/>
        </w:rPr>
        <w:t>after receiving its</w:t>
      </w:r>
      <w:r w:rsidR="00014E94" w:rsidRPr="00693B99">
        <w:rPr>
          <w:szCs w:val="22"/>
        </w:rPr>
        <w:t xml:space="preserve"> share of </w:t>
      </w:r>
      <w:r w:rsidR="00620BE6" w:rsidRPr="00693B99">
        <w:rPr>
          <w:szCs w:val="22"/>
        </w:rPr>
        <w:t>auction proceeds.”</w:t>
      </w:r>
      <w:r w:rsidR="00262FFB" w:rsidRPr="00693B99">
        <w:rPr>
          <w:rStyle w:val="FootnoteReference"/>
        </w:rPr>
        <w:footnoteReference w:id="118"/>
      </w:r>
      <w:r w:rsidR="006B3708" w:rsidRPr="00693B99">
        <w:rPr>
          <w:szCs w:val="22"/>
        </w:rPr>
        <w:t xml:space="preserve">  </w:t>
      </w:r>
      <w:r w:rsidR="006F6597" w:rsidRPr="00693B99">
        <w:rPr>
          <w:szCs w:val="22"/>
        </w:rPr>
        <w:t>A s</w:t>
      </w:r>
      <w:r w:rsidR="006B3708" w:rsidRPr="00693B99">
        <w:rPr>
          <w:szCs w:val="22"/>
        </w:rPr>
        <w:t>tation needing additional time to discontinu</w:t>
      </w:r>
      <w:r w:rsidR="00ED44CC" w:rsidRPr="00693B99">
        <w:rPr>
          <w:szCs w:val="22"/>
        </w:rPr>
        <w:t>e</w:t>
      </w:r>
      <w:r w:rsidR="006B3708" w:rsidRPr="00693B99">
        <w:rPr>
          <w:szCs w:val="22"/>
        </w:rPr>
        <w:t xml:space="preserve"> operations on </w:t>
      </w:r>
      <w:r w:rsidR="006F6597" w:rsidRPr="00693B99">
        <w:rPr>
          <w:szCs w:val="22"/>
        </w:rPr>
        <w:t xml:space="preserve">its </w:t>
      </w:r>
      <w:r w:rsidR="006B3708" w:rsidRPr="00693B99">
        <w:rPr>
          <w:szCs w:val="22"/>
        </w:rPr>
        <w:t>pre-auction channel may submit a</w:t>
      </w:r>
      <w:r w:rsidR="00AE7860" w:rsidRPr="00693B99">
        <w:rPr>
          <w:szCs w:val="22"/>
        </w:rPr>
        <w:t xml:space="preserve"> </w:t>
      </w:r>
      <w:r w:rsidR="006B3708" w:rsidRPr="00693B99">
        <w:rPr>
          <w:szCs w:val="22"/>
        </w:rPr>
        <w:t>waiver request</w:t>
      </w:r>
      <w:r w:rsidR="005B0987" w:rsidRPr="00693B99">
        <w:rPr>
          <w:szCs w:val="22"/>
        </w:rPr>
        <w:t xml:space="preserve"> </w:t>
      </w:r>
      <w:r w:rsidR="00D14ACA" w:rsidRPr="00693B99">
        <w:rPr>
          <w:szCs w:val="22"/>
        </w:rPr>
        <w:t xml:space="preserve">demonstrating </w:t>
      </w:r>
      <w:r w:rsidR="008B11F6" w:rsidRPr="00693B99">
        <w:rPr>
          <w:szCs w:val="22"/>
        </w:rPr>
        <w:t xml:space="preserve">“good cause” </w:t>
      </w:r>
      <w:r w:rsidR="006B3708" w:rsidRPr="00693B99">
        <w:rPr>
          <w:szCs w:val="22"/>
        </w:rPr>
        <w:t xml:space="preserve">pursuant to </w:t>
      </w:r>
      <w:r w:rsidR="00020DD4" w:rsidRPr="00693B99">
        <w:rPr>
          <w:szCs w:val="22"/>
        </w:rPr>
        <w:t>S</w:t>
      </w:r>
      <w:r w:rsidR="006B3708" w:rsidRPr="00693B99">
        <w:rPr>
          <w:szCs w:val="22"/>
        </w:rPr>
        <w:t xml:space="preserve">ection 1.3 of the </w:t>
      </w:r>
      <w:r w:rsidR="00026FF2" w:rsidRPr="00693B99">
        <w:rPr>
          <w:szCs w:val="22"/>
        </w:rPr>
        <w:t xml:space="preserve">Commission’s </w:t>
      </w:r>
      <w:r w:rsidR="006B3708" w:rsidRPr="00693B99">
        <w:rPr>
          <w:szCs w:val="22"/>
        </w:rPr>
        <w:t>rules.</w:t>
      </w:r>
      <w:r w:rsidR="006B3708" w:rsidRPr="00693B99">
        <w:rPr>
          <w:szCs w:val="22"/>
          <w:vertAlign w:val="superscript"/>
        </w:rPr>
        <w:footnoteReference w:id="119"/>
      </w:r>
      <w:r w:rsidR="006B3708" w:rsidRPr="00693B99">
        <w:rPr>
          <w:szCs w:val="22"/>
        </w:rPr>
        <w:t xml:space="preserve"> </w:t>
      </w:r>
      <w:r w:rsidR="00A35E08" w:rsidRPr="00693B99">
        <w:rPr>
          <w:szCs w:val="22"/>
        </w:rPr>
        <w:t xml:space="preserve"> </w:t>
      </w:r>
      <w:r w:rsidR="003370DA" w:rsidRPr="00693B99">
        <w:rPr>
          <w:szCs w:val="22"/>
        </w:rPr>
        <w:t>W</w:t>
      </w:r>
      <w:r w:rsidR="006B3708" w:rsidRPr="00693B99">
        <w:rPr>
          <w:szCs w:val="22"/>
        </w:rPr>
        <w:t>e anticipate</w:t>
      </w:r>
      <w:r w:rsidR="00A35E08" w:rsidRPr="00693B99">
        <w:rPr>
          <w:szCs w:val="22"/>
        </w:rPr>
        <w:t xml:space="preserve"> </w:t>
      </w:r>
      <w:r w:rsidR="00BC3047" w:rsidRPr="00693B99">
        <w:rPr>
          <w:szCs w:val="22"/>
        </w:rPr>
        <w:t>that</w:t>
      </w:r>
      <w:r w:rsidR="00A35E08" w:rsidRPr="00693B99">
        <w:rPr>
          <w:szCs w:val="22"/>
        </w:rPr>
        <w:t xml:space="preserve"> request</w:t>
      </w:r>
      <w:r w:rsidR="00411282" w:rsidRPr="00693B99">
        <w:rPr>
          <w:szCs w:val="22"/>
        </w:rPr>
        <w:t>s</w:t>
      </w:r>
      <w:r w:rsidR="00A35E08" w:rsidRPr="00693B99">
        <w:rPr>
          <w:szCs w:val="22"/>
        </w:rPr>
        <w:t xml:space="preserve"> </w:t>
      </w:r>
      <w:r w:rsidR="00BC3047" w:rsidRPr="00693B99">
        <w:rPr>
          <w:szCs w:val="22"/>
        </w:rPr>
        <w:t xml:space="preserve">for additional time beyond </w:t>
      </w:r>
      <w:r w:rsidR="00A30D6E" w:rsidRPr="00693B99">
        <w:rPr>
          <w:szCs w:val="22"/>
        </w:rPr>
        <w:t>90 days</w:t>
      </w:r>
      <w:r w:rsidR="00A35E08" w:rsidRPr="00693B99">
        <w:rPr>
          <w:szCs w:val="22"/>
        </w:rPr>
        <w:t xml:space="preserve"> are</w:t>
      </w:r>
      <w:r w:rsidR="006B3708" w:rsidRPr="00693B99">
        <w:rPr>
          <w:szCs w:val="22"/>
        </w:rPr>
        <w:t xml:space="preserve"> unlikely to meet our waiver standard.</w:t>
      </w:r>
      <w:r w:rsidR="006B3708" w:rsidRPr="00693B99">
        <w:rPr>
          <w:szCs w:val="22"/>
          <w:vertAlign w:val="superscript"/>
        </w:rPr>
        <w:footnoteReference w:id="120"/>
      </w:r>
      <w:r w:rsidR="006B3708" w:rsidRPr="00693B99">
        <w:rPr>
          <w:szCs w:val="22"/>
        </w:rPr>
        <w:t xml:space="preserve">  </w:t>
      </w:r>
      <w:r w:rsidR="00F17E61" w:rsidRPr="00693B99">
        <w:rPr>
          <w:szCs w:val="22"/>
        </w:rPr>
        <w:t xml:space="preserve">No </w:t>
      </w:r>
      <w:r w:rsidR="00831E64" w:rsidRPr="00693B99">
        <w:rPr>
          <w:szCs w:val="22"/>
        </w:rPr>
        <w:t xml:space="preserve">license </w:t>
      </w:r>
      <w:r w:rsidR="00BC3047" w:rsidRPr="00693B99">
        <w:rPr>
          <w:szCs w:val="22"/>
        </w:rPr>
        <w:t xml:space="preserve">relinquishment </w:t>
      </w:r>
      <w:r w:rsidR="00F17E61" w:rsidRPr="00693B99">
        <w:rPr>
          <w:szCs w:val="22"/>
        </w:rPr>
        <w:t xml:space="preserve">station will be granted a waiver </w:t>
      </w:r>
      <w:r w:rsidR="008B11F6" w:rsidRPr="00693B99">
        <w:rPr>
          <w:szCs w:val="22"/>
        </w:rPr>
        <w:t xml:space="preserve">that would extend </w:t>
      </w:r>
      <w:r w:rsidR="00831E64" w:rsidRPr="00693B99">
        <w:rPr>
          <w:szCs w:val="22"/>
        </w:rPr>
        <w:t>its deadline to discontinue operations</w:t>
      </w:r>
      <w:r w:rsidR="000B4CE0" w:rsidRPr="00693B99">
        <w:rPr>
          <w:szCs w:val="22"/>
        </w:rPr>
        <w:t xml:space="preserve"> beyond the end of the </w:t>
      </w:r>
      <w:r w:rsidR="00B119D4" w:rsidRPr="00693B99">
        <w:rPr>
          <w:szCs w:val="22"/>
        </w:rPr>
        <w:t xml:space="preserve">39-month </w:t>
      </w:r>
      <w:r w:rsidR="00F17E61" w:rsidRPr="00693B99">
        <w:rPr>
          <w:szCs w:val="22"/>
        </w:rPr>
        <w:t>transition</w:t>
      </w:r>
      <w:r w:rsidR="000B4CE0" w:rsidRPr="00693B99">
        <w:rPr>
          <w:szCs w:val="22"/>
        </w:rPr>
        <w:t xml:space="preserve"> period</w:t>
      </w:r>
      <w:r w:rsidR="00F17E61" w:rsidRPr="00693B99">
        <w:rPr>
          <w:szCs w:val="22"/>
        </w:rPr>
        <w:t>.</w:t>
      </w:r>
      <w:r w:rsidR="00F17E61" w:rsidRPr="00693B99">
        <w:rPr>
          <w:szCs w:val="22"/>
          <w:vertAlign w:val="superscript"/>
        </w:rPr>
        <w:footnoteReference w:id="121"/>
      </w:r>
      <w:r w:rsidR="00F17E61" w:rsidRPr="00693B99">
        <w:rPr>
          <w:szCs w:val="22"/>
        </w:rPr>
        <w:t xml:space="preserve">  </w:t>
      </w:r>
      <w:r w:rsidR="00B27FDE" w:rsidRPr="00693B99">
        <w:rPr>
          <w:szCs w:val="22"/>
        </w:rPr>
        <w:t>In addition, as outlined</w:t>
      </w:r>
      <w:r w:rsidR="007E4252" w:rsidRPr="00693B99">
        <w:rPr>
          <w:szCs w:val="22"/>
        </w:rPr>
        <w:t xml:space="preserve"> in Section V</w:t>
      </w:r>
      <w:r w:rsidR="00B27FDE" w:rsidRPr="00693B99">
        <w:rPr>
          <w:szCs w:val="22"/>
        </w:rPr>
        <w:t>, we remind stations that the M</w:t>
      </w:r>
      <w:r w:rsidR="00906363" w:rsidRPr="00693B99">
        <w:rPr>
          <w:szCs w:val="22"/>
        </w:rPr>
        <w:t>edia Bureau has announced</w:t>
      </w:r>
      <w:r w:rsidR="00B27FDE" w:rsidRPr="00693B99">
        <w:rPr>
          <w:szCs w:val="22"/>
        </w:rPr>
        <w:t xml:space="preserve"> that, prior to grant</w:t>
      </w:r>
      <w:r w:rsidR="000F3DB7" w:rsidRPr="00693B99">
        <w:rPr>
          <w:szCs w:val="22"/>
        </w:rPr>
        <w:t>ing a waiver request</w:t>
      </w:r>
      <w:r w:rsidR="00B27FDE" w:rsidRPr="00693B99">
        <w:rPr>
          <w:szCs w:val="22"/>
        </w:rPr>
        <w:t xml:space="preserve">, it will evaluate all requests to extend the deadline to discontinue operations to determine whether </w:t>
      </w:r>
      <w:r w:rsidR="000F3DB7" w:rsidRPr="00693B99">
        <w:rPr>
          <w:szCs w:val="22"/>
        </w:rPr>
        <w:t xml:space="preserve">the </w:t>
      </w:r>
      <w:r w:rsidR="00B27FDE" w:rsidRPr="00693B99">
        <w:rPr>
          <w:szCs w:val="22"/>
        </w:rPr>
        <w:t xml:space="preserve">grant </w:t>
      </w:r>
      <w:r w:rsidR="000F3DB7" w:rsidRPr="00693B99">
        <w:rPr>
          <w:szCs w:val="22"/>
        </w:rPr>
        <w:t xml:space="preserve">would </w:t>
      </w:r>
      <w:r w:rsidR="00B27FDE" w:rsidRPr="00693B99">
        <w:rPr>
          <w:szCs w:val="22"/>
        </w:rPr>
        <w:t>delay or disrupt the post-auction transition schedule.</w:t>
      </w:r>
    </w:p>
    <w:p w14:paraId="4A7CB2FD" w14:textId="2D0419A6" w:rsidR="006B3708" w:rsidRPr="00693B99" w:rsidRDefault="00FB1FF8" w:rsidP="00411282">
      <w:pPr>
        <w:numPr>
          <w:ilvl w:val="0"/>
          <w:numId w:val="2"/>
        </w:numPr>
        <w:tabs>
          <w:tab w:val="clear" w:pos="1080"/>
          <w:tab w:val="num" w:pos="1440"/>
        </w:tabs>
        <w:spacing w:after="120"/>
        <w:rPr>
          <w:szCs w:val="22"/>
        </w:rPr>
      </w:pPr>
      <w:r w:rsidRPr="00693B99">
        <w:rPr>
          <w:szCs w:val="22"/>
        </w:rPr>
        <w:t>A s</w:t>
      </w:r>
      <w:r w:rsidR="00F17E61" w:rsidRPr="00693B99">
        <w:rPr>
          <w:szCs w:val="22"/>
        </w:rPr>
        <w:t xml:space="preserve">tation should file such </w:t>
      </w:r>
      <w:r w:rsidRPr="00693B99">
        <w:rPr>
          <w:szCs w:val="22"/>
        </w:rPr>
        <w:t xml:space="preserve">a </w:t>
      </w:r>
      <w:r w:rsidR="00F17E61" w:rsidRPr="00693B99">
        <w:rPr>
          <w:szCs w:val="22"/>
        </w:rPr>
        <w:t xml:space="preserve">request as soon as it becomes apparent that </w:t>
      </w:r>
      <w:r w:rsidRPr="00693B99">
        <w:rPr>
          <w:szCs w:val="22"/>
        </w:rPr>
        <w:t xml:space="preserve">it </w:t>
      </w:r>
      <w:r w:rsidR="00F17E61" w:rsidRPr="00693B99">
        <w:rPr>
          <w:szCs w:val="22"/>
        </w:rPr>
        <w:t>require</w:t>
      </w:r>
      <w:r w:rsidRPr="00693B99">
        <w:rPr>
          <w:szCs w:val="22"/>
        </w:rPr>
        <w:t>s</w:t>
      </w:r>
      <w:r w:rsidR="00F17E61" w:rsidRPr="00693B99">
        <w:rPr>
          <w:szCs w:val="22"/>
        </w:rPr>
        <w:t xml:space="preserve"> additional time to </w:t>
      </w:r>
      <w:r w:rsidR="00FD5B20" w:rsidRPr="00693B99">
        <w:rPr>
          <w:szCs w:val="22"/>
        </w:rPr>
        <w:t>terminate operations on its pre-auction channel</w:t>
      </w:r>
      <w:r w:rsidR="00F17E61" w:rsidRPr="00693B99">
        <w:rPr>
          <w:szCs w:val="22"/>
        </w:rPr>
        <w:t xml:space="preserve">.  </w:t>
      </w:r>
      <w:r w:rsidR="008F3F09" w:rsidRPr="00693B99">
        <w:rPr>
          <w:szCs w:val="22"/>
        </w:rPr>
        <w:t>A w</w:t>
      </w:r>
      <w:r w:rsidR="006B3708" w:rsidRPr="00693B99">
        <w:rPr>
          <w:szCs w:val="22"/>
        </w:rPr>
        <w:t xml:space="preserve">aiver request must be filed electronically </w:t>
      </w:r>
      <w:r w:rsidR="001F0354" w:rsidRPr="00693B99">
        <w:rPr>
          <w:szCs w:val="22"/>
        </w:rPr>
        <w:t>via LMS</w:t>
      </w:r>
      <w:r w:rsidR="006B3708" w:rsidRPr="00693B99">
        <w:rPr>
          <w:szCs w:val="22"/>
        </w:rPr>
        <w:t xml:space="preserve"> as a request for a legal STA</w:t>
      </w:r>
      <w:r w:rsidR="00C168F3" w:rsidRPr="00693B99">
        <w:rPr>
          <w:szCs w:val="22"/>
        </w:rPr>
        <w:t>, include the requisite fee</w:t>
      </w:r>
      <w:r w:rsidR="006B3708" w:rsidRPr="00693B99">
        <w:rPr>
          <w:szCs w:val="22"/>
        </w:rPr>
        <w:t xml:space="preserve">, provide the above-described waiver showing, and include a proposed discontinuation date. </w:t>
      </w:r>
      <w:r w:rsidR="00F17E61" w:rsidRPr="00693B99">
        <w:rPr>
          <w:szCs w:val="22"/>
        </w:rPr>
        <w:t xml:space="preserve"> </w:t>
      </w:r>
      <w:r w:rsidR="00DE15A7" w:rsidRPr="00693B99">
        <w:rPr>
          <w:szCs w:val="22"/>
        </w:rPr>
        <w:t>A</w:t>
      </w:r>
      <w:r w:rsidR="00F17E61" w:rsidRPr="00693B99">
        <w:rPr>
          <w:szCs w:val="22"/>
        </w:rPr>
        <w:t xml:space="preserve"> copy of the request should also be e-mailed to </w:t>
      </w:r>
      <w:hyperlink r:id="rId13" w:history="1">
        <w:r w:rsidR="00B74CCF" w:rsidRPr="00693B99">
          <w:rPr>
            <w:rStyle w:val="Hyperlink"/>
            <w:color w:val="auto"/>
            <w:szCs w:val="22"/>
          </w:rPr>
          <w:t>IATransitionlicensing@fcc.gov</w:t>
        </w:r>
      </w:hyperlink>
      <w:r w:rsidR="00B74CCF" w:rsidRPr="00693B99">
        <w:rPr>
          <w:szCs w:val="22"/>
          <w:u w:val="single"/>
        </w:rPr>
        <w:t xml:space="preserve">. </w:t>
      </w:r>
      <w:r w:rsidR="003050BF" w:rsidRPr="00693B99">
        <w:rPr>
          <w:szCs w:val="22"/>
        </w:rPr>
        <w:t xml:space="preserve"> I</w:t>
      </w:r>
      <w:r w:rsidR="006B3708" w:rsidRPr="00693B99">
        <w:rPr>
          <w:szCs w:val="22"/>
        </w:rPr>
        <w:t xml:space="preserve">nstructions for filing </w:t>
      </w:r>
      <w:r w:rsidR="001F0354" w:rsidRPr="00693B99">
        <w:rPr>
          <w:szCs w:val="22"/>
        </w:rPr>
        <w:t>via LMS</w:t>
      </w:r>
      <w:r w:rsidR="006B3708" w:rsidRPr="00693B99">
        <w:rPr>
          <w:szCs w:val="22"/>
        </w:rPr>
        <w:t xml:space="preserve"> are contained in Appendix A.</w:t>
      </w:r>
    </w:p>
    <w:p w14:paraId="2CEB8042" w14:textId="77777777" w:rsidR="0007238D" w:rsidRPr="00693B99" w:rsidRDefault="00DE2419" w:rsidP="001C7D45">
      <w:pPr>
        <w:pStyle w:val="Heading3"/>
        <w:ind w:hanging="1440"/>
        <w:rPr>
          <w:szCs w:val="22"/>
        </w:rPr>
      </w:pPr>
      <w:bookmarkStart w:id="220" w:name="_Toc466014540"/>
      <w:bookmarkStart w:id="221" w:name="_Toc466019481"/>
      <w:bookmarkStart w:id="222" w:name="_Toc468178167"/>
      <w:bookmarkStart w:id="223" w:name="_Toc471732188"/>
      <w:bookmarkStart w:id="224" w:name="_Toc471732264"/>
      <w:bookmarkStart w:id="225" w:name="_Toc471732559"/>
      <w:bookmarkStart w:id="226" w:name="_Toc471732632"/>
      <w:bookmarkStart w:id="227" w:name="_Toc471732895"/>
      <w:bookmarkStart w:id="228" w:name="_Toc471734072"/>
      <w:r w:rsidRPr="00693B99">
        <w:rPr>
          <w:szCs w:val="22"/>
        </w:rPr>
        <w:t xml:space="preserve">Suspension and Discontinuance </w:t>
      </w:r>
      <w:r w:rsidR="0007238D" w:rsidRPr="00693B99">
        <w:rPr>
          <w:szCs w:val="22"/>
        </w:rPr>
        <w:t>Notice</w:t>
      </w:r>
      <w:r w:rsidRPr="00693B99">
        <w:rPr>
          <w:szCs w:val="22"/>
        </w:rPr>
        <w:t>s</w:t>
      </w:r>
      <w:r w:rsidR="0007238D" w:rsidRPr="00693B99">
        <w:rPr>
          <w:szCs w:val="22"/>
        </w:rPr>
        <w:t xml:space="preserve"> to Commission</w:t>
      </w:r>
      <w:bookmarkEnd w:id="220"/>
      <w:bookmarkEnd w:id="221"/>
      <w:bookmarkEnd w:id="222"/>
      <w:bookmarkEnd w:id="223"/>
      <w:bookmarkEnd w:id="224"/>
      <w:bookmarkEnd w:id="225"/>
      <w:bookmarkEnd w:id="226"/>
      <w:bookmarkEnd w:id="227"/>
      <w:bookmarkEnd w:id="228"/>
      <w:r w:rsidR="0007238D" w:rsidRPr="00693B99">
        <w:rPr>
          <w:szCs w:val="22"/>
        </w:rPr>
        <w:t xml:space="preserve"> </w:t>
      </w:r>
    </w:p>
    <w:p w14:paraId="61A4307A" w14:textId="4AAC32C5" w:rsidR="005736A4" w:rsidRPr="00693B99" w:rsidRDefault="009872C6" w:rsidP="0007238D">
      <w:pPr>
        <w:numPr>
          <w:ilvl w:val="0"/>
          <w:numId w:val="2"/>
        </w:numPr>
        <w:tabs>
          <w:tab w:val="clear" w:pos="1080"/>
          <w:tab w:val="num" w:pos="1440"/>
        </w:tabs>
        <w:spacing w:after="120"/>
        <w:rPr>
          <w:szCs w:val="22"/>
        </w:rPr>
      </w:pPr>
      <w:r w:rsidRPr="00693B99">
        <w:rPr>
          <w:szCs w:val="22"/>
        </w:rPr>
        <w:t>A l</w:t>
      </w:r>
      <w:r w:rsidR="003370DA" w:rsidRPr="00693B99">
        <w:rPr>
          <w:szCs w:val="22"/>
        </w:rPr>
        <w:t xml:space="preserve">icense </w:t>
      </w:r>
      <w:r w:rsidRPr="00693B99">
        <w:rPr>
          <w:szCs w:val="22"/>
        </w:rPr>
        <w:t>relinquishment station</w:t>
      </w:r>
      <w:r w:rsidR="006B3708" w:rsidRPr="00693B99">
        <w:rPr>
          <w:szCs w:val="22"/>
        </w:rPr>
        <w:t xml:space="preserve"> must notify the Commission</w:t>
      </w:r>
      <w:r w:rsidR="00F17E61" w:rsidRPr="00693B99">
        <w:rPr>
          <w:szCs w:val="22"/>
        </w:rPr>
        <w:t xml:space="preserve"> at least two days prior to discon</w:t>
      </w:r>
      <w:r w:rsidRPr="00693B99">
        <w:rPr>
          <w:szCs w:val="22"/>
        </w:rPr>
        <w:t>tinuation of operations on its</w:t>
      </w:r>
      <w:r w:rsidR="00F17E61" w:rsidRPr="00693B99">
        <w:rPr>
          <w:szCs w:val="22"/>
        </w:rPr>
        <w:t xml:space="preserve"> pre-auction channel</w:t>
      </w:r>
      <w:r w:rsidR="006B3708" w:rsidRPr="00693B99">
        <w:rPr>
          <w:szCs w:val="22"/>
        </w:rPr>
        <w:t>.</w:t>
      </w:r>
      <w:r w:rsidR="00966131" w:rsidRPr="00693B99">
        <w:rPr>
          <w:szCs w:val="22"/>
          <w:vertAlign w:val="superscript"/>
        </w:rPr>
        <w:footnoteReference w:id="122"/>
      </w:r>
      <w:r w:rsidR="00966131" w:rsidRPr="00693B99">
        <w:rPr>
          <w:szCs w:val="22"/>
        </w:rPr>
        <w:t xml:space="preserve">  </w:t>
      </w:r>
      <w:r w:rsidR="006B3708" w:rsidRPr="00693B99">
        <w:rPr>
          <w:szCs w:val="22"/>
        </w:rPr>
        <w:t xml:space="preserve">Instructions for filing </w:t>
      </w:r>
      <w:r w:rsidR="0048423D" w:rsidRPr="00693B99">
        <w:rPr>
          <w:szCs w:val="22"/>
        </w:rPr>
        <w:t>a Suspension of Operations Notification</w:t>
      </w:r>
      <w:r w:rsidR="006B3708" w:rsidRPr="00693B99">
        <w:rPr>
          <w:szCs w:val="22"/>
        </w:rPr>
        <w:t xml:space="preserve"> </w:t>
      </w:r>
      <w:r w:rsidR="001F0354" w:rsidRPr="00693B99">
        <w:rPr>
          <w:szCs w:val="22"/>
        </w:rPr>
        <w:t>via LMS</w:t>
      </w:r>
      <w:r w:rsidR="006B3708" w:rsidRPr="00693B99">
        <w:rPr>
          <w:szCs w:val="22"/>
        </w:rPr>
        <w:t xml:space="preserve"> are contained in Appendix A.</w:t>
      </w:r>
      <w:r w:rsidR="005736A4" w:rsidRPr="00693B99">
        <w:rPr>
          <w:szCs w:val="22"/>
        </w:rPr>
        <w:t xml:space="preserve">  </w:t>
      </w:r>
      <w:r w:rsidR="0009405A" w:rsidRPr="00693B99">
        <w:rPr>
          <w:szCs w:val="22"/>
        </w:rPr>
        <w:t>As soon as possible f</w:t>
      </w:r>
      <w:r w:rsidR="0005265A" w:rsidRPr="00693B99">
        <w:rPr>
          <w:szCs w:val="22"/>
        </w:rPr>
        <w:t xml:space="preserve">ollowing the discontinuation of operations on </w:t>
      </w:r>
      <w:r w:rsidR="00E759A0" w:rsidRPr="00693B99">
        <w:rPr>
          <w:szCs w:val="22"/>
        </w:rPr>
        <w:t>its</w:t>
      </w:r>
      <w:r w:rsidR="00026FF2" w:rsidRPr="00693B99">
        <w:rPr>
          <w:szCs w:val="22"/>
        </w:rPr>
        <w:t xml:space="preserve"> </w:t>
      </w:r>
      <w:r w:rsidR="0005265A" w:rsidRPr="00693B99">
        <w:rPr>
          <w:szCs w:val="22"/>
        </w:rPr>
        <w:t xml:space="preserve">pre-auction channel, </w:t>
      </w:r>
      <w:r w:rsidRPr="00693B99">
        <w:rPr>
          <w:szCs w:val="22"/>
        </w:rPr>
        <w:t>a license relinquishment station</w:t>
      </w:r>
      <w:r w:rsidR="0005265A" w:rsidRPr="00693B99">
        <w:rPr>
          <w:szCs w:val="22"/>
        </w:rPr>
        <w:t xml:space="preserve"> must also submit a </w:t>
      </w:r>
      <w:r w:rsidR="0048423D" w:rsidRPr="00693B99">
        <w:rPr>
          <w:szCs w:val="22"/>
        </w:rPr>
        <w:t>Reque</w:t>
      </w:r>
      <w:r w:rsidR="008E5356" w:rsidRPr="00693B99">
        <w:rPr>
          <w:szCs w:val="22"/>
        </w:rPr>
        <w:t>st to Cancel License via LMS</w:t>
      </w:r>
      <w:r w:rsidR="00135205" w:rsidRPr="00693B99">
        <w:rPr>
          <w:szCs w:val="22"/>
        </w:rPr>
        <w:t>,</w:t>
      </w:r>
      <w:r w:rsidR="008E5356" w:rsidRPr="00693B99">
        <w:rPr>
          <w:szCs w:val="22"/>
        </w:rPr>
        <w:t xml:space="preserve"> as outlined in </w:t>
      </w:r>
      <w:r w:rsidR="0005265A" w:rsidRPr="00693B99">
        <w:rPr>
          <w:szCs w:val="22"/>
        </w:rPr>
        <w:t>Appendix A</w:t>
      </w:r>
      <w:r w:rsidR="00135205" w:rsidRPr="00693B99">
        <w:rPr>
          <w:szCs w:val="22"/>
        </w:rPr>
        <w:t>,</w:t>
      </w:r>
      <w:r w:rsidR="0005265A" w:rsidRPr="00693B99">
        <w:rPr>
          <w:szCs w:val="22"/>
        </w:rPr>
        <w:t xml:space="preserve"> </w:t>
      </w:r>
      <w:r w:rsidR="00DE2419" w:rsidRPr="00693B99">
        <w:rPr>
          <w:szCs w:val="22"/>
        </w:rPr>
        <w:t>which</w:t>
      </w:r>
      <w:r w:rsidR="0005265A" w:rsidRPr="00693B99">
        <w:rPr>
          <w:szCs w:val="22"/>
        </w:rPr>
        <w:t xml:space="preserve"> will serve as the station’s request for cancellation of its pre-auction channel license.</w:t>
      </w:r>
      <w:r w:rsidR="00AD4582" w:rsidRPr="00693B99">
        <w:rPr>
          <w:szCs w:val="22"/>
        </w:rPr>
        <w:t xml:space="preserve"> </w:t>
      </w:r>
      <w:r w:rsidR="0020316D" w:rsidRPr="00693B99">
        <w:rPr>
          <w:szCs w:val="22"/>
        </w:rPr>
        <w:t xml:space="preserve"> </w:t>
      </w:r>
      <w:r w:rsidR="00DE2419" w:rsidRPr="00693B99">
        <w:rPr>
          <w:szCs w:val="22"/>
        </w:rPr>
        <w:t xml:space="preserve">Both </w:t>
      </w:r>
      <w:r w:rsidR="0005265A" w:rsidRPr="00693B99">
        <w:rPr>
          <w:szCs w:val="22"/>
        </w:rPr>
        <w:t>notification</w:t>
      </w:r>
      <w:r w:rsidR="00DE2419" w:rsidRPr="00693B99">
        <w:rPr>
          <w:szCs w:val="22"/>
        </w:rPr>
        <w:t>s</w:t>
      </w:r>
      <w:r w:rsidR="0005265A" w:rsidRPr="00693B99">
        <w:rPr>
          <w:szCs w:val="22"/>
        </w:rPr>
        <w:t xml:space="preserve"> should be e-mailed to:  </w:t>
      </w:r>
      <w:r w:rsidR="004342C3" w:rsidRPr="00693B99">
        <w:rPr>
          <w:szCs w:val="22"/>
          <w:u w:val="single"/>
        </w:rPr>
        <w:t>IATransitionlicensing@fcc.gov</w:t>
      </w:r>
      <w:r w:rsidR="0005265A" w:rsidRPr="00693B99">
        <w:rPr>
          <w:szCs w:val="22"/>
        </w:rPr>
        <w:t>.</w:t>
      </w:r>
      <w:r w:rsidR="00DE2419" w:rsidRPr="00693B99">
        <w:rPr>
          <w:szCs w:val="22"/>
        </w:rPr>
        <w:t xml:space="preserve"> There is no fee for these two filings.  </w:t>
      </w:r>
    </w:p>
    <w:p w14:paraId="72E4A39D" w14:textId="77777777" w:rsidR="00BB0542" w:rsidRPr="00693B99" w:rsidRDefault="00531A22" w:rsidP="001C7D45">
      <w:pPr>
        <w:pStyle w:val="Heading3"/>
        <w:ind w:hanging="1440"/>
        <w:rPr>
          <w:szCs w:val="22"/>
        </w:rPr>
      </w:pPr>
      <w:bookmarkStart w:id="229" w:name="_Toc466014541"/>
      <w:bookmarkStart w:id="230" w:name="_Toc466019482"/>
      <w:bookmarkStart w:id="231" w:name="_Toc468178168"/>
      <w:bookmarkStart w:id="232" w:name="_Toc471732189"/>
      <w:bookmarkStart w:id="233" w:name="_Toc471732265"/>
      <w:bookmarkStart w:id="234" w:name="_Toc471732560"/>
      <w:bookmarkStart w:id="235" w:name="_Toc471732633"/>
      <w:bookmarkStart w:id="236" w:name="_Toc471732896"/>
      <w:bookmarkStart w:id="237" w:name="_Toc471734073"/>
      <w:r w:rsidRPr="00693B99">
        <w:rPr>
          <w:szCs w:val="22"/>
        </w:rPr>
        <w:t>Notice to Viewers</w:t>
      </w:r>
      <w:bookmarkEnd w:id="229"/>
      <w:bookmarkEnd w:id="230"/>
      <w:bookmarkEnd w:id="231"/>
      <w:bookmarkEnd w:id="232"/>
      <w:bookmarkEnd w:id="233"/>
      <w:bookmarkEnd w:id="234"/>
      <w:bookmarkEnd w:id="235"/>
      <w:bookmarkEnd w:id="236"/>
      <w:bookmarkEnd w:id="237"/>
    </w:p>
    <w:p w14:paraId="4865C26F" w14:textId="77777777" w:rsidR="00DE15A7" w:rsidRPr="00693B99" w:rsidRDefault="005F7F66" w:rsidP="00DE15A7">
      <w:pPr>
        <w:numPr>
          <w:ilvl w:val="0"/>
          <w:numId w:val="2"/>
        </w:numPr>
        <w:tabs>
          <w:tab w:val="clear" w:pos="1080"/>
          <w:tab w:val="num" w:pos="1440"/>
        </w:tabs>
        <w:spacing w:after="120"/>
        <w:rPr>
          <w:szCs w:val="22"/>
        </w:rPr>
      </w:pPr>
      <w:r w:rsidRPr="00693B99">
        <w:rPr>
          <w:szCs w:val="22"/>
        </w:rPr>
        <w:t>Prior to termination of operations, r</w:t>
      </w:r>
      <w:r w:rsidR="006B3708" w:rsidRPr="00693B99">
        <w:rPr>
          <w:szCs w:val="22"/>
        </w:rPr>
        <w:t xml:space="preserve">elinquishment stations must air notifications </w:t>
      </w:r>
      <w:r w:rsidRPr="00693B99">
        <w:rPr>
          <w:szCs w:val="22"/>
        </w:rPr>
        <w:t xml:space="preserve">to </w:t>
      </w:r>
      <w:r w:rsidR="006B3708" w:rsidRPr="00693B99">
        <w:rPr>
          <w:szCs w:val="22"/>
        </w:rPr>
        <w:t>alert their viewers</w:t>
      </w:r>
      <w:r w:rsidRPr="00693B99">
        <w:rPr>
          <w:szCs w:val="22"/>
        </w:rPr>
        <w:t xml:space="preserve"> that they will discontinue service</w:t>
      </w:r>
      <w:r w:rsidR="00E52378" w:rsidRPr="00693B99">
        <w:rPr>
          <w:szCs w:val="22"/>
        </w:rPr>
        <w:t>.</w:t>
      </w:r>
      <w:r w:rsidR="003D5F13" w:rsidRPr="00693B99">
        <w:rPr>
          <w:rStyle w:val="FootnoteReference"/>
        </w:rPr>
        <w:footnoteReference w:id="123"/>
      </w:r>
      <w:r w:rsidR="00E52378" w:rsidRPr="00693B99">
        <w:rPr>
          <w:szCs w:val="22"/>
        </w:rPr>
        <w:t xml:space="preserve">  </w:t>
      </w:r>
      <w:r w:rsidR="00DE15A7" w:rsidRPr="00693B99">
        <w:rPr>
          <w:szCs w:val="22"/>
        </w:rPr>
        <w:t>Stations that operate on a commercial basis will be required to air a mix of PSAs and crawls.</w:t>
      </w:r>
      <w:r w:rsidR="00DE15A7" w:rsidRPr="00693B99">
        <w:rPr>
          <w:szCs w:val="22"/>
          <w:vertAlign w:val="superscript"/>
        </w:rPr>
        <w:footnoteReference w:id="124"/>
      </w:r>
      <w:r w:rsidR="00DE15A7" w:rsidRPr="00693B99">
        <w:rPr>
          <w:szCs w:val="22"/>
        </w:rPr>
        <w:t xml:space="preserve"> </w:t>
      </w:r>
      <w:r w:rsidR="00E96C88" w:rsidRPr="00693B99">
        <w:rPr>
          <w:szCs w:val="22"/>
        </w:rPr>
        <w:t xml:space="preserve"> </w:t>
      </w:r>
      <w:r w:rsidR="00DE15A7" w:rsidRPr="00693B99">
        <w:rPr>
          <w:szCs w:val="22"/>
        </w:rPr>
        <w:t xml:space="preserve">Such stations must air at least one transition PSA and run at least one transition crawl in every quarter of every day for 30 days prior to the date </w:t>
      </w:r>
      <w:r w:rsidR="00FB1FF8" w:rsidRPr="00693B99">
        <w:rPr>
          <w:szCs w:val="22"/>
        </w:rPr>
        <w:t xml:space="preserve">on which </w:t>
      </w:r>
      <w:r w:rsidR="00DE15A7" w:rsidRPr="00693B99">
        <w:rPr>
          <w:szCs w:val="22"/>
        </w:rPr>
        <w:t>the station terminates operations on its pre-auction channel.</w:t>
      </w:r>
      <w:r w:rsidR="00DE15A7" w:rsidRPr="00693B99">
        <w:rPr>
          <w:szCs w:val="22"/>
          <w:vertAlign w:val="superscript"/>
        </w:rPr>
        <w:footnoteReference w:id="125"/>
      </w:r>
      <w:r w:rsidR="00DE15A7" w:rsidRPr="00693B99">
        <w:rPr>
          <w:szCs w:val="22"/>
        </w:rPr>
        <w:t xml:space="preserve"> </w:t>
      </w:r>
      <w:r w:rsidR="008A2981" w:rsidRPr="00693B99">
        <w:rPr>
          <w:szCs w:val="22"/>
        </w:rPr>
        <w:t xml:space="preserve"> </w:t>
      </w:r>
      <w:r w:rsidRPr="00693B99">
        <w:rPr>
          <w:szCs w:val="22"/>
        </w:rPr>
        <w:t>O</w:t>
      </w:r>
      <w:r w:rsidR="00DE15A7" w:rsidRPr="00693B99">
        <w:rPr>
          <w:szCs w:val="22"/>
        </w:rPr>
        <w:t>ne of the required PSAs and one of the required crawls must be run during primetime hours each day.</w:t>
      </w:r>
      <w:r w:rsidR="00DE15A7" w:rsidRPr="00693B99">
        <w:rPr>
          <w:szCs w:val="22"/>
          <w:vertAlign w:val="superscript"/>
        </w:rPr>
        <w:footnoteReference w:id="126"/>
      </w:r>
      <w:r w:rsidR="00DE15A7" w:rsidRPr="00693B99">
        <w:rPr>
          <w:szCs w:val="22"/>
        </w:rPr>
        <w:t xml:space="preserve"> </w:t>
      </w:r>
      <w:r w:rsidR="008A2981" w:rsidRPr="00693B99">
        <w:rPr>
          <w:szCs w:val="22"/>
        </w:rPr>
        <w:t xml:space="preserve"> </w:t>
      </w:r>
      <w:r w:rsidR="00DE15A7" w:rsidRPr="00693B99">
        <w:rPr>
          <w:szCs w:val="22"/>
        </w:rPr>
        <w:t>Crawls must run during programming for no less than 60 consecutive seconds across the bottom or top of the viewing area and be provided in the same language as a majority of the program</w:t>
      </w:r>
      <w:r w:rsidR="00FB1FF8" w:rsidRPr="00693B99">
        <w:rPr>
          <w:szCs w:val="22"/>
        </w:rPr>
        <w:t>ming</w:t>
      </w:r>
      <w:r w:rsidR="00DE15A7" w:rsidRPr="00693B99">
        <w:rPr>
          <w:szCs w:val="22"/>
        </w:rPr>
        <w:t xml:space="preserve"> carried by the station.</w:t>
      </w:r>
      <w:r w:rsidR="000C42C7" w:rsidRPr="00693B99">
        <w:rPr>
          <w:rStyle w:val="FootnoteReference"/>
        </w:rPr>
        <w:footnoteReference w:id="127"/>
      </w:r>
      <w:r w:rsidR="00DE15A7" w:rsidRPr="00693B99">
        <w:rPr>
          <w:szCs w:val="22"/>
        </w:rPr>
        <w:t xml:space="preserve"> </w:t>
      </w:r>
      <w:r w:rsidR="008A2981" w:rsidRPr="00693B99">
        <w:rPr>
          <w:szCs w:val="22"/>
        </w:rPr>
        <w:t xml:space="preserve"> </w:t>
      </w:r>
      <w:r w:rsidR="00DE15A7" w:rsidRPr="00693B99">
        <w:rPr>
          <w:szCs w:val="22"/>
        </w:rPr>
        <w:t xml:space="preserve">Although stations have the </w:t>
      </w:r>
      <w:r w:rsidRPr="00693B99">
        <w:rPr>
          <w:szCs w:val="22"/>
        </w:rPr>
        <w:t xml:space="preserve">flexibility </w:t>
      </w:r>
      <w:r w:rsidR="00DE15A7" w:rsidRPr="00693B99">
        <w:rPr>
          <w:szCs w:val="22"/>
        </w:rPr>
        <w:t xml:space="preserve">to design the text of their crawls, they must include the date </w:t>
      </w:r>
      <w:r w:rsidR="00FB1FF8" w:rsidRPr="00693B99">
        <w:rPr>
          <w:szCs w:val="22"/>
        </w:rPr>
        <w:t xml:space="preserve">on which </w:t>
      </w:r>
      <w:r w:rsidR="00DE15A7" w:rsidRPr="00693B99">
        <w:rPr>
          <w:szCs w:val="22"/>
        </w:rPr>
        <w:t>the station will terminate operations on its pre-auction channel, and explain how viewers may obtain more information by telephone or online.</w:t>
      </w:r>
      <w:r w:rsidR="00DE15A7" w:rsidRPr="00693B99">
        <w:rPr>
          <w:szCs w:val="22"/>
          <w:vertAlign w:val="superscript"/>
        </w:rPr>
        <w:footnoteReference w:id="128"/>
      </w:r>
      <w:r w:rsidR="00DE15A7" w:rsidRPr="00693B99">
        <w:rPr>
          <w:szCs w:val="22"/>
        </w:rPr>
        <w:t xml:space="preserve"> </w:t>
      </w:r>
      <w:r w:rsidR="008A2981" w:rsidRPr="00693B99">
        <w:rPr>
          <w:szCs w:val="22"/>
        </w:rPr>
        <w:t xml:space="preserve"> </w:t>
      </w:r>
      <w:r w:rsidR="00DE15A7" w:rsidRPr="00693B99">
        <w:rPr>
          <w:szCs w:val="22"/>
        </w:rPr>
        <w:t xml:space="preserve">PSAs must have a duration of at least 15 seconds, </w:t>
      </w:r>
      <w:r w:rsidR="008A4171" w:rsidRPr="00693B99">
        <w:rPr>
          <w:szCs w:val="22"/>
        </w:rPr>
        <w:t>be provided in the same language as a majority of the programs carried by the station and pr</w:t>
      </w:r>
      <w:r w:rsidR="00DE15A7" w:rsidRPr="00693B99">
        <w:rPr>
          <w:szCs w:val="22"/>
        </w:rPr>
        <w:t>ovide, at a minimum, the same information as required for crawls.</w:t>
      </w:r>
      <w:r w:rsidR="008A4171" w:rsidRPr="00693B99">
        <w:rPr>
          <w:rStyle w:val="FootnoteReference"/>
        </w:rPr>
        <w:footnoteReference w:id="129"/>
      </w:r>
      <w:r w:rsidR="00DE15A7" w:rsidRPr="00693B99">
        <w:rPr>
          <w:szCs w:val="22"/>
        </w:rPr>
        <w:t xml:space="preserve"> </w:t>
      </w:r>
      <w:r w:rsidR="008A2981" w:rsidRPr="00693B99">
        <w:rPr>
          <w:szCs w:val="22"/>
        </w:rPr>
        <w:t xml:space="preserve"> </w:t>
      </w:r>
      <w:r w:rsidR="00DE15A7" w:rsidRPr="00693B99">
        <w:rPr>
          <w:szCs w:val="22"/>
        </w:rPr>
        <w:t>In addition, transition PSAs must be closed-captioned.</w:t>
      </w:r>
      <w:r w:rsidR="00DE15A7" w:rsidRPr="00693B99">
        <w:rPr>
          <w:szCs w:val="22"/>
          <w:vertAlign w:val="superscript"/>
        </w:rPr>
        <w:footnoteReference w:id="130"/>
      </w:r>
      <w:r w:rsidR="008A2981" w:rsidRPr="00693B99">
        <w:rPr>
          <w:szCs w:val="22"/>
        </w:rPr>
        <w:t xml:space="preserve"> </w:t>
      </w:r>
      <w:r w:rsidR="00FB1FF8" w:rsidRPr="00693B99">
        <w:rPr>
          <w:szCs w:val="22"/>
        </w:rPr>
        <w:t xml:space="preserve"> </w:t>
      </w:r>
      <w:r w:rsidR="00DE15A7" w:rsidRPr="00693B99">
        <w:rPr>
          <w:szCs w:val="22"/>
        </w:rPr>
        <w:t xml:space="preserve">Stations are encouraged to include any other details about their </w:t>
      </w:r>
      <w:r w:rsidR="00974B5A" w:rsidRPr="00693B99">
        <w:rPr>
          <w:szCs w:val="22"/>
        </w:rPr>
        <w:t>discontinuation of operations</w:t>
      </w:r>
      <w:r w:rsidR="00DE15A7" w:rsidRPr="00693B99">
        <w:rPr>
          <w:szCs w:val="22"/>
        </w:rPr>
        <w:t xml:space="preserve"> that they believe to be important in their notifications, and stations </w:t>
      </w:r>
      <w:r w:rsidR="009872C6" w:rsidRPr="00693B99">
        <w:rPr>
          <w:szCs w:val="22"/>
        </w:rPr>
        <w:t>may</w:t>
      </w:r>
      <w:r w:rsidR="00DE15A7" w:rsidRPr="00693B99">
        <w:rPr>
          <w:szCs w:val="22"/>
        </w:rPr>
        <w:t xml:space="preserve"> air additio</w:t>
      </w:r>
      <w:r w:rsidR="00974B5A" w:rsidRPr="00693B99">
        <w:rPr>
          <w:szCs w:val="22"/>
        </w:rPr>
        <w:t>nal notifications</w:t>
      </w:r>
      <w:r w:rsidR="00DE15A7" w:rsidRPr="00693B99">
        <w:rPr>
          <w:szCs w:val="22"/>
        </w:rPr>
        <w:t xml:space="preserve"> that they deem beneficial to their viewers.</w:t>
      </w:r>
      <w:r w:rsidR="00DE15A7" w:rsidRPr="00693B99">
        <w:rPr>
          <w:szCs w:val="22"/>
          <w:vertAlign w:val="superscript"/>
        </w:rPr>
        <w:footnoteReference w:id="131"/>
      </w:r>
    </w:p>
    <w:p w14:paraId="02E0F4AB" w14:textId="77777777" w:rsidR="00DE15A7" w:rsidRPr="00693B99" w:rsidRDefault="00DE15A7" w:rsidP="00DE15A7">
      <w:pPr>
        <w:numPr>
          <w:ilvl w:val="0"/>
          <w:numId w:val="2"/>
        </w:numPr>
        <w:tabs>
          <w:tab w:val="clear" w:pos="1080"/>
          <w:tab w:val="num" w:pos="1440"/>
        </w:tabs>
        <w:spacing w:after="120"/>
        <w:rPr>
          <w:szCs w:val="22"/>
        </w:rPr>
      </w:pPr>
      <w:r w:rsidRPr="00693B99">
        <w:rPr>
          <w:szCs w:val="22"/>
        </w:rPr>
        <w:t xml:space="preserve">Noncommercial educational (NCE) </w:t>
      </w:r>
      <w:r w:rsidR="008A4171" w:rsidRPr="00693B99">
        <w:rPr>
          <w:szCs w:val="22"/>
        </w:rPr>
        <w:t>full power television license relinquishment stations may</w:t>
      </w:r>
      <w:r w:rsidRPr="00693B99">
        <w:rPr>
          <w:szCs w:val="22"/>
        </w:rPr>
        <w:t xml:space="preserve"> choose to comply with notification requirements either through the framework set forth </w:t>
      </w:r>
      <w:r w:rsidR="008A4171" w:rsidRPr="00693B99">
        <w:rPr>
          <w:szCs w:val="22"/>
        </w:rPr>
        <w:t xml:space="preserve">in the preceding paragraph </w:t>
      </w:r>
      <w:r w:rsidRPr="00693B99">
        <w:rPr>
          <w:szCs w:val="22"/>
        </w:rPr>
        <w:t xml:space="preserve">or by airing 60 seconds of on-air consumer education PSAs </w:t>
      </w:r>
      <w:r w:rsidR="005F7F66" w:rsidRPr="00693B99">
        <w:rPr>
          <w:szCs w:val="22"/>
        </w:rPr>
        <w:t xml:space="preserve">each day </w:t>
      </w:r>
      <w:r w:rsidRPr="00693B99">
        <w:rPr>
          <w:szCs w:val="22"/>
        </w:rPr>
        <w:t>for 30 days prior to termination of operations on their pre-auction channel.</w:t>
      </w:r>
      <w:r w:rsidRPr="00693B99">
        <w:rPr>
          <w:szCs w:val="22"/>
          <w:vertAlign w:val="superscript"/>
        </w:rPr>
        <w:footnoteReference w:id="132"/>
      </w:r>
      <w:r w:rsidRPr="00693B99">
        <w:rPr>
          <w:szCs w:val="22"/>
        </w:rPr>
        <w:t xml:space="preserve"> </w:t>
      </w:r>
      <w:r w:rsidR="008A2981" w:rsidRPr="00693B99">
        <w:rPr>
          <w:szCs w:val="22"/>
        </w:rPr>
        <w:t xml:space="preserve"> </w:t>
      </w:r>
      <w:r w:rsidRPr="00693B99">
        <w:rPr>
          <w:szCs w:val="22"/>
        </w:rPr>
        <w:t>NCE stations choosing the alternate plan will have the discretion to choose the timeslots for these PSAs.</w:t>
      </w:r>
      <w:r w:rsidR="000C42C7" w:rsidRPr="00693B99">
        <w:rPr>
          <w:rStyle w:val="FootnoteReference"/>
        </w:rPr>
        <w:footnoteReference w:id="133"/>
      </w:r>
      <w:r w:rsidR="008A2981" w:rsidRPr="00693B99">
        <w:rPr>
          <w:szCs w:val="22"/>
        </w:rPr>
        <w:t xml:space="preserve"> </w:t>
      </w:r>
      <w:r w:rsidR="00135205" w:rsidRPr="00693B99">
        <w:rPr>
          <w:szCs w:val="22"/>
        </w:rPr>
        <w:t xml:space="preserve"> </w:t>
      </w:r>
      <w:r w:rsidRPr="00693B99">
        <w:rPr>
          <w:szCs w:val="22"/>
        </w:rPr>
        <w:t>The NCE transition PSAs must include the same information as noted above for commercial stations and must be closed-captioned.</w:t>
      </w:r>
      <w:r w:rsidRPr="00693B99">
        <w:rPr>
          <w:szCs w:val="22"/>
          <w:vertAlign w:val="superscript"/>
        </w:rPr>
        <w:footnoteReference w:id="134"/>
      </w:r>
    </w:p>
    <w:p w14:paraId="0B16FD85" w14:textId="77777777" w:rsidR="0007238D" w:rsidRPr="00693B99" w:rsidRDefault="00FB1FF8" w:rsidP="00411282">
      <w:pPr>
        <w:numPr>
          <w:ilvl w:val="0"/>
          <w:numId w:val="2"/>
        </w:numPr>
        <w:tabs>
          <w:tab w:val="clear" w:pos="1080"/>
          <w:tab w:val="num" w:pos="1440"/>
        </w:tabs>
        <w:spacing w:after="120"/>
        <w:rPr>
          <w:szCs w:val="22"/>
        </w:rPr>
      </w:pPr>
      <w:r w:rsidRPr="00693B99">
        <w:rPr>
          <w:szCs w:val="22"/>
        </w:rPr>
        <w:t xml:space="preserve">A </w:t>
      </w:r>
      <w:r w:rsidR="00156FE1" w:rsidRPr="00693B99">
        <w:rPr>
          <w:szCs w:val="22"/>
        </w:rPr>
        <w:t xml:space="preserve">license relinquishment station must include </w:t>
      </w:r>
      <w:r w:rsidR="00F26F12" w:rsidRPr="00693B99">
        <w:rPr>
          <w:szCs w:val="22"/>
        </w:rPr>
        <w:t xml:space="preserve">a </w:t>
      </w:r>
      <w:r w:rsidR="00E52378" w:rsidRPr="00693B99">
        <w:rPr>
          <w:szCs w:val="22"/>
        </w:rPr>
        <w:t xml:space="preserve">certification </w:t>
      </w:r>
      <w:r w:rsidR="00F26F12" w:rsidRPr="00693B99">
        <w:rPr>
          <w:szCs w:val="22"/>
        </w:rPr>
        <w:t xml:space="preserve">of compliance with the notice requirements </w:t>
      </w:r>
      <w:r w:rsidR="006B3708" w:rsidRPr="00693B99">
        <w:rPr>
          <w:szCs w:val="22"/>
        </w:rPr>
        <w:t xml:space="preserve">in </w:t>
      </w:r>
      <w:r w:rsidRPr="00693B99">
        <w:rPr>
          <w:szCs w:val="22"/>
        </w:rPr>
        <w:t xml:space="preserve">its </w:t>
      </w:r>
      <w:r w:rsidR="00FB146C" w:rsidRPr="00693B99">
        <w:rPr>
          <w:szCs w:val="22"/>
        </w:rPr>
        <w:t>Suspension of Operation</w:t>
      </w:r>
      <w:r w:rsidR="00B036F5" w:rsidRPr="00693B99">
        <w:rPr>
          <w:szCs w:val="22"/>
        </w:rPr>
        <w:t>s</w:t>
      </w:r>
      <w:r w:rsidR="00FB146C" w:rsidRPr="00693B99">
        <w:rPr>
          <w:szCs w:val="22"/>
        </w:rPr>
        <w:t xml:space="preserve"> Notification outlined</w:t>
      </w:r>
      <w:r w:rsidR="000B3FB1" w:rsidRPr="00693B99">
        <w:rPr>
          <w:szCs w:val="22"/>
        </w:rPr>
        <w:t xml:space="preserve"> in Section IV</w:t>
      </w:r>
      <w:r w:rsidR="00B036F5" w:rsidRPr="00693B99">
        <w:rPr>
          <w:szCs w:val="22"/>
        </w:rPr>
        <w:t>.B.2</w:t>
      </w:r>
      <w:r w:rsidR="006B3708" w:rsidRPr="00693B99">
        <w:rPr>
          <w:szCs w:val="22"/>
        </w:rPr>
        <w:t>.</w:t>
      </w:r>
      <w:r w:rsidR="006B3708" w:rsidRPr="00693B99">
        <w:rPr>
          <w:szCs w:val="22"/>
          <w:vertAlign w:val="superscript"/>
        </w:rPr>
        <w:footnoteReference w:id="135"/>
      </w:r>
    </w:p>
    <w:p w14:paraId="0C08900B" w14:textId="77777777" w:rsidR="0007238D" w:rsidRPr="00693B99" w:rsidRDefault="0007238D" w:rsidP="001C7D45">
      <w:pPr>
        <w:pStyle w:val="Heading3"/>
        <w:ind w:hanging="1440"/>
        <w:rPr>
          <w:szCs w:val="22"/>
        </w:rPr>
      </w:pPr>
      <w:bookmarkStart w:id="238" w:name="_Toc466014542"/>
      <w:bookmarkStart w:id="239" w:name="_Toc466019483"/>
      <w:bookmarkStart w:id="240" w:name="_Toc468178169"/>
      <w:bookmarkStart w:id="241" w:name="_Toc471732190"/>
      <w:bookmarkStart w:id="242" w:name="_Toc471732266"/>
      <w:bookmarkStart w:id="243" w:name="_Toc471732561"/>
      <w:bookmarkStart w:id="244" w:name="_Toc471732634"/>
      <w:bookmarkStart w:id="245" w:name="_Toc471732897"/>
      <w:bookmarkStart w:id="246" w:name="_Toc471734074"/>
      <w:r w:rsidRPr="00693B99">
        <w:rPr>
          <w:szCs w:val="22"/>
        </w:rPr>
        <w:t>Notice to MVPDs</w:t>
      </w:r>
      <w:bookmarkEnd w:id="238"/>
      <w:bookmarkEnd w:id="239"/>
      <w:bookmarkEnd w:id="240"/>
      <w:bookmarkEnd w:id="241"/>
      <w:bookmarkEnd w:id="242"/>
      <w:bookmarkEnd w:id="243"/>
      <w:bookmarkEnd w:id="244"/>
      <w:bookmarkEnd w:id="245"/>
      <w:bookmarkEnd w:id="246"/>
    </w:p>
    <w:p w14:paraId="3F8AAD5C" w14:textId="77777777" w:rsidR="00DA3400" w:rsidRPr="00693B99" w:rsidRDefault="00FB1FF8" w:rsidP="00DA3400">
      <w:pPr>
        <w:numPr>
          <w:ilvl w:val="0"/>
          <w:numId w:val="2"/>
        </w:numPr>
        <w:tabs>
          <w:tab w:val="clear" w:pos="1080"/>
          <w:tab w:val="num" w:pos="1440"/>
        </w:tabs>
        <w:spacing w:after="120"/>
        <w:rPr>
          <w:szCs w:val="22"/>
        </w:rPr>
      </w:pPr>
      <w:r w:rsidRPr="00693B99">
        <w:rPr>
          <w:szCs w:val="22"/>
        </w:rPr>
        <w:t xml:space="preserve">A </w:t>
      </w:r>
      <w:r w:rsidR="003050BF" w:rsidRPr="00693B99">
        <w:rPr>
          <w:szCs w:val="22"/>
        </w:rPr>
        <w:t xml:space="preserve">license </w:t>
      </w:r>
      <w:r w:rsidRPr="00693B99">
        <w:rPr>
          <w:szCs w:val="22"/>
        </w:rPr>
        <w:t>r</w:t>
      </w:r>
      <w:r w:rsidR="00531A22" w:rsidRPr="00693B99">
        <w:rPr>
          <w:szCs w:val="22"/>
        </w:rPr>
        <w:t xml:space="preserve">elinquishment station must provide notice to </w:t>
      </w:r>
      <w:r w:rsidR="005F7F66" w:rsidRPr="00693B99">
        <w:rPr>
          <w:szCs w:val="22"/>
        </w:rPr>
        <w:t xml:space="preserve">each affected </w:t>
      </w:r>
      <w:r w:rsidR="00531A22" w:rsidRPr="00693B99">
        <w:rPr>
          <w:szCs w:val="22"/>
        </w:rPr>
        <w:t>MVPD that the MVPD will no longer be required to carry the station because it will cease ope</w:t>
      </w:r>
      <w:r w:rsidR="00931174" w:rsidRPr="00693B99">
        <w:rPr>
          <w:szCs w:val="22"/>
        </w:rPr>
        <w:t>rations</w:t>
      </w:r>
      <w:r w:rsidR="00531A22" w:rsidRPr="00693B99">
        <w:rPr>
          <w:szCs w:val="22"/>
        </w:rPr>
        <w:t>.</w:t>
      </w:r>
      <w:r w:rsidR="00531A22" w:rsidRPr="00693B99">
        <w:rPr>
          <w:szCs w:val="22"/>
          <w:vertAlign w:val="superscript"/>
        </w:rPr>
        <w:footnoteReference w:id="136"/>
      </w:r>
      <w:r w:rsidR="00531A22" w:rsidRPr="00693B99">
        <w:rPr>
          <w:szCs w:val="22"/>
        </w:rPr>
        <w:t xml:space="preserve">  The required notice must be provided in the form of a letter and </w:t>
      </w:r>
      <w:r w:rsidR="005C78B8" w:rsidRPr="00693B99">
        <w:rPr>
          <w:szCs w:val="22"/>
        </w:rPr>
        <w:t xml:space="preserve">must </w:t>
      </w:r>
      <w:r w:rsidR="00531A22" w:rsidRPr="00693B99">
        <w:rPr>
          <w:szCs w:val="22"/>
        </w:rPr>
        <w:t xml:space="preserve">include the date and time of </w:t>
      </w:r>
      <w:r w:rsidR="005B0987" w:rsidRPr="00693B99">
        <w:rPr>
          <w:szCs w:val="22"/>
        </w:rPr>
        <w:t>the planned termination of operations.</w:t>
      </w:r>
      <w:r w:rsidR="00897BCE" w:rsidRPr="00693B99">
        <w:rPr>
          <w:rStyle w:val="FootnoteReference"/>
        </w:rPr>
        <w:footnoteReference w:id="137"/>
      </w:r>
      <w:r w:rsidR="005B0987" w:rsidRPr="00693B99">
        <w:rPr>
          <w:szCs w:val="22"/>
        </w:rPr>
        <w:t xml:space="preserve">  </w:t>
      </w:r>
      <w:r w:rsidR="00531A22" w:rsidRPr="00693B99">
        <w:rPr>
          <w:szCs w:val="22"/>
        </w:rPr>
        <w:t>For cable systems, the letter must be addressed to the system’s official address of record provided in the cable system’s most recent filing in the</w:t>
      </w:r>
      <w:r w:rsidR="00717278" w:rsidRPr="00693B99">
        <w:rPr>
          <w:szCs w:val="22"/>
        </w:rPr>
        <w:t xml:space="preserve"> </w:t>
      </w:r>
      <w:r w:rsidR="00531A22" w:rsidRPr="00693B99">
        <w:rPr>
          <w:szCs w:val="22"/>
        </w:rPr>
        <w:t>COALS Form 322.</w:t>
      </w:r>
      <w:r w:rsidR="00897BCE" w:rsidRPr="00693B99">
        <w:rPr>
          <w:rStyle w:val="FootnoteReference"/>
        </w:rPr>
        <w:footnoteReference w:id="138"/>
      </w:r>
      <w:r w:rsidR="00531A22" w:rsidRPr="00693B99">
        <w:rPr>
          <w:szCs w:val="22"/>
        </w:rPr>
        <w:t xml:space="preserve"> </w:t>
      </w:r>
      <w:r w:rsidR="005C78B8" w:rsidRPr="00693B99">
        <w:rPr>
          <w:szCs w:val="22"/>
        </w:rPr>
        <w:t xml:space="preserve"> </w:t>
      </w:r>
      <w:r w:rsidR="00531A22" w:rsidRPr="00693B99">
        <w:rPr>
          <w:szCs w:val="22"/>
        </w:rPr>
        <w:t>For all other MVPDs, the letter must be addressed to the official corporate address registered with the</w:t>
      </w:r>
      <w:r w:rsidR="005C78B8" w:rsidRPr="00693B99">
        <w:rPr>
          <w:szCs w:val="22"/>
        </w:rPr>
        <w:t xml:space="preserve"> MVPD’s</w:t>
      </w:r>
      <w:r w:rsidR="00531A22" w:rsidRPr="00693B99">
        <w:rPr>
          <w:szCs w:val="22"/>
        </w:rPr>
        <w:t xml:space="preserve"> </w:t>
      </w:r>
      <w:r w:rsidR="005C78B8" w:rsidRPr="00693B99">
        <w:rPr>
          <w:szCs w:val="22"/>
        </w:rPr>
        <w:t>s</w:t>
      </w:r>
      <w:r w:rsidR="00531A22" w:rsidRPr="00693B99">
        <w:rPr>
          <w:szCs w:val="22"/>
        </w:rPr>
        <w:t>tate of incorporation.</w:t>
      </w:r>
      <w:r w:rsidR="00531A22" w:rsidRPr="00693B99">
        <w:rPr>
          <w:szCs w:val="22"/>
          <w:vertAlign w:val="superscript"/>
        </w:rPr>
        <w:footnoteReference w:id="139"/>
      </w:r>
      <w:r w:rsidR="00531A22" w:rsidRPr="00693B99">
        <w:rPr>
          <w:szCs w:val="22"/>
        </w:rPr>
        <w:t xml:space="preserve">  The notification must be sent</w:t>
      </w:r>
      <w:r w:rsidR="00156FE1" w:rsidRPr="00693B99">
        <w:rPr>
          <w:szCs w:val="22"/>
        </w:rPr>
        <w:t xml:space="preserve"> </w:t>
      </w:r>
      <w:r w:rsidR="001E6457" w:rsidRPr="00693B99">
        <w:rPr>
          <w:szCs w:val="22"/>
        </w:rPr>
        <w:t>not less than 30 days prior to terminating operations</w:t>
      </w:r>
      <w:r w:rsidR="00156FE1" w:rsidRPr="00693B99">
        <w:rPr>
          <w:szCs w:val="22"/>
        </w:rPr>
        <w:t>.</w:t>
      </w:r>
      <w:r w:rsidR="004C23B0" w:rsidRPr="00693B99">
        <w:rPr>
          <w:rStyle w:val="FootnoteReference"/>
        </w:rPr>
        <w:footnoteReference w:id="140"/>
      </w:r>
      <w:r w:rsidR="00156FE1" w:rsidRPr="00693B99">
        <w:rPr>
          <w:szCs w:val="22"/>
        </w:rPr>
        <w:t xml:space="preserve">  </w:t>
      </w:r>
      <w:r w:rsidR="006F45D4" w:rsidRPr="00693B99">
        <w:rPr>
          <w:szCs w:val="22"/>
        </w:rPr>
        <w:t>S</w:t>
      </w:r>
      <w:r w:rsidR="00531A22" w:rsidRPr="00693B99">
        <w:rPr>
          <w:szCs w:val="22"/>
        </w:rPr>
        <w:t xml:space="preserve">hould a </w:t>
      </w:r>
      <w:r w:rsidR="005B0987" w:rsidRPr="00693B99">
        <w:rPr>
          <w:szCs w:val="22"/>
        </w:rPr>
        <w:t>station’s anticipated termination</w:t>
      </w:r>
      <w:r w:rsidR="00531A22" w:rsidRPr="00693B99">
        <w:rPr>
          <w:szCs w:val="22"/>
        </w:rPr>
        <w:t xml:space="preserve"> date change </w:t>
      </w:r>
      <w:r w:rsidR="00F23F7C" w:rsidRPr="00693B99">
        <w:rPr>
          <w:szCs w:val="22"/>
        </w:rPr>
        <w:t xml:space="preserve">due to an unforeseen delay or change in transition plan, </w:t>
      </w:r>
      <w:r w:rsidR="00531A22" w:rsidRPr="00693B99">
        <w:rPr>
          <w:szCs w:val="22"/>
        </w:rPr>
        <w:t>the station must send a further notice to affected MVPDs informing them o</w:t>
      </w:r>
      <w:r w:rsidR="005B0987" w:rsidRPr="00693B99">
        <w:rPr>
          <w:szCs w:val="22"/>
        </w:rPr>
        <w:t>f the new anticipated termination</w:t>
      </w:r>
      <w:r w:rsidR="00531A22" w:rsidRPr="00693B99">
        <w:rPr>
          <w:szCs w:val="22"/>
        </w:rPr>
        <w:t xml:space="preserve"> date.</w:t>
      </w:r>
      <w:r w:rsidR="00531A22" w:rsidRPr="00693B99">
        <w:rPr>
          <w:szCs w:val="22"/>
          <w:vertAlign w:val="superscript"/>
        </w:rPr>
        <w:footnoteReference w:id="141"/>
      </w:r>
    </w:p>
    <w:p w14:paraId="462975EC" w14:textId="77777777" w:rsidR="00DA3400" w:rsidRPr="00693B99" w:rsidRDefault="00DA3400" w:rsidP="00DA3400">
      <w:pPr>
        <w:pStyle w:val="Heading2"/>
        <w:rPr>
          <w:szCs w:val="22"/>
        </w:rPr>
      </w:pPr>
      <w:bookmarkStart w:id="247" w:name="_Toc471732191"/>
      <w:bookmarkStart w:id="248" w:name="_Toc471732267"/>
      <w:bookmarkStart w:id="249" w:name="_Toc471732562"/>
      <w:bookmarkStart w:id="250" w:name="_Toc471732635"/>
      <w:bookmarkStart w:id="251" w:name="_Toc471732898"/>
      <w:bookmarkStart w:id="252" w:name="_Toc471734075"/>
      <w:r w:rsidRPr="00693B99">
        <w:rPr>
          <w:szCs w:val="22"/>
        </w:rPr>
        <w:t>Channel Sharing Station Transition Process</w:t>
      </w:r>
      <w:bookmarkEnd w:id="247"/>
      <w:bookmarkEnd w:id="248"/>
      <w:bookmarkEnd w:id="249"/>
      <w:bookmarkEnd w:id="250"/>
      <w:bookmarkEnd w:id="251"/>
      <w:bookmarkEnd w:id="252"/>
    </w:p>
    <w:p w14:paraId="3F9DA6F7" w14:textId="77777777" w:rsidR="00DA3400" w:rsidRPr="00693B99" w:rsidRDefault="009872C6" w:rsidP="00DA3400">
      <w:pPr>
        <w:numPr>
          <w:ilvl w:val="0"/>
          <w:numId w:val="2"/>
        </w:numPr>
        <w:tabs>
          <w:tab w:val="clear" w:pos="1080"/>
          <w:tab w:val="num" w:pos="1440"/>
        </w:tabs>
        <w:spacing w:after="120"/>
        <w:rPr>
          <w:szCs w:val="22"/>
        </w:rPr>
      </w:pPr>
      <w:r w:rsidRPr="00693B99">
        <w:rPr>
          <w:szCs w:val="22"/>
        </w:rPr>
        <w:t>A c</w:t>
      </w:r>
      <w:r w:rsidR="00D53E10" w:rsidRPr="00693B99">
        <w:rPr>
          <w:szCs w:val="22"/>
        </w:rPr>
        <w:t>hannel sharing station</w:t>
      </w:r>
      <w:r w:rsidR="002037E1" w:rsidRPr="00693B99">
        <w:rPr>
          <w:rStyle w:val="FootnoteReference"/>
        </w:rPr>
        <w:footnoteReference w:id="142"/>
      </w:r>
      <w:r w:rsidR="00D53E10" w:rsidRPr="00693B99">
        <w:rPr>
          <w:szCs w:val="22"/>
        </w:rPr>
        <w:t xml:space="preserve"> must implement sh</w:t>
      </w:r>
      <w:r w:rsidR="00620BE6" w:rsidRPr="00693B99">
        <w:rPr>
          <w:szCs w:val="22"/>
        </w:rPr>
        <w:t>ared channel operations, and</w:t>
      </w:r>
      <w:r w:rsidR="00D53E10" w:rsidRPr="00693B99">
        <w:rPr>
          <w:szCs w:val="22"/>
        </w:rPr>
        <w:t xml:space="preserve"> </w:t>
      </w:r>
      <w:r w:rsidRPr="00693B99">
        <w:rPr>
          <w:szCs w:val="22"/>
        </w:rPr>
        <w:t xml:space="preserve">a </w:t>
      </w:r>
      <w:r w:rsidR="00D53E10" w:rsidRPr="00693B99">
        <w:rPr>
          <w:szCs w:val="22"/>
        </w:rPr>
        <w:t xml:space="preserve">sharee </w:t>
      </w:r>
      <w:r w:rsidR="00925B33" w:rsidRPr="00693B99">
        <w:rPr>
          <w:szCs w:val="22"/>
        </w:rPr>
        <w:t xml:space="preserve">station </w:t>
      </w:r>
      <w:r w:rsidR="00D53E10" w:rsidRPr="00693B99">
        <w:rPr>
          <w:szCs w:val="22"/>
        </w:rPr>
        <w:t>mu</w:t>
      </w:r>
      <w:r w:rsidR="00620BE6" w:rsidRPr="00693B99">
        <w:rPr>
          <w:szCs w:val="22"/>
        </w:rPr>
        <w:t>st</w:t>
      </w:r>
      <w:r w:rsidRPr="00693B99">
        <w:rPr>
          <w:szCs w:val="22"/>
        </w:rPr>
        <w:t xml:space="preserve"> discontinue operations on its</w:t>
      </w:r>
      <w:r w:rsidR="00D53E10" w:rsidRPr="00693B99">
        <w:rPr>
          <w:szCs w:val="22"/>
        </w:rPr>
        <w:t xml:space="preserve"> pre-auction channel</w:t>
      </w:r>
      <w:r w:rsidR="00620BE6" w:rsidRPr="00693B99">
        <w:rPr>
          <w:szCs w:val="22"/>
        </w:rPr>
        <w:t xml:space="preserve"> within 180 days after </w:t>
      </w:r>
      <w:r w:rsidRPr="00693B99">
        <w:rPr>
          <w:szCs w:val="22"/>
        </w:rPr>
        <w:t>the sharee receives</w:t>
      </w:r>
      <w:r w:rsidR="00014E94" w:rsidRPr="00693B99">
        <w:rPr>
          <w:szCs w:val="22"/>
        </w:rPr>
        <w:t xml:space="preserve"> its share of </w:t>
      </w:r>
      <w:r w:rsidR="00620BE6" w:rsidRPr="00693B99">
        <w:rPr>
          <w:szCs w:val="22"/>
        </w:rPr>
        <w:t>auction proceeds</w:t>
      </w:r>
      <w:r w:rsidR="00D53E10" w:rsidRPr="00693B99">
        <w:rPr>
          <w:szCs w:val="22"/>
        </w:rPr>
        <w:t>.</w:t>
      </w:r>
      <w:r w:rsidR="00D53E10" w:rsidRPr="00693B99">
        <w:rPr>
          <w:szCs w:val="22"/>
          <w:vertAlign w:val="superscript"/>
        </w:rPr>
        <w:footnoteReference w:id="143"/>
      </w:r>
    </w:p>
    <w:p w14:paraId="1E1B2F78" w14:textId="77777777" w:rsidR="00DA3400" w:rsidRPr="00693B99" w:rsidRDefault="00DA3400" w:rsidP="00DA3400">
      <w:pPr>
        <w:pStyle w:val="Heading3"/>
        <w:ind w:hanging="1440"/>
        <w:rPr>
          <w:szCs w:val="22"/>
        </w:rPr>
      </w:pPr>
      <w:bookmarkStart w:id="253" w:name="_Toc471732192"/>
      <w:bookmarkStart w:id="254" w:name="_Toc471732268"/>
      <w:bookmarkStart w:id="255" w:name="_Toc471732563"/>
      <w:bookmarkStart w:id="256" w:name="_Toc471732636"/>
      <w:bookmarkStart w:id="257" w:name="_Toc471732899"/>
      <w:bookmarkStart w:id="258" w:name="_Toc471734076"/>
      <w:r w:rsidRPr="00693B99">
        <w:rPr>
          <w:szCs w:val="22"/>
        </w:rPr>
        <w:t>Application for Construction Permit</w:t>
      </w:r>
      <w:bookmarkEnd w:id="253"/>
      <w:bookmarkEnd w:id="254"/>
      <w:bookmarkEnd w:id="255"/>
      <w:bookmarkEnd w:id="256"/>
      <w:bookmarkEnd w:id="257"/>
      <w:bookmarkEnd w:id="258"/>
    </w:p>
    <w:p w14:paraId="13F8CAFD" w14:textId="4B248A4E" w:rsidR="0007238D" w:rsidRPr="00693B99" w:rsidRDefault="008F3F09" w:rsidP="00DA3400">
      <w:pPr>
        <w:numPr>
          <w:ilvl w:val="0"/>
          <w:numId w:val="2"/>
        </w:numPr>
        <w:tabs>
          <w:tab w:val="clear" w:pos="1080"/>
          <w:tab w:val="num" w:pos="1440"/>
        </w:tabs>
        <w:spacing w:after="120"/>
        <w:rPr>
          <w:szCs w:val="22"/>
        </w:rPr>
      </w:pPr>
      <w:r w:rsidRPr="00693B99">
        <w:rPr>
          <w:szCs w:val="22"/>
        </w:rPr>
        <w:t>W</w:t>
      </w:r>
      <w:r w:rsidR="00925B33" w:rsidRPr="00693B99">
        <w:rPr>
          <w:szCs w:val="22"/>
        </w:rPr>
        <w:t>here a</w:t>
      </w:r>
      <w:r w:rsidR="00582814" w:rsidRPr="00693B99">
        <w:rPr>
          <w:szCs w:val="22"/>
        </w:rPr>
        <w:t xml:space="preserve"> sharer station remains on its</w:t>
      </w:r>
      <w:r w:rsidR="00925B33" w:rsidRPr="00693B99">
        <w:rPr>
          <w:szCs w:val="22"/>
        </w:rPr>
        <w:t xml:space="preserve"> </w:t>
      </w:r>
      <w:r w:rsidR="008B11F6" w:rsidRPr="00693B99">
        <w:rPr>
          <w:szCs w:val="22"/>
        </w:rPr>
        <w:t>pre-auction</w:t>
      </w:r>
      <w:r w:rsidR="00925B33" w:rsidRPr="00693B99">
        <w:rPr>
          <w:szCs w:val="22"/>
        </w:rPr>
        <w:t xml:space="preserve"> channel, </w:t>
      </w:r>
      <w:r w:rsidR="008E7020" w:rsidRPr="00693B99">
        <w:rPr>
          <w:szCs w:val="22"/>
        </w:rPr>
        <w:t>the</w:t>
      </w:r>
      <w:r w:rsidR="00D53E10" w:rsidRPr="00693B99">
        <w:rPr>
          <w:szCs w:val="22"/>
        </w:rPr>
        <w:t xml:space="preserve"> sharee must file a</w:t>
      </w:r>
      <w:r w:rsidR="00C947A2" w:rsidRPr="00693B99">
        <w:rPr>
          <w:szCs w:val="22"/>
        </w:rPr>
        <w:t>n</w:t>
      </w:r>
      <w:r w:rsidR="00D53E10" w:rsidRPr="00693B99">
        <w:rPr>
          <w:szCs w:val="22"/>
        </w:rPr>
        <w:t xml:space="preserve"> application </w:t>
      </w:r>
      <w:r w:rsidR="00C947A2" w:rsidRPr="00693B99">
        <w:rPr>
          <w:szCs w:val="22"/>
        </w:rPr>
        <w:t xml:space="preserve">for construction permit </w:t>
      </w:r>
      <w:r w:rsidR="00D53E10" w:rsidRPr="00693B99">
        <w:rPr>
          <w:szCs w:val="22"/>
        </w:rPr>
        <w:t>via LMS using FCC Form 2100 Schedule A (full power) or Schedule E (Class A)</w:t>
      </w:r>
      <w:r w:rsidR="000264D9" w:rsidRPr="00693B99">
        <w:rPr>
          <w:szCs w:val="22"/>
        </w:rPr>
        <w:t xml:space="preserve"> no later than </w:t>
      </w:r>
      <w:r w:rsidR="00DB30AA" w:rsidRPr="00693B99">
        <w:rPr>
          <w:szCs w:val="22"/>
        </w:rPr>
        <w:t>60 days prior to its deadline for discontinuing operations</w:t>
      </w:r>
      <w:r w:rsidR="005647A4" w:rsidRPr="00693B99">
        <w:rPr>
          <w:szCs w:val="22"/>
        </w:rPr>
        <w:t xml:space="preserve"> on its pre-auction channel</w:t>
      </w:r>
      <w:r w:rsidR="00E64B02" w:rsidRPr="00693B99">
        <w:rPr>
          <w:szCs w:val="22"/>
        </w:rPr>
        <w:t>,</w:t>
      </w:r>
      <w:r w:rsidR="008B11F6" w:rsidRPr="00693B99">
        <w:rPr>
          <w:szCs w:val="22"/>
        </w:rPr>
        <w:t xml:space="preserve"> which, absent any extension, is no later than 120 days after </w:t>
      </w:r>
      <w:r w:rsidR="008D5ECB" w:rsidRPr="00693B99">
        <w:rPr>
          <w:szCs w:val="22"/>
        </w:rPr>
        <w:t>the sharee</w:t>
      </w:r>
      <w:r w:rsidR="008B11F6" w:rsidRPr="00693B99">
        <w:rPr>
          <w:szCs w:val="22"/>
        </w:rPr>
        <w:t xml:space="preserve"> </w:t>
      </w:r>
      <w:r w:rsidR="009872C6" w:rsidRPr="00693B99">
        <w:rPr>
          <w:szCs w:val="22"/>
        </w:rPr>
        <w:t>receives</w:t>
      </w:r>
      <w:r w:rsidR="008B11F6" w:rsidRPr="00693B99">
        <w:rPr>
          <w:szCs w:val="22"/>
        </w:rPr>
        <w:t xml:space="preserve"> its share of auction proceeds</w:t>
      </w:r>
      <w:r w:rsidR="00D53E10" w:rsidRPr="00693B99">
        <w:rPr>
          <w:szCs w:val="22"/>
        </w:rPr>
        <w:t>.</w:t>
      </w:r>
      <w:r w:rsidR="00D53E10" w:rsidRPr="00693B99">
        <w:rPr>
          <w:szCs w:val="22"/>
          <w:vertAlign w:val="superscript"/>
        </w:rPr>
        <w:footnoteReference w:id="144"/>
      </w:r>
      <w:r w:rsidR="00D53E10" w:rsidRPr="00693B99">
        <w:rPr>
          <w:szCs w:val="22"/>
        </w:rPr>
        <w:t xml:space="preserve">  </w:t>
      </w:r>
      <w:r w:rsidR="0032788F" w:rsidRPr="00693B99">
        <w:rPr>
          <w:szCs w:val="22"/>
        </w:rPr>
        <w:t xml:space="preserve">The applicant must pay the requisite filing fee.  </w:t>
      </w:r>
      <w:r w:rsidR="00D53E10" w:rsidRPr="00693B99">
        <w:rPr>
          <w:szCs w:val="22"/>
        </w:rPr>
        <w:t>The application must specify the same technical facilities as the sharer station and include a</w:t>
      </w:r>
      <w:r w:rsidR="00E200F9" w:rsidRPr="00693B99">
        <w:rPr>
          <w:szCs w:val="22"/>
        </w:rPr>
        <w:t>n executed</w:t>
      </w:r>
      <w:r w:rsidR="00D53E10" w:rsidRPr="00693B99">
        <w:rPr>
          <w:szCs w:val="22"/>
        </w:rPr>
        <w:t xml:space="preserve"> copy of the </w:t>
      </w:r>
      <w:r w:rsidR="00E64B02" w:rsidRPr="00693B99">
        <w:rPr>
          <w:szCs w:val="22"/>
        </w:rPr>
        <w:t>Channel Sharing Agreement (</w:t>
      </w:r>
      <w:r w:rsidR="00D53E10" w:rsidRPr="00693B99">
        <w:rPr>
          <w:szCs w:val="22"/>
        </w:rPr>
        <w:t>CSA</w:t>
      </w:r>
      <w:r w:rsidR="00E64B02" w:rsidRPr="00693B99">
        <w:rPr>
          <w:szCs w:val="22"/>
        </w:rPr>
        <w:t>)</w:t>
      </w:r>
      <w:r w:rsidR="00D53E10" w:rsidRPr="00693B99">
        <w:rPr>
          <w:szCs w:val="22"/>
        </w:rPr>
        <w:t>.</w:t>
      </w:r>
      <w:r w:rsidR="00D53E10" w:rsidRPr="00693B99">
        <w:rPr>
          <w:szCs w:val="22"/>
          <w:vertAlign w:val="superscript"/>
        </w:rPr>
        <w:footnoteReference w:id="145"/>
      </w:r>
      <w:r w:rsidR="00D53E10" w:rsidRPr="00693B99">
        <w:rPr>
          <w:szCs w:val="22"/>
        </w:rPr>
        <w:t xml:space="preserve">  Instructions for completing this form can be found in Appendix A.  The timing of this filing requirement is the same regardless of whether the parties have a pre- or post-auction CSA.</w:t>
      </w:r>
      <w:r w:rsidR="00D53E10" w:rsidRPr="00693B99">
        <w:rPr>
          <w:szCs w:val="22"/>
          <w:vertAlign w:val="superscript"/>
        </w:rPr>
        <w:footnoteReference w:id="146"/>
      </w:r>
      <w:r w:rsidR="00D53E10" w:rsidRPr="00693B99">
        <w:rPr>
          <w:szCs w:val="22"/>
        </w:rPr>
        <w:t xml:space="preserve">  </w:t>
      </w:r>
      <w:r w:rsidR="00AF3D4A" w:rsidRPr="00693B99">
        <w:rPr>
          <w:szCs w:val="22"/>
        </w:rPr>
        <w:t xml:space="preserve">Therefore, a sharee that indicated </w:t>
      </w:r>
      <w:r w:rsidR="008D5ECB" w:rsidRPr="00693B99">
        <w:rPr>
          <w:szCs w:val="22"/>
        </w:rPr>
        <w:t xml:space="preserve">in its FCC Form 177 application to participate in the reverse auction </w:t>
      </w:r>
      <w:r w:rsidR="00AF3D4A" w:rsidRPr="00693B99">
        <w:rPr>
          <w:szCs w:val="22"/>
        </w:rPr>
        <w:t>the intent to enter into</w:t>
      </w:r>
      <w:r w:rsidR="000517F2" w:rsidRPr="00693B99">
        <w:rPr>
          <w:szCs w:val="22"/>
        </w:rPr>
        <w:t xml:space="preserve"> a post-auction CSA must enter</w:t>
      </w:r>
      <w:r w:rsidR="00AF3D4A" w:rsidRPr="00693B99">
        <w:rPr>
          <w:szCs w:val="22"/>
        </w:rPr>
        <w:t xml:space="preserve"> into </w:t>
      </w:r>
      <w:r w:rsidR="008D5ECB" w:rsidRPr="00693B99">
        <w:rPr>
          <w:szCs w:val="22"/>
        </w:rPr>
        <w:t>a CSA and submit</w:t>
      </w:r>
      <w:r w:rsidR="00AF3D4A" w:rsidRPr="00693B99">
        <w:rPr>
          <w:szCs w:val="22"/>
        </w:rPr>
        <w:t xml:space="preserve"> its minor change application no later t</w:t>
      </w:r>
      <w:r w:rsidR="002F6328" w:rsidRPr="00693B99">
        <w:rPr>
          <w:szCs w:val="22"/>
        </w:rPr>
        <w:t>han 120 days after it receives</w:t>
      </w:r>
      <w:r w:rsidR="00AF3D4A" w:rsidRPr="00693B99">
        <w:rPr>
          <w:szCs w:val="22"/>
        </w:rPr>
        <w:t xml:space="preserve"> its share of the auction proceeds.  </w:t>
      </w:r>
    </w:p>
    <w:p w14:paraId="4A900ED2" w14:textId="53DAAAE6" w:rsidR="008D5ECB" w:rsidRPr="00693B99" w:rsidRDefault="008D5ECB" w:rsidP="008D5ECB">
      <w:pPr>
        <w:numPr>
          <w:ilvl w:val="0"/>
          <w:numId w:val="2"/>
        </w:numPr>
        <w:tabs>
          <w:tab w:val="clear" w:pos="1080"/>
          <w:tab w:val="num" w:pos="1440"/>
        </w:tabs>
        <w:spacing w:after="120"/>
        <w:rPr>
          <w:szCs w:val="22"/>
        </w:rPr>
      </w:pPr>
      <w:r w:rsidRPr="00693B99">
        <w:rPr>
          <w:szCs w:val="22"/>
        </w:rPr>
        <w:t>In the event that the sharer station is a reassigned station or band changing station, then it must follow the procedures outlined in Section III - Reassigned Stations and Band Changing Stations to implement the move to its new channel, including submitting an application for construction permit specifying its post-auction channel facilities no later than the initial 90-day filing deadline for initial construction permit applications.</w:t>
      </w:r>
      <w:r w:rsidRPr="00693B99">
        <w:rPr>
          <w:szCs w:val="22"/>
          <w:vertAlign w:val="superscript"/>
        </w:rPr>
        <w:footnoteReference w:id="147"/>
      </w:r>
      <w:r w:rsidRPr="00693B99">
        <w:rPr>
          <w:szCs w:val="22"/>
        </w:rPr>
        <w:t xml:space="preserve"> If the sharer has, or is expected to, transition to its new channel by the deadline on which the sharee must submit its application for construction permit (i.e.</w:t>
      </w:r>
      <w:r w:rsidR="000517F2" w:rsidRPr="00693B99">
        <w:rPr>
          <w:szCs w:val="22"/>
        </w:rPr>
        <w:t>,</w:t>
      </w:r>
      <w:r w:rsidRPr="00693B99">
        <w:rPr>
          <w:szCs w:val="22"/>
        </w:rPr>
        <w:t xml:space="preserve"> no later </w:t>
      </w:r>
      <w:r w:rsidR="00EE3837" w:rsidRPr="00693B99">
        <w:rPr>
          <w:szCs w:val="22"/>
        </w:rPr>
        <w:t>than 120 days after it</w:t>
      </w:r>
      <w:r w:rsidR="002F6328" w:rsidRPr="00693B99">
        <w:rPr>
          <w:szCs w:val="22"/>
        </w:rPr>
        <w:t xml:space="preserve"> receives</w:t>
      </w:r>
      <w:r w:rsidRPr="00693B99">
        <w:rPr>
          <w:szCs w:val="22"/>
        </w:rPr>
        <w:t xml:space="preserve"> its share of the auction proceeds), then the sharee’s application should specify the sharer’s post-auction channel facility.  In the event that the sharee’s deadline by which it must discontinue operations on its pre-auction channel (i.e</w:t>
      </w:r>
      <w:r w:rsidR="006C373B" w:rsidRPr="00693B99">
        <w:rPr>
          <w:szCs w:val="22"/>
        </w:rPr>
        <w:t>.</w:t>
      </w:r>
      <w:r w:rsidR="000517F2" w:rsidRPr="00693B99">
        <w:rPr>
          <w:szCs w:val="22"/>
        </w:rPr>
        <w:t>,</w:t>
      </w:r>
      <w:r w:rsidR="006C373B" w:rsidRPr="00693B99">
        <w:rPr>
          <w:szCs w:val="22"/>
        </w:rPr>
        <w:t xml:space="preserve"> no </w:t>
      </w:r>
      <w:r w:rsidR="009872C6" w:rsidRPr="00693B99">
        <w:rPr>
          <w:szCs w:val="22"/>
        </w:rPr>
        <w:t>later than 180 days after it receives</w:t>
      </w:r>
      <w:r w:rsidRPr="00693B99">
        <w:rPr>
          <w:szCs w:val="22"/>
        </w:rPr>
        <w:t xml:space="preserve"> its share of the auction proceeds), is expected to occur before the sharer has transitioned to its new channel, however, the sharee should file an application for a construction permit specifying the sharer’s pre-transition channel.  Not less than 60 days prior to the sharer’s</w:t>
      </w:r>
      <w:r w:rsidR="00837F34" w:rsidRPr="00693B99">
        <w:rPr>
          <w:szCs w:val="22"/>
        </w:rPr>
        <w:t xml:space="preserve"> phase construction deadline, </w:t>
      </w:r>
      <w:r w:rsidRPr="00693B99">
        <w:rPr>
          <w:szCs w:val="22"/>
        </w:rPr>
        <w:t>the sharee must then file a minor change application for a construction permit for the sharer’s post-auction channel.  Sharee applications for construction permits will be considered minor changes and will be subject to filing fees.</w:t>
      </w:r>
    </w:p>
    <w:p w14:paraId="13957000" w14:textId="77777777" w:rsidR="00D06C00" w:rsidRPr="00693B99" w:rsidRDefault="008D5ECB" w:rsidP="008D5ECB">
      <w:pPr>
        <w:numPr>
          <w:ilvl w:val="0"/>
          <w:numId w:val="2"/>
        </w:numPr>
        <w:tabs>
          <w:tab w:val="clear" w:pos="1080"/>
          <w:tab w:val="num" w:pos="1440"/>
        </w:tabs>
        <w:spacing w:after="120"/>
        <w:rPr>
          <w:szCs w:val="22"/>
        </w:rPr>
      </w:pPr>
      <w:r w:rsidRPr="00693B99">
        <w:rPr>
          <w:szCs w:val="22"/>
        </w:rPr>
        <w:t xml:space="preserve">If a sharee needs additional time to submit its application for a construction permit, then it may request a waiver of the construction permit filing deadline.  Waivers must be filed as a request for legal STA via LMS following the instructions provided in Appendix A and include payment of the requisite filing fee.  Such waivers must provide a “good cause” showing pursuant to section 1.3 of the Commission’s rules and, specify the date by which the sharee anticipates filing its construction permit application.  Stations should also e-mail a copy of their waiver request to:  </w:t>
      </w:r>
      <w:r w:rsidRPr="00693B99">
        <w:rPr>
          <w:szCs w:val="22"/>
          <w:u w:val="single"/>
        </w:rPr>
        <w:t>IATransitionlicensing@fcc.gov</w:t>
      </w:r>
      <w:r w:rsidRPr="00693B99">
        <w:rPr>
          <w:szCs w:val="22"/>
        </w:rPr>
        <w:t xml:space="preserve">.  In order to provide the staff with sufficient time to process the waiver request, and for stations to make arrangements to meet the deadline if the waiver is denied, stations are urged to file no later than 30 days prior to the deadline for filing their application for a construction permit, which, absent an extension, is no later than 120 </w:t>
      </w:r>
      <w:r w:rsidR="002F6328" w:rsidRPr="00693B99">
        <w:rPr>
          <w:szCs w:val="22"/>
        </w:rPr>
        <w:t>days after it receives</w:t>
      </w:r>
      <w:r w:rsidRPr="00693B99">
        <w:rPr>
          <w:szCs w:val="22"/>
        </w:rPr>
        <w:t xml:space="preserve"> its share of auction proceeds.</w:t>
      </w:r>
      <w:r w:rsidRPr="00693B99">
        <w:rPr>
          <w:rStyle w:val="FootnoteReference"/>
        </w:rPr>
        <w:footnoteReference w:id="148"/>
      </w:r>
    </w:p>
    <w:p w14:paraId="66F65E14" w14:textId="77777777" w:rsidR="0007238D" w:rsidRPr="00693B99" w:rsidRDefault="001A3823" w:rsidP="001C7D45">
      <w:pPr>
        <w:pStyle w:val="Heading3"/>
        <w:ind w:hanging="1440"/>
        <w:rPr>
          <w:szCs w:val="22"/>
        </w:rPr>
      </w:pPr>
      <w:bookmarkStart w:id="259" w:name="_Toc466014545"/>
      <w:bookmarkStart w:id="260" w:name="_Toc466019486"/>
      <w:bookmarkStart w:id="261" w:name="_Toc468178172"/>
      <w:bookmarkStart w:id="262" w:name="_Toc471732193"/>
      <w:bookmarkStart w:id="263" w:name="_Toc471732269"/>
      <w:bookmarkStart w:id="264" w:name="_Toc471732564"/>
      <w:bookmarkStart w:id="265" w:name="_Toc471732637"/>
      <w:bookmarkStart w:id="266" w:name="_Toc471732900"/>
      <w:bookmarkStart w:id="267" w:name="_Toc471734077"/>
      <w:r w:rsidRPr="00693B99">
        <w:rPr>
          <w:szCs w:val="22"/>
        </w:rPr>
        <w:t xml:space="preserve">Suspension of Operations </w:t>
      </w:r>
      <w:r w:rsidR="0007238D" w:rsidRPr="00693B99">
        <w:rPr>
          <w:szCs w:val="22"/>
        </w:rPr>
        <w:t>Notice to Commission</w:t>
      </w:r>
      <w:bookmarkEnd w:id="259"/>
      <w:bookmarkEnd w:id="260"/>
      <w:bookmarkEnd w:id="261"/>
      <w:bookmarkEnd w:id="262"/>
      <w:bookmarkEnd w:id="263"/>
      <w:bookmarkEnd w:id="264"/>
      <w:bookmarkEnd w:id="265"/>
      <w:bookmarkEnd w:id="266"/>
      <w:bookmarkEnd w:id="267"/>
      <w:r w:rsidR="0007238D" w:rsidRPr="00693B99">
        <w:rPr>
          <w:szCs w:val="22"/>
        </w:rPr>
        <w:t xml:space="preserve"> </w:t>
      </w:r>
    </w:p>
    <w:p w14:paraId="14841A4E" w14:textId="06DB2E39" w:rsidR="00FB31D4" w:rsidRPr="00693B99" w:rsidRDefault="00FB31D4" w:rsidP="0007238D">
      <w:pPr>
        <w:numPr>
          <w:ilvl w:val="0"/>
          <w:numId w:val="2"/>
        </w:numPr>
        <w:tabs>
          <w:tab w:val="clear" w:pos="1080"/>
          <w:tab w:val="num" w:pos="1440"/>
        </w:tabs>
        <w:spacing w:after="120"/>
        <w:rPr>
          <w:szCs w:val="22"/>
        </w:rPr>
      </w:pPr>
      <w:r w:rsidRPr="00693B99">
        <w:rPr>
          <w:szCs w:val="22"/>
        </w:rPr>
        <w:t>Sharees must notify the Commission at least two days prior to discontinuation of operations on their pre-auction channel</w:t>
      </w:r>
      <w:r w:rsidR="008F3F09" w:rsidRPr="00693B99">
        <w:rPr>
          <w:szCs w:val="22"/>
        </w:rPr>
        <w:t>s</w:t>
      </w:r>
      <w:r w:rsidRPr="00693B99">
        <w:rPr>
          <w:szCs w:val="22"/>
          <w:vertAlign w:val="superscript"/>
        </w:rPr>
        <w:footnoteReference w:id="149"/>
      </w:r>
      <w:r w:rsidR="0007238D" w:rsidRPr="00693B99">
        <w:rPr>
          <w:szCs w:val="22"/>
        </w:rPr>
        <w:t xml:space="preserve"> by </w:t>
      </w:r>
      <w:r w:rsidRPr="00693B99">
        <w:rPr>
          <w:szCs w:val="22"/>
        </w:rPr>
        <w:t xml:space="preserve">filing </w:t>
      </w:r>
      <w:r w:rsidR="005574A0" w:rsidRPr="00693B99">
        <w:rPr>
          <w:szCs w:val="22"/>
        </w:rPr>
        <w:t xml:space="preserve">a Suspension of Operations Notification </w:t>
      </w:r>
      <w:r w:rsidRPr="00693B99">
        <w:rPr>
          <w:szCs w:val="22"/>
        </w:rPr>
        <w:t xml:space="preserve">via LMS </w:t>
      </w:r>
      <w:r w:rsidR="008E5356" w:rsidRPr="00693B99">
        <w:rPr>
          <w:szCs w:val="22"/>
        </w:rPr>
        <w:t xml:space="preserve">as outlined </w:t>
      </w:r>
      <w:r w:rsidRPr="00693B99">
        <w:rPr>
          <w:szCs w:val="22"/>
        </w:rPr>
        <w:t xml:space="preserve">Appendix A. </w:t>
      </w:r>
      <w:r w:rsidR="000517F2" w:rsidRPr="00693B99">
        <w:rPr>
          <w:szCs w:val="22"/>
        </w:rPr>
        <w:t xml:space="preserve"> </w:t>
      </w:r>
      <w:r w:rsidR="008E7020" w:rsidRPr="00693B99">
        <w:rPr>
          <w:szCs w:val="22"/>
        </w:rPr>
        <w:t xml:space="preserve">There is no fee for this filing.  </w:t>
      </w:r>
      <w:r w:rsidRPr="00693B99">
        <w:rPr>
          <w:szCs w:val="22"/>
        </w:rPr>
        <w:t xml:space="preserve">This notification </w:t>
      </w:r>
      <w:r w:rsidR="00D16E73" w:rsidRPr="00693B99">
        <w:rPr>
          <w:szCs w:val="22"/>
        </w:rPr>
        <w:t xml:space="preserve">also should </w:t>
      </w:r>
      <w:r w:rsidRPr="00693B99">
        <w:rPr>
          <w:szCs w:val="22"/>
        </w:rPr>
        <w:t xml:space="preserve">be emailed to </w:t>
      </w:r>
      <w:r w:rsidR="004342C3" w:rsidRPr="00693B99">
        <w:rPr>
          <w:szCs w:val="22"/>
          <w:u w:val="single"/>
        </w:rPr>
        <w:t>IATransitionlicensing@fcc.gov</w:t>
      </w:r>
      <w:r w:rsidRPr="00693B99">
        <w:rPr>
          <w:szCs w:val="22"/>
        </w:rPr>
        <w:t xml:space="preserve">.  </w:t>
      </w:r>
    </w:p>
    <w:p w14:paraId="2AF1F189" w14:textId="77777777" w:rsidR="0007238D" w:rsidRPr="00693B99" w:rsidRDefault="0007238D" w:rsidP="001C7D45">
      <w:pPr>
        <w:pStyle w:val="Heading3"/>
        <w:ind w:hanging="1440"/>
        <w:rPr>
          <w:szCs w:val="22"/>
        </w:rPr>
      </w:pPr>
      <w:bookmarkStart w:id="268" w:name="_Toc466019487"/>
      <w:bookmarkStart w:id="269" w:name="_Toc468178173"/>
      <w:bookmarkStart w:id="270" w:name="_Toc471732194"/>
      <w:bookmarkStart w:id="271" w:name="_Toc471732270"/>
      <w:bookmarkStart w:id="272" w:name="_Toc471732565"/>
      <w:bookmarkStart w:id="273" w:name="_Toc471732638"/>
      <w:bookmarkStart w:id="274" w:name="_Toc471732901"/>
      <w:bookmarkStart w:id="275" w:name="_Toc471734078"/>
      <w:r w:rsidRPr="00693B99">
        <w:rPr>
          <w:szCs w:val="22"/>
        </w:rPr>
        <w:t>Commencement of Operation on Shared Channel</w:t>
      </w:r>
      <w:bookmarkEnd w:id="268"/>
      <w:bookmarkEnd w:id="269"/>
      <w:bookmarkEnd w:id="270"/>
      <w:bookmarkEnd w:id="271"/>
      <w:bookmarkEnd w:id="272"/>
      <w:bookmarkEnd w:id="273"/>
      <w:bookmarkEnd w:id="274"/>
      <w:bookmarkEnd w:id="275"/>
    </w:p>
    <w:p w14:paraId="1ECBEE63" w14:textId="77777777" w:rsidR="00DA3400" w:rsidRPr="00693B99" w:rsidRDefault="0032788F" w:rsidP="00DA3400">
      <w:pPr>
        <w:numPr>
          <w:ilvl w:val="0"/>
          <w:numId w:val="2"/>
        </w:numPr>
        <w:tabs>
          <w:tab w:val="clear" w:pos="1080"/>
          <w:tab w:val="num" w:pos="1440"/>
        </w:tabs>
        <w:spacing w:after="120"/>
        <w:rPr>
          <w:szCs w:val="22"/>
        </w:rPr>
      </w:pPr>
      <w:r w:rsidRPr="00693B99">
        <w:rPr>
          <w:szCs w:val="22"/>
        </w:rPr>
        <w:t xml:space="preserve">When implementation is complete and </w:t>
      </w:r>
      <w:r w:rsidR="009D5D8B" w:rsidRPr="00693B99">
        <w:rPr>
          <w:szCs w:val="22"/>
        </w:rPr>
        <w:t xml:space="preserve">within 10 days of commencement of </w:t>
      </w:r>
      <w:r w:rsidRPr="00693B99">
        <w:rPr>
          <w:szCs w:val="22"/>
        </w:rPr>
        <w:t xml:space="preserve">operation of the shared facilities on program test authority, both </w:t>
      </w:r>
      <w:r w:rsidR="00C947A2" w:rsidRPr="00693B99">
        <w:rPr>
          <w:szCs w:val="22"/>
        </w:rPr>
        <w:t xml:space="preserve">sharer and sharee </w:t>
      </w:r>
      <w:r w:rsidRPr="00693B99">
        <w:rPr>
          <w:szCs w:val="22"/>
        </w:rPr>
        <w:t>must submit a</w:t>
      </w:r>
      <w:r w:rsidR="00D53E10" w:rsidRPr="00693B99">
        <w:rPr>
          <w:szCs w:val="22"/>
        </w:rPr>
        <w:t>pplications for license on FCC Form 2100 – Schedule B (full power</w:t>
      </w:r>
      <w:r w:rsidR="007A7665" w:rsidRPr="00693B99">
        <w:rPr>
          <w:szCs w:val="22"/>
        </w:rPr>
        <w:t xml:space="preserve"> stations</w:t>
      </w:r>
      <w:r w:rsidR="00D53E10" w:rsidRPr="00693B99">
        <w:rPr>
          <w:szCs w:val="22"/>
        </w:rPr>
        <w:t>) and Schedule F (Class A</w:t>
      </w:r>
      <w:r w:rsidR="007A7665" w:rsidRPr="00693B99">
        <w:rPr>
          <w:szCs w:val="22"/>
        </w:rPr>
        <w:t xml:space="preserve"> stations</w:t>
      </w:r>
      <w:r w:rsidR="00D53E10" w:rsidRPr="00693B99">
        <w:rPr>
          <w:szCs w:val="22"/>
        </w:rPr>
        <w:t>)</w:t>
      </w:r>
      <w:r w:rsidR="008E7020" w:rsidRPr="00693B99">
        <w:rPr>
          <w:szCs w:val="22"/>
        </w:rPr>
        <w:t xml:space="preserve"> </w:t>
      </w:r>
      <w:r w:rsidR="00D53E10" w:rsidRPr="00693B99">
        <w:rPr>
          <w:szCs w:val="22"/>
        </w:rPr>
        <w:t>via LMS</w:t>
      </w:r>
      <w:r w:rsidR="009D5D8B" w:rsidRPr="00693B99">
        <w:rPr>
          <w:szCs w:val="22"/>
        </w:rPr>
        <w:t xml:space="preserve"> following the instructions in Appendix A</w:t>
      </w:r>
      <w:r w:rsidR="00D53E10" w:rsidRPr="00693B99">
        <w:rPr>
          <w:szCs w:val="22"/>
        </w:rPr>
        <w:t>.</w:t>
      </w:r>
      <w:r w:rsidRPr="00693B99">
        <w:rPr>
          <w:rStyle w:val="FootnoteReference"/>
        </w:rPr>
        <w:footnoteReference w:id="150"/>
      </w:r>
      <w:r w:rsidR="00D53E10" w:rsidRPr="00693B99">
        <w:rPr>
          <w:szCs w:val="22"/>
        </w:rPr>
        <w:t xml:space="preserve">  This process may need to be completed twice if the sharer becomes a reassigned station and the sharee decides to share the sharer’s pre-auction channel while it is waiting for the sharer to complete its transition to its post-auction channel</w:t>
      </w:r>
      <w:r w:rsidR="00DA6EB8" w:rsidRPr="00693B99">
        <w:rPr>
          <w:szCs w:val="22"/>
        </w:rPr>
        <w:t xml:space="preserve">, </w:t>
      </w:r>
      <w:r w:rsidR="005112D2" w:rsidRPr="00693B99">
        <w:rPr>
          <w:szCs w:val="22"/>
        </w:rPr>
        <w:t xml:space="preserve">i.e., </w:t>
      </w:r>
      <w:r w:rsidR="00DA6EB8" w:rsidRPr="00693B99">
        <w:rPr>
          <w:szCs w:val="22"/>
        </w:rPr>
        <w:t xml:space="preserve">once for the </w:t>
      </w:r>
      <w:r w:rsidR="005112D2" w:rsidRPr="00693B99">
        <w:rPr>
          <w:szCs w:val="22"/>
        </w:rPr>
        <w:t>sharer’s</w:t>
      </w:r>
      <w:r w:rsidR="00DA6EB8" w:rsidRPr="00693B99">
        <w:rPr>
          <w:szCs w:val="22"/>
        </w:rPr>
        <w:t xml:space="preserve"> pre-auction channel and once for the </w:t>
      </w:r>
      <w:r w:rsidR="005112D2" w:rsidRPr="00693B99">
        <w:rPr>
          <w:szCs w:val="22"/>
        </w:rPr>
        <w:t xml:space="preserve">shared </w:t>
      </w:r>
      <w:r w:rsidR="00DA6EB8" w:rsidRPr="00693B99">
        <w:rPr>
          <w:szCs w:val="22"/>
        </w:rPr>
        <w:t>post-auction channel</w:t>
      </w:r>
      <w:r w:rsidR="00D53E10" w:rsidRPr="00693B99">
        <w:rPr>
          <w:szCs w:val="22"/>
        </w:rPr>
        <w:t>.</w:t>
      </w:r>
      <w:r w:rsidR="00DF2632" w:rsidRPr="00693B99">
        <w:rPr>
          <w:rStyle w:val="FootnoteReference"/>
        </w:rPr>
        <w:footnoteReference w:id="151"/>
      </w:r>
    </w:p>
    <w:p w14:paraId="108508BC" w14:textId="77777777" w:rsidR="00DA3400" w:rsidRPr="00693B99" w:rsidRDefault="00DA3400" w:rsidP="00DA3400">
      <w:pPr>
        <w:pStyle w:val="Heading3"/>
        <w:ind w:hanging="1440"/>
        <w:rPr>
          <w:szCs w:val="22"/>
        </w:rPr>
      </w:pPr>
      <w:bookmarkStart w:id="276" w:name="_Toc471732195"/>
      <w:bookmarkStart w:id="277" w:name="_Toc471732271"/>
      <w:bookmarkStart w:id="278" w:name="_Toc471732566"/>
      <w:bookmarkStart w:id="279" w:name="_Toc471732639"/>
      <w:bookmarkStart w:id="280" w:name="_Toc471732902"/>
      <w:bookmarkStart w:id="281" w:name="_Toc471734079"/>
      <w:r w:rsidRPr="00693B99">
        <w:rPr>
          <w:szCs w:val="22"/>
        </w:rPr>
        <w:t>Waiver of Deadline to Commence Shared Operations</w:t>
      </w:r>
      <w:bookmarkEnd w:id="276"/>
      <w:bookmarkEnd w:id="277"/>
      <w:bookmarkEnd w:id="278"/>
      <w:bookmarkEnd w:id="279"/>
      <w:bookmarkEnd w:id="280"/>
      <w:bookmarkEnd w:id="281"/>
    </w:p>
    <w:p w14:paraId="5AACD3AF" w14:textId="77777777" w:rsidR="00B27FDE" w:rsidRPr="00693B99" w:rsidRDefault="00837CC8" w:rsidP="00DA3400">
      <w:pPr>
        <w:numPr>
          <w:ilvl w:val="0"/>
          <w:numId w:val="2"/>
        </w:numPr>
        <w:tabs>
          <w:tab w:val="clear" w:pos="1080"/>
          <w:tab w:val="num" w:pos="1440"/>
        </w:tabs>
        <w:spacing w:after="120"/>
        <w:rPr>
          <w:szCs w:val="22"/>
        </w:rPr>
      </w:pPr>
      <w:r w:rsidRPr="00693B99">
        <w:rPr>
          <w:szCs w:val="22"/>
        </w:rPr>
        <w:t>A c</w:t>
      </w:r>
      <w:r w:rsidR="00A160BF" w:rsidRPr="00693B99">
        <w:rPr>
          <w:szCs w:val="22"/>
        </w:rPr>
        <w:t xml:space="preserve">hannel sharee may request an additional 90 days to discontinue operations </w:t>
      </w:r>
      <w:r w:rsidR="000B60CD" w:rsidRPr="00693B99">
        <w:rPr>
          <w:szCs w:val="22"/>
        </w:rPr>
        <w:t>on its pre-auction channel</w:t>
      </w:r>
      <w:r w:rsidR="00A160BF" w:rsidRPr="00693B99">
        <w:rPr>
          <w:szCs w:val="22"/>
        </w:rPr>
        <w:t xml:space="preserve"> and commence shared operations</w:t>
      </w:r>
      <w:r w:rsidR="005112D2" w:rsidRPr="00693B99">
        <w:rPr>
          <w:szCs w:val="22"/>
        </w:rPr>
        <w:t xml:space="preserve"> by requesting a waiver pursuant to section 1.3 of the </w:t>
      </w:r>
      <w:r w:rsidR="00F701DE" w:rsidRPr="00693B99">
        <w:rPr>
          <w:szCs w:val="22"/>
        </w:rPr>
        <w:t xml:space="preserve">Commission’s </w:t>
      </w:r>
      <w:r w:rsidR="005112D2" w:rsidRPr="00693B99">
        <w:rPr>
          <w:szCs w:val="22"/>
        </w:rPr>
        <w:t>rules</w:t>
      </w:r>
      <w:r w:rsidR="00A160BF" w:rsidRPr="00693B99">
        <w:rPr>
          <w:szCs w:val="22"/>
        </w:rPr>
        <w:t>.</w:t>
      </w:r>
      <w:r w:rsidR="00A160BF" w:rsidRPr="00693B99">
        <w:rPr>
          <w:szCs w:val="22"/>
          <w:vertAlign w:val="superscript"/>
        </w:rPr>
        <w:footnoteReference w:id="152"/>
      </w:r>
      <w:r w:rsidR="00A160BF" w:rsidRPr="00693B99">
        <w:rPr>
          <w:szCs w:val="22"/>
        </w:rPr>
        <w:t xml:space="preserve">  Further, channel sharees may request an additional 90 days (for a total of 180 additional </w:t>
      </w:r>
      <w:r w:rsidR="00C11BA3" w:rsidRPr="00693B99">
        <w:rPr>
          <w:szCs w:val="22"/>
        </w:rPr>
        <w:t>days) using the same procedure.</w:t>
      </w:r>
      <w:r w:rsidR="00A160BF" w:rsidRPr="00693B99">
        <w:rPr>
          <w:szCs w:val="22"/>
          <w:vertAlign w:val="superscript"/>
        </w:rPr>
        <w:footnoteReference w:id="153"/>
      </w:r>
      <w:r w:rsidR="00A160BF" w:rsidRPr="00693B99">
        <w:rPr>
          <w:szCs w:val="22"/>
        </w:rPr>
        <w:t xml:space="preserve"> </w:t>
      </w:r>
      <w:r w:rsidR="000517F2" w:rsidRPr="00693B99">
        <w:rPr>
          <w:szCs w:val="22"/>
        </w:rPr>
        <w:t xml:space="preserve"> </w:t>
      </w:r>
      <w:r w:rsidR="00A12CF8" w:rsidRPr="00693B99">
        <w:rPr>
          <w:szCs w:val="22"/>
        </w:rPr>
        <w:t xml:space="preserve">As outlined more fully in Section V, prior to grant, we will evaluate all requests for waiver of the deadline to commence shared operations to determine whether grant will delay or disrupt the post-auction transition schedule. </w:t>
      </w:r>
      <w:r w:rsidR="006E1A30" w:rsidRPr="00693B99">
        <w:rPr>
          <w:szCs w:val="22"/>
        </w:rPr>
        <w:t xml:space="preserve"> </w:t>
      </w:r>
      <w:r w:rsidR="00A12CF8" w:rsidRPr="00693B99">
        <w:rPr>
          <w:szCs w:val="22"/>
        </w:rPr>
        <w:t>In any event</w:t>
      </w:r>
      <w:r w:rsidR="00A160BF" w:rsidRPr="00693B99">
        <w:rPr>
          <w:szCs w:val="22"/>
        </w:rPr>
        <w:t xml:space="preserve">, no channel sharee will be granted a waiver </w:t>
      </w:r>
      <w:r w:rsidR="005112D2" w:rsidRPr="00693B99">
        <w:rPr>
          <w:szCs w:val="22"/>
        </w:rPr>
        <w:t xml:space="preserve">that would extend its deadline to discontinue operations on its pre-auction channel </w:t>
      </w:r>
      <w:r w:rsidR="00A160BF" w:rsidRPr="00693B99">
        <w:rPr>
          <w:szCs w:val="22"/>
        </w:rPr>
        <w:t>beyond the end of the 39-month transition period.</w:t>
      </w:r>
      <w:r w:rsidR="00A160BF" w:rsidRPr="00693B99">
        <w:rPr>
          <w:szCs w:val="22"/>
          <w:vertAlign w:val="superscript"/>
        </w:rPr>
        <w:footnoteReference w:id="154"/>
      </w:r>
      <w:r w:rsidR="00A160BF" w:rsidRPr="00693B99">
        <w:rPr>
          <w:szCs w:val="22"/>
        </w:rPr>
        <w:t xml:space="preserve">  </w:t>
      </w:r>
    </w:p>
    <w:p w14:paraId="3341D40A" w14:textId="77777777" w:rsidR="00A160BF" w:rsidRPr="00693B99" w:rsidRDefault="00A160BF" w:rsidP="00324072">
      <w:pPr>
        <w:numPr>
          <w:ilvl w:val="0"/>
          <w:numId w:val="2"/>
        </w:numPr>
        <w:tabs>
          <w:tab w:val="clear" w:pos="1080"/>
          <w:tab w:val="num" w:pos="1440"/>
        </w:tabs>
        <w:spacing w:after="120"/>
        <w:rPr>
          <w:szCs w:val="22"/>
        </w:rPr>
      </w:pPr>
      <w:r w:rsidRPr="00693B99">
        <w:rPr>
          <w:szCs w:val="22"/>
        </w:rPr>
        <w:t xml:space="preserve">A station should file such a </w:t>
      </w:r>
      <w:r w:rsidR="005112D2" w:rsidRPr="00693B99">
        <w:rPr>
          <w:szCs w:val="22"/>
        </w:rPr>
        <w:t>request for additional time</w:t>
      </w:r>
      <w:r w:rsidRPr="00693B99">
        <w:rPr>
          <w:szCs w:val="22"/>
        </w:rPr>
        <w:t xml:space="preserve"> as soon as it becomes apparent that it requires additional time prior to discontinuing operations</w:t>
      </w:r>
      <w:r w:rsidR="001524C7" w:rsidRPr="00693B99">
        <w:rPr>
          <w:szCs w:val="22"/>
        </w:rPr>
        <w:t>,</w:t>
      </w:r>
      <w:r w:rsidRPr="00693B99">
        <w:rPr>
          <w:szCs w:val="22"/>
        </w:rPr>
        <w:t xml:space="preserve"> and in no event later than 60 days prior to its deadline for discontinuing operations.  Such requests must be filed electronically via LMS as a request for a legal STA, </w:t>
      </w:r>
      <w:r w:rsidR="008E7020" w:rsidRPr="00693B99">
        <w:rPr>
          <w:szCs w:val="22"/>
        </w:rPr>
        <w:t xml:space="preserve">include the requisite fee, </w:t>
      </w:r>
      <w:r w:rsidRPr="00693B99">
        <w:rPr>
          <w:szCs w:val="22"/>
        </w:rPr>
        <w:t xml:space="preserve">provide the “good cause” waiver showing, and include a proposed discontinuation date not to exceed 90 days beyond the </w:t>
      </w:r>
      <w:r w:rsidR="005112D2" w:rsidRPr="00693B99">
        <w:rPr>
          <w:szCs w:val="22"/>
        </w:rPr>
        <w:t xml:space="preserve">current </w:t>
      </w:r>
      <w:r w:rsidRPr="00693B99">
        <w:rPr>
          <w:szCs w:val="22"/>
        </w:rPr>
        <w:t>date to discontinue operations.  Instructions for filing via LMS are contained in Appendix A.  A copy of the request should also be e-mailed to</w:t>
      </w:r>
      <w:r w:rsidR="001524C7" w:rsidRPr="00693B99">
        <w:rPr>
          <w:szCs w:val="22"/>
        </w:rPr>
        <w:t xml:space="preserve">: </w:t>
      </w:r>
      <w:r w:rsidRPr="00693B99">
        <w:rPr>
          <w:szCs w:val="22"/>
        </w:rPr>
        <w:t xml:space="preserve"> </w:t>
      </w:r>
      <w:r w:rsidR="004342C3" w:rsidRPr="00693B99">
        <w:rPr>
          <w:szCs w:val="22"/>
          <w:u w:val="single"/>
        </w:rPr>
        <w:t>IATransitionlicensing@fcc.gov</w:t>
      </w:r>
      <w:r w:rsidRPr="00693B99">
        <w:rPr>
          <w:szCs w:val="22"/>
        </w:rPr>
        <w:t>.</w:t>
      </w:r>
    </w:p>
    <w:p w14:paraId="7F7059F2" w14:textId="77777777" w:rsidR="00324072" w:rsidRPr="00693B99" w:rsidRDefault="00324072" w:rsidP="001C7D45">
      <w:pPr>
        <w:pStyle w:val="Heading3"/>
        <w:ind w:hanging="1440"/>
        <w:rPr>
          <w:szCs w:val="22"/>
        </w:rPr>
      </w:pPr>
      <w:bookmarkStart w:id="282" w:name="_Toc466014548"/>
      <w:bookmarkStart w:id="283" w:name="_Toc466019489"/>
      <w:bookmarkStart w:id="284" w:name="_Toc468178175"/>
      <w:bookmarkStart w:id="285" w:name="_Toc471732196"/>
      <w:bookmarkStart w:id="286" w:name="_Toc471732272"/>
      <w:bookmarkStart w:id="287" w:name="_Toc471732567"/>
      <w:bookmarkStart w:id="288" w:name="_Toc471732640"/>
      <w:bookmarkStart w:id="289" w:name="_Toc471732903"/>
      <w:bookmarkStart w:id="290" w:name="_Toc471734080"/>
      <w:r w:rsidRPr="00693B99">
        <w:rPr>
          <w:szCs w:val="22"/>
        </w:rPr>
        <w:t>Notice to Viewers</w:t>
      </w:r>
      <w:bookmarkEnd w:id="282"/>
      <w:bookmarkEnd w:id="283"/>
      <w:bookmarkEnd w:id="284"/>
      <w:bookmarkEnd w:id="285"/>
      <w:bookmarkEnd w:id="286"/>
      <w:bookmarkEnd w:id="287"/>
      <w:bookmarkEnd w:id="288"/>
      <w:bookmarkEnd w:id="289"/>
      <w:bookmarkEnd w:id="290"/>
      <w:r w:rsidRPr="00693B99">
        <w:rPr>
          <w:szCs w:val="22"/>
        </w:rPr>
        <w:t xml:space="preserve">  </w:t>
      </w:r>
    </w:p>
    <w:p w14:paraId="1437A2B6" w14:textId="77777777" w:rsidR="00D53E10" w:rsidRPr="00693B99" w:rsidRDefault="00D53E10" w:rsidP="00324072">
      <w:pPr>
        <w:numPr>
          <w:ilvl w:val="0"/>
          <w:numId w:val="2"/>
        </w:numPr>
        <w:tabs>
          <w:tab w:val="clear" w:pos="1080"/>
          <w:tab w:val="num" w:pos="1440"/>
        </w:tabs>
        <w:spacing w:after="120"/>
        <w:rPr>
          <w:szCs w:val="22"/>
        </w:rPr>
      </w:pPr>
      <w:r w:rsidRPr="00693B99">
        <w:rPr>
          <w:szCs w:val="22"/>
        </w:rPr>
        <w:t>Channel sharees must air notifications alerting their viewers prior to transition</w:t>
      </w:r>
      <w:r w:rsidR="001524C7" w:rsidRPr="00693B99">
        <w:rPr>
          <w:szCs w:val="22"/>
        </w:rPr>
        <w:t>ing</w:t>
      </w:r>
      <w:r w:rsidRPr="00693B99">
        <w:rPr>
          <w:szCs w:val="22"/>
        </w:rPr>
        <w:t xml:space="preserve"> to their shared channels.</w:t>
      </w:r>
      <w:r w:rsidR="003050BF" w:rsidRPr="00693B99">
        <w:rPr>
          <w:szCs w:val="22"/>
        </w:rPr>
        <w:t xml:space="preserve"> </w:t>
      </w:r>
      <w:r w:rsidRPr="00693B99">
        <w:rPr>
          <w:szCs w:val="22"/>
        </w:rPr>
        <w:t xml:space="preserve"> These stations must air, at a minimum, either 60 seconds of on-air consumer education PSAs or 60 seconds of crawls per day for 30 days prior to termination of operations on their pre-auction</w:t>
      </w:r>
      <w:r w:rsidR="00A30D6E" w:rsidRPr="00693B99">
        <w:rPr>
          <w:szCs w:val="22"/>
        </w:rPr>
        <w:t xml:space="preserve"> </w:t>
      </w:r>
      <w:r w:rsidRPr="00693B99">
        <w:rPr>
          <w:szCs w:val="22"/>
        </w:rPr>
        <w:t>channels.</w:t>
      </w:r>
      <w:r w:rsidRPr="00693B99">
        <w:rPr>
          <w:szCs w:val="22"/>
          <w:vertAlign w:val="superscript"/>
        </w:rPr>
        <w:footnoteReference w:id="155"/>
      </w:r>
      <w:r w:rsidRPr="00693B99">
        <w:rPr>
          <w:szCs w:val="22"/>
        </w:rPr>
        <w:t xml:space="preserve">  Stations will have the discretion to choose the timeslots for these PSAs or crawls.</w:t>
      </w:r>
      <w:r w:rsidRPr="00693B99">
        <w:rPr>
          <w:szCs w:val="22"/>
          <w:vertAlign w:val="superscript"/>
        </w:rPr>
        <w:footnoteReference w:id="156"/>
      </w:r>
      <w:r w:rsidRPr="00693B99">
        <w:rPr>
          <w:szCs w:val="22"/>
        </w:rPr>
        <w:t xml:space="preserve">  Transition PSAs and crawls must conform to the requirements set forth in the rules</w:t>
      </w:r>
      <w:r w:rsidRPr="00693B99">
        <w:rPr>
          <w:kern w:val="0"/>
          <w:szCs w:val="22"/>
        </w:rPr>
        <w:t>.</w:t>
      </w:r>
      <w:r w:rsidRPr="00693B99">
        <w:rPr>
          <w:kern w:val="0"/>
          <w:szCs w:val="22"/>
          <w:vertAlign w:val="superscript"/>
        </w:rPr>
        <w:footnoteReference w:id="157"/>
      </w:r>
      <w:r w:rsidRPr="00693B99">
        <w:rPr>
          <w:kern w:val="0"/>
          <w:szCs w:val="22"/>
        </w:rPr>
        <w:t xml:space="preserve">  </w:t>
      </w:r>
      <w:r w:rsidRPr="00693B99">
        <w:rPr>
          <w:szCs w:val="22"/>
        </w:rPr>
        <w:t xml:space="preserve">Stations must include a certification that they have complied with the viewer notification requirements in their online public file within </w:t>
      </w:r>
      <w:r w:rsidR="00CF6A2A" w:rsidRPr="00693B99">
        <w:rPr>
          <w:szCs w:val="22"/>
        </w:rPr>
        <w:t>30</w:t>
      </w:r>
      <w:r w:rsidRPr="00693B99">
        <w:rPr>
          <w:szCs w:val="22"/>
        </w:rPr>
        <w:t xml:space="preserve"> days after beginning operations on their shared channel.</w:t>
      </w:r>
      <w:r w:rsidRPr="00693B99">
        <w:rPr>
          <w:szCs w:val="22"/>
          <w:vertAlign w:val="superscript"/>
        </w:rPr>
        <w:footnoteReference w:id="158"/>
      </w:r>
      <w:r w:rsidRPr="00693B99">
        <w:rPr>
          <w:szCs w:val="22"/>
        </w:rPr>
        <w:t xml:space="preserve">  Sharer stations are only required to air viewer notifications if they become a reassigned station as a result of </w:t>
      </w:r>
      <w:r w:rsidR="001524C7" w:rsidRPr="00693B99">
        <w:rPr>
          <w:szCs w:val="22"/>
        </w:rPr>
        <w:t xml:space="preserve">the </w:t>
      </w:r>
      <w:r w:rsidRPr="00693B99">
        <w:rPr>
          <w:szCs w:val="22"/>
        </w:rPr>
        <w:t>repacking.</w:t>
      </w:r>
      <w:r w:rsidRPr="00693B99">
        <w:rPr>
          <w:szCs w:val="22"/>
          <w:vertAlign w:val="superscript"/>
        </w:rPr>
        <w:footnoteReference w:id="159"/>
      </w:r>
      <w:r w:rsidR="00A41E06" w:rsidRPr="00693B99">
        <w:rPr>
          <w:rStyle w:val="cohovertext"/>
          <w:szCs w:val="22"/>
        </w:rPr>
        <w:t xml:space="preserve"> </w:t>
      </w:r>
    </w:p>
    <w:p w14:paraId="3569D518" w14:textId="77777777" w:rsidR="00324072" w:rsidRPr="00693B99" w:rsidRDefault="00324072" w:rsidP="001C7D45">
      <w:pPr>
        <w:pStyle w:val="Heading3"/>
        <w:ind w:hanging="1440"/>
        <w:rPr>
          <w:szCs w:val="22"/>
        </w:rPr>
      </w:pPr>
      <w:bookmarkStart w:id="291" w:name="_Toc466014549"/>
      <w:bookmarkStart w:id="292" w:name="_Toc466019490"/>
      <w:bookmarkStart w:id="293" w:name="_Toc468178176"/>
      <w:bookmarkStart w:id="294" w:name="_Toc471732197"/>
      <w:bookmarkStart w:id="295" w:name="_Toc471732273"/>
      <w:bookmarkStart w:id="296" w:name="_Toc471732568"/>
      <w:bookmarkStart w:id="297" w:name="_Toc471732641"/>
      <w:bookmarkStart w:id="298" w:name="_Toc471732904"/>
      <w:bookmarkStart w:id="299" w:name="_Toc471734081"/>
      <w:r w:rsidRPr="00693B99">
        <w:rPr>
          <w:szCs w:val="22"/>
        </w:rPr>
        <w:t>Notice to MVPDs</w:t>
      </w:r>
      <w:bookmarkEnd w:id="291"/>
      <w:bookmarkEnd w:id="292"/>
      <w:bookmarkEnd w:id="293"/>
      <w:bookmarkEnd w:id="294"/>
      <w:bookmarkEnd w:id="295"/>
      <w:bookmarkEnd w:id="296"/>
      <w:bookmarkEnd w:id="297"/>
      <w:bookmarkEnd w:id="298"/>
      <w:bookmarkEnd w:id="299"/>
    </w:p>
    <w:p w14:paraId="3820BD4E" w14:textId="77777777" w:rsidR="00D53E10" w:rsidRPr="00693B99" w:rsidRDefault="00D53E10" w:rsidP="00324072">
      <w:pPr>
        <w:numPr>
          <w:ilvl w:val="0"/>
          <w:numId w:val="2"/>
        </w:numPr>
        <w:tabs>
          <w:tab w:val="clear" w:pos="1080"/>
          <w:tab w:val="num" w:pos="1440"/>
        </w:tabs>
        <w:spacing w:after="120"/>
        <w:rPr>
          <w:szCs w:val="22"/>
        </w:rPr>
      </w:pPr>
      <w:r w:rsidRPr="00693B99">
        <w:rPr>
          <w:szCs w:val="22"/>
        </w:rPr>
        <w:t xml:space="preserve">Channel </w:t>
      </w:r>
      <w:r w:rsidR="00837CC8" w:rsidRPr="00693B99">
        <w:rPr>
          <w:szCs w:val="22"/>
        </w:rPr>
        <w:t>sharing stations</w:t>
      </w:r>
      <w:r w:rsidRPr="00693B99">
        <w:rPr>
          <w:szCs w:val="22"/>
        </w:rPr>
        <w:t xml:space="preserve"> must also provide notice to MVPDs that no longer will be required to carry </w:t>
      </w:r>
      <w:r w:rsidR="00837CC8" w:rsidRPr="00693B99">
        <w:rPr>
          <w:szCs w:val="22"/>
        </w:rPr>
        <w:t xml:space="preserve">one of </w:t>
      </w:r>
      <w:r w:rsidRPr="00693B99">
        <w:rPr>
          <w:szCs w:val="22"/>
        </w:rPr>
        <w:t>the station</w:t>
      </w:r>
      <w:r w:rsidR="00837CC8" w:rsidRPr="00693B99">
        <w:rPr>
          <w:szCs w:val="22"/>
        </w:rPr>
        <w:t>s</w:t>
      </w:r>
      <w:r w:rsidRPr="00693B99">
        <w:rPr>
          <w:szCs w:val="22"/>
        </w:rPr>
        <w:t xml:space="preserve"> because of the</w:t>
      </w:r>
      <w:r w:rsidR="001524C7" w:rsidRPr="00693B99">
        <w:rPr>
          <w:szCs w:val="22"/>
        </w:rPr>
        <w:t xml:space="preserve"> sharee’s</w:t>
      </w:r>
      <w:r w:rsidRPr="00693B99">
        <w:rPr>
          <w:szCs w:val="22"/>
        </w:rPr>
        <w:t xml:space="preserve"> relocation; </w:t>
      </w:r>
      <w:r w:rsidR="00A41E06" w:rsidRPr="00693B99">
        <w:rPr>
          <w:rStyle w:val="apple-converted-space"/>
          <w:szCs w:val="22"/>
        </w:rPr>
        <w:t>c</w:t>
      </w:r>
      <w:r w:rsidR="00A41E06" w:rsidRPr="00693B99">
        <w:rPr>
          <w:szCs w:val="22"/>
        </w:rPr>
        <w:t xml:space="preserve">urrently carry and will continue to be obligated to carry </w:t>
      </w:r>
      <w:r w:rsidR="00837CC8" w:rsidRPr="00693B99">
        <w:rPr>
          <w:szCs w:val="22"/>
        </w:rPr>
        <w:t xml:space="preserve">the </w:t>
      </w:r>
      <w:r w:rsidR="00A41E06" w:rsidRPr="00693B99">
        <w:rPr>
          <w:szCs w:val="22"/>
        </w:rPr>
        <w:t xml:space="preserve">sharee; </w:t>
      </w:r>
      <w:r w:rsidRPr="00693B99">
        <w:rPr>
          <w:szCs w:val="22"/>
        </w:rPr>
        <w:t xml:space="preserve">or will become obligated to carry </w:t>
      </w:r>
      <w:r w:rsidR="00837CC8" w:rsidRPr="00693B99">
        <w:rPr>
          <w:szCs w:val="22"/>
        </w:rPr>
        <w:t>the sharee</w:t>
      </w:r>
      <w:r w:rsidRPr="00693B99">
        <w:rPr>
          <w:szCs w:val="22"/>
        </w:rPr>
        <w:t>.</w:t>
      </w:r>
      <w:r w:rsidRPr="00693B99">
        <w:rPr>
          <w:szCs w:val="22"/>
          <w:vertAlign w:val="superscript"/>
        </w:rPr>
        <w:footnoteReference w:id="160"/>
      </w:r>
      <w:r w:rsidRPr="00693B99">
        <w:rPr>
          <w:szCs w:val="22"/>
        </w:rPr>
        <w:t xml:space="preserve">  The required notice must be provided in the form of a letter and must include</w:t>
      </w:r>
      <w:r w:rsidR="001E069B" w:rsidRPr="00693B99">
        <w:rPr>
          <w:szCs w:val="22"/>
        </w:rPr>
        <w:t>:</w:t>
      </w:r>
      <w:r w:rsidRPr="00693B99">
        <w:rPr>
          <w:szCs w:val="22"/>
        </w:rPr>
        <w:t xml:space="preserve"> (i) date and time of any channel changes; (ii) pre-auction and shared channels; (iii) modification (if any) to antenna position, location or power levels; (iv) stream identification information for channel sharing stations; and (v) engineering staff contact information.</w:t>
      </w:r>
      <w:r w:rsidRPr="00693B99">
        <w:rPr>
          <w:szCs w:val="22"/>
          <w:vertAlign w:val="superscript"/>
        </w:rPr>
        <w:footnoteReference w:id="161"/>
      </w:r>
      <w:r w:rsidRPr="00693B99">
        <w:rPr>
          <w:szCs w:val="22"/>
        </w:rPr>
        <w:t xml:space="preserve">  If any of this information changes during the time that the sharee station is transitioning from its pre-auction to its shared channel, an amended notification must be sent to MVPDs in the same form as the original notice.</w:t>
      </w:r>
      <w:r w:rsidRPr="00693B99">
        <w:rPr>
          <w:szCs w:val="22"/>
          <w:vertAlign w:val="superscript"/>
        </w:rPr>
        <w:footnoteReference w:id="162"/>
      </w:r>
      <w:r w:rsidRPr="00693B99">
        <w:rPr>
          <w:szCs w:val="22"/>
        </w:rPr>
        <w:t xml:space="preserve">  For cable systems, the letter must be addressed to the </w:t>
      </w:r>
      <w:r w:rsidR="00187289" w:rsidRPr="00693B99">
        <w:rPr>
          <w:szCs w:val="22"/>
        </w:rPr>
        <w:t xml:space="preserve">cable </w:t>
      </w:r>
      <w:r w:rsidRPr="00693B99">
        <w:rPr>
          <w:szCs w:val="22"/>
        </w:rPr>
        <w:t>system’s official address of record provided in the cable system’s most recent filing in the COALS Form 322.</w:t>
      </w:r>
      <w:r w:rsidRPr="00693B99">
        <w:rPr>
          <w:szCs w:val="22"/>
          <w:vertAlign w:val="superscript"/>
        </w:rPr>
        <w:footnoteReference w:id="163"/>
      </w:r>
      <w:r w:rsidRPr="00693B99">
        <w:rPr>
          <w:szCs w:val="22"/>
        </w:rPr>
        <w:t xml:space="preserve">  For all other MVPDs, the letter must be addressed to the official corporate address registered with the MVPD’s state of incorporation.</w:t>
      </w:r>
      <w:r w:rsidRPr="00693B99">
        <w:rPr>
          <w:szCs w:val="22"/>
          <w:vertAlign w:val="superscript"/>
        </w:rPr>
        <w:footnoteReference w:id="164"/>
      </w:r>
      <w:r w:rsidRPr="00693B99">
        <w:rPr>
          <w:szCs w:val="22"/>
        </w:rPr>
        <w:t xml:space="preserve">  For sharee stations, the notification must be sent not less than 30 days prior to terminating operations o</w:t>
      </w:r>
      <w:r w:rsidR="00582656" w:rsidRPr="00693B99">
        <w:rPr>
          <w:szCs w:val="22"/>
        </w:rPr>
        <w:t>n</w:t>
      </w:r>
      <w:r w:rsidRPr="00693B99">
        <w:rPr>
          <w:szCs w:val="22"/>
        </w:rPr>
        <w:t xml:space="preserve"> the sharee’s pre-auction channel; and for all channel sharing stations (</w:t>
      </w:r>
      <w:r w:rsidRPr="00693B99">
        <w:rPr>
          <w:i/>
          <w:szCs w:val="22"/>
        </w:rPr>
        <w:t>i.e</w:t>
      </w:r>
      <w:r w:rsidRPr="00693B99">
        <w:rPr>
          <w:szCs w:val="22"/>
        </w:rPr>
        <w:t>., both the sharer and sharee(s)), not less than 30 days prior to initiation of operations on the sharer channel.</w:t>
      </w:r>
      <w:r w:rsidRPr="00693B99">
        <w:rPr>
          <w:szCs w:val="22"/>
          <w:vertAlign w:val="superscript"/>
        </w:rPr>
        <w:footnoteReference w:id="165"/>
      </w:r>
      <w:r w:rsidRPr="00693B99">
        <w:rPr>
          <w:szCs w:val="22"/>
        </w:rPr>
        <w:t xml:space="preserve">  Should a station’s anticipated termination date change due to an unforeseen delay or change in transition plan, the station must send a further notice to affected MVPDs informing them of the new anticipated termination date.</w:t>
      </w:r>
      <w:r w:rsidRPr="00693B99">
        <w:rPr>
          <w:szCs w:val="22"/>
          <w:vertAlign w:val="superscript"/>
        </w:rPr>
        <w:footnoteReference w:id="166"/>
      </w:r>
    </w:p>
    <w:p w14:paraId="5B0B2D08" w14:textId="77777777" w:rsidR="00B568A6" w:rsidRPr="00693B99" w:rsidRDefault="00B568A6" w:rsidP="00B568A6">
      <w:pPr>
        <w:pStyle w:val="Heading1"/>
        <w:rPr>
          <w:rFonts w:ascii="Times New Roman" w:hAnsi="Times New Roman"/>
          <w:szCs w:val="22"/>
        </w:rPr>
      </w:pPr>
      <w:bookmarkStart w:id="300" w:name="_Toc466014532"/>
      <w:bookmarkStart w:id="301" w:name="_Toc466019473"/>
      <w:bookmarkStart w:id="302" w:name="_Toc468178159"/>
      <w:bookmarkStart w:id="303" w:name="_Toc471732198"/>
      <w:bookmarkStart w:id="304" w:name="_Toc471732274"/>
      <w:bookmarkStart w:id="305" w:name="_Toc471732569"/>
      <w:bookmarkStart w:id="306" w:name="_Toc471732642"/>
      <w:bookmarkStart w:id="307" w:name="_Toc471732905"/>
      <w:bookmarkStart w:id="308" w:name="_Toc471734082"/>
      <w:r w:rsidRPr="00693B99">
        <w:rPr>
          <w:rFonts w:ascii="Times New Roman" w:hAnsi="Times New Roman"/>
          <w:szCs w:val="22"/>
        </w:rPr>
        <w:t>Impact on Transition</w:t>
      </w:r>
      <w:bookmarkEnd w:id="300"/>
      <w:bookmarkEnd w:id="301"/>
      <w:bookmarkEnd w:id="302"/>
      <w:bookmarkEnd w:id="303"/>
      <w:bookmarkEnd w:id="304"/>
      <w:bookmarkEnd w:id="305"/>
      <w:bookmarkEnd w:id="306"/>
      <w:bookmarkEnd w:id="307"/>
      <w:bookmarkEnd w:id="308"/>
    </w:p>
    <w:p w14:paraId="56CB61A0" w14:textId="77777777" w:rsidR="00261289" w:rsidRPr="00693B99" w:rsidRDefault="00B568A6" w:rsidP="00B568A6">
      <w:pPr>
        <w:numPr>
          <w:ilvl w:val="0"/>
          <w:numId w:val="2"/>
        </w:numPr>
        <w:tabs>
          <w:tab w:val="clear" w:pos="1080"/>
        </w:tabs>
        <w:spacing w:after="120"/>
        <w:rPr>
          <w:szCs w:val="22"/>
        </w:rPr>
      </w:pPr>
      <w:r w:rsidRPr="00693B99">
        <w:rPr>
          <w:szCs w:val="22"/>
        </w:rPr>
        <w:t xml:space="preserve">In the </w:t>
      </w:r>
      <w:r w:rsidRPr="00693B99">
        <w:rPr>
          <w:i/>
          <w:szCs w:val="22"/>
        </w:rPr>
        <w:t>T</w:t>
      </w:r>
      <w:r w:rsidR="00F87872" w:rsidRPr="00693B99">
        <w:rPr>
          <w:i/>
          <w:szCs w:val="22"/>
        </w:rPr>
        <w:t>ransition Scheduling</w:t>
      </w:r>
      <w:r w:rsidRPr="00693B99">
        <w:rPr>
          <w:i/>
          <w:szCs w:val="22"/>
        </w:rPr>
        <w:t xml:space="preserve"> </w:t>
      </w:r>
      <w:r w:rsidR="00612365" w:rsidRPr="00693B99">
        <w:rPr>
          <w:i/>
          <w:szCs w:val="22"/>
        </w:rPr>
        <w:t xml:space="preserve">Adoption </w:t>
      </w:r>
      <w:r w:rsidRPr="00693B99">
        <w:rPr>
          <w:i/>
          <w:szCs w:val="22"/>
        </w:rPr>
        <w:t>Public Notice</w:t>
      </w:r>
      <w:r w:rsidRPr="00693B99">
        <w:rPr>
          <w:szCs w:val="22"/>
        </w:rPr>
        <w:t xml:space="preserve"> released today, the Media Bureau adopted standards it will </w:t>
      </w:r>
      <w:r w:rsidR="00DA532B" w:rsidRPr="00693B99">
        <w:rPr>
          <w:szCs w:val="22"/>
        </w:rPr>
        <w:t xml:space="preserve">use to </w:t>
      </w:r>
      <w:r w:rsidRPr="00693B99">
        <w:rPr>
          <w:szCs w:val="22"/>
        </w:rPr>
        <w:t>evaluate the impact on the transition of applications filed during the first and second priority windows, applications for extension of time, requests for STAs, and requests for waiver</w:t>
      </w:r>
      <w:r w:rsidR="00DA532B" w:rsidRPr="00693B99">
        <w:rPr>
          <w:szCs w:val="22"/>
        </w:rPr>
        <w:t>s</w:t>
      </w:r>
      <w:r w:rsidRPr="00693B99">
        <w:rPr>
          <w:szCs w:val="22"/>
        </w:rPr>
        <w:t xml:space="preserve"> of deadlines to discontinuation operations on pre-auction channels (“applications/requests”).  Under these standards, the Bureau will examine the impact that grant of an application/request would have on the overall transition schedule by, for example, evaluating whether the application/request may create new, or affect existing,</w:t>
      </w:r>
      <w:r w:rsidR="004863C3" w:rsidRPr="00693B99">
        <w:rPr>
          <w:szCs w:val="22"/>
        </w:rPr>
        <w:t xml:space="preserve"> dependencies</w:t>
      </w:r>
      <w:r w:rsidRPr="00693B99">
        <w:rPr>
          <w:szCs w:val="22"/>
        </w:rPr>
        <w:t>.</w:t>
      </w:r>
      <w:r w:rsidRPr="00693B99">
        <w:rPr>
          <w:szCs w:val="22"/>
          <w:vertAlign w:val="superscript"/>
        </w:rPr>
        <w:footnoteReference w:id="167"/>
      </w:r>
      <w:r w:rsidRPr="00693B99">
        <w:rPr>
          <w:szCs w:val="22"/>
        </w:rPr>
        <w:t xml:space="preserve">  The Media Bureau will view favorably applications/requests that are otherwise compliant with our rules and have little or no impact on </w:t>
      </w:r>
      <w:r w:rsidR="00DA532B" w:rsidRPr="00693B99">
        <w:rPr>
          <w:szCs w:val="22"/>
        </w:rPr>
        <w:t>other stations’</w:t>
      </w:r>
      <w:r w:rsidRPr="00693B99">
        <w:rPr>
          <w:szCs w:val="22"/>
        </w:rPr>
        <w:t xml:space="preserve"> transition schedule.</w:t>
      </w:r>
      <w:r w:rsidRPr="00693B99">
        <w:rPr>
          <w:szCs w:val="22"/>
          <w:vertAlign w:val="superscript"/>
        </w:rPr>
        <w:footnoteReference w:id="168"/>
      </w:r>
      <w:r w:rsidRPr="00693B99">
        <w:rPr>
          <w:szCs w:val="22"/>
        </w:rPr>
        <w:t xml:space="preserve">  In contrast, the </w:t>
      </w:r>
      <w:r w:rsidR="00DA532B" w:rsidRPr="00693B99">
        <w:rPr>
          <w:szCs w:val="22"/>
        </w:rPr>
        <w:t xml:space="preserve">Media </w:t>
      </w:r>
      <w:r w:rsidRPr="00693B99">
        <w:rPr>
          <w:szCs w:val="22"/>
        </w:rPr>
        <w:t>Bureau will view unfavorably any application/request that the staff determines would be likely to delay or disrupt the transition, such as by causing temporary pairwise interference to another station above the two percent</w:t>
      </w:r>
      <w:r w:rsidR="00F87872" w:rsidRPr="00693B99">
        <w:rPr>
          <w:szCs w:val="22"/>
        </w:rPr>
        <w:t xml:space="preserve"> authorized in the</w:t>
      </w:r>
      <w:r w:rsidRPr="00693B99">
        <w:rPr>
          <w:szCs w:val="22"/>
        </w:rPr>
        <w:t xml:space="preserve"> </w:t>
      </w:r>
      <w:r w:rsidR="00F00D2D" w:rsidRPr="00693B99">
        <w:rPr>
          <w:i/>
          <w:szCs w:val="22"/>
        </w:rPr>
        <w:t>T</w:t>
      </w:r>
      <w:r w:rsidR="00F87872" w:rsidRPr="00693B99">
        <w:rPr>
          <w:i/>
          <w:szCs w:val="22"/>
        </w:rPr>
        <w:t>ransition Scheduling</w:t>
      </w:r>
      <w:r w:rsidR="00F00D2D" w:rsidRPr="00693B99">
        <w:rPr>
          <w:i/>
          <w:szCs w:val="22"/>
        </w:rPr>
        <w:t xml:space="preserve"> </w:t>
      </w:r>
      <w:r w:rsidR="00612365" w:rsidRPr="00693B99">
        <w:rPr>
          <w:i/>
          <w:szCs w:val="22"/>
        </w:rPr>
        <w:t xml:space="preserve">Adoption </w:t>
      </w:r>
      <w:r w:rsidRPr="00693B99">
        <w:rPr>
          <w:i/>
          <w:szCs w:val="22"/>
        </w:rPr>
        <w:t>Public Notice</w:t>
      </w:r>
      <w:r w:rsidRPr="00693B99">
        <w:rPr>
          <w:szCs w:val="22"/>
        </w:rPr>
        <w:t>, creating additional linked-station sets, necessitating changes to the construction permit deadlines for other station</w:t>
      </w:r>
      <w:r w:rsidR="00DA532B" w:rsidRPr="00693B99">
        <w:rPr>
          <w:szCs w:val="22"/>
        </w:rPr>
        <w:t>(</w:t>
      </w:r>
      <w:r w:rsidRPr="00693B99">
        <w:rPr>
          <w:szCs w:val="22"/>
        </w:rPr>
        <w:t>s</w:t>
      </w:r>
      <w:r w:rsidR="00DA532B" w:rsidRPr="00693B99">
        <w:rPr>
          <w:szCs w:val="22"/>
        </w:rPr>
        <w:t>)</w:t>
      </w:r>
      <w:r w:rsidRPr="00693B99">
        <w:rPr>
          <w:szCs w:val="22"/>
        </w:rPr>
        <w:t>, or likely causing a strain on limited transition resources required by other stations.</w:t>
      </w:r>
      <w:r w:rsidRPr="00693B99">
        <w:rPr>
          <w:szCs w:val="22"/>
          <w:vertAlign w:val="superscript"/>
        </w:rPr>
        <w:footnoteReference w:id="169"/>
      </w:r>
      <w:r w:rsidRPr="00693B99">
        <w:rPr>
          <w:szCs w:val="22"/>
        </w:rPr>
        <w:t xml:space="preserve">  The </w:t>
      </w:r>
      <w:r w:rsidR="00DA532B" w:rsidRPr="00693B99">
        <w:rPr>
          <w:szCs w:val="22"/>
        </w:rPr>
        <w:t xml:space="preserve">Media </w:t>
      </w:r>
      <w:r w:rsidRPr="00693B99">
        <w:rPr>
          <w:szCs w:val="22"/>
        </w:rPr>
        <w:t>Bureau will also view applications/requests that would have such adverse effects more favorably if the requesting station demonstrates that it has the approval of all the stations that would be affected</w:t>
      </w:r>
      <w:r w:rsidR="00107B98" w:rsidRPr="00693B99">
        <w:rPr>
          <w:szCs w:val="22"/>
        </w:rPr>
        <w:t>,</w:t>
      </w:r>
      <w:r w:rsidRPr="00693B99">
        <w:rPr>
          <w:szCs w:val="22"/>
        </w:rPr>
        <w:t xml:space="preserve"> or it </w:t>
      </w:r>
      <w:r w:rsidR="00DA204F" w:rsidRPr="00693B99">
        <w:rPr>
          <w:szCs w:val="22"/>
        </w:rPr>
        <w:t>agrees to take steps during the</w:t>
      </w:r>
      <w:r w:rsidRPr="00693B99">
        <w:rPr>
          <w:szCs w:val="22"/>
        </w:rPr>
        <w:t xml:space="preserve"> transition period to mitigate the impact of the proposed request—such as accepting additional levels of temporarily increased interference</w:t>
      </w:r>
      <w:r w:rsidR="00107B98" w:rsidRPr="00693B99">
        <w:rPr>
          <w:szCs w:val="22"/>
        </w:rPr>
        <w:t>,</w:t>
      </w:r>
      <w:r w:rsidRPr="00693B99" w:rsidDel="00E564D1">
        <w:rPr>
          <w:szCs w:val="22"/>
        </w:rPr>
        <w:t xml:space="preserve"> </w:t>
      </w:r>
      <w:r w:rsidRPr="00693B99">
        <w:rPr>
          <w:szCs w:val="22"/>
        </w:rPr>
        <w:t>or</w:t>
      </w:r>
      <w:r w:rsidRPr="00693B99" w:rsidDel="0045550F">
        <w:rPr>
          <w:szCs w:val="22"/>
        </w:rPr>
        <w:t xml:space="preserve"> </w:t>
      </w:r>
      <w:r w:rsidRPr="00693B99">
        <w:rPr>
          <w:szCs w:val="22"/>
        </w:rPr>
        <w:t>operating with reduced facilities at variance from its pre-auction licensed parameters.</w:t>
      </w:r>
    </w:p>
    <w:p w14:paraId="536D092C" w14:textId="1CFB6D09" w:rsidR="00DA3400" w:rsidRPr="00693B99" w:rsidRDefault="00261289" w:rsidP="00261289">
      <w:pPr>
        <w:numPr>
          <w:ilvl w:val="0"/>
          <w:numId w:val="2"/>
        </w:numPr>
        <w:tabs>
          <w:tab w:val="clear" w:pos="1080"/>
        </w:tabs>
        <w:spacing w:after="120"/>
        <w:rPr>
          <w:szCs w:val="22"/>
        </w:rPr>
      </w:pPr>
      <w:r w:rsidRPr="00693B99">
        <w:rPr>
          <w:szCs w:val="22"/>
        </w:rPr>
        <w:t xml:space="preserve">The Media Bureau will evaluate each request on a case-by-case basis.  </w:t>
      </w:r>
      <w:r w:rsidR="00B568A6" w:rsidRPr="00693B99">
        <w:rPr>
          <w:szCs w:val="22"/>
        </w:rPr>
        <w:t>After evaluating applications/requests, the Media Bureau may modify construction deadlines to enable the grant of a request.</w:t>
      </w:r>
      <w:r w:rsidR="00B568A6" w:rsidRPr="00693B99">
        <w:rPr>
          <w:szCs w:val="22"/>
          <w:vertAlign w:val="superscript"/>
        </w:rPr>
        <w:footnoteReference w:id="170"/>
      </w:r>
      <w:r w:rsidR="00B568A6" w:rsidRPr="00693B99">
        <w:rPr>
          <w:szCs w:val="22"/>
        </w:rPr>
        <w:t xml:space="preserve">  </w:t>
      </w:r>
      <w:r w:rsidRPr="00693B99">
        <w:rPr>
          <w:szCs w:val="22"/>
        </w:rPr>
        <w:t xml:space="preserve">To the extent that the Media Bureau denies a request for a station to continue operating on its pre-auction channel past its </w:t>
      </w:r>
      <w:r w:rsidR="008E0D99" w:rsidRPr="00693B99">
        <w:rPr>
          <w:szCs w:val="22"/>
        </w:rPr>
        <w:t>phase completion date</w:t>
      </w:r>
      <w:r w:rsidRPr="00693B99">
        <w:rPr>
          <w:szCs w:val="22"/>
        </w:rPr>
        <w:t>, the Media Bureau noted that stations can explore a variety of options to assist with their post-auction transitions, including the use of temporary channels and interim or auxiliary facilities.</w:t>
      </w:r>
      <w:r w:rsidRPr="00693B99">
        <w:rPr>
          <w:rStyle w:val="FootnoteReference"/>
        </w:rPr>
        <w:footnoteReference w:id="171"/>
      </w:r>
    </w:p>
    <w:p w14:paraId="1905B2DB" w14:textId="77777777" w:rsidR="00DA3400" w:rsidRPr="00693B99" w:rsidRDefault="00DA3400" w:rsidP="00DA3400">
      <w:pPr>
        <w:pStyle w:val="Heading1"/>
        <w:rPr>
          <w:rFonts w:ascii="Times New Roman" w:hAnsi="Times New Roman"/>
          <w:szCs w:val="22"/>
        </w:rPr>
      </w:pPr>
      <w:bookmarkStart w:id="309" w:name="_Toc471732199"/>
      <w:bookmarkStart w:id="310" w:name="_Toc471732275"/>
      <w:bookmarkStart w:id="311" w:name="_Toc471732570"/>
      <w:bookmarkStart w:id="312" w:name="_Toc471732643"/>
      <w:bookmarkStart w:id="313" w:name="_Toc471732906"/>
      <w:bookmarkStart w:id="314" w:name="_Toc471734083"/>
      <w:r w:rsidRPr="00693B99">
        <w:rPr>
          <w:rFonts w:ascii="Times New Roman" w:hAnsi="Times New Roman"/>
          <w:szCs w:val="22"/>
        </w:rPr>
        <w:t>R</w:t>
      </w:r>
      <w:r w:rsidR="00A115B3" w:rsidRPr="00693B99">
        <w:rPr>
          <w:rFonts w:ascii="Times New Roman" w:hAnsi="Times New Roman"/>
          <w:szCs w:val="22"/>
        </w:rPr>
        <w:t>eimbursement</w:t>
      </w:r>
      <w:bookmarkEnd w:id="309"/>
      <w:bookmarkEnd w:id="310"/>
      <w:bookmarkEnd w:id="311"/>
      <w:bookmarkEnd w:id="312"/>
      <w:bookmarkEnd w:id="313"/>
      <w:bookmarkEnd w:id="314"/>
    </w:p>
    <w:p w14:paraId="0AAB352F" w14:textId="77777777" w:rsidR="00DA3400" w:rsidRPr="00693B99" w:rsidRDefault="00DA3400" w:rsidP="00DA3400">
      <w:pPr>
        <w:pStyle w:val="Heading2"/>
        <w:rPr>
          <w:szCs w:val="22"/>
        </w:rPr>
      </w:pPr>
      <w:bookmarkStart w:id="315" w:name="_Toc471732200"/>
      <w:bookmarkStart w:id="316" w:name="_Toc471732276"/>
      <w:bookmarkStart w:id="317" w:name="_Toc471732571"/>
      <w:bookmarkStart w:id="318" w:name="_Toc471732644"/>
      <w:bookmarkStart w:id="319" w:name="_Toc471732907"/>
      <w:bookmarkStart w:id="320" w:name="_Toc471734084"/>
      <w:r w:rsidRPr="00693B99">
        <w:rPr>
          <w:szCs w:val="22"/>
        </w:rPr>
        <w:t>Background</w:t>
      </w:r>
      <w:bookmarkEnd w:id="315"/>
      <w:bookmarkEnd w:id="316"/>
      <w:bookmarkEnd w:id="317"/>
      <w:bookmarkEnd w:id="318"/>
      <w:bookmarkEnd w:id="319"/>
      <w:bookmarkEnd w:id="320"/>
    </w:p>
    <w:p w14:paraId="6523F356" w14:textId="77777777" w:rsidR="00324072" w:rsidRPr="00693B99" w:rsidRDefault="0086151B" w:rsidP="00DA3400">
      <w:pPr>
        <w:numPr>
          <w:ilvl w:val="0"/>
          <w:numId w:val="2"/>
        </w:numPr>
        <w:tabs>
          <w:tab w:val="clear" w:pos="1080"/>
        </w:tabs>
        <w:spacing w:after="120"/>
        <w:rPr>
          <w:szCs w:val="22"/>
        </w:rPr>
      </w:pPr>
      <w:r w:rsidRPr="00693B99">
        <w:rPr>
          <w:szCs w:val="22"/>
        </w:rPr>
        <w:t>In this section</w:t>
      </w:r>
      <w:r w:rsidR="00FC587F" w:rsidRPr="00693B99">
        <w:rPr>
          <w:szCs w:val="22"/>
        </w:rPr>
        <w:t>,</w:t>
      </w:r>
      <w:r w:rsidRPr="00693B99">
        <w:rPr>
          <w:szCs w:val="22"/>
        </w:rPr>
        <w:t xml:space="preserve"> we outline the post-auction reimbursement process for reassigned stations</w:t>
      </w:r>
      <w:r w:rsidR="00621624" w:rsidRPr="00693B99">
        <w:rPr>
          <w:szCs w:val="22"/>
        </w:rPr>
        <w:t xml:space="preserve"> </w:t>
      </w:r>
      <w:r w:rsidRPr="00693B99">
        <w:rPr>
          <w:szCs w:val="22"/>
        </w:rPr>
        <w:t>as well as the process by which stations may seek a service rule waiver in lieu of reimbursement.</w:t>
      </w:r>
      <w:r w:rsidR="00621624" w:rsidRPr="00693B99">
        <w:rPr>
          <w:szCs w:val="22"/>
        </w:rPr>
        <w:t xml:space="preserve">  </w:t>
      </w:r>
      <w:r w:rsidR="006B3708" w:rsidRPr="00693B99">
        <w:rPr>
          <w:szCs w:val="22"/>
        </w:rPr>
        <w:t xml:space="preserve">As outlined more fully below, </w:t>
      </w:r>
      <w:r w:rsidR="00C508F4" w:rsidRPr="00693B99">
        <w:rPr>
          <w:szCs w:val="22"/>
        </w:rPr>
        <w:t xml:space="preserve">involuntarily </w:t>
      </w:r>
      <w:r w:rsidR="006B3708" w:rsidRPr="00693B99">
        <w:rPr>
          <w:szCs w:val="22"/>
        </w:rPr>
        <w:t>reassigned stations as well as MVPDs that incur costs by continuing to carry</w:t>
      </w:r>
      <w:r w:rsidR="00C508F4" w:rsidRPr="00693B99">
        <w:rPr>
          <w:szCs w:val="22"/>
        </w:rPr>
        <w:t xml:space="preserve"> such</w:t>
      </w:r>
      <w:r w:rsidR="006B3708" w:rsidRPr="00693B99">
        <w:rPr>
          <w:szCs w:val="22"/>
        </w:rPr>
        <w:t xml:space="preserve"> reassigned stations are eligible for reimbursement of </w:t>
      </w:r>
      <w:r w:rsidR="00C508F4" w:rsidRPr="00693B99">
        <w:rPr>
          <w:szCs w:val="22"/>
        </w:rPr>
        <w:t>their “reasonably incurred” costs</w:t>
      </w:r>
      <w:r w:rsidR="006B3708" w:rsidRPr="00693B99">
        <w:rPr>
          <w:szCs w:val="22"/>
        </w:rPr>
        <w:t>.</w:t>
      </w:r>
      <w:r w:rsidR="00FB6818" w:rsidRPr="00693B99">
        <w:rPr>
          <w:rStyle w:val="FootnoteReference"/>
        </w:rPr>
        <w:footnoteReference w:id="172"/>
      </w:r>
      <w:r w:rsidR="006B3708" w:rsidRPr="00693B99">
        <w:rPr>
          <w:szCs w:val="22"/>
        </w:rPr>
        <w:t xml:space="preserve">  Entities </w:t>
      </w:r>
      <w:r w:rsidR="00E31812" w:rsidRPr="00693B99">
        <w:rPr>
          <w:szCs w:val="22"/>
        </w:rPr>
        <w:t xml:space="preserve">eligible for reimbursement </w:t>
      </w:r>
      <w:r w:rsidR="006B3708" w:rsidRPr="00693B99">
        <w:rPr>
          <w:szCs w:val="22"/>
        </w:rPr>
        <w:t xml:space="preserve">will use FCC Form 2100, Schedule 399 </w:t>
      </w:r>
      <w:r w:rsidR="00E31812" w:rsidRPr="00693B99">
        <w:rPr>
          <w:szCs w:val="22"/>
        </w:rPr>
        <w:t>(</w:t>
      </w:r>
      <w:r w:rsidR="006B3708" w:rsidRPr="00693B99">
        <w:rPr>
          <w:szCs w:val="22"/>
        </w:rPr>
        <w:t>Reimbursement Form</w:t>
      </w:r>
      <w:r w:rsidR="00E31812" w:rsidRPr="00693B99">
        <w:rPr>
          <w:szCs w:val="22"/>
        </w:rPr>
        <w:t>)</w:t>
      </w:r>
      <w:r w:rsidR="00C508F4" w:rsidRPr="00693B99">
        <w:rPr>
          <w:szCs w:val="22"/>
        </w:rPr>
        <w:t>,</w:t>
      </w:r>
      <w:r w:rsidR="006B3708" w:rsidRPr="00693B99">
        <w:rPr>
          <w:szCs w:val="22"/>
        </w:rPr>
        <w:t xml:space="preserve"> to submit </w:t>
      </w:r>
      <w:r w:rsidR="00187289" w:rsidRPr="00693B99">
        <w:rPr>
          <w:szCs w:val="22"/>
        </w:rPr>
        <w:t xml:space="preserve">both </w:t>
      </w:r>
      <w:r w:rsidR="00C508F4" w:rsidRPr="00693B99">
        <w:rPr>
          <w:szCs w:val="22"/>
        </w:rPr>
        <w:t xml:space="preserve">their </w:t>
      </w:r>
      <w:r w:rsidR="006B3708" w:rsidRPr="00693B99">
        <w:rPr>
          <w:szCs w:val="22"/>
        </w:rPr>
        <w:t>estimated costs and</w:t>
      </w:r>
      <w:r w:rsidR="00C508F4" w:rsidRPr="00693B99">
        <w:rPr>
          <w:szCs w:val="22"/>
        </w:rPr>
        <w:t>, after incurring the costs,</w:t>
      </w:r>
      <w:r w:rsidR="006B3708" w:rsidRPr="00693B99">
        <w:rPr>
          <w:szCs w:val="22"/>
        </w:rPr>
        <w:t xml:space="preserve"> actual reimbursement requests with documentation s</w:t>
      </w:r>
      <w:r w:rsidR="00E31812" w:rsidRPr="00693B99">
        <w:rPr>
          <w:szCs w:val="22"/>
        </w:rPr>
        <w:t>ubstantiating</w:t>
      </w:r>
      <w:r w:rsidR="006B3708" w:rsidRPr="00693B99">
        <w:rPr>
          <w:szCs w:val="22"/>
        </w:rPr>
        <w:t xml:space="preserve"> </w:t>
      </w:r>
      <w:r w:rsidR="00E31812" w:rsidRPr="00693B99">
        <w:rPr>
          <w:szCs w:val="22"/>
        </w:rPr>
        <w:t xml:space="preserve">all such </w:t>
      </w:r>
      <w:r w:rsidR="006B3708" w:rsidRPr="00693B99">
        <w:rPr>
          <w:szCs w:val="22"/>
        </w:rPr>
        <w:t>expenses incurred.  In lieu of receiving reimbursement, reassigned stations may request a waiver of the Commission</w:t>
      </w:r>
      <w:r w:rsidR="00E31812" w:rsidRPr="00693B99">
        <w:rPr>
          <w:szCs w:val="22"/>
        </w:rPr>
        <w:t>’s</w:t>
      </w:r>
      <w:r w:rsidR="006B3708" w:rsidRPr="00693B99">
        <w:rPr>
          <w:szCs w:val="22"/>
        </w:rPr>
        <w:t xml:space="preserve"> service rules permitting the station to make flexible use of </w:t>
      </w:r>
      <w:r w:rsidR="00E31812" w:rsidRPr="00693B99">
        <w:rPr>
          <w:szCs w:val="22"/>
        </w:rPr>
        <w:t>the post-auction channel</w:t>
      </w:r>
      <w:r w:rsidR="006B3708" w:rsidRPr="00693B99">
        <w:rPr>
          <w:szCs w:val="22"/>
        </w:rPr>
        <w:t xml:space="preserve"> spectrum to provide service</w:t>
      </w:r>
      <w:r w:rsidR="00D42317" w:rsidRPr="00693B99">
        <w:rPr>
          <w:szCs w:val="22"/>
        </w:rPr>
        <w:t>s</w:t>
      </w:r>
      <w:r w:rsidR="006B3708" w:rsidRPr="00693B99">
        <w:rPr>
          <w:szCs w:val="22"/>
        </w:rPr>
        <w:t xml:space="preserve"> other than</w:t>
      </w:r>
      <w:r w:rsidR="00FB6818" w:rsidRPr="00693B99">
        <w:rPr>
          <w:szCs w:val="22"/>
        </w:rPr>
        <w:t xml:space="preserve"> broadcast television services</w:t>
      </w:r>
      <w:r w:rsidR="00FB6818" w:rsidRPr="00693B99">
        <w:rPr>
          <w:szCs w:val="22"/>
          <w:vertAlign w:val="subscript"/>
        </w:rPr>
        <w:t>.</w:t>
      </w:r>
      <w:r w:rsidR="00FB6818" w:rsidRPr="00693B99">
        <w:rPr>
          <w:rStyle w:val="FootnoteReference"/>
        </w:rPr>
        <w:footnoteReference w:id="173"/>
      </w:r>
    </w:p>
    <w:p w14:paraId="2F3B0AFA" w14:textId="77777777" w:rsidR="00021785" w:rsidRPr="00693B99" w:rsidRDefault="00021785" w:rsidP="00021785">
      <w:pPr>
        <w:pStyle w:val="Heading2"/>
        <w:rPr>
          <w:szCs w:val="22"/>
        </w:rPr>
      </w:pPr>
      <w:bookmarkStart w:id="321" w:name="_Toc466014552"/>
      <w:bookmarkStart w:id="322" w:name="_Toc466019493"/>
      <w:bookmarkStart w:id="323" w:name="_Toc468178179"/>
      <w:bookmarkStart w:id="324" w:name="_Toc471732201"/>
      <w:bookmarkStart w:id="325" w:name="_Toc471732277"/>
      <w:bookmarkStart w:id="326" w:name="_Toc471732572"/>
      <w:bookmarkStart w:id="327" w:name="_Toc471732645"/>
      <w:bookmarkStart w:id="328" w:name="_Toc471732908"/>
      <w:bookmarkStart w:id="329" w:name="_Toc471734085"/>
      <w:r w:rsidRPr="00693B99">
        <w:rPr>
          <w:szCs w:val="22"/>
        </w:rPr>
        <w:t>Reimbursement Cost Estimates</w:t>
      </w:r>
      <w:bookmarkEnd w:id="321"/>
      <w:bookmarkEnd w:id="322"/>
      <w:bookmarkEnd w:id="323"/>
      <w:bookmarkEnd w:id="324"/>
      <w:bookmarkEnd w:id="325"/>
      <w:bookmarkEnd w:id="326"/>
      <w:bookmarkEnd w:id="327"/>
      <w:bookmarkEnd w:id="328"/>
      <w:bookmarkEnd w:id="329"/>
    </w:p>
    <w:p w14:paraId="0720DF68" w14:textId="77777777" w:rsidR="00021785" w:rsidRPr="00693B99" w:rsidRDefault="006B3708" w:rsidP="00021785">
      <w:pPr>
        <w:numPr>
          <w:ilvl w:val="0"/>
          <w:numId w:val="2"/>
        </w:numPr>
        <w:tabs>
          <w:tab w:val="clear" w:pos="1080"/>
          <w:tab w:val="num" w:pos="1440"/>
        </w:tabs>
        <w:spacing w:after="120"/>
        <w:rPr>
          <w:szCs w:val="22"/>
        </w:rPr>
      </w:pPr>
      <w:r w:rsidRPr="00693B99">
        <w:rPr>
          <w:szCs w:val="22"/>
        </w:rPr>
        <w:t xml:space="preserve">Reassigned stations and MVPDs that will incur costs by continuing to carry reassigned stations must file their estimated construction costs for equipment and services no later than </w:t>
      </w:r>
      <w:r w:rsidR="0086151B" w:rsidRPr="00693B99">
        <w:rPr>
          <w:szCs w:val="22"/>
        </w:rPr>
        <w:t xml:space="preserve">90 days </w:t>
      </w:r>
      <w:r w:rsidR="00811005" w:rsidRPr="00693B99">
        <w:rPr>
          <w:szCs w:val="22"/>
        </w:rPr>
        <w:t>after</w:t>
      </w:r>
      <w:r w:rsidRPr="00693B99">
        <w:rPr>
          <w:szCs w:val="22"/>
        </w:rPr>
        <w:t xml:space="preserve"> release of the </w:t>
      </w:r>
      <w:r w:rsidRPr="00693B99">
        <w:rPr>
          <w:i/>
          <w:szCs w:val="22"/>
        </w:rPr>
        <w:t>C</w:t>
      </w:r>
      <w:r w:rsidR="00781AFF" w:rsidRPr="00693B99">
        <w:rPr>
          <w:i/>
          <w:szCs w:val="22"/>
        </w:rPr>
        <w:t>losing and</w:t>
      </w:r>
      <w:r w:rsidR="00012DF5" w:rsidRPr="00693B99">
        <w:rPr>
          <w:i/>
          <w:szCs w:val="22"/>
        </w:rPr>
        <w:t xml:space="preserve"> </w:t>
      </w:r>
      <w:r w:rsidR="0001521A" w:rsidRPr="00693B99">
        <w:rPr>
          <w:i/>
          <w:szCs w:val="22"/>
        </w:rPr>
        <w:t>Reassignment</w:t>
      </w:r>
      <w:r w:rsidRPr="00693B99">
        <w:rPr>
          <w:i/>
          <w:szCs w:val="22"/>
        </w:rPr>
        <w:t xml:space="preserve"> P</w:t>
      </w:r>
      <w:r w:rsidR="00FF1531" w:rsidRPr="00693B99">
        <w:rPr>
          <w:i/>
          <w:szCs w:val="22"/>
        </w:rPr>
        <w:t>ublic Notice</w:t>
      </w:r>
      <w:r w:rsidRPr="00693B99">
        <w:rPr>
          <w:szCs w:val="22"/>
        </w:rPr>
        <w:t>.</w:t>
      </w:r>
      <w:r w:rsidR="005500ED" w:rsidRPr="00693B99">
        <w:rPr>
          <w:rStyle w:val="FootnoteReference"/>
        </w:rPr>
        <w:footnoteReference w:id="174"/>
      </w:r>
      <w:r w:rsidRPr="00693B99">
        <w:rPr>
          <w:szCs w:val="22"/>
        </w:rPr>
        <w:t xml:space="preserve">  After reviewing the cost estimates submitted, the Media Bureau will make an initial </w:t>
      </w:r>
      <w:r w:rsidR="004064C7" w:rsidRPr="00693B99">
        <w:rPr>
          <w:szCs w:val="22"/>
        </w:rPr>
        <w:t xml:space="preserve">reimbursement </w:t>
      </w:r>
      <w:r w:rsidRPr="00693B99">
        <w:rPr>
          <w:szCs w:val="22"/>
        </w:rPr>
        <w:t>allocation for each reassigned station and MV</w:t>
      </w:r>
      <w:r w:rsidR="00271269" w:rsidRPr="00693B99">
        <w:rPr>
          <w:szCs w:val="22"/>
        </w:rPr>
        <w:t>P</w:t>
      </w:r>
      <w:r w:rsidRPr="00693B99">
        <w:rPr>
          <w:szCs w:val="22"/>
        </w:rPr>
        <w:t>D that filed cost estimates.</w:t>
      </w:r>
      <w:r w:rsidRPr="00693B99">
        <w:rPr>
          <w:szCs w:val="22"/>
          <w:vertAlign w:val="superscript"/>
        </w:rPr>
        <w:footnoteReference w:id="175"/>
      </w:r>
      <w:r w:rsidRPr="00693B99">
        <w:rPr>
          <w:szCs w:val="22"/>
        </w:rPr>
        <w:t xml:space="preserve">  The allocated amount is the dollar amount </w:t>
      </w:r>
      <w:r w:rsidR="004064C7" w:rsidRPr="00693B99">
        <w:rPr>
          <w:szCs w:val="22"/>
        </w:rPr>
        <w:t xml:space="preserve">that </w:t>
      </w:r>
      <w:r w:rsidRPr="00693B99">
        <w:rPr>
          <w:szCs w:val="22"/>
        </w:rPr>
        <w:t>stations and MVPDs will have to draw down against as they incur actual expenses.</w:t>
      </w:r>
      <w:r w:rsidRPr="00693B99">
        <w:rPr>
          <w:szCs w:val="22"/>
          <w:vertAlign w:val="superscript"/>
        </w:rPr>
        <w:footnoteReference w:id="176"/>
      </w:r>
      <w:r w:rsidRPr="00693B99">
        <w:rPr>
          <w:szCs w:val="22"/>
        </w:rPr>
        <w:t xml:space="preserve">  </w:t>
      </w:r>
      <w:r w:rsidR="006F45D4" w:rsidRPr="00693B99">
        <w:rPr>
          <w:szCs w:val="22"/>
        </w:rPr>
        <w:t>To ensure timely processing, stations must file their</w:t>
      </w:r>
      <w:r w:rsidRPr="00693B99">
        <w:rPr>
          <w:szCs w:val="22"/>
        </w:rPr>
        <w:t xml:space="preserve"> cost estimates by the deadline</w:t>
      </w:r>
      <w:r w:rsidR="006F45D4" w:rsidRPr="00693B99">
        <w:rPr>
          <w:szCs w:val="22"/>
        </w:rPr>
        <w:t>.</w:t>
      </w:r>
    </w:p>
    <w:p w14:paraId="1327504E" w14:textId="77777777" w:rsidR="00021785" w:rsidRPr="00693B99" w:rsidRDefault="006B3708" w:rsidP="00021785">
      <w:pPr>
        <w:numPr>
          <w:ilvl w:val="0"/>
          <w:numId w:val="2"/>
        </w:numPr>
        <w:tabs>
          <w:tab w:val="clear" w:pos="1080"/>
          <w:tab w:val="num" w:pos="1440"/>
        </w:tabs>
        <w:spacing w:after="120"/>
        <w:rPr>
          <w:szCs w:val="22"/>
        </w:rPr>
      </w:pPr>
      <w:r w:rsidRPr="00693B99">
        <w:rPr>
          <w:szCs w:val="22"/>
        </w:rPr>
        <w:t xml:space="preserve">Relocation cost estimates and any required supporting documentation must be filed </w:t>
      </w:r>
      <w:r w:rsidR="001F0354" w:rsidRPr="00693B99">
        <w:rPr>
          <w:szCs w:val="22"/>
        </w:rPr>
        <w:t>via LMS</w:t>
      </w:r>
      <w:r w:rsidRPr="00693B99">
        <w:rPr>
          <w:szCs w:val="22"/>
        </w:rPr>
        <w:t xml:space="preserve"> using the Reimbursement Form.</w:t>
      </w:r>
      <w:r w:rsidR="00684AE3" w:rsidRPr="00693B99">
        <w:rPr>
          <w:rStyle w:val="FootnoteReference"/>
        </w:rPr>
        <w:footnoteReference w:id="177"/>
      </w:r>
      <w:r w:rsidRPr="00693B99">
        <w:rPr>
          <w:szCs w:val="22"/>
        </w:rPr>
        <w:t xml:space="preserve">  Instructions for filing </w:t>
      </w:r>
      <w:r w:rsidR="00353089" w:rsidRPr="00693B99">
        <w:rPr>
          <w:szCs w:val="22"/>
        </w:rPr>
        <w:t xml:space="preserve">the Reimbursement Form </w:t>
      </w:r>
      <w:r w:rsidR="001F0354" w:rsidRPr="00693B99">
        <w:rPr>
          <w:szCs w:val="22"/>
        </w:rPr>
        <w:t>via LMS</w:t>
      </w:r>
      <w:r w:rsidRPr="00693B99">
        <w:rPr>
          <w:szCs w:val="22"/>
        </w:rPr>
        <w:t xml:space="preserve"> are contained in Appendix A.  </w:t>
      </w:r>
      <w:r w:rsidR="008E7020" w:rsidRPr="00693B99">
        <w:rPr>
          <w:szCs w:val="22"/>
        </w:rPr>
        <w:t xml:space="preserve">There is no fee for this filing.  </w:t>
      </w:r>
      <w:r w:rsidRPr="00693B99">
        <w:rPr>
          <w:szCs w:val="22"/>
        </w:rPr>
        <w:t xml:space="preserve">When filing estimated costs, </w:t>
      </w:r>
      <w:r w:rsidR="00271269" w:rsidRPr="00693B99">
        <w:rPr>
          <w:szCs w:val="22"/>
        </w:rPr>
        <w:t xml:space="preserve">reassigned </w:t>
      </w:r>
      <w:r w:rsidRPr="00693B99">
        <w:rPr>
          <w:szCs w:val="22"/>
        </w:rPr>
        <w:t>stations and MVPDs must identi</w:t>
      </w:r>
      <w:r w:rsidR="00271269" w:rsidRPr="00693B99">
        <w:rPr>
          <w:szCs w:val="22"/>
        </w:rPr>
        <w:t>f</w:t>
      </w:r>
      <w:r w:rsidRPr="00693B99">
        <w:rPr>
          <w:szCs w:val="22"/>
        </w:rPr>
        <w:t>y their current operational equipment as well as the equipment and services they expect to purchase to complete the post-auction channel transition.</w:t>
      </w:r>
      <w:r w:rsidRPr="00693B99">
        <w:rPr>
          <w:szCs w:val="22"/>
          <w:vertAlign w:val="superscript"/>
        </w:rPr>
        <w:footnoteReference w:id="178"/>
      </w:r>
      <w:r w:rsidRPr="00693B99">
        <w:rPr>
          <w:szCs w:val="22"/>
        </w:rPr>
        <w:t xml:space="preserve">  Cost estimates for such equipment and services can be based either on the predetermined cost estimates </w:t>
      </w:r>
      <w:r w:rsidR="006F7661" w:rsidRPr="00693B99">
        <w:rPr>
          <w:szCs w:val="22"/>
        </w:rPr>
        <w:t xml:space="preserve">identified </w:t>
      </w:r>
      <w:r w:rsidRPr="00693B99">
        <w:rPr>
          <w:szCs w:val="22"/>
        </w:rPr>
        <w:t xml:space="preserve">in the </w:t>
      </w:r>
      <w:r w:rsidR="006F7661" w:rsidRPr="00693B99">
        <w:rPr>
          <w:szCs w:val="22"/>
        </w:rPr>
        <w:t>catalog of eligible expenses (</w:t>
      </w:r>
      <w:r w:rsidR="00AA3CA8" w:rsidRPr="00693B99">
        <w:rPr>
          <w:szCs w:val="22"/>
        </w:rPr>
        <w:t>C</w:t>
      </w:r>
      <w:r w:rsidRPr="00693B99">
        <w:rPr>
          <w:szCs w:val="22"/>
        </w:rPr>
        <w:t>atalog</w:t>
      </w:r>
      <w:r w:rsidR="006F7661" w:rsidRPr="00693B99">
        <w:rPr>
          <w:szCs w:val="22"/>
        </w:rPr>
        <w:t>)</w:t>
      </w:r>
      <w:r w:rsidRPr="00693B99">
        <w:rPr>
          <w:szCs w:val="22"/>
        </w:rPr>
        <w:t>,</w:t>
      </w:r>
      <w:r w:rsidR="006F21FC" w:rsidRPr="00693B99">
        <w:rPr>
          <w:rStyle w:val="FootnoteReference"/>
        </w:rPr>
        <w:footnoteReference w:id="179"/>
      </w:r>
      <w:r w:rsidRPr="00693B99">
        <w:rPr>
          <w:szCs w:val="22"/>
        </w:rPr>
        <w:t xml:space="preserve"> which is embedded in the Reimbursement Form, or by obtaining price quotes from vendors.  Filers must submit supporting cost estimate documentation (such as a price quote from a vendor) for any </w:t>
      </w:r>
      <w:r w:rsidR="00AA3CA8" w:rsidRPr="00693B99">
        <w:rPr>
          <w:szCs w:val="22"/>
        </w:rPr>
        <w:t xml:space="preserve">equipment </w:t>
      </w:r>
      <w:r w:rsidRPr="00693B99">
        <w:rPr>
          <w:szCs w:val="22"/>
        </w:rPr>
        <w:t xml:space="preserve">or service for which there is no predetermined cost </w:t>
      </w:r>
      <w:r w:rsidR="00AA3CA8" w:rsidRPr="00693B99">
        <w:rPr>
          <w:szCs w:val="22"/>
        </w:rPr>
        <w:t>estimate in the Catalog</w:t>
      </w:r>
      <w:r w:rsidR="006F7661" w:rsidRPr="00693B99">
        <w:rPr>
          <w:szCs w:val="22"/>
        </w:rPr>
        <w:t>,</w:t>
      </w:r>
      <w:r w:rsidR="00AA3CA8" w:rsidRPr="00693B99">
        <w:rPr>
          <w:szCs w:val="22"/>
        </w:rPr>
        <w:t xml:space="preserve"> </w:t>
      </w:r>
      <w:r w:rsidRPr="00693B99">
        <w:rPr>
          <w:szCs w:val="22"/>
        </w:rPr>
        <w:t xml:space="preserve">and must provide a </w:t>
      </w:r>
      <w:r w:rsidR="00811005" w:rsidRPr="00693B99">
        <w:rPr>
          <w:szCs w:val="22"/>
        </w:rPr>
        <w:t xml:space="preserve">detailed </w:t>
      </w:r>
      <w:r w:rsidRPr="00693B99">
        <w:rPr>
          <w:szCs w:val="22"/>
        </w:rPr>
        <w:t xml:space="preserve">explanation if an estimate exceeds the amount listed for </w:t>
      </w:r>
      <w:r w:rsidR="004038E4" w:rsidRPr="00693B99">
        <w:rPr>
          <w:szCs w:val="22"/>
        </w:rPr>
        <w:t xml:space="preserve">the </w:t>
      </w:r>
      <w:r w:rsidRPr="00693B99">
        <w:rPr>
          <w:szCs w:val="22"/>
        </w:rPr>
        <w:t xml:space="preserve">particular </w:t>
      </w:r>
      <w:r w:rsidR="00AA3CA8" w:rsidRPr="00693B99">
        <w:rPr>
          <w:szCs w:val="22"/>
        </w:rPr>
        <w:t>equipment or service</w:t>
      </w:r>
      <w:r w:rsidRPr="00693B99">
        <w:rPr>
          <w:szCs w:val="22"/>
        </w:rPr>
        <w:t xml:space="preserve"> in the </w:t>
      </w:r>
      <w:r w:rsidR="00AA3CA8" w:rsidRPr="00693B99">
        <w:rPr>
          <w:szCs w:val="22"/>
        </w:rPr>
        <w:t>C</w:t>
      </w:r>
      <w:r w:rsidRPr="00693B99">
        <w:rPr>
          <w:szCs w:val="22"/>
        </w:rPr>
        <w:t>atalog.</w:t>
      </w:r>
      <w:r w:rsidRPr="00693B99">
        <w:rPr>
          <w:szCs w:val="22"/>
          <w:vertAlign w:val="superscript"/>
        </w:rPr>
        <w:footnoteReference w:id="180"/>
      </w:r>
      <w:r w:rsidRPr="00693B99">
        <w:rPr>
          <w:szCs w:val="22"/>
        </w:rPr>
        <w:t xml:space="preserve">  The</w:t>
      </w:r>
      <w:r w:rsidR="00684AE3" w:rsidRPr="00693B99">
        <w:rPr>
          <w:szCs w:val="22"/>
        </w:rPr>
        <w:t xml:space="preserve"> Reimbursement Form</w:t>
      </w:r>
      <w:r w:rsidRPr="00693B99">
        <w:rPr>
          <w:szCs w:val="22"/>
        </w:rPr>
        <w:t xml:space="preserve"> </w:t>
      </w:r>
      <w:r w:rsidR="006F7661" w:rsidRPr="00693B99">
        <w:rPr>
          <w:szCs w:val="22"/>
        </w:rPr>
        <w:t>is dynamic; and guides users with prompts that indicate</w:t>
      </w:r>
      <w:r w:rsidRPr="00693B99">
        <w:rPr>
          <w:szCs w:val="22"/>
        </w:rPr>
        <w:t xml:space="preserve"> how and when filers must provide explanations and supporting documentation.</w:t>
      </w:r>
    </w:p>
    <w:p w14:paraId="66408AAA" w14:textId="77777777" w:rsidR="00021785" w:rsidRPr="00693B99" w:rsidRDefault="006B3708" w:rsidP="00021785">
      <w:pPr>
        <w:numPr>
          <w:ilvl w:val="0"/>
          <w:numId w:val="2"/>
        </w:numPr>
        <w:tabs>
          <w:tab w:val="clear" w:pos="1080"/>
          <w:tab w:val="num" w:pos="1440"/>
        </w:tabs>
        <w:spacing w:after="120"/>
        <w:rPr>
          <w:szCs w:val="22"/>
        </w:rPr>
      </w:pPr>
      <w:r w:rsidRPr="00693B99">
        <w:rPr>
          <w:szCs w:val="22"/>
        </w:rPr>
        <w:t>Relocation cost estimates must be filed no earlier than the day of release of</w:t>
      </w:r>
      <w:r w:rsidR="006F7661" w:rsidRPr="00693B99">
        <w:rPr>
          <w:szCs w:val="22"/>
        </w:rPr>
        <w:t>,</w:t>
      </w:r>
      <w:r w:rsidRPr="00693B99">
        <w:rPr>
          <w:szCs w:val="22"/>
        </w:rPr>
        <w:t xml:space="preserve"> and no later than </w:t>
      </w:r>
      <w:r w:rsidR="0086151B" w:rsidRPr="00693B99">
        <w:rPr>
          <w:szCs w:val="22"/>
        </w:rPr>
        <w:t>90 days</w:t>
      </w:r>
      <w:r w:rsidRPr="00693B99">
        <w:rPr>
          <w:szCs w:val="22"/>
        </w:rPr>
        <w:t xml:space="preserve"> after release of</w:t>
      </w:r>
      <w:r w:rsidR="006F7661" w:rsidRPr="00693B99">
        <w:rPr>
          <w:szCs w:val="22"/>
        </w:rPr>
        <w:t>,</w:t>
      </w:r>
      <w:r w:rsidRPr="00693B99">
        <w:rPr>
          <w:szCs w:val="22"/>
        </w:rPr>
        <w:t xml:space="preserve"> the </w:t>
      </w:r>
      <w:r w:rsidRPr="00693B99">
        <w:rPr>
          <w:i/>
          <w:szCs w:val="22"/>
        </w:rPr>
        <w:t>C</w:t>
      </w:r>
      <w:r w:rsidR="00781AFF" w:rsidRPr="00693B99">
        <w:rPr>
          <w:i/>
          <w:szCs w:val="22"/>
        </w:rPr>
        <w:t>losing and</w:t>
      </w:r>
      <w:r w:rsidR="00012DF5" w:rsidRPr="00693B99">
        <w:rPr>
          <w:i/>
          <w:szCs w:val="22"/>
        </w:rPr>
        <w:t xml:space="preserve"> </w:t>
      </w:r>
      <w:r w:rsidR="0001521A" w:rsidRPr="00693B99">
        <w:rPr>
          <w:i/>
          <w:szCs w:val="22"/>
        </w:rPr>
        <w:t>Reassignment</w:t>
      </w:r>
      <w:r w:rsidRPr="00693B99">
        <w:rPr>
          <w:i/>
          <w:szCs w:val="22"/>
        </w:rPr>
        <w:t xml:space="preserve"> P</w:t>
      </w:r>
      <w:r w:rsidR="00FF1531" w:rsidRPr="00693B99">
        <w:rPr>
          <w:i/>
          <w:szCs w:val="22"/>
        </w:rPr>
        <w:t>ublic Notice</w:t>
      </w:r>
      <w:r w:rsidRPr="00693B99">
        <w:rPr>
          <w:szCs w:val="22"/>
        </w:rPr>
        <w:t>.</w:t>
      </w:r>
      <w:r w:rsidRPr="00693B99">
        <w:rPr>
          <w:szCs w:val="22"/>
          <w:vertAlign w:val="superscript"/>
        </w:rPr>
        <w:t xml:space="preserve"> </w:t>
      </w:r>
      <w:r w:rsidRPr="00693B99">
        <w:rPr>
          <w:szCs w:val="22"/>
          <w:vertAlign w:val="superscript"/>
        </w:rPr>
        <w:footnoteReference w:id="181"/>
      </w:r>
    </w:p>
    <w:p w14:paraId="55147CCA" w14:textId="77777777" w:rsidR="00EC636F" w:rsidRPr="00693B99" w:rsidRDefault="00EC636F" w:rsidP="00F67EA7">
      <w:pPr>
        <w:numPr>
          <w:ilvl w:val="0"/>
          <w:numId w:val="2"/>
        </w:numPr>
        <w:tabs>
          <w:tab w:val="clear" w:pos="1080"/>
          <w:tab w:val="num" w:pos="1440"/>
        </w:tabs>
        <w:spacing w:after="120"/>
        <w:rPr>
          <w:szCs w:val="22"/>
        </w:rPr>
      </w:pPr>
      <w:r w:rsidRPr="00693B99">
        <w:rPr>
          <w:szCs w:val="22"/>
        </w:rPr>
        <w:t>We will release a separate public notice informing eligible entities of the process for receiving reimbursements at a later date.  That public notice will advise eligible entities about the process for providing the Commission with banking information and necessary certifications.  In particular, the public notice will detail forms that eligible entities will use to submit information regarding estimates of relocation costs and relocation costs actually incurred, as well as relevant banking information, and the processes for validating such information prior to any reimbursements.</w:t>
      </w:r>
      <w:r w:rsidRPr="00693B99">
        <w:rPr>
          <w:rStyle w:val="FootnoteReference"/>
        </w:rPr>
        <w:footnoteReference w:id="182"/>
      </w:r>
      <w:r w:rsidRPr="00693B99">
        <w:rPr>
          <w:szCs w:val="22"/>
        </w:rPr>
        <w:t xml:space="preserve">  </w:t>
      </w:r>
    </w:p>
    <w:p w14:paraId="0E0433D8" w14:textId="5FC39CFE" w:rsidR="00DA3400" w:rsidRPr="00693B99" w:rsidRDefault="00F67EA7" w:rsidP="00DA3400">
      <w:pPr>
        <w:numPr>
          <w:ilvl w:val="0"/>
          <w:numId w:val="2"/>
        </w:numPr>
        <w:tabs>
          <w:tab w:val="clear" w:pos="1080"/>
          <w:tab w:val="num" w:pos="1440"/>
        </w:tabs>
        <w:spacing w:after="120"/>
        <w:rPr>
          <w:szCs w:val="22"/>
        </w:rPr>
      </w:pPr>
      <w:r w:rsidRPr="00693B99">
        <w:rPr>
          <w:szCs w:val="22"/>
        </w:rPr>
        <w:t>As a step prior to beginning this process, as with all entities doing business with the FCC, a representative from an entity that expects to receive a payment from the FCC – including reassigned stations and MVPDs that incur expenses as a result of the post-auction station repack – must log in to the updated Commission Registration System (CORES) (</w:t>
      </w:r>
      <w:hyperlink r:id="rId14" w:history="1">
        <w:r w:rsidRPr="00693B99">
          <w:rPr>
            <w:rStyle w:val="Hyperlink"/>
            <w:color w:val="auto"/>
            <w:szCs w:val="22"/>
          </w:rPr>
          <w:t>https://apps.fcc.gov/cores</w:t>
        </w:r>
      </w:hyperlink>
      <w:r w:rsidRPr="00693B99">
        <w:rPr>
          <w:szCs w:val="22"/>
        </w:rPr>
        <w:t xml:space="preserve">) and set up a username and password.  Detailed instructions on how to register for an FCC Username Account can be found at </w:t>
      </w:r>
      <w:hyperlink r:id="rId15" w:history="1">
        <w:r w:rsidRPr="00693B99">
          <w:rPr>
            <w:rStyle w:val="Hyperlink"/>
            <w:color w:val="auto"/>
            <w:szCs w:val="22"/>
          </w:rPr>
          <w:t>https://apps.fcc.gov/cores/html/Register_New_Account.htm</w:t>
        </w:r>
      </w:hyperlink>
      <w:r w:rsidRPr="00693B99">
        <w:rPr>
          <w:szCs w:val="22"/>
        </w:rPr>
        <w:t>.</w:t>
      </w:r>
      <w:r w:rsidR="000A402E" w:rsidRPr="00693B99">
        <w:rPr>
          <w:rStyle w:val="FootnoteReference"/>
        </w:rPr>
        <w:footnoteReference w:id="183"/>
      </w:r>
      <w:r w:rsidRPr="00693B99">
        <w:rPr>
          <w:snapToGrid/>
          <w:kern w:val="0"/>
          <w:szCs w:val="22"/>
        </w:rPr>
        <w:t xml:space="preserve">  </w:t>
      </w:r>
      <w:r w:rsidRPr="00693B99">
        <w:rPr>
          <w:szCs w:val="22"/>
        </w:rPr>
        <w:t>For additional information, please contact the Updated CORES System hotline at</w:t>
      </w:r>
      <w:r w:rsidR="00EC636F" w:rsidRPr="00693B99">
        <w:rPr>
          <w:szCs w:val="22"/>
        </w:rPr>
        <w:t xml:space="preserve">:  </w:t>
      </w:r>
      <w:r w:rsidRPr="00693B99">
        <w:rPr>
          <w:szCs w:val="22"/>
        </w:rPr>
        <w:t>202-418-4120</w:t>
      </w:r>
      <w:r w:rsidR="00B919D8" w:rsidRPr="00693B99">
        <w:rPr>
          <w:szCs w:val="22"/>
        </w:rPr>
        <w:t>;</w:t>
      </w:r>
      <w:r w:rsidRPr="00693B99">
        <w:rPr>
          <w:szCs w:val="22"/>
        </w:rPr>
        <w:t xml:space="preserve"> or</w:t>
      </w:r>
      <w:r w:rsidR="00B919D8" w:rsidRPr="00693B99">
        <w:rPr>
          <w:szCs w:val="22"/>
        </w:rPr>
        <w:t xml:space="preserve"> e-mail: </w:t>
      </w:r>
      <w:r w:rsidRPr="00693B99">
        <w:rPr>
          <w:szCs w:val="22"/>
        </w:rPr>
        <w:t xml:space="preserve"> </w:t>
      </w:r>
      <w:hyperlink r:id="rId16" w:history="1">
        <w:r w:rsidRPr="00693B99">
          <w:rPr>
            <w:rStyle w:val="Hyperlink"/>
            <w:color w:val="auto"/>
            <w:szCs w:val="22"/>
          </w:rPr>
          <w:t>CoresPilot@fcc.gov</w:t>
        </w:r>
      </w:hyperlink>
      <w:r w:rsidRPr="00693B99">
        <w:rPr>
          <w:szCs w:val="22"/>
        </w:rPr>
        <w:t>.</w:t>
      </w:r>
    </w:p>
    <w:p w14:paraId="52458C81" w14:textId="77777777" w:rsidR="00DA3400" w:rsidRPr="00693B99" w:rsidRDefault="00DA3400" w:rsidP="00DA3400">
      <w:pPr>
        <w:pStyle w:val="Heading2"/>
        <w:rPr>
          <w:szCs w:val="22"/>
        </w:rPr>
      </w:pPr>
      <w:bookmarkStart w:id="330" w:name="_Toc471732202"/>
      <w:bookmarkStart w:id="331" w:name="_Toc471732278"/>
      <w:bookmarkStart w:id="332" w:name="_Toc471732573"/>
      <w:bookmarkStart w:id="333" w:name="_Toc471732646"/>
      <w:bookmarkStart w:id="334" w:name="_Toc471732909"/>
      <w:bookmarkStart w:id="335" w:name="_Toc471734086"/>
      <w:r w:rsidRPr="00693B99">
        <w:rPr>
          <w:szCs w:val="22"/>
        </w:rPr>
        <w:t>Reimbursement Claims for Actual Expenses Incurred</w:t>
      </w:r>
      <w:bookmarkEnd w:id="330"/>
      <w:bookmarkEnd w:id="331"/>
      <w:bookmarkEnd w:id="332"/>
      <w:bookmarkEnd w:id="333"/>
      <w:bookmarkEnd w:id="334"/>
      <w:bookmarkEnd w:id="335"/>
    </w:p>
    <w:p w14:paraId="512C230E" w14:textId="77777777" w:rsidR="00021785" w:rsidRPr="00693B99" w:rsidRDefault="006B3708" w:rsidP="00DA3400">
      <w:pPr>
        <w:numPr>
          <w:ilvl w:val="0"/>
          <w:numId w:val="2"/>
        </w:numPr>
        <w:tabs>
          <w:tab w:val="clear" w:pos="1080"/>
          <w:tab w:val="num" w:pos="1440"/>
        </w:tabs>
        <w:spacing w:after="120"/>
        <w:rPr>
          <w:szCs w:val="22"/>
        </w:rPr>
      </w:pPr>
      <w:r w:rsidRPr="00693B99">
        <w:rPr>
          <w:szCs w:val="22"/>
        </w:rPr>
        <w:t xml:space="preserve">Once reassigned stations and MVPDs incur actual costs </w:t>
      </w:r>
      <w:r w:rsidR="00B919D8" w:rsidRPr="00693B99">
        <w:rPr>
          <w:szCs w:val="22"/>
        </w:rPr>
        <w:t>as a result of the</w:t>
      </w:r>
      <w:r w:rsidRPr="00693B99">
        <w:rPr>
          <w:szCs w:val="22"/>
        </w:rPr>
        <w:t xml:space="preserve"> post-auction channel reassignments, they must file</w:t>
      </w:r>
      <w:r w:rsidR="00B919D8" w:rsidRPr="00693B99">
        <w:rPr>
          <w:szCs w:val="22"/>
        </w:rPr>
        <w:t xml:space="preserve"> actual</w:t>
      </w:r>
      <w:r w:rsidRPr="00693B99">
        <w:rPr>
          <w:szCs w:val="22"/>
        </w:rPr>
        <w:t xml:space="preserve"> reimbursement claims</w:t>
      </w:r>
      <w:r w:rsidR="004064C7" w:rsidRPr="00693B99">
        <w:rPr>
          <w:szCs w:val="22"/>
        </w:rPr>
        <w:t xml:space="preserve"> </w:t>
      </w:r>
      <w:r w:rsidR="00B919D8" w:rsidRPr="00693B99">
        <w:rPr>
          <w:szCs w:val="22"/>
        </w:rPr>
        <w:t xml:space="preserve">along with </w:t>
      </w:r>
      <w:r w:rsidR="004064C7" w:rsidRPr="00693B99">
        <w:rPr>
          <w:szCs w:val="22"/>
        </w:rPr>
        <w:t xml:space="preserve">any required supporting invoices and other cost documentation </w:t>
      </w:r>
      <w:r w:rsidR="00B919D8" w:rsidRPr="00693B99">
        <w:rPr>
          <w:szCs w:val="22"/>
        </w:rPr>
        <w:t xml:space="preserve">using the Reimbursement Form </w:t>
      </w:r>
      <w:r w:rsidR="004064C7" w:rsidRPr="00693B99">
        <w:rPr>
          <w:szCs w:val="22"/>
        </w:rPr>
        <w:t>via LMS</w:t>
      </w:r>
      <w:r w:rsidRPr="00693B99">
        <w:rPr>
          <w:szCs w:val="22"/>
        </w:rPr>
        <w:t>.  Entities may</w:t>
      </w:r>
      <w:r w:rsidR="00B919D8" w:rsidRPr="00693B99">
        <w:rPr>
          <w:szCs w:val="22"/>
        </w:rPr>
        <w:t>, and likely will,</w:t>
      </w:r>
      <w:r w:rsidRPr="00693B99">
        <w:rPr>
          <w:szCs w:val="22"/>
        </w:rPr>
        <w:t xml:space="preserve"> submit multiple reimbursement requests as they incur expenses throughout the reimbursement period.  Because reimbursement payments can be made only during the statutory three-year reimbursement period,</w:t>
      </w:r>
      <w:r w:rsidR="00B919D8" w:rsidRPr="00693B99">
        <w:rPr>
          <w:rStyle w:val="FootnoteReference"/>
        </w:rPr>
        <w:footnoteReference w:id="184"/>
      </w:r>
      <w:r w:rsidRPr="00693B99">
        <w:rPr>
          <w:szCs w:val="22"/>
        </w:rPr>
        <w:t xml:space="preserve"> the Media Bureau will announce a date prior to the end of the reimbursement period at which time all remaining expense documentation and additional estimates for work not yet completed must be submitted.</w:t>
      </w:r>
      <w:r w:rsidRPr="00693B99">
        <w:rPr>
          <w:szCs w:val="22"/>
          <w:vertAlign w:val="superscript"/>
        </w:rPr>
        <w:footnoteReference w:id="185"/>
      </w:r>
      <w:r w:rsidR="007845E7" w:rsidRPr="00693B99">
        <w:rPr>
          <w:szCs w:val="22"/>
        </w:rPr>
        <w:t xml:space="preserve">  </w:t>
      </w:r>
      <w:r w:rsidRPr="00693B99">
        <w:rPr>
          <w:szCs w:val="22"/>
        </w:rPr>
        <w:t xml:space="preserve">A station or MVPD must provide a </w:t>
      </w:r>
      <w:r w:rsidR="00811005" w:rsidRPr="00693B99">
        <w:rPr>
          <w:szCs w:val="22"/>
        </w:rPr>
        <w:t xml:space="preserve">detailed </w:t>
      </w:r>
      <w:r w:rsidRPr="00693B99">
        <w:rPr>
          <w:szCs w:val="22"/>
        </w:rPr>
        <w:t xml:space="preserve">explanation on the Reimbursement Form if an actual cost exceeds the estimated cost for a </w:t>
      </w:r>
      <w:r w:rsidR="004064C7" w:rsidRPr="00693B99">
        <w:rPr>
          <w:szCs w:val="22"/>
        </w:rPr>
        <w:t xml:space="preserve">particular </w:t>
      </w:r>
      <w:r w:rsidRPr="00693B99">
        <w:rPr>
          <w:szCs w:val="22"/>
        </w:rPr>
        <w:t xml:space="preserve">line item.  Reimbursement claims will be reviewed to ensure </w:t>
      </w:r>
      <w:r w:rsidR="00370E5C" w:rsidRPr="00693B99">
        <w:rPr>
          <w:szCs w:val="22"/>
        </w:rPr>
        <w:t xml:space="preserve">that </w:t>
      </w:r>
      <w:r w:rsidRPr="00693B99">
        <w:rPr>
          <w:szCs w:val="22"/>
        </w:rPr>
        <w:t xml:space="preserve">payment is made only for costs “reasonably incurred” </w:t>
      </w:r>
      <w:r w:rsidR="00A925A6" w:rsidRPr="00693B99">
        <w:rPr>
          <w:szCs w:val="22"/>
        </w:rPr>
        <w:t>in accordance with Section 1452(b)(4)</w:t>
      </w:r>
      <w:r w:rsidRPr="00693B99">
        <w:rPr>
          <w:szCs w:val="22"/>
        </w:rPr>
        <w:t>.</w:t>
      </w:r>
      <w:r w:rsidR="00A925A6" w:rsidRPr="00693B99">
        <w:rPr>
          <w:rStyle w:val="FootnoteReference"/>
        </w:rPr>
        <w:footnoteReference w:id="186"/>
      </w:r>
      <w:r w:rsidRPr="00693B99">
        <w:rPr>
          <w:szCs w:val="22"/>
        </w:rPr>
        <w:t xml:space="preserve">  The Commission has determined that costs incurred during or before the </w:t>
      </w:r>
      <w:r w:rsidR="002A6DC0" w:rsidRPr="00693B99">
        <w:rPr>
          <w:szCs w:val="22"/>
        </w:rPr>
        <w:t>i</w:t>
      </w:r>
      <w:r w:rsidRPr="00693B99">
        <w:rPr>
          <w:szCs w:val="22"/>
        </w:rPr>
        <w:t xml:space="preserve">ncentive </w:t>
      </w:r>
      <w:r w:rsidR="002A6DC0" w:rsidRPr="00693B99">
        <w:rPr>
          <w:szCs w:val="22"/>
        </w:rPr>
        <w:t>a</w:t>
      </w:r>
      <w:r w:rsidRPr="00693B99">
        <w:rPr>
          <w:szCs w:val="22"/>
        </w:rPr>
        <w:t>uction that would otherwise be reimbursable are eligible for reimbursement.</w:t>
      </w:r>
      <w:r w:rsidRPr="00693B99">
        <w:rPr>
          <w:szCs w:val="22"/>
          <w:vertAlign w:val="superscript"/>
        </w:rPr>
        <w:footnoteReference w:id="187"/>
      </w:r>
      <w:r w:rsidRPr="00693B99">
        <w:rPr>
          <w:szCs w:val="22"/>
        </w:rPr>
        <w:t xml:space="preserve">  Although some reassigned stations will have already incurred expenses that may be eligible for reimbursement by the time the </w:t>
      </w:r>
      <w:r w:rsidRPr="00693B99">
        <w:rPr>
          <w:i/>
          <w:szCs w:val="22"/>
        </w:rPr>
        <w:t>C</w:t>
      </w:r>
      <w:r w:rsidR="0001521A" w:rsidRPr="00693B99">
        <w:rPr>
          <w:i/>
          <w:szCs w:val="22"/>
        </w:rPr>
        <w:t>losing and Reassignment</w:t>
      </w:r>
      <w:r w:rsidRPr="00693B99">
        <w:rPr>
          <w:i/>
          <w:szCs w:val="22"/>
        </w:rPr>
        <w:t xml:space="preserve"> P</w:t>
      </w:r>
      <w:r w:rsidR="00FF1531" w:rsidRPr="00693B99">
        <w:rPr>
          <w:i/>
          <w:szCs w:val="22"/>
        </w:rPr>
        <w:t>ublic Notice</w:t>
      </w:r>
      <w:r w:rsidRPr="00693B99">
        <w:rPr>
          <w:szCs w:val="22"/>
        </w:rPr>
        <w:t xml:space="preserve"> is released,</w:t>
      </w:r>
      <w:r w:rsidR="00E92C8C" w:rsidRPr="00693B99">
        <w:rPr>
          <w:szCs w:val="22"/>
        </w:rPr>
        <w:t xml:space="preserve"> requests for reimbursement of suc</w:t>
      </w:r>
      <w:r w:rsidR="004449C8" w:rsidRPr="00693B99">
        <w:rPr>
          <w:szCs w:val="22"/>
        </w:rPr>
        <w:t>h costs</w:t>
      </w:r>
      <w:r w:rsidRPr="00693B99">
        <w:rPr>
          <w:szCs w:val="22"/>
        </w:rPr>
        <w:t xml:space="preserve"> will not </w:t>
      </w:r>
      <w:r w:rsidR="00E92C8C" w:rsidRPr="00693B99">
        <w:rPr>
          <w:szCs w:val="22"/>
        </w:rPr>
        <w:t xml:space="preserve">be </w:t>
      </w:r>
      <w:r w:rsidRPr="00693B99">
        <w:rPr>
          <w:szCs w:val="22"/>
        </w:rPr>
        <w:t>process</w:t>
      </w:r>
      <w:r w:rsidR="00E92C8C" w:rsidRPr="00693B99">
        <w:rPr>
          <w:szCs w:val="22"/>
        </w:rPr>
        <w:t>ed</w:t>
      </w:r>
      <w:r w:rsidRPr="00693B99">
        <w:rPr>
          <w:szCs w:val="22"/>
        </w:rPr>
        <w:t xml:space="preserve"> until after the Media Bureau makes an </w:t>
      </w:r>
      <w:r w:rsidR="002A6DC0" w:rsidRPr="00693B99">
        <w:rPr>
          <w:szCs w:val="22"/>
        </w:rPr>
        <w:t>initial</w:t>
      </w:r>
      <w:r w:rsidRPr="00693B99">
        <w:rPr>
          <w:szCs w:val="22"/>
        </w:rPr>
        <w:t xml:space="preserve"> allocation for stations and MVPDs that </w:t>
      </w:r>
      <w:r w:rsidR="00620B6F" w:rsidRPr="00693B99">
        <w:rPr>
          <w:szCs w:val="22"/>
        </w:rPr>
        <w:t xml:space="preserve">have </w:t>
      </w:r>
      <w:r w:rsidRPr="00693B99">
        <w:rPr>
          <w:szCs w:val="22"/>
        </w:rPr>
        <w:t>timely file</w:t>
      </w:r>
      <w:r w:rsidR="00620B6F" w:rsidRPr="00693B99">
        <w:rPr>
          <w:szCs w:val="22"/>
        </w:rPr>
        <w:t>d</w:t>
      </w:r>
      <w:r w:rsidRPr="00693B99">
        <w:rPr>
          <w:szCs w:val="22"/>
        </w:rPr>
        <w:t xml:space="preserve"> </w:t>
      </w:r>
      <w:r w:rsidR="00620B6F" w:rsidRPr="00693B99">
        <w:rPr>
          <w:szCs w:val="22"/>
        </w:rPr>
        <w:t xml:space="preserve">reimbursement </w:t>
      </w:r>
      <w:r w:rsidRPr="00693B99">
        <w:rPr>
          <w:szCs w:val="22"/>
        </w:rPr>
        <w:t>cost estimates</w:t>
      </w:r>
      <w:r w:rsidR="00620B6F" w:rsidRPr="00693B99">
        <w:rPr>
          <w:szCs w:val="22"/>
        </w:rPr>
        <w:t xml:space="preserve"> during the 90-day period after release of the </w:t>
      </w:r>
      <w:r w:rsidR="00620B6F" w:rsidRPr="00693B99">
        <w:rPr>
          <w:i/>
          <w:szCs w:val="22"/>
        </w:rPr>
        <w:t>Closing and Reassignment Public Notice</w:t>
      </w:r>
      <w:r w:rsidRPr="00693B99">
        <w:rPr>
          <w:szCs w:val="22"/>
        </w:rPr>
        <w:t>.</w:t>
      </w:r>
    </w:p>
    <w:p w14:paraId="2549A309" w14:textId="77777777" w:rsidR="00021785" w:rsidRPr="00693B99" w:rsidRDefault="00021785" w:rsidP="00021785">
      <w:pPr>
        <w:pStyle w:val="Heading2"/>
        <w:rPr>
          <w:szCs w:val="22"/>
        </w:rPr>
      </w:pPr>
      <w:bookmarkStart w:id="336" w:name="_Toc466014554"/>
      <w:bookmarkStart w:id="337" w:name="_Toc466019496"/>
      <w:bookmarkStart w:id="338" w:name="_Toc468178181"/>
      <w:bookmarkStart w:id="339" w:name="_Toc471732203"/>
      <w:bookmarkStart w:id="340" w:name="_Toc471732279"/>
      <w:bookmarkStart w:id="341" w:name="_Toc471732574"/>
      <w:bookmarkStart w:id="342" w:name="_Toc471732647"/>
      <w:bookmarkStart w:id="343" w:name="_Toc471732910"/>
      <w:bookmarkStart w:id="344" w:name="_Toc471734087"/>
      <w:r w:rsidRPr="00693B99">
        <w:rPr>
          <w:szCs w:val="22"/>
        </w:rPr>
        <w:t>Service Rule Waiver in Lieu of Reimbursement</w:t>
      </w:r>
      <w:bookmarkEnd w:id="336"/>
      <w:bookmarkEnd w:id="337"/>
      <w:bookmarkEnd w:id="338"/>
      <w:bookmarkEnd w:id="339"/>
      <w:bookmarkEnd w:id="340"/>
      <w:bookmarkEnd w:id="341"/>
      <w:bookmarkEnd w:id="342"/>
      <w:bookmarkEnd w:id="343"/>
      <w:bookmarkEnd w:id="344"/>
    </w:p>
    <w:p w14:paraId="150046AC" w14:textId="77777777" w:rsidR="00021785" w:rsidRPr="00693B99" w:rsidRDefault="0086151B" w:rsidP="00021785">
      <w:pPr>
        <w:numPr>
          <w:ilvl w:val="0"/>
          <w:numId w:val="2"/>
        </w:numPr>
        <w:tabs>
          <w:tab w:val="clear" w:pos="1080"/>
          <w:tab w:val="num" w:pos="1440"/>
        </w:tabs>
        <w:spacing w:after="120"/>
        <w:rPr>
          <w:szCs w:val="22"/>
        </w:rPr>
      </w:pPr>
      <w:r w:rsidRPr="00693B99">
        <w:rPr>
          <w:snapToGrid/>
          <w:kern w:val="0"/>
          <w:szCs w:val="22"/>
        </w:rPr>
        <w:t>In lieu of receiving reimbursement for relocation costs, a reassigned station may request a waiver of the Commission’s service rules to allow the station to make flexible use of its reassigned spectrum to provide services other than broadcast television services.</w:t>
      </w:r>
      <w:r w:rsidRPr="00693B99">
        <w:rPr>
          <w:snapToGrid/>
          <w:kern w:val="0"/>
          <w:szCs w:val="22"/>
          <w:vertAlign w:val="superscript"/>
        </w:rPr>
        <w:footnoteReference w:id="188"/>
      </w:r>
      <w:r w:rsidRPr="00693B99">
        <w:rPr>
          <w:snapToGrid/>
          <w:kern w:val="0"/>
          <w:szCs w:val="22"/>
        </w:rPr>
        <w:t xml:space="preserve">  Such waivers are subject to all applicable interference protections and will only remain in effect while the licensee provides at least one broadcast television program stream on such spectrum at no charge to the public.</w:t>
      </w:r>
      <w:r w:rsidRPr="00693B99">
        <w:rPr>
          <w:rStyle w:val="FootnoteReference"/>
          <w:snapToGrid/>
          <w:kern w:val="0"/>
          <w:sz w:val="22"/>
          <w:szCs w:val="22"/>
        </w:rPr>
        <w:footnoteReference w:id="189"/>
      </w:r>
      <w:r w:rsidRPr="00693B99">
        <w:rPr>
          <w:snapToGrid/>
          <w:kern w:val="0"/>
          <w:szCs w:val="22"/>
        </w:rPr>
        <w:t xml:space="preserve">  The Commission has delegated authority to the Media Bureau to act on service rule waivers on a case-by-case basis.</w:t>
      </w:r>
      <w:r w:rsidR="00A35847" w:rsidRPr="00693B99">
        <w:rPr>
          <w:rStyle w:val="FootnoteReference"/>
          <w:snapToGrid/>
          <w:kern w:val="0"/>
          <w:sz w:val="22"/>
          <w:szCs w:val="22"/>
        </w:rPr>
        <w:footnoteReference w:id="190"/>
      </w:r>
      <w:r w:rsidRPr="00693B99">
        <w:rPr>
          <w:snapToGrid/>
          <w:kern w:val="0"/>
          <w:szCs w:val="22"/>
        </w:rPr>
        <w:t xml:space="preserve">  Waivers will be evaluated in accordance with the Commission’s general waiver standard</w:t>
      </w:r>
      <w:r w:rsidR="00D80E3C" w:rsidRPr="00693B99">
        <w:rPr>
          <w:snapToGrid/>
          <w:kern w:val="0"/>
          <w:szCs w:val="22"/>
        </w:rPr>
        <w:t>,</w:t>
      </w:r>
      <w:r w:rsidRPr="00693B99">
        <w:rPr>
          <w:snapToGrid/>
          <w:kern w:val="0"/>
          <w:szCs w:val="22"/>
          <w:vertAlign w:val="superscript"/>
        </w:rPr>
        <w:footnoteReference w:id="191"/>
      </w:r>
      <w:r w:rsidRPr="00693B99">
        <w:rPr>
          <w:snapToGrid/>
          <w:kern w:val="0"/>
          <w:szCs w:val="22"/>
        </w:rPr>
        <w:t xml:space="preserve"> and </w:t>
      </w:r>
      <w:r w:rsidRPr="00693B99">
        <w:rPr>
          <w:szCs w:val="22"/>
        </w:rPr>
        <w:t>must demonstrate that the applicant will protect against interference and provide at least one broadcast television program stream at no charge to the public, as required by the Spectrum Act</w:t>
      </w:r>
      <w:r w:rsidRPr="00693B99">
        <w:rPr>
          <w:kern w:val="0"/>
          <w:szCs w:val="22"/>
        </w:rPr>
        <w:t>.</w:t>
      </w:r>
      <w:r w:rsidRPr="00693B99">
        <w:rPr>
          <w:kern w:val="0"/>
          <w:szCs w:val="22"/>
          <w:vertAlign w:val="superscript"/>
        </w:rPr>
        <w:footnoteReference w:id="192"/>
      </w:r>
      <w:r w:rsidRPr="00693B99">
        <w:rPr>
          <w:szCs w:val="22"/>
        </w:rPr>
        <w:t xml:space="preserve">  Stations</w:t>
      </w:r>
      <w:r w:rsidRPr="00693B99">
        <w:rPr>
          <w:snapToGrid/>
          <w:kern w:val="0"/>
          <w:szCs w:val="22"/>
        </w:rPr>
        <w:t xml:space="preserve"> may request that a waiver be granted on either a temporary or a permanent basis.</w:t>
      </w:r>
      <w:r w:rsidRPr="00693B99">
        <w:rPr>
          <w:snapToGrid/>
          <w:kern w:val="0"/>
          <w:szCs w:val="22"/>
          <w:vertAlign w:val="superscript"/>
        </w:rPr>
        <w:footnoteReference w:id="193"/>
      </w:r>
    </w:p>
    <w:p w14:paraId="46A3E304" w14:textId="638C8963" w:rsidR="00021785" w:rsidRPr="00693B99" w:rsidRDefault="0086151B" w:rsidP="00021785">
      <w:pPr>
        <w:numPr>
          <w:ilvl w:val="0"/>
          <w:numId w:val="2"/>
        </w:numPr>
        <w:tabs>
          <w:tab w:val="clear" w:pos="1080"/>
          <w:tab w:val="num" w:pos="1440"/>
        </w:tabs>
        <w:spacing w:after="120"/>
        <w:rPr>
          <w:szCs w:val="22"/>
        </w:rPr>
      </w:pPr>
      <w:r w:rsidRPr="00693B99">
        <w:rPr>
          <w:snapToGrid/>
          <w:kern w:val="0"/>
          <w:szCs w:val="22"/>
        </w:rPr>
        <w:t xml:space="preserve">The Media Bureau will accept service rule waiver requests </w:t>
      </w:r>
      <w:r w:rsidR="00271CDD" w:rsidRPr="00693B99">
        <w:rPr>
          <w:snapToGrid/>
          <w:kern w:val="0"/>
          <w:szCs w:val="22"/>
        </w:rPr>
        <w:t xml:space="preserve">from reassigned stations otherwise eligible for reimbursement for relocation costs </w:t>
      </w:r>
      <w:r w:rsidRPr="00693B99">
        <w:rPr>
          <w:snapToGrid/>
          <w:kern w:val="0"/>
          <w:szCs w:val="22"/>
        </w:rPr>
        <w:t xml:space="preserve">during a 30-day window commencing upon release of the </w:t>
      </w:r>
      <w:r w:rsidRPr="00693B99">
        <w:rPr>
          <w:i/>
          <w:snapToGrid/>
          <w:kern w:val="0"/>
          <w:szCs w:val="22"/>
        </w:rPr>
        <w:t>Closing and Reassignment P</w:t>
      </w:r>
      <w:r w:rsidR="00FF1531" w:rsidRPr="00693B99">
        <w:rPr>
          <w:i/>
          <w:snapToGrid/>
          <w:kern w:val="0"/>
          <w:szCs w:val="22"/>
        </w:rPr>
        <w:t xml:space="preserve">ublic </w:t>
      </w:r>
      <w:r w:rsidRPr="00693B99">
        <w:rPr>
          <w:i/>
          <w:snapToGrid/>
          <w:kern w:val="0"/>
          <w:szCs w:val="22"/>
        </w:rPr>
        <w:t>N</w:t>
      </w:r>
      <w:r w:rsidR="00FF1531" w:rsidRPr="00693B99">
        <w:rPr>
          <w:i/>
          <w:snapToGrid/>
          <w:kern w:val="0"/>
          <w:szCs w:val="22"/>
        </w:rPr>
        <w:t>otice</w:t>
      </w:r>
      <w:r w:rsidRPr="00693B99">
        <w:rPr>
          <w:snapToGrid/>
          <w:kern w:val="0"/>
          <w:szCs w:val="22"/>
        </w:rPr>
        <w:t>.</w:t>
      </w:r>
      <w:r w:rsidRPr="00693B99">
        <w:rPr>
          <w:rStyle w:val="FootnoteReference"/>
          <w:snapToGrid/>
          <w:kern w:val="0"/>
          <w:sz w:val="22"/>
          <w:szCs w:val="22"/>
        </w:rPr>
        <w:footnoteReference w:id="194"/>
      </w:r>
      <w:r w:rsidRPr="00693B99">
        <w:rPr>
          <w:snapToGrid/>
          <w:kern w:val="0"/>
          <w:szCs w:val="22"/>
        </w:rPr>
        <w:t xml:space="preserve">  </w:t>
      </w:r>
      <w:r w:rsidR="00620B6F" w:rsidRPr="00693B99">
        <w:rPr>
          <w:szCs w:val="22"/>
        </w:rPr>
        <w:t xml:space="preserve">Waiver requests must be filed via LMS </w:t>
      </w:r>
      <w:r w:rsidR="00D80E3C" w:rsidRPr="00693B99">
        <w:rPr>
          <w:szCs w:val="22"/>
        </w:rPr>
        <w:t>in accordance with</w:t>
      </w:r>
      <w:r w:rsidR="00620B6F" w:rsidRPr="00693B99">
        <w:rPr>
          <w:szCs w:val="22"/>
        </w:rPr>
        <w:t xml:space="preserve"> the instructions in Appendix A, and must include the requisite fee.  Waiver requests should also be e</w:t>
      </w:r>
      <w:r w:rsidR="00D80E3C" w:rsidRPr="00693B99">
        <w:rPr>
          <w:szCs w:val="22"/>
        </w:rPr>
        <w:t>-</w:t>
      </w:r>
      <w:r w:rsidR="00620B6F" w:rsidRPr="00693B99">
        <w:rPr>
          <w:szCs w:val="22"/>
        </w:rPr>
        <w:t xml:space="preserve">mailed to:  </w:t>
      </w:r>
      <w:hyperlink r:id="rId17" w:history="1">
        <w:r w:rsidR="00620B6F" w:rsidRPr="00693B99">
          <w:rPr>
            <w:rStyle w:val="Hyperlink"/>
            <w:color w:val="auto"/>
            <w:szCs w:val="22"/>
          </w:rPr>
          <w:t>IATransitionlicensing@fcc.gov</w:t>
        </w:r>
      </w:hyperlink>
      <w:r w:rsidR="00620B6F" w:rsidRPr="00693B99">
        <w:rPr>
          <w:szCs w:val="22"/>
        </w:rPr>
        <w:t xml:space="preserve">. </w:t>
      </w:r>
      <w:r w:rsidR="000517F2" w:rsidRPr="00693B99">
        <w:rPr>
          <w:szCs w:val="22"/>
        </w:rPr>
        <w:t xml:space="preserve"> </w:t>
      </w:r>
      <w:r w:rsidRPr="00693B99">
        <w:rPr>
          <w:szCs w:val="22"/>
        </w:rPr>
        <w:t xml:space="preserve">The Media Bureau will </w:t>
      </w:r>
      <w:r w:rsidR="00D80E3C" w:rsidRPr="00693B99">
        <w:rPr>
          <w:szCs w:val="22"/>
        </w:rPr>
        <w:t xml:space="preserve">expeditiously </w:t>
      </w:r>
      <w:r w:rsidRPr="00693B99">
        <w:rPr>
          <w:szCs w:val="22"/>
        </w:rPr>
        <w:t xml:space="preserve">process petitions and </w:t>
      </w:r>
      <w:r w:rsidR="00D80E3C" w:rsidRPr="00693B99">
        <w:rPr>
          <w:szCs w:val="22"/>
        </w:rPr>
        <w:t xml:space="preserve">timely </w:t>
      </w:r>
      <w:r w:rsidRPr="00693B99">
        <w:rPr>
          <w:szCs w:val="22"/>
        </w:rPr>
        <w:t>inform the petit</w:t>
      </w:r>
      <w:r w:rsidR="0047751C" w:rsidRPr="00693B99">
        <w:rPr>
          <w:szCs w:val="22"/>
        </w:rPr>
        <w:t>ioner</w:t>
      </w:r>
      <w:r w:rsidR="00D80E3C" w:rsidRPr="00693B99">
        <w:rPr>
          <w:szCs w:val="22"/>
        </w:rPr>
        <w:t>s</w:t>
      </w:r>
      <w:r w:rsidR="0047751C" w:rsidRPr="00693B99">
        <w:rPr>
          <w:szCs w:val="22"/>
        </w:rPr>
        <w:t xml:space="preserve"> of </w:t>
      </w:r>
      <w:r w:rsidR="00D80E3C" w:rsidRPr="00693B99">
        <w:rPr>
          <w:szCs w:val="22"/>
        </w:rPr>
        <w:t>the disposition</w:t>
      </w:r>
      <w:r w:rsidRPr="00693B99">
        <w:rPr>
          <w:szCs w:val="22"/>
        </w:rPr>
        <w:t>.</w:t>
      </w:r>
      <w:r w:rsidRPr="00693B99">
        <w:rPr>
          <w:szCs w:val="22"/>
          <w:vertAlign w:val="superscript"/>
        </w:rPr>
        <w:footnoteReference w:id="195"/>
      </w:r>
      <w:r w:rsidRPr="00693B99">
        <w:rPr>
          <w:szCs w:val="22"/>
        </w:rPr>
        <w:t xml:space="preserve">  A licensee must accept the terms of a waiver within 10 days of grant.</w:t>
      </w:r>
      <w:r w:rsidRPr="00693B99">
        <w:rPr>
          <w:szCs w:val="22"/>
          <w:vertAlign w:val="superscript"/>
        </w:rPr>
        <w:footnoteReference w:id="196"/>
      </w:r>
      <w:r w:rsidRPr="00693B99">
        <w:rPr>
          <w:szCs w:val="22"/>
        </w:rPr>
        <w:t xml:space="preserve">  Instructions on how to accept grant of the waiver will be provided in the written notification sent to the station by the Media Bureau.  </w:t>
      </w:r>
    </w:p>
    <w:p w14:paraId="1848E294" w14:textId="77777777" w:rsidR="00021785" w:rsidRPr="00693B99" w:rsidRDefault="0086151B" w:rsidP="00021785">
      <w:pPr>
        <w:numPr>
          <w:ilvl w:val="0"/>
          <w:numId w:val="2"/>
        </w:numPr>
        <w:tabs>
          <w:tab w:val="clear" w:pos="1080"/>
          <w:tab w:val="num" w:pos="1440"/>
        </w:tabs>
        <w:spacing w:after="120"/>
        <w:rPr>
          <w:szCs w:val="22"/>
        </w:rPr>
      </w:pPr>
      <w:r w:rsidRPr="00693B99">
        <w:rPr>
          <w:szCs w:val="22"/>
        </w:rPr>
        <w:t>Until the Media Bureau grants a waiver request</w:t>
      </w:r>
      <w:r w:rsidR="00F23F7C" w:rsidRPr="00693B99">
        <w:rPr>
          <w:szCs w:val="22"/>
        </w:rPr>
        <w:t xml:space="preserve"> and the station accepts the terms of the waiver grant</w:t>
      </w:r>
      <w:r w:rsidRPr="00693B99">
        <w:rPr>
          <w:szCs w:val="22"/>
        </w:rPr>
        <w:t xml:space="preserve">, </w:t>
      </w:r>
      <w:r w:rsidR="00F23F7C" w:rsidRPr="00693B99">
        <w:rPr>
          <w:szCs w:val="22"/>
        </w:rPr>
        <w:t>a station</w:t>
      </w:r>
      <w:r w:rsidRPr="00693B99">
        <w:rPr>
          <w:szCs w:val="22"/>
        </w:rPr>
        <w:t xml:space="preserve"> must meet </w:t>
      </w:r>
      <w:r w:rsidRPr="00693B99">
        <w:rPr>
          <w:i/>
          <w:szCs w:val="22"/>
        </w:rPr>
        <w:t>all</w:t>
      </w:r>
      <w:r w:rsidRPr="00693B99">
        <w:rPr>
          <w:szCs w:val="22"/>
        </w:rPr>
        <w:t xml:space="preserve"> requirements to obtain reimbursement (</w:t>
      </w:r>
      <w:r w:rsidR="006E5158" w:rsidRPr="00693B99">
        <w:rPr>
          <w:i/>
          <w:szCs w:val="22"/>
        </w:rPr>
        <w:t>e.g.</w:t>
      </w:r>
      <w:r w:rsidR="006E5158" w:rsidRPr="00693B99">
        <w:rPr>
          <w:szCs w:val="22"/>
        </w:rPr>
        <w:t>,</w:t>
      </w:r>
      <w:r w:rsidRPr="00693B99">
        <w:rPr>
          <w:szCs w:val="22"/>
        </w:rPr>
        <w:t xml:space="preserve"> timely </w:t>
      </w:r>
      <w:r w:rsidR="006E5158" w:rsidRPr="00693B99">
        <w:rPr>
          <w:szCs w:val="22"/>
        </w:rPr>
        <w:t xml:space="preserve">filing </w:t>
      </w:r>
      <w:r w:rsidRPr="00693B99">
        <w:rPr>
          <w:szCs w:val="22"/>
        </w:rPr>
        <w:t>the Reimbursement Form)</w:t>
      </w:r>
      <w:r w:rsidR="00597EED" w:rsidRPr="00693B99">
        <w:rPr>
          <w:szCs w:val="22"/>
        </w:rPr>
        <w:t>.</w:t>
      </w:r>
      <w:r w:rsidR="00597EED" w:rsidRPr="00693B99">
        <w:rPr>
          <w:rStyle w:val="FootnoteReference"/>
        </w:rPr>
        <w:footnoteReference w:id="197"/>
      </w:r>
      <w:r w:rsidR="00597EED" w:rsidRPr="00693B99">
        <w:rPr>
          <w:szCs w:val="22"/>
        </w:rPr>
        <w:t xml:space="preserve">  A station that is granted and accepts the terms of a waiver must </w:t>
      </w:r>
      <w:r w:rsidRPr="00693B99">
        <w:rPr>
          <w:szCs w:val="22"/>
        </w:rPr>
        <w:t xml:space="preserve">comply with </w:t>
      </w:r>
      <w:r w:rsidRPr="00693B99">
        <w:rPr>
          <w:i/>
          <w:szCs w:val="22"/>
        </w:rPr>
        <w:t>all</w:t>
      </w:r>
      <w:r w:rsidRPr="00693B99">
        <w:rPr>
          <w:szCs w:val="22"/>
        </w:rPr>
        <w:t xml:space="preserve"> transition filings, construction</w:t>
      </w:r>
      <w:r w:rsidR="00620B6F" w:rsidRPr="00693B99">
        <w:rPr>
          <w:szCs w:val="22"/>
        </w:rPr>
        <w:t>,</w:t>
      </w:r>
      <w:r w:rsidRPr="00693B99">
        <w:rPr>
          <w:szCs w:val="22"/>
        </w:rPr>
        <w:t xml:space="preserve"> and notice requirements, and deadlines, unless otherwise instructed by the Media Bureau.</w:t>
      </w:r>
      <w:r w:rsidRPr="00693B99">
        <w:rPr>
          <w:szCs w:val="22"/>
          <w:vertAlign w:val="superscript"/>
        </w:rPr>
        <w:footnoteReference w:id="198"/>
      </w:r>
    </w:p>
    <w:p w14:paraId="3F28FE3D" w14:textId="77777777" w:rsidR="00021785" w:rsidRPr="00693B99" w:rsidRDefault="00021785" w:rsidP="00021785">
      <w:pPr>
        <w:pStyle w:val="Heading1"/>
        <w:rPr>
          <w:rFonts w:ascii="Times New Roman" w:hAnsi="Times New Roman"/>
          <w:szCs w:val="22"/>
        </w:rPr>
      </w:pPr>
      <w:bookmarkStart w:id="345" w:name="_Toc466014555"/>
      <w:bookmarkStart w:id="346" w:name="_Toc466019497"/>
      <w:bookmarkStart w:id="347" w:name="_Toc468178182"/>
      <w:bookmarkStart w:id="348" w:name="_Toc471732204"/>
      <w:bookmarkStart w:id="349" w:name="_Toc471732280"/>
      <w:bookmarkStart w:id="350" w:name="_Toc471732575"/>
      <w:bookmarkStart w:id="351" w:name="_Toc471732648"/>
      <w:bookmarkStart w:id="352" w:name="_Toc471732911"/>
      <w:bookmarkStart w:id="353" w:name="_Toc471734088"/>
      <w:bookmarkStart w:id="354" w:name="start_from_here"/>
      <w:r w:rsidRPr="00693B99">
        <w:rPr>
          <w:rFonts w:ascii="Times New Roman" w:hAnsi="Times New Roman"/>
          <w:szCs w:val="22"/>
        </w:rPr>
        <w:t>C</w:t>
      </w:r>
      <w:r w:rsidR="00A115B3" w:rsidRPr="00693B99">
        <w:rPr>
          <w:rFonts w:ascii="Times New Roman" w:hAnsi="Times New Roman"/>
          <w:szCs w:val="22"/>
        </w:rPr>
        <w:t>ontacts</w:t>
      </w:r>
      <w:bookmarkEnd w:id="345"/>
      <w:bookmarkEnd w:id="346"/>
      <w:bookmarkEnd w:id="347"/>
      <w:bookmarkEnd w:id="348"/>
      <w:bookmarkEnd w:id="349"/>
      <w:bookmarkEnd w:id="350"/>
      <w:bookmarkEnd w:id="351"/>
      <w:bookmarkEnd w:id="352"/>
      <w:bookmarkEnd w:id="353"/>
      <w:bookmarkEnd w:id="354"/>
    </w:p>
    <w:p w14:paraId="22AE4606" w14:textId="77777777" w:rsidR="006B3708" w:rsidRPr="00693B99" w:rsidRDefault="006B3708" w:rsidP="00021785">
      <w:pPr>
        <w:numPr>
          <w:ilvl w:val="0"/>
          <w:numId w:val="2"/>
        </w:numPr>
        <w:tabs>
          <w:tab w:val="clear" w:pos="1080"/>
          <w:tab w:val="num" w:pos="1440"/>
        </w:tabs>
        <w:spacing w:after="120"/>
        <w:rPr>
          <w:szCs w:val="22"/>
        </w:rPr>
      </w:pPr>
      <w:r w:rsidRPr="00693B99">
        <w:rPr>
          <w:szCs w:val="22"/>
        </w:rPr>
        <w:t>Additional questions concerning the post-incentive auction transition may be referred to the contact persons below.</w:t>
      </w:r>
    </w:p>
    <w:p w14:paraId="12C1222F" w14:textId="77777777" w:rsidR="006B3708" w:rsidRPr="00693B99" w:rsidRDefault="006B3708" w:rsidP="006B3708">
      <w:pPr>
        <w:widowControl/>
        <w:snapToGrid w:val="0"/>
        <w:ind w:firstLine="720"/>
        <w:rPr>
          <w:szCs w:val="22"/>
        </w:rPr>
      </w:pPr>
    </w:p>
    <w:p w14:paraId="16491BED" w14:textId="77777777" w:rsidR="00781AFF" w:rsidRPr="00693B99" w:rsidRDefault="006B3708" w:rsidP="006B3708">
      <w:pPr>
        <w:widowControl/>
        <w:snapToGrid w:val="0"/>
        <w:rPr>
          <w:szCs w:val="22"/>
        </w:rPr>
      </w:pPr>
      <w:r w:rsidRPr="00693B99">
        <w:rPr>
          <w:b/>
          <w:szCs w:val="22"/>
        </w:rPr>
        <w:t>Television licensing (legal)</w:t>
      </w:r>
      <w:r w:rsidRPr="00693B99">
        <w:rPr>
          <w:szCs w:val="22"/>
        </w:rPr>
        <w:t xml:space="preserve">:  </w:t>
      </w:r>
      <w:r w:rsidR="0065256B" w:rsidRPr="00693B99">
        <w:rPr>
          <w:szCs w:val="22"/>
        </w:rPr>
        <w:tab/>
      </w:r>
      <w:r w:rsidR="0065256B" w:rsidRPr="00693B99">
        <w:rPr>
          <w:szCs w:val="22"/>
        </w:rPr>
        <w:tab/>
      </w:r>
      <w:r w:rsidR="0065256B" w:rsidRPr="00693B99">
        <w:rPr>
          <w:szCs w:val="22"/>
        </w:rPr>
        <w:tab/>
      </w:r>
      <w:r w:rsidRPr="00693B99">
        <w:rPr>
          <w:szCs w:val="22"/>
        </w:rPr>
        <w:t>Shaun Maher at 202-418-2324 or</w:t>
      </w:r>
    </w:p>
    <w:p w14:paraId="0DC10514" w14:textId="688F83C5" w:rsidR="006B3708" w:rsidRPr="00693B99" w:rsidRDefault="001815A9" w:rsidP="00781AFF">
      <w:pPr>
        <w:widowControl/>
        <w:snapToGrid w:val="0"/>
        <w:ind w:left="3600" w:firstLine="720"/>
        <w:rPr>
          <w:szCs w:val="22"/>
        </w:rPr>
      </w:pPr>
      <w:hyperlink r:id="rId18" w:history="1">
        <w:r w:rsidR="00EB06CB" w:rsidRPr="00693B99">
          <w:rPr>
            <w:rStyle w:val="Hyperlink"/>
            <w:color w:val="auto"/>
            <w:szCs w:val="22"/>
          </w:rPr>
          <w:t>Shaun.Maher@fcc.gov</w:t>
        </w:r>
      </w:hyperlink>
      <w:r w:rsidR="00EB06CB" w:rsidRPr="00693B99">
        <w:rPr>
          <w:szCs w:val="22"/>
        </w:rPr>
        <w:t xml:space="preserve"> </w:t>
      </w:r>
    </w:p>
    <w:p w14:paraId="40EC89A9" w14:textId="77777777" w:rsidR="006B3708" w:rsidRPr="00693B99" w:rsidRDefault="006B3708" w:rsidP="006B3708">
      <w:pPr>
        <w:widowControl/>
        <w:snapToGrid w:val="0"/>
        <w:rPr>
          <w:szCs w:val="22"/>
        </w:rPr>
      </w:pPr>
    </w:p>
    <w:p w14:paraId="4D69F77A" w14:textId="15E7F965" w:rsidR="006B3708" w:rsidRPr="00693B99" w:rsidRDefault="006B3708" w:rsidP="0065256B">
      <w:pPr>
        <w:widowControl/>
        <w:snapToGrid w:val="0"/>
        <w:ind w:left="4320" w:hanging="4320"/>
        <w:rPr>
          <w:szCs w:val="22"/>
        </w:rPr>
      </w:pPr>
      <w:r w:rsidRPr="00693B99">
        <w:rPr>
          <w:b/>
          <w:szCs w:val="22"/>
        </w:rPr>
        <w:t>Full power television licensing (technical):</w:t>
      </w:r>
      <w:r w:rsidRPr="00693B99">
        <w:rPr>
          <w:szCs w:val="22"/>
        </w:rPr>
        <w:t xml:space="preserve">  </w:t>
      </w:r>
      <w:r w:rsidR="0065256B" w:rsidRPr="00693B99">
        <w:rPr>
          <w:szCs w:val="22"/>
        </w:rPr>
        <w:tab/>
        <w:t xml:space="preserve">Kevin Harding at 202-418-1600 or </w:t>
      </w:r>
      <w:hyperlink r:id="rId19" w:history="1">
        <w:r w:rsidR="00EB06CB" w:rsidRPr="00693B99">
          <w:rPr>
            <w:rStyle w:val="Hyperlink"/>
            <w:color w:val="auto"/>
            <w:szCs w:val="22"/>
          </w:rPr>
          <w:t>Kevin.Harding@fcc.gov</w:t>
        </w:r>
      </w:hyperlink>
      <w:r w:rsidR="00EB06CB" w:rsidRPr="00693B99">
        <w:rPr>
          <w:szCs w:val="22"/>
        </w:rPr>
        <w:t xml:space="preserve"> </w:t>
      </w:r>
    </w:p>
    <w:p w14:paraId="7547F06A" w14:textId="77777777" w:rsidR="006B3708" w:rsidRPr="00693B99" w:rsidRDefault="006B3708" w:rsidP="006B3708">
      <w:pPr>
        <w:widowControl/>
        <w:snapToGrid w:val="0"/>
        <w:rPr>
          <w:szCs w:val="22"/>
        </w:rPr>
      </w:pPr>
    </w:p>
    <w:p w14:paraId="63DEFE54" w14:textId="77777777" w:rsidR="006B3708" w:rsidRPr="00693B99" w:rsidRDefault="0065256B" w:rsidP="006B3708">
      <w:pPr>
        <w:widowControl/>
        <w:snapToGrid w:val="0"/>
        <w:rPr>
          <w:szCs w:val="22"/>
        </w:rPr>
      </w:pPr>
      <w:r w:rsidRPr="00693B99">
        <w:rPr>
          <w:b/>
          <w:szCs w:val="22"/>
        </w:rPr>
        <w:t>Class A</w:t>
      </w:r>
      <w:r w:rsidR="006B3708" w:rsidRPr="00693B99">
        <w:rPr>
          <w:b/>
          <w:szCs w:val="22"/>
        </w:rPr>
        <w:t xml:space="preserve"> licensing</w:t>
      </w:r>
      <w:r w:rsidRPr="00693B99">
        <w:rPr>
          <w:b/>
          <w:szCs w:val="22"/>
        </w:rPr>
        <w:t xml:space="preserve"> </w:t>
      </w:r>
      <w:r w:rsidR="006B3708" w:rsidRPr="00693B99">
        <w:rPr>
          <w:b/>
          <w:szCs w:val="22"/>
        </w:rPr>
        <w:t xml:space="preserve">(technical): </w:t>
      </w:r>
      <w:r w:rsidR="006B3708" w:rsidRPr="00693B99">
        <w:rPr>
          <w:szCs w:val="22"/>
        </w:rPr>
        <w:t xml:space="preserve"> </w:t>
      </w:r>
      <w:r w:rsidR="00D34876" w:rsidRPr="00693B99">
        <w:rPr>
          <w:szCs w:val="22"/>
        </w:rPr>
        <w:tab/>
      </w:r>
      <w:r w:rsidR="00D34876" w:rsidRPr="00693B99">
        <w:rPr>
          <w:szCs w:val="22"/>
        </w:rPr>
        <w:tab/>
      </w:r>
      <w:r w:rsidR="00D34876" w:rsidRPr="00693B99">
        <w:rPr>
          <w:szCs w:val="22"/>
        </w:rPr>
        <w:tab/>
      </w:r>
      <w:r w:rsidR="006B3708" w:rsidRPr="00693B99">
        <w:rPr>
          <w:szCs w:val="22"/>
        </w:rPr>
        <w:t>Hossein Hashemzadeh at 202-418-1658 or</w:t>
      </w:r>
    </w:p>
    <w:p w14:paraId="7CCFC50A" w14:textId="7F6AC18F" w:rsidR="006B3708" w:rsidRPr="00693B99" w:rsidRDefault="001815A9" w:rsidP="006B3708">
      <w:pPr>
        <w:widowControl/>
        <w:snapToGrid w:val="0"/>
        <w:ind w:left="3600" w:firstLine="720"/>
        <w:rPr>
          <w:szCs w:val="22"/>
        </w:rPr>
      </w:pPr>
      <w:hyperlink r:id="rId20" w:history="1">
        <w:r w:rsidR="00EB06CB" w:rsidRPr="00693B99">
          <w:rPr>
            <w:rStyle w:val="Hyperlink"/>
            <w:color w:val="auto"/>
            <w:szCs w:val="22"/>
          </w:rPr>
          <w:t>Hossein.Hashemzadah@fcc.gov</w:t>
        </w:r>
      </w:hyperlink>
      <w:r w:rsidR="00EB06CB" w:rsidRPr="00693B99">
        <w:rPr>
          <w:szCs w:val="22"/>
        </w:rPr>
        <w:t xml:space="preserve"> </w:t>
      </w:r>
    </w:p>
    <w:p w14:paraId="49C6F962" w14:textId="77777777" w:rsidR="006B3708" w:rsidRPr="00693B99" w:rsidRDefault="006B3708" w:rsidP="006B3708">
      <w:pPr>
        <w:widowControl/>
        <w:snapToGrid w:val="0"/>
        <w:rPr>
          <w:szCs w:val="22"/>
        </w:rPr>
      </w:pPr>
    </w:p>
    <w:p w14:paraId="38D89AB3" w14:textId="77777777" w:rsidR="008E0D99" w:rsidRPr="00693B99" w:rsidRDefault="008E0D99" w:rsidP="008E0D99">
      <w:pPr>
        <w:widowControl/>
        <w:snapToGrid w:val="0"/>
        <w:rPr>
          <w:szCs w:val="22"/>
        </w:rPr>
      </w:pPr>
      <w:r w:rsidRPr="00693B99">
        <w:rPr>
          <w:b/>
          <w:szCs w:val="22"/>
        </w:rPr>
        <w:t>Transition Scheduling Plan:</w:t>
      </w:r>
      <w:r w:rsidRPr="00693B99">
        <w:rPr>
          <w:szCs w:val="22"/>
        </w:rPr>
        <w:tab/>
      </w:r>
      <w:r w:rsidRPr="00693B99">
        <w:rPr>
          <w:szCs w:val="22"/>
        </w:rPr>
        <w:tab/>
      </w:r>
      <w:r w:rsidRPr="00693B99">
        <w:rPr>
          <w:szCs w:val="22"/>
        </w:rPr>
        <w:tab/>
        <w:t xml:space="preserve">Evan Morris at 202-418-1656 or </w:t>
      </w:r>
    </w:p>
    <w:p w14:paraId="6EE54B4D" w14:textId="68B3841D" w:rsidR="008E0D99" w:rsidRPr="00693B99" w:rsidRDefault="008E0D99" w:rsidP="008E0D99">
      <w:pPr>
        <w:widowControl/>
        <w:snapToGrid w:val="0"/>
        <w:ind w:left="3600" w:firstLine="720"/>
        <w:rPr>
          <w:szCs w:val="22"/>
        </w:rPr>
      </w:pPr>
      <w:r w:rsidRPr="00693B99">
        <w:rPr>
          <w:szCs w:val="22"/>
        </w:rPr>
        <w:t>Evan.Morris@fcc.gov</w:t>
      </w:r>
    </w:p>
    <w:p w14:paraId="65E3A079" w14:textId="77777777" w:rsidR="008E0D99" w:rsidRPr="00693B99" w:rsidRDefault="008E0D99" w:rsidP="006B3708">
      <w:pPr>
        <w:widowControl/>
        <w:snapToGrid w:val="0"/>
        <w:rPr>
          <w:szCs w:val="22"/>
        </w:rPr>
      </w:pPr>
    </w:p>
    <w:p w14:paraId="172F858D" w14:textId="6D86C294" w:rsidR="008E0D99" w:rsidRPr="00693B99" w:rsidRDefault="008E0D99" w:rsidP="006B3708">
      <w:pPr>
        <w:widowControl/>
        <w:snapToGrid w:val="0"/>
        <w:rPr>
          <w:szCs w:val="22"/>
        </w:rPr>
      </w:pPr>
      <w:r w:rsidRPr="00693B99">
        <w:rPr>
          <w:szCs w:val="22"/>
        </w:rPr>
        <w:tab/>
      </w:r>
      <w:r w:rsidRPr="00693B99">
        <w:rPr>
          <w:szCs w:val="22"/>
        </w:rPr>
        <w:tab/>
      </w:r>
      <w:r w:rsidRPr="00693B99">
        <w:rPr>
          <w:szCs w:val="22"/>
        </w:rPr>
        <w:tab/>
      </w:r>
      <w:r w:rsidRPr="00693B99">
        <w:rPr>
          <w:szCs w:val="22"/>
        </w:rPr>
        <w:tab/>
      </w:r>
    </w:p>
    <w:p w14:paraId="7159FC0A" w14:textId="77777777" w:rsidR="006B3708" w:rsidRPr="00693B99" w:rsidRDefault="006B3708" w:rsidP="006B3708">
      <w:pPr>
        <w:widowControl/>
        <w:snapToGrid w:val="0"/>
        <w:rPr>
          <w:szCs w:val="22"/>
        </w:rPr>
      </w:pPr>
      <w:r w:rsidRPr="00693B99">
        <w:rPr>
          <w:b/>
          <w:szCs w:val="22"/>
        </w:rPr>
        <w:t>Reimbursement of Expenses (Form 399):</w:t>
      </w:r>
      <w:r w:rsidRPr="00693B99">
        <w:rPr>
          <w:b/>
          <w:szCs w:val="22"/>
        </w:rPr>
        <w:tab/>
      </w:r>
      <w:r w:rsidRPr="00693B99">
        <w:rPr>
          <w:szCs w:val="22"/>
        </w:rPr>
        <w:t>Pamela Gallant at 202-418-0614 or</w:t>
      </w:r>
    </w:p>
    <w:p w14:paraId="24270ADD" w14:textId="57448ACB" w:rsidR="00ED2D4C" w:rsidRPr="00693B99" w:rsidRDefault="001815A9" w:rsidP="00ED2D4C">
      <w:pPr>
        <w:widowControl/>
        <w:snapToGrid w:val="0"/>
        <w:ind w:left="4308"/>
        <w:rPr>
          <w:rStyle w:val="Hyperlink"/>
          <w:color w:val="auto"/>
          <w:szCs w:val="22"/>
        </w:rPr>
      </w:pPr>
      <w:hyperlink r:id="rId21" w:history="1">
        <w:r w:rsidR="0022213C" w:rsidRPr="00693B99">
          <w:rPr>
            <w:rStyle w:val="Hyperlink"/>
            <w:color w:val="auto"/>
            <w:szCs w:val="22"/>
          </w:rPr>
          <w:t>Pamela.Gallant@fcc.gov</w:t>
        </w:r>
      </w:hyperlink>
    </w:p>
    <w:p w14:paraId="08D88440" w14:textId="77777777" w:rsidR="00ED2D4C" w:rsidRPr="00693B99" w:rsidRDefault="00ED2D4C" w:rsidP="00ED2D4C">
      <w:pPr>
        <w:widowControl/>
        <w:snapToGrid w:val="0"/>
        <w:ind w:left="4308"/>
        <w:rPr>
          <w:rStyle w:val="Hyperlink"/>
          <w:color w:val="auto"/>
          <w:szCs w:val="22"/>
        </w:rPr>
      </w:pPr>
    </w:p>
    <w:p w14:paraId="7556350F" w14:textId="32C7606E" w:rsidR="006E5158" w:rsidRPr="00693B99" w:rsidRDefault="006E5158" w:rsidP="00ED2D4C">
      <w:pPr>
        <w:widowControl/>
        <w:snapToGrid w:val="0"/>
        <w:ind w:left="4308"/>
        <w:rPr>
          <w:szCs w:val="22"/>
        </w:rPr>
      </w:pPr>
      <w:r w:rsidRPr="00693B99">
        <w:rPr>
          <w:szCs w:val="22"/>
        </w:rPr>
        <w:t>Raphael Sznajder at 202-418-1648 or</w:t>
      </w:r>
      <w:r w:rsidR="00ED2D4C" w:rsidRPr="00693B99">
        <w:rPr>
          <w:szCs w:val="22"/>
        </w:rPr>
        <w:t xml:space="preserve"> </w:t>
      </w:r>
      <w:hyperlink r:id="rId22" w:history="1">
        <w:r w:rsidR="000A0939" w:rsidRPr="00693B99">
          <w:rPr>
            <w:rStyle w:val="Hyperlink"/>
            <w:color w:val="auto"/>
            <w:szCs w:val="22"/>
          </w:rPr>
          <w:t>Raphael.Sznajder@fcc.gov</w:t>
        </w:r>
      </w:hyperlink>
      <w:r w:rsidR="000A0939" w:rsidRPr="00693B99">
        <w:rPr>
          <w:szCs w:val="22"/>
        </w:rPr>
        <w:t xml:space="preserve"> </w:t>
      </w:r>
    </w:p>
    <w:p w14:paraId="073E67EE" w14:textId="77777777" w:rsidR="006E5158" w:rsidRPr="00693B99" w:rsidRDefault="006E5158" w:rsidP="006B3708">
      <w:pPr>
        <w:widowControl/>
        <w:snapToGrid w:val="0"/>
        <w:ind w:left="2160" w:firstLine="720"/>
        <w:rPr>
          <w:szCs w:val="22"/>
        </w:rPr>
      </w:pPr>
    </w:p>
    <w:p w14:paraId="0025C319" w14:textId="77777777" w:rsidR="0027189A" w:rsidRPr="00693B99" w:rsidRDefault="0027189A" w:rsidP="006B3708">
      <w:pPr>
        <w:widowControl/>
        <w:snapToGrid w:val="0"/>
        <w:rPr>
          <w:szCs w:val="22"/>
        </w:rPr>
      </w:pPr>
      <w:r w:rsidRPr="00693B99">
        <w:rPr>
          <w:b/>
          <w:szCs w:val="22"/>
        </w:rPr>
        <w:t>Service Rule Waivers:</w:t>
      </w:r>
      <w:r w:rsidRPr="00693B99">
        <w:rPr>
          <w:b/>
          <w:szCs w:val="22"/>
        </w:rPr>
        <w:tab/>
      </w:r>
      <w:r w:rsidRPr="00693B99">
        <w:rPr>
          <w:b/>
          <w:szCs w:val="22"/>
        </w:rPr>
        <w:tab/>
      </w:r>
      <w:r w:rsidRPr="00693B99">
        <w:rPr>
          <w:b/>
          <w:szCs w:val="22"/>
        </w:rPr>
        <w:tab/>
      </w:r>
      <w:r w:rsidRPr="00693B99">
        <w:rPr>
          <w:b/>
          <w:szCs w:val="22"/>
        </w:rPr>
        <w:tab/>
      </w:r>
      <w:r w:rsidRPr="00693B99">
        <w:rPr>
          <w:szCs w:val="22"/>
        </w:rPr>
        <w:t xml:space="preserve">Evan Morris at 202-418-1656 or </w:t>
      </w:r>
    </w:p>
    <w:p w14:paraId="43BA3AF2" w14:textId="18346508" w:rsidR="0027189A" w:rsidRPr="00693B99" w:rsidRDefault="001815A9" w:rsidP="0027189A">
      <w:pPr>
        <w:widowControl/>
        <w:snapToGrid w:val="0"/>
        <w:ind w:left="3600" w:firstLine="720"/>
        <w:rPr>
          <w:szCs w:val="22"/>
        </w:rPr>
      </w:pPr>
      <w:hyperlink r:id="rId23" w:history="1">
        <w:r w:rsidR="0027189A" w:rsidRPr="00693B99">
          <w:rPr>
            <w:rStyle w:val="Hyperlink"/>
            <w:color w:val="auto"/>
            <w:szCs w:val="22"/>
          </w:rPr>
          <w:t>Evan.Morris@fcc.gov</w:t>
        </w:r>
      </w:hyperlink>
    </w:p>
    <w:p w14:paraId="5A743DD7" w14:textId="77777777" w:rsidR="0027189A" w:rsidRPr="00693B99" w:rsidRDefault="0027189A" w:rsidP="0027189A">
      <w:pPr>
        <w:widowControl/>
        <w:snapToGrid w:val="0"/>
        <w:rPr>
          <w:szCs w:val="22"/>
        </w:rPr>
      </w:pPr>
    </w:p>
    <w:p w14:paraId="387546DC" w14:textId="77777777" w:rsidR="006B3708" w:rsidRPr="00693B99" w:rsidRDefault="006004D6" w:rsidP="006004D6">
      <w:pPr>
        <w:widowControl/>
        <w:snapToGrid w:val="0"/>
        <w:ind w:left="4320" w:hanging="4320"/>
        <w:rPr>
          <w:szCs w:val="22"/>
        </w:rPr>
      </w:pPr>
      <w:r w:rsidRPr="00693B99">
        <w:rPr>
          <w:b/>
          <w:szCs w:val="22"/>
        </w:rPr>
        <w:t>LMS:</w:t>
      </w:r>
      <w:r w:rsidRPr="00693B99">
        <w:rPr>
          <w:b/>
          <w:szCs w:val="22"/>
        </w:rPr>
        <w:tab/>
      </w:r>
      <w:r w:rsidR="00861E96" w:rsidRPr="00693B99">
        <w:rPr>
          <w:szCs w:val="22"/>
        </w:rPr>
        <w:t xml:space="preserve">Technical problems </w:t>
      </w:r>
      <w:r w:rsidRPr="00693B99">
        <w:rPr>
          <w:szCs w:val="22"/>
        </w:rPr>
        <w:t xml:space="preserve">or trouble accessing: </w:t>
      </w:r>
      <w:r w:rsidR="00861E96" w:rsidRPr="00693B99">
        <w:rPr>
          <w:szCs w:val="22"/>
        </w:rPr>
        <w:t>(877) 480-3201 TTY: (717) 338-2824</w:t>
      </w:r>
    </w:p>
    <w:p w14:paraId="49E04A7D" w14:textId="77777777" w:rsidR="008E0D99" w:rsidRPr="00693B99" w:rsidRDefault="008E0D99" w:rsidP="006004D6">
      <w:pPr>
        <w:widowControl/>
        <w:snapToGrid w:val="0"/>
        <w:ind w:left="4320" w:hanging="4320"/>
        <w:rPr>
          <w:b/>
          <w:szCs w:val="22"/>
        </w:rPr>
      </w:pPr>
    </w:p>
    <w:p w14:paraId="062C3307" w14:textId="3E3B3C55" w:rsidR="006B3708" w:rsidRPr="00693B99" w:rsidRDefault="00AC5480" w:rsidP="00ED2D4C">
      <w:pPr>
        <w:widowControl/>
        <w:snapToGrid w:val="0"/>
        <w:rPr>
          <w:szCs w:val="22"/>
        </w:rPr>
      </w:pPr>
      <w:r w:rsidRPr="00693B99">
        <w:rPr>
          <w:b/>
          <w:szCs w:val="22"/>
        </w:rPr>
        <w:t>General Auction 1000 Information:</w:t>
      </w:r>
      <w:r w:rsidRPr="00693B99">
        <w:rPr>
          <w:b/>
          <w:szCs w:val="22"/>
        </w:rPr>
        <w:tab/>
      </w:r>
      <w:r w:rsidRPr="00693B99">
        <w:rPr>
          <w:b/>
          <w:szCs w:val="22"/>
        </w:rPr>
        <w:tab/>
      </w:r>
      <w:hyperlink r:id="rId24" w:history="1">
        <w:r w:rsidRPr="00693B99">
          <w:rPr>
            <w:rStyle w:val="Hyperlink"/>
            <w:color w:val="auto"/>
            <w:szCs w:val="22"/>
          </w:rPr>
          <w:t>www.fcc.gov/auctions/1000</w:t>
        </w:r>
      </w:hyperlink>
      <w:r w:rsidRPr="00693B99">
        <w:rPr>
          <w:szCs w:val="22"/>
        </w:rPr>
        <w:t xml:space="preserve"> </w:t>
      </w:r>
    </w:p>
    <w:p w14:paraId="68AE437F" w14:textId="77777777" w:rsidR="00ED2D4C" w:rsidRPr="00693B99" w:rsidRDefault="00ED2D4C" w:rsidP="006B3708">
      <w:pPr>
        <w:spacing w:before="120" w:after="240"/>
        <w:contextualSpacing/>
        <w:jc w:val="center"/>
        <w:rPr>
          <w:b/>
          <w:szCs w:val="22"/>
        </w:rPr>
      </w:pPr>
    </w:p>
    <w:p w14:paraId="00604292" w14:textId="77777777" w:rsidR="00082E62" w:rsidRPr="00693B99" w:rsidRDefault="00082E62" w:rsidP="006B3708">
      <w:pPr>
        <w:spacing w:before="120" w:after="240"/>
        <w:contextualSpacing/>
        <w:jc w:val="center"/>
        <w:rPr>
          <w:b/>
          <w:szCs w:val="22"/>
        </w:rPr>
      </w:pPr>
    </w:p>
    <w:p w14:paraId="07E68FF1" w14:textId="77777777" w:rsidR="00082E62" w:rsidRPr="00693B99" w:rsidRDefault="00082E62" w:rsidP="006B3708">
      <w:pPr>
        <w:spacing w:before="120" w:after="240"/>
        <w:contextualSpacing/>
        <w:jc w:val="center"/>
        <w:rPr>
          <w:b/>
          <w:szCs w:val="22"/>
        </w:rPr>
      </w:pPr>
    </w:p>
    <w:p w14:paraId="332CCD2C" w14:textId="77777777" w:rsidR="006B3708" w:rsidRPr="00693B99" w:rsidRDefault="006B3708" w:rsidP="006B3708">
      <w:pPr>
        <w:spacing w:before="120" w:after="240"/>
        <w:contextualSpacing/>
        <w:jc w:val="center"/>
        <w:rPr>
          <w:b/>
          <w:szCs w:val="22"/>
        </w:rPr>
      </w:pPr>
      <w:r w:rsidRPr="00693B99">
        <w:rPr>
          <w:b/>
          <w:szCs w:val="22"/>
        </w:rPr>
        <w:t>- FCC</w:t>
      </w:r>
      <w:r w:rsidR="00717278" w:rsidRPr="00693B99">
        <w:rPr>
          <w:b/>
          <w:szCs w:val="22"/>
        </w:rPr>
        <w:t xml:space="preserve"> -</w:t>
      </w:r>
      <w:r w:rsidRPr="00693B99">
        <w:rPr>
          <w:b/>
          <w:szCs w:val="22"/>
        </w:rPr>
        <w:br w:type="page"/>
      </w:r>
    </w:p>
    <w:p w14:paraId="58C7D0D0" w14:textId="77777777" w:rsidR="006B3708" w:rsidRPr="00693B99" w:rsidRDefault="006B3708" w:rsidP="00A115B3">
      <w:pPr>
        <w:pStyle w:val="Heading1"/>
        <w:numPr>
          <w:ilvl w:val="0"/>
          <w:numId w:val="0"/>
        </w:numPr>
        <w:ind w:left="720" w:hanging="720"/>
        <w:jc w:val="center"/>
        <w:rPr>
          <w:rFonts w:ascii="Times New Roman" w:hAnsi="Times New Roman"/>
          <w:szCs w:val="22"/>
        </w:rPr>
      </w:pPr>
      <w:bookmarkStart w:id="355" w:name="_Toc471732576"/>
      <w:bookmarkStart w:id="356" w:name="_Toc471732649"/>
      <w:bookmarkStart w:id="357" w:name="_Toc471732912"/>
      <w:bookmarkStart w:id="358" w:name="_Toc471734089"/>
      <w:r w:rsidRPr="00693B99">
        <w:rPr>
          <w:rFonts w:ascii="Times New Roman" w:hAnsi="Times New Roman"/>
          <w:szCs w:val="22"/>
        </w:rPr>
        <w:t>A</w:t>
      </w:r>
      <w:r w:rsidR="00A115B3" w:rsidRPr="00693B99">
        <w:rPr>
          <w:rFonts w:ascii="Times New Roman" w:hAnsi="Times New Roman"/>
          <w:szCs w:val="22"/>
        </w:rPr>
        <w:t>ppendix</w:t>
      </w:r>
      <w:r w:rsidRPr="00693B99">
        <w:rPr>
          <w:rFonts w:ascii="Times New Roman" w:hAnsi="Times New Roman"/>
          <w:szCs w:val="22"/>
        </w:rPr>
        <w:t xml:space="preserve"> A</w:t>
      </w:r>
      <w:bookmarkEnd w:id="355"/>
      <w:bookmarkEnd w:id="356"/>
      <w:bookmarkEnd w:id="357"/>
      <w:bookmarkEnd w:id="358"/>
    </w:p>
    <w:p w14:paraId="04A2A33B" w14:textId="77777777" w:rsidR="006B3708" w:rsidRPr="00693B99" w:rsidRDefault="006B3708" w:rsidP="006B3708">
      <w:pPr>
        <w:spacing w:before="120" w:after="240"/>
        <w:contextualSpacing/>
        <w:jc w:val="center"/>
        <w:rPr>
          <w:b/>
          <w:szCs w:val="22"/>
        </w:rPr>
      </w:pPr>
    </w:p>
    <w:p w14:paraId="6E5CBA30" w14:textId="77777777" w:rsidR="006B3708" w:rsidRPr="00693B99" w:rsidRDefault="006B3708" w:rsidP="006B3708">
      <w:pPr>
        <w:spacing w:before="120" w:after="240"/>
        <w:contextualSpacing/>
        <w:jc w:val="center"/>
        <w:rPr>
          <w:b/>
          <w:szCs w:val="22"/>
        </w:rPr>
      </w:pPr>
      <w:r w:rsidRPr="00693B99">
        <w:rPr>
          <w:b/>
          <w:szCs w:val="22"/>
        </w:rPr>
        <w:t xml:space="preserve">INSTRUCTIONS FOR ACCESSING </w:t>
      </w:r>
      <w:r w:rsidR="00185AF1" w:rsidRPr="00693B99">
        <w:rPr>
          <w:b/>
          <w:szCs w:val="22"/>
        </w:rPr>
        <w:t xml:space="preserve">AND FILING ON </w:t>
      </w:r>
      <w:r w:rsidRPr="00693B99">
        <w:rPr>
          <w:b/>
          <w:szCs w:val="22"/>
        </w:rPr>
        <w:t>LMS</w:t>
      </w:r>
    </w:p>
    <w:p w14:paraId="765FC6A2" w14:textId="77777777" w:rsidR="002F62C9" w:rsidRPr="00693B99" w:rsidRDefault="002F62C9" w:rsidP="002F62C9">
      <w:pPr>
        <w:spacing w:before="120" w:after="240"/>
        <w:contextualSpacing/>
        <w:rPr>
          <w:b/>
          <w:szCs w:val="22"/>
          <w:u w:val="single"/>
        </w:rPr>
      </w:pPr>
    </w:p>
    <w:p w14:paraId="53543727" w14:textId="77777777" w:rsidR="002F62C9" w:rsidRPr="00693B99" w:rsidRDefault="002F62C9" w:rsidP="002F62C9">
      <w:pPr>
        <w:spacing w:before="120" w:after="240"/>
        <w:contextualSpacing/>
        <w:rPr>
          <w:b/>
          <w:szCs w:val="22"/>
          <w:u w:val="single"/>
        </w:rPr>
      </w:pPr>
      <w:r w:rsidRPr="00693B99">
        <w:rPr>
          <w:b/>
          <w:szCs w:val="22"/>
          <w:u w:val="single"/>
        </w:rPr>
        <w:t>General Log-in Instructions</w:t>
      </w:r>
    </w:p>
    <w:p w14:paraId="60D4A836" w14:textId="77777777" w:rsidR="002F62C9" w:rsidRPr="00693B99" w:rsidRDefault="002F62C9" w:rsidP="002F62C9">
      <w:pPr>
        <w:spacing w:before="120" w:after="240"/>
        <w:contextualSpacing/>
        <w:rPr>
          <w:b/>
          <w:szCs w:val="22"/>
          <w:u w:val="single"/>
        </w:rPr>
      </w:pPr>
    </w:p>
    <w:p w14:paraId="5945FFAD" w14:textId="77777777" w:rsidR="002F62C9" w:rsidRPr="00693B99" w:rsidRDefault="002F62C9" w:rsidP="002F62C9">
      <w:pPr>
        <w:spacing w:before="120" w:after="240"/>
        <w:ind w:firstLine="720"/>
        <w:contextualSpacing/>
        <w:rPr>
          <w:szCs w:val="22"/>
        </w:rPr>
      </w:pPr>
      <w:r w:rsidRPr="00693B99">
        <w:rPr>
          <w:szCs w:val="22"/>
          <w:lang w:eastAsia="x-none"/>
        </w:rPr>
        <w:t>Access the LMS applicant data entry home page here:</w:t>
      </w:r>
    </w:p>
    <w:p w14:paraId="6D6E6470" w14:textId="77777777" w:rsidR="002F62C9" w:rsidRPr="00693B99" w:rsidRDefault="002F62C9" w:rsidP="002F62C9">
      <w:pPr>
        <w:spacing w:before="120" w:after="240"/>
        <w:contextualSpacing/>
        <w:jc w:val="center"/>
        <w:rPr>
          <w:szCs w:val="22"/>
        </w:rPr>
      </w:pPr>
    </w:p>
    <w:p w14:paraId="3F101FAA" w14:textId="55C23A05" w:rsidR="002F62C9" w:rsidRPr="00693B99" w:rsidRDefault="001815A9" w:rsidP="002F62C9">
      <w:pPr>
        <w:spacing w:before="120" w:after="120"/>
        <w:contextualSpacing/>
        <w:jc w:val="center"/>
        <w:rPr>
          <w:szCs w:val="22"/>
          <w:u w:val="single"/>
        </w:rPr>
      </w:pPr>
      <w:hyperlink r:id="rId25" w:history="1">
        <w:r w:rsidR="002F62C9" w:rsidRPr="00693B99">
          <w:rPr>
            <w:szCs w:val="22"/>
            <w:u w:val="single"/>
          </w:rPr>
          <w:t>https://enterpriseefiling.fcc.gov/dataentry/login.html</w:t>
        </w:r>
      </w:hyperlink>
    </w:p>
    <w:p w14:paraId="689B83B6" w14:textId="77777777" w:rsidR="002F62C9" w:rsidRPr="00693B99" w:rsidRDefault="002F62C9" w:rsidP="002F62C9">
      <w:pPr>
        <w:spacing w:before="120" w:after="120"/>
        <w:contextualSpacing/>
        <w:jc w:val="center"/>
        <w:rPr>
          <w:szCs w:val="22"/>
        </w:rPr>
      </w:pPr>
    </w:p>
    <w:p w14:paraId="3118DDD8" w14:textId="77777777" w:rsidR="002F62C9" w:rsidRPr="00693B99" w:rsidRDefault="002F62C9" w:rsidP="002F62C9">
      <w:pPr>
        <w:spacing w:before="120" w:after="240"/>
        <w:ind w:firstLine="720"/>
        <w:contextualSpacing/>
        <w:rPr>
          <w:szCs w:val="22"/>
        </w:rPr>
      </w:pPr>
      <w:r w:rsidRPr="00693B99">
        <w:rPr>
          <w:szCs w:val="22"/>
          <w:lang w:eastAsia="x-none"/>
        </w:rPr>
        <w:t>L</w:t>
      </w:r>
      <w:r w:rsidRPr="00693B99">
        <w:rPr>
          <w:szCs w:val="22"/>
          <w:lang w:val="x-none"/>
        </w:rPr>
        <w:t>og</w:t>
      </w:r>
      <w:r w:rsidRPr="00693B99">
        <w:rPr>
          <w:szCs w:val="22"/>
        </w:rPr>
        <w:t>-</w:t>
      </w:r>
      <w:r w:rsidRPr="00693B99">
        <w:rPr>
          <w:szCs w:val="22"/>
          <w:lang w:val="x-none"/>
        </w:rPr>
        <w:t xml:space="preserve">in using </w:t>
      </w:r>
      <w:r w:rsidRPr="00693B99">
        <w:rPr>
          <w:szCs w:val="22"/>
          <w:lang w:val="x-none" w:eastAsia="x-none"/>
        </w:rPr>
        <w:t>the</w:t>
      </w:r>
      <w:r w:rsidRPr="00693B99">
        <w:rPr>
          <w:szCs w:val="22"/>
          <w:lang w:val="x-none"/>
        </w:rPr>
        <w:t xml:space="preserve"> FRN </w:t>
      </w:r>
      <w:r w:rsidRPr="00693B99">
        <w:rPr>
          <w:szCs w:val="22"/>
          <w:lang w:val="x-none" w:eastAsia="x-none"/>
        </w:rPr>
        <w:t>associated with</w:t>
      </w:r>
      <w:r w:rsidRPr="00693B99">
        <w:rPr>
          <w:szCs w:val="22"/>
          <w:lang w:val="x-none"/>
        </w:rPr>
        <w:t xml:space="preserve"> the station.</w:t>
      </w:r>
      <w:r w:rsidRPr="00693B99">
        <w:rPr>
          <w:szCs w:val="22"/>
        </w:rPr>
        <w:t xml:space="preserve">  </w:t>
      </w:r>
    </w:p>
    <w:p w14:paraId="2203838F" w14:textId="77777777" w:rsidR="002F62C9" w:rsidRPr="00693B99" w:rsidRDefault="002F62C9" w:rsidP="002F62C9">
      <w:pPr>
        <w:spacing w:before="120" w:after="240"/>
        <w:ind w:firstLine="720"/>
        <w:contextualSpacing/>
        <w:rPr>
          <w:szCs w:val="22"/>
        </w:rPr>
      </w:pPr>
    </w:p>
    <w:p w14:paraId="7BDAC17D" w14:textId="77777777" w:rsidR="002F62C9" w:rsidRPr="00693B99" w:rsidRDefault="002F62C9" w:rsidP="002F62C9">
      <w:pPr>
        <w:spacing w:before="120" w:after="240"/>
        <w:ind w:firstLine="720"/>
        <w:contextualSpacing/>
        <w:rPr>
          <w:szCs w:val="22"/>
        </w:rPr>
      </w:pPr>
      <w:r w:rsidRPr="00693B99">
        <w:rPr>
          <w:szCs w:val="22"/>
        </w:rPr>
        <w:t>For more information and help using the LMS system, contact:  (877) 480-3201 TTY, or (717) 333-2824.</w:t>
      </w:r>
    </w:p>
    <w:p w14:paraId="123DCFA0" w14:textId="77777777" w:rsidR="002F62C9" w:rsidRPr="00693B99" w:rsidRDefault="002F62C9" w:rsidP="002F62C9">
      <w:pPr>
        <w:spacing w:before="120" w:after="240"/>
        <w:ind w:firstLine="720"/>
        <w:contextualSpacing/>
        <w:rPr>
          <w:szCs w:val="22"/>
        </w:rPr>
      </w:pPr>
    </w:p>
    <w:p w14:paraId="6852E04D" w14:textId="7492AD29" w:rsidR="002F62C9" w:rsidRPr="00693B99" w:rsidRDefault="002F62C9" w:rsidP="002F62C9">
      <w:pPr>
        <w:spacing w:before="120" w:after="240"/>
        <w:rPr>
          <w:b/>
          <w:szCs w:val="22"/>
          <w:u w:val="single"/>
        </w:rPr>
      </w:pPr>
      <w:r w:rsidRPr="00693B99">
        <w:rPr>
          <w:b/>
          <w:szCs w:val="22"/>
          <w:u w:val="single"/>
        </w:rPr>
        <w:t xml:space="preserve">Instructions </w:t>
      </w:r>
      <w:r w:rsidR="003E58B2" w:rsidRPr="00693B99">
        <w:rPr>
          <w:b/>
          <w:szCs w:val="22"/>
          <w:u w:val="single"/>
        </w:rPr>
        <w:t xml:space="preserve">for </w:t>
      </w:r>
      <w:r w:rsidRPr="00693B99">
        <w:rPr>
          <w:b/>
          <w:szCs w:val="22"/>
          <w:u w:val="single"/>
        </w:rPr>
        <w:t>Specific Filings</w:t>
      </w:r>
    </w:p>
    <w:p w14:paraId="4E73C622" w14:textId="77777777" w:rsidR="002F62C9" w:rsidRPr="00693B99" w:rsidRDefault="002F62C9" w:rsidP="002F62C9">
      <w:pPr>
        <w:spacing w:before="120" w:after="240"/>
        <w:ind w:left="720"/>
        <w:contextualSpacing/>
        <w:rPr>
          <w:szCs w:val="22"/>
        </w:rPr>
      </w:pPr>
      <w:r w:rsidRPr="00693B99">
        <w:rPr>
          <w:szCs w:val="22"/>
        </w:rPr>
        <w:t>After logging into LMS, follow these instructions for the particular type of filing.</w:t>
      </w:r>
    </w:p>
    <w:p w14:paraId="4A84F03A" w14:textId="77777777" w:rsidR="002F62C9" w:rsidRPr="00693B99" w:rsidRDefault="002F62C9" w:rsidP="002F62C9">
      <w:pPr>
        <w:spacing w:before="120" w:after="240"/>
        <w:ind w:left="720"/>
        <w:contextualSpacing/>
        <w:rPr>
          <w:szCs w:val="22"/>
        </w:rPr>
      </w:pPr>
      <w:r w:rsidRPr="00693B99">
        <w:rPr>
          <w:szCs w:val="22"/>
        </w:rPr>
        <w:t xml:space="preserve">  </w:t>
      </w:r>
    </w:p>
    <w:p w14:paraId="6900ADCB" w14:textId="77777777" w:rsidR="002F62C9" w:rsidRPr="00693B99" w:rsidRDefault="002F62C9" w:rsidP="002F62C9">
      <w:pPr>
        <w:spacing w:before="120" w:after="240"/>
        <w:ind w:firstLine="720"/>
        <w:contextualSpacing/>
        <w:rPr>
          <w:szCs w:val="22"/>
        </w:rPr>
      </w:pPr>
      <w:r w:rsidRPr="00693B99">
        <w:rPr>
          <w:b/>
          <w:szCs w:val="22"/>
        </w:rPr>
        <w:t xml:space="preserve">Fees and Fee Exemption:  </w:t>
      </w:r>
      <w:r w:rsidRPr="00693B99">
        <w:rPr>
          <w:szCs w:val="22"/>
        </w:rPr>
        <w:t>Applicants must pay the requisite filing fee where applicable. Applicants may request a fee exemption for the filing of their initial minor change construction permit by selecting “Yes” in the “Fees, Waivers and Exemption” section of Form 2100 and indicating “Section 1.1116(a)/Incentive Auction Filing Requirement” as the reason for the fee exemption.</w:t>
      </w:r>
    </w:p>
    <w:p w14:paraId="5A1844F2" w14:textId="77777777" w:rsidR="002F62C9" w:rsidRPr="00693B99" w:rsidRDefault="002F62C9" w:rsidP="002F62C9">
      <w:pPr>
        <w:spacing w:before="120" w:after="240"/>
        <w:ind w:left="720"/>
        <w:contextualSpacing/>
        <w:rPr>
          <w:szCs w:val="22"/>
        </w:rPr>
      </w:pPr>
    </w:p>
    <w:p w14:paraId="7019EFF2" w14:textId="77777777" w:rsidR="002F62C9" w:rsidRPr="00693B99" w:rsidRDefault="002F62C9" w:rsidP="002F62C9">
      <w:pPr>
        <w:spacing w:before="120" w:after="240"/>
        <w:rPr>
          <w:szCs w:val="22"/>
          <w:u w:val="single"/>
        </w:rPr>
      </w:pPr>
      <w:r w:rsidRPr="00693B99">
        <w:rPr>
          <w:szCs w:val="22"/>
          <w:u w:val="single"/>
        </w:rPr>
        <w:t>Waiver of Construction Permit Application Filing Deadline</w:t>
      </w:r>
    </w:p>
    <w:p w14:paraId="2E1716AB" w14:textId="77777777" w:rsidR="002F62C9" w:rsidRPr="00693B99" w:rsidRDefault="002F62C9" w:rsidP="002F62C9">
      <w:pPr>
        <w:widowControl/>
        <w:numPr>
          <w:ilvl w:val="0"/>
          <w:numId w:val="26"/>
        </w:numPr>
        <w:ind w:left="1440" w:hanging="720"/>
        <w:rPr>
          <w:szCs w:val="22"/>
          <w:lang w:val="x-none" w:eastAsia="x-none"/>
        </w:rPr>
      </w:pPr>
      <w:r w:rsidRPr="00693B99">
        <w:rPr>
          <w:szCs w:val="22"/>
          <w:lang w:val="x-none" w:eastAsia="x-none"/>
        </w:rPr>
        <w:t>Click on the “Facilities” tab on the left top of the page.</w:t>
      </w:r>
    </w:p>
    <w:p w14:paraId="46CD6C6C" w14:textId="77777777" w:rsidR="002F62C9" w:rsidRPr="00693B99" w:rsidRDefault="002F62C9" w:rsidP="002F62C9">
      <w:pPr>
        <w:widowControl/>
        <w:numPr>
          <w:ilvl w:val="0"/>
          <w:numId w:val="26"/>
        </w:numPr>
        <w:ind w:left="1440" w:hanging="720"/>
        <w:rPr>
          <w:szCs w:val="22"/>
          <w:lang w:val="x-none" w:eastAsia="x-none"/>
        </w:rPr>
      </w:pPr>
      <w:r w:rsidRPr="00693B99">
        <w:rPr>
          <w:szCs w:val="22"/>
          <w:lang w:val="x-none" w:eastAsia="x-none"/>
        </w:rPr>
        <w:t>Click on the facility ID number of the station</w:t>
      </w:r>
      <w:r w:rsidRPr="00693B99">
        <w:rPr>
          <w:szCs w:val="22"/>
          <w:lang w:eastAsia="x-none"/>
        </w:rPr>
        <w:t xml:space="preserve"> requesting the waiver</w:t>
      </w:r>
      <w:r w:rsidRPr="00693B99">
        <w:rPr>
          <w:szCs w:val="22"/>
          <w:lang w:val="x-none" w:eastAsia="x-none"/>
        </w:rPr>
        <w:t>.</w:t>
      </w:r>
    </w:p>
    <w:p w14:paraId="51C53DF4" w14:textId="77777777" w:rsidR="002F62C9" w:rsidRPr="00693B99" w:rsidRDefault="002F62C9" w:rsidP="002F62C9">
      <w:pPr>
        <w:widowControl/>
        <w:numPr>
          <w:ilvl w:val="0"/>
          <w:numId w:val="26"/>
        </w:numPr>
        <w:ind w:left="1440" w:hanging="720"/>
        <w:rPr>
          <w:szCs w:val="22"/>
          <w:lang w:val="x-none" w:eastAsia="x-none"/>
        </w:rPr>
      </w:pPr>
      <w:r w:rsidRPr="00693B99">
        <w:rPr>
          <w:szCs w:val="22"/>
          <w:lang w:val="x-none" w:eastAsia="x-none"/>
        </w:rPr>
        <w:t>Click on the “File an Application” button</w:t>
      </w:r>
      <w:r w:rsidRPr="00693B99">
        <w:rPr>
          <w:szCs w:val="22"/>
          <w:lang w:eastAsia="x-none"/>
        </w:rPr>
        <w:t>.</w:t>
      </w:r>
    </w:p>
    <w:p w14:paraId="16E6A7DD" w14:textId="77777777" w:rsidR="002F62C9" w:rsidRPr="00693B99" w:rsidRDefault="002F62C9" w:rsidP="002F62C9">
      <w:pPr>
        <w:widowControl/>
        <w:numPr>
          <w:ilvl w:val="0"/>
          <w:numId w:val="26"/>
        </w:numPr>
        <w:ind w:left="1440" w:hanging="720"/>
        <w:rPr>
          <w:szCs w:val="22"/>
          <w:lang w:val="x-none" w:eastAsia="x-none"/>
        </w:rPr>
      </w:pPr>
      <w:r w:rsidRPr="00693B99">
        <w:rPr>
          <w:szCs w:val="22"/>
          <w:lang w:eastAsia="x-none"/>
        </w:rPr>
        <w:t>Select “Legal STA” from drop down menu.</w:t>
      </w:r>
    </w:p>
    <w:p w14:paraId="29C2842E" w14:textId="77777777" w:rsidR="002F62C9" w:rsidRPr="00693B99" w:rsidRDefault="002F62C9" w:rsidP="002F62C9">
      <w:pPr>
        <w:widowControl/>
        <w:numPr>
          <w:ilvl w:val="0"/>
          <w:numId w:val="26"/>
        </w:numPr>
        <w:ind w:left="1440" w:hanging="720"/>
        <w:rPr>
          <w:szCs w:val="22"/>
          <w:lang w:val="x-none" w:eastAsia="x-none"/>
        </w:rPr>
      </w:pPr>
      <w:r w:rsidRPr="00693B99">
        <w:rPr>
          <w:szCs w:val="22"/>
          <w:lang w:eastAsia="x-none"/>
        </w:rPr>
        <w:t>In Application Description, enter “Requesting a Waiver of Section 73.3700(b)(1)(i).”  Upload an attachment explaining justification for waiver and select “All Purpose” as the Attachment Type.  Once upload had commenced, click on Back button and then Save and Continue.</w:t>
      </w:r>
    </w:p>
    <w:p w14:paraId="2655A9B6" w14:textId="77777777" w:rsidR="002F62C9" w:rsidRPr="00693B99" w:rsidRDefault="002F62C9" w:rsidP="002F62C9">
      <w:pPr>
        <w:widowControl/>
        <w:numPr>
          <w:ilvl w:val="0"/>
          <w:numId w:val="26"/>
        </w:numPr>
        <w:ind w:left="1440" w:hanging="720"/>
        <w:rPr>
          <w:szCs w:val="22"/>
          <w:lang w:val="x-none" w:eastAsia="x-none"/>
        </w:rPr>
      </w:pPr>
      <w:r w:rsidRPr="00693B99">
        <w:rPr>
          <w:szCs w:val="22"/>
          <w:lang w:val="x-none" w:eastAsia="x-none"/>
        </w:rPr>
        <w:t>Select “</w:t>
      </w:r>
      <w:r w:rsidRPr="00693B99">
        <w:rPr>
          <w:szCs w:val="22"/>
          <w:lang w:eastAsia="x-none"/>
        </w:rPr>
        <w:t>Waivers”</w:t>
      </w:r>
      <w:r w:rsidRPr="00693B99">
        <w:rPr>
          <w:szCs w:val="22"/>
          <w:lang w:val="x-none" w:eastAsia="x-none"/>
        </w:rPr>
        <w:t xml:space="preserve"> from </w:t>
      </w:r>
      <w:r w:rsidRPr="00693B99">
        <w:rPr>
          <w:szCs w:val="22"/>
          <w:lang w:eastAsia="x-none"/>
        </w:rPr>
        <w:t>application section “Fees, Waivers and Exemptions.”  Select Yes for Waivers, answer questions appropriately, and click Save and Continue.</w:t>
      </w:r>
    </w:p>
    <w:p w14:paraId="3F5C6C28" w14:textId="77777777" w:rsidR="002F62C9" w:rsidRPr="00693B99" w:rsidRDefault="002F62C9" w:rsidP="002F62C9">
      <w:pPr>
        <w:widowControl/>
        <w:numPr>
          <w:ilvl w:val="0"/>
          <w:numId w:val="26"/>
        </w:numPr>
        <w:ind w:left="1440" w:hanging="720"/>
        <w:rPr>
          <w:szCs w:val="22"/>
          <w:lang w:val="x-none"/>
        </w:rPr>
      </w:pPr>
      <w:r w:rsidRPr="00693B99">
        <w:rPr>
          <w:szCs w:val="22"/>
          <w:lang w:eastAsia="x-none"/>
        </w:rPr>
        <w:t>Complete the application and click Submit.</w:t>
      </w:r>
    </w:p>
    <w:p w14:paraId="57AE077B" w14:textId="77777777" w:rsidR="002F62C9" w:rsidRPr="00693B99" w:rsidRDefault="002F62C9" w:rsidP="002F62C9">
      <w:pPr>
        <w:widowControl/>
        <w:numPr>
          <w:ilvl w:val="0"/>
          <w:numId w:val="26"/>
        </w:numPr>
        <w:ind w:left="1440" w:hanging="720"/>
        <w:rPr>
          <w:szCs w:val="22"/>
          <w:lang w:val="x-none" w:eastAsia="x-none"/>
        </w:rPr>
      </w:pPr>
      <w:r w:rsidRPr="00693B99">
        <w:rPr>
          <w:szCs w:val="22"/>
          <w:lang w:eastAsia="x-none"/>
        </w:rPr>
        <w:t xml:space="preserve">Download the Reference copy and e-mail to </w:t>
      </w:r>
      <w:r w:rsidRPr="00693B99">
        <w:rPr>
          <w:szCs w:val="22"/>
          <w:u w:val="single"/>
        </w:rPr>
        <w:t xml:space="preserve">IATransitionlicensing@fcc.gov. </w:t>
      </w:r>
    </w:p>
    <w:p w14:paraId="4A61E86D" w14:textId="77777777" w:rsidR="002F62C9" w:rsidRPr="00693B99" w:rsidRDefault="002F62C9" w:rsidP="002F62C9">
      <w:pPr>
        <w:spacing w:before="120" w:after="240"/>
        <w:rPr>
          <w:szCs w:val="22"/>
          <w:u w:val="single"/>
        </w:rPr>
      </w:pPr>
      <w:r w:rsidRPr="00693B99">
        <w:rPr>
          <w:szCs w:val="22"/>
          <w:u w:val="single"/>
        </w:rPr>
        <w:t>FCC Form 2100 – Schedule 399 (Reimbursement form), Schedule A and Schedule E (Construction permit)</w:t>
      </w:r>
    </w:p>
    <w:p w14:paraId="291E8945" w14:textId="77777777" w:rsidR="002F62C9" w:rsidRPr="00693B99" w:rsidRDefault="002F62C9" w:rsidP="002F62C9">
      <w:pPr>
        <w:numPr>
          <w:ilvl w:val="0"/>
          <w:numId w:val="27"/>
        </w:numPr>
        <w:spacing w:before="120" w:after="240"/>
        <w:contextualSpacing/>
        <w:rPr>
          <w:szCs w:val="22"/>
        </w:rPr>
      </w:pPr>
      <w:r w:rsidRPr="00693B99">
        <w:rPr>
          <w:szCs w:val="22"/>
        </w:rPr>
        <w:t>Click on “Authorizations” tab on the left top of the page.</w:t>
      </w:r>
    </w:p>
    <w:p w14:paraId="1384F695" w14:textId="77777777" w:rsidR="002F62C9" w:rsidRPr="00693B99" w:rsidRDefault="002F62C9" w:rsidP="002F62C9">
      <w:pPr>
        <w:numPr>
          <w:ilvl w:val="0"/>
          <w:numId w:val="27"/>
        </w:numPr>
        <w:spacing w:before="120" w:after="240"/>
        <w:contextualSpacing/>
        <w:rPr>
          <w:szCs w:val="22"/>
        </w:rPr>
      </w:pPr>
      <w:r w:rsidRPr="00693B99">
        <w:rPr>
          <w:szCs w:val="22"/>
        </w:rPr>
        <w:t>Click on the license authorization file number of the station.</w:t>
      </w:r>
    </w:p>
    <w:p w14:paraId="6EF475C9" w14:textId="77777777" w:rsidR="002F62C9" w:rsidRPr="00693B99" w:rsidRDefault="002F62C9" w:rsidP="002F62C9">
      <w:pPr>
        <w:numPr>
          <w:ilvl w:val="0"/>
          <w:numId w:val="27"/>
        </w:numPr>
        <w:spacing w:before="120" w:after="240"/>
        <w:contextualSpacing/>
        <w:rPr>
          <w:szCs w:val="22"/>
        </w:rPr>
      </w:pPr>
      <w:r w:rsidRPr="00693B99">
        <w:rPr>
          <w:szCs w:val="22"/>
        </w:rPr>
        <w:t>Click on “File an Application” button.</w:t>
      </w:r>
    </w:p>
    <w:p w14:paraId="3357A10C" w14:textId="77777777" w:rsidR="002F62C9" w:rsidRPr="00693B99" w:rsidRDefault="002F62C9" w:rsidP="002F62C9">
      <w:pPr>
        <w:numPr>
          <w:ilvl w:val="0"/>
          <w:numId w:val="27"/>
        </w:numPr>
        <w:spacing w:before="120" w:after="240"/>
        <w:contextualSpacing/>
        <w:rPr>
          <w:szCs w:val="22"/>
        </w:rPr>
      </w:pPr>
      <w:r w:rsidRPr="00693B99">
        <w:rPr>
          <w:szCs w:val="22"/>
        </w:rPr>
        <w:t>Select appropriate Schedule from the drop down menu.</w:t>
      </w:r>
    </w:p>
    <w:p w14:paraId="43CA1B1B" w14:textId="77777777" w:rsidR="002F62C9" w:rsidRPr="00693B99" w:rsidRDefault="002F62C9" w:rsidP="002F62C9">
      <w:pPr>
        <w:numPr>
          <w:ilvl w:val="0"/>
          <w:numId w:val="27"/>
        </w:numPr>
        <w:spacing w:before="120" w:after="240"/>
        <w:contextualSpacing/>
        <w:rPr>
          <w:szCs w:val="22"/>
        </w:rPr>
      </w:pPr>
      <w:r w:rsidRPr="00693B99">
        <w:rPr>
          <w:szCs w:val="22"/>
        </w:rPr>
        <w:t xml:space="preserve">Complete the application and click “Submit.”  </w:t>
      </w:r>
    </w:p>
    <w:p w14:paraId="3B7EBB2B" w14:textId="77777777" w:rsidR="002F62C9" w:rsidRPr="00693B99" w:rsidRDefault="002F62C9" w:rsidP="002F62C9">
      <w:pPr>
        <w:spacing w:before="120" w:after="240"/>
        <w:ind w:left="1440"/>
        <w:contextualSpacing/>
        <w:rPr>
          <w:szCs w:val="22"/>
        </w:rPr>
      </w:pPr>
    </w:p>
    <w:p w14:paraId="07DF2ABB" w14:textId="77777777" w:rsidR="002F62C9" w:rsidRPr="00693B99" w:rsidRDefault="002F62C9" w:rsidP="002F62C9">
      <w:pPr>
        <w:spacing w:before="120" w:after="240"/>
        <w:ind w:left="1440"/>
        <w:contextualSpacing/>
        <w:rPr>
          <w:szCs w:val="22"/>
        </w:rPr>
      </w:pPr>
    </w:p>
    <w:p w14:paraId="1776EDB3" w14:textId="77777777" w:rsidR="002F62C9" w:rsidRPr="00693B99" w:rsidRDefault="002F62C9" w:rsidP="002F62C9">
      <w:pPr>
        <w:spacing w:before="120" w:after="240"/>
        <w:ind w:left="1440"/>
        <w:contextualSpacing/>
        <w:rPr>
          <w:szCs w:val="22"/>
        </w:rPr>
      </w:pPr>
    </w:p>
    <w:p w14:paraId="4889B47C" w14:textId="77777777" w:rsidR="002F62C9" w:rsidRPr="00693B99" w:rsidRDefault="002F62C9" w:rsidP="002F62C9">
      <w:pPr>
        <w:spacing w:before="120" w:after="240"/>
        <w:ind w:left="1440"/>
        <w:contextualSpacing/>
        <w:rPr>
          <w:szCs w:val="22"/>
        </w:rPr>
      </w:pPr>
    </w:p>
    <w:p w14:paraId="65DDC552" w14:textId="77777777" w:rsidR="002F62C9" w:rsidRPr="00693B99" w:rsidRDefault="002F62C9" w:rsidP="002F62C9">
      <w:pPr>
        <w:spacing w:before="120" w:after="240"/>
        <w:ind w:left="1440"/>
        <w:contextualSpacing/>
        <w:rPr>
          <w:szCs w:val="22"/>
        </w:rPr>
      </w:pPr>
    </w:p>
    <w:p w14:paraId="07E7D78C" w14:textId="77777777" w:rsidR="002F62C9" w:rsidRPr="00693B99" w:rsidRDefault="002F62C9" w:rsidP="002F62C9">
      <w:pPr>
        <w:spacing w:before="120" w:after="240"/>
        <w:ind w:left="1440"/>
        <w:contextualSpacing/>
        <w:rPr>
          <w:szCs w:val="22"/>
        </w:rPr>
      </w:pPr>
    </w:p>
    <w:p w14:paraId="6444D9E4" w14:textId="77777777" w:rsidR="002F62C9" w:rsidRPr="00693B99" w:rsidRDefault="002F62C9" w:rsidP="002F62C9">
      <w:pPr>
        <w:spacing w:before="120" w:after="240"/>
        <w:rPr>
          <w:szCs w:val="22"/>
        </w:rPr>
      </w:pPr>
      <w:r w:rsidRPr="00693B99">
        <w:rPr>
          <w:szCs w:val="22"/>
          <w:u w:val="single"/>
        </w:rPr>
        <w:t>Amending FCC Form 2100 – Schedule 399 (Reimbursement form), Schedule A and Schedule E (Construction permit)</w:t>
      </w:r>
    </w:p>
    <w:p w14:paraId="4067FD55" w14:textId="77777777" w:rsidR="002F62C9" w:rsidRPr="00693B99" w:rsidRDefault="002F62C9" w:rsidP="002F62C9">
      <w:pPr>
        <w:tabs>
          <w:tab w:val="left" w:pos="720"/>
          <w:tab w:val="left" w:pos="1440"/>
        </w:tabs>
        <w:rPr>
          <w:szCs w:val="22"/>
        </w:rPr>
      </w:pPr>
      <w:r w:rsidRPr="00693B99">
        <w:rPr>
          <w:szCs w:val="22"/>
        </w:rPr>
        <w:tab/>
        <w:t>1.</w:t>
      </w:r>
      <w:r w:rsidRPr="00693B99">
        <w:rPr>
          <w:szCs w:val="22"/>
        </w:rPr>
        <w:tab/>
        <w:t xml:space="preserve">Click on “Submitted tab.” </w:t>
      </w:r>
      <w:r w:rsidRPr="00693B99">
        <w:rPr>
          <w:szCs w:val="22"/>
        </w:rPr>
        <w:tab/>
        <w:t xml:space="preserve"> </w:t>
      </w:r>
    </w:p>
    <w:p w14:paraId="706E893B" w14:textId="77777777" w:rsidR="002F62C9" w:rsidRPr="00693B99" w:rsidRDefault="002F62C9" w:rsidP="002F62C9">
      <w:pPr>
        <w:tabs>
          <w:tab w:val="left" w:pos="720"/>
          <w:tab w:val="left" w:pos="1440"/>
        </w:tabs>
        <w:rPr>
          <w:szCs w:val="22"/>
        </w:rPr>
      </w:pPr>
      <w:r w:rsidRPr="00693B99">
        <w:rPr>
          <w:szCs w:val="22"/>
        </w:rPr>
        <w:tab/>
        <w:t>2.</w:t>
      </w:r>
      <w:r w:rsidRPr="00693B99">
        <w:rPr>
          <w:szCs w:val="22"/>
        </w:rPr>
        <w:tab/>
        <w:t>Click on file number of the application to be amended.</w:t>
      </w:r>
    </w:p>
    <w:p w14:paraId="5B939717" w14:textId="77777777" w:rsidR="002F62C9" w:rsidRPr="00693B99" w:rsidRDefault="002F62C9" w:rsidP="002F62C9">
      <w:pPr>
        <w:tabs>
          <w:tab w:val="left" w:pos="720"/>
          <w:tab w:val="left" w:pos="1440"/>
        </w:tabs>
        <w:rPr>
          <w:szCs w:val="22"/>
        </w:rPr>
      </w:pPr>
      <w:r w:rsidRPr="00693B99">
        <w:rPr>
          <w:szCs w:val="22"/>
        </w:rPr>
        <w:tab/>
        <w:t>3.</w:t>
      </w:r>
      <w:r w:rsidRPr="00693B99">
        <w:rPr>
          <w:szCs w:val="22"/>
        </w:rPr>
        <w:tab/>
        <w:t>Click on “File an Application” button.</w:t>
      </w:r>
    </w:p>
    <w:p w14:paraId="48183488" w14:textId="77777777" w:rsidR="002F62C9" w:rsidRPr="00693B99" w:rsidRDefault="002F62C9" w:rsidP="002F62C9">
      <w:pPr>
        <w:tabs>
          <w:tab w:val="left" w:pos="720"/>
          <w:tab w:val="left" w:pos="1440"/>
        </w:tabs>
        <w:rPr>
          <w:szCs w:val="22"/>
        </w:rPr>
      </w:pPr>
      <w:r w:rsidRPr="00693B99">
        <w:rPr>
          <w:szCs w:val="22"/>
        </w:rPr>
        <w:tab/>
        <w:t>4.</w:t>
      </w:r>
      <w:r w:rsidRPr="00693B99">
        <w:rPr>
          <w:szCs w:val="22"/>
        </w:rPr>
        <w:tab/>
        <w:t>Select “amend Application” from the drop down menu.</w:t>
      </w:r>
    </w:p>
    <w:p w14:paraId="63A423D0" w14:textId="77777777" w:rsidR="002F62C9" w:rsidRPr="00693B99" w:rsidRDefault="002F62C9" w:rsidP="002F62C9">
      <w:pPr>
        <w:tabs>
          <w:tab w:val="left" w:pos="720"/>
          <w:tab w:val="left" w:pos="1440"/>
        </w:tabs>
        <w:rPr>
          <w:szCs w:val="22"/>
        </w:rPr>
      </w:pPr>
      <w:r w:rsidRPr="00693B99">
        <w:rPr>
          <w:szCs w:val="22"/>
        </w:rPr>
        <w:tab/>
        <w:t>5.</w:t>
      </w:r>
      <w:r w:rsidRPr="00693B99">
        <w:rPr>
          <w:szCs w:val="22"/>
        </w:rPr>
        <w:tab/>
        <w:t>Complete the application and click “Submit.”</w:t>
      </w:r>
    </w:p>
    <w:p w14:paraId="2AFEDDAC" w14:textId="77777777" w:rsidR="002F62C9" w:rsidRPr="00693B99" w:rsidRDefault="002F62C9" w:rsidP="002F62C9">
      <w:pPr>
        <w:spacing w:before="120" w:after="240"/>
        <w:rPr>
          <w:szCs w:val="22"/>
          <w:u w:val="single"/>
        </w:rPr>
      </w:pPr>
      <w:r w:rsidRPr="00693B99">
        <w:rPr>
          <w:szCs w:val="22"/>
          <w:u w:val="single"/>
        </w:rPr>
        <w:t>FCC Form 2100 – Schedule B and F – Application for License</w:t>
      </w:r>
    </w:p>
    <w:p w14:paraId="0E8AD3AC" w14:textId="77777777" w:rsidR="002F62C9" w:rsidRPr="00693B99" w:rsidRDefault="002F62C9" w:rsidP="002F62C9">
      <w:pPr>
        <w:numPr>
          <w:ilvl w:val="0"/>
          <w:numId w:val="31"/>
        </w:numPr>
        <w:spacing w:before="120" w:after="240"/>
        <w:contextualSpacing/>
        <w:rPr>
          <w:szCs w:val="22"/>
        </w:rPr>
      </w:pPr>
      <w:r w:rsidRPr="00693B99">
        <w:rPr>
          <w:szCs w:val="22"/>
        </w:rPr>
        <w:t>Click on “Authorizations” tab on the left top of the page.</w:t>
      </w:r>
    </w:p>
    <w:p w14:paraId="7EE72C32" w14:textId="77777777" w:rsidR="002F62C9" w:rsidRPr="00693B99" w:rsidRDefault="002F62C9" w:rsidP="002F62C9">
      <w:pPr>
        <w:numPr>
          <w:ilvl w:val="0"/>
          <w:numId w:val="31"/>
        </w:numPr>
        <w:spacing w:before="120" w:after="240"/>
        <w:contextualSpacing/>
        <w:rPr>
          <w:szCs w:val="22"/>
        </w:rPr>
      </w:pPr>
      <w:r w:rsidRPr="00693B99">
        <w:rPr>
          <w:szCs w:val="22"/>
        </w:rPr>
        <w:t>Click on construction permit authorization.</w:t>
      </w:r>
    </w:p>
    <w:p w14:paraId="05977BA5" w14:textId="77777777" w:rsidR="002F62C9" w:rsidRPr="00693B99" w:rsidRDefault="002F62C9" w:rsidP="002F62C9">
      <w:pPr>
        <w:numPr>
          <w:ilvl w:val="0"/>
          <w:numId w:val="31"/>
        </w:numPr>
        <w:spacing w:before="120" w:after="240"/>
        <w:contextualSpacing/>
        <w:rPr>
          <w:szCs w:val="22"/>
        </w:rPr>
      </w:pPr>
      <w:r w:rsidRPr="00693B99">
        <w:rPr>
          <w:szCs w:val="22"/>
        </w:rPr>
        <w:t>Click on “File an Application” button.</w:t>
      </w:r>
    </w:p>
    <w:p w14:paraId="1F6F17A0" w14:textId="77777777" w:rsidR="002F62C9" w:rsidRPr="00693B99" w:rsidRDefault="002F62C9" w:rsidP="002F62C9">
      <w:pPr>
        <w:numPr>
          <w:ilvl w:val="0"/>
          <w:numId w:val="31"/>
        </w:numPr>
        <w:spacing w:before="120" w:after="240"/>
        <w:contextualSpacing/>
        <w:rPr>
          <w:szCs w:val="22"/>
        </w:rPr>
      </w:pPr>
      <w:r w:rsidRPr="00693B99">
        <w:rPr>
          <w:szCs w:val="22"/>
        </w:rPr>
        <w:t>Select “license to cover” from drop down menu.</w:t>
      </w:r>
    </w:p>
    <w:p w14:paraId="03EA0ED3" w14:textId="77777777" w:rsidR="002F62C9" w:rsidRPr="00693B99" w:rsidRDefault="002F62C9" w:rsidP="002F62C9">
      <w:pPr>
        <w:numPr>
          <w:ilvl w:val="0"/>
          <w:numId w:val="31"/>
        </w:numPr>
        <w:spacing w:before="120" w:after="240"/>
        <w:contextualSpacing/>
        <w:rPr>
          <w:szCs w:val="22"/>
        </w:rPr>
      </w:pPr>
      <w:r w:rsidRPr="00693B99">
        <w:rPr>
          <w:szCs w:val="22"/>
        </w:rPr>
        <w:t>Complete the application and click “Submit.”</w:t>
      </w:r>
    </w:p>
    <w:p w14:paraId="454762E2" w14:textId="77777777" w:rsidR="002F62C9" w:rsidRPr="00693B99" w:rsidRDefault="002F62C9" w:rsidP="002F62C9">
      <w:pPr>
        <w:spacing w:before="120" w:after="240"/>
        <w:contextualSpacing/>
        <w:rPr>
          <w:szCs w:val="22"/>
        </w:rPr>
      </w:pPr>
    </w:p>
    <w:p w14:paraId="5EA954B6" w14:textId="77777777" w:rsidR="002F62C9" w:rsidRPr="00693B99" w:rsidRDefault="002F62C9" w:rsidP="002F62C9">
      <w:pPr>
        <w:spacing w:before="120" w:after="240"/>
        <w:rPr>
          <w:szCs w:val="22"/>
          <w:u w:val="single"/>
        </w:rPr>
      </w:pPr>
      <w:r w:rsidRPr="00693B99">
        <w:rPr>
          <w:szCs w:val="22"/>
          <w:u w:val="single"/>
        </w:rPr>
        <w:t>Engineering, Legal, and Silent STAs</w:t>
      </w:r>
    </w:p>
    <w:p w14:paraId="2123B771" w14:textId="77777777" w:rsidR="002F62C9" w:rsidRPr="00693B99" w:rsidRDefault="002F62C9" w:rsidP="002F62C9">
      <w:pPr>
        <w:numPr>
          <w:ilvl w:val="0"/>
          <w:numId w:val="29"/>
        </w:numPr>
        <w:spacing w:before="120" w:after="240"/>
        <w:contextualSpacing/>
        <w:rPr>
          <w:szCs w:val="22"/>
        </w:rPr>
      </w:pPr>
      <w:r w:rsidRPr="00693B99">
        <w:rPr>
          <w:szCs w:val="22"/>
        </w:rPr>
        <w:t xml:space="preserve">Click on “Facilities” tab on the left top of the page. </w:t>
      </w:r>
    </w:p>
    <w:p w14:paraId="72411E0C" w14:textId="77777777" w:rsidR="002F62C9" w:rsidRPr="00693B99" w:rsidRDefault="002F62C9" w:rsidP="002F62C9">
      <w:pPr>
        <w:numPr>
          <w:ilvl w:val="0"/>
          <w:numId w:val="29"/>
        </w:numPr>
        <w:spacing w:before="120" w:after="240"/>
        <w:contextualSpacing/>
        <w:rPr>
          <w:szCs w:val="22"/>
        </w:rPr>
      </w:pPr>
      <w:r w:rsidRPr="00693B99">
        <w:rPr>
          <w:szCs w:val="22"/>
        </w:rPr>
        <w:t>Click on Facility ID of the station.</w:t>
      </w:r>
    </w:p>
    <w:p w14:paraId="472AB4CF" w14:textId="77777777" w:rsidR="002F62C9" w:rsidRPr="00693B99" w:rsidRDefault="002F62C9" w:rsidP="002F62C9">
      <w:pPr>
        <w:numPr>
          <w:ilvl w:val="0"/>
          <w:numId w:val="29"/>
        </w:numPr>
        <w:spacing w:before="120" w:after="240"/>
        <w:contextualSpacing/>
        <w:rPr>
          <w:szCs w:val="22"/>
        </w:rPr>
      </w:pPr>
      <w:r w:rsidRPr="00693B99">
        <w:rPr>
          <w:szCs w:val="22"/>
        </w:rPr>
        <w:t>Click on “File an Application” button.</w:t>
      </w:r>
    </w:p>
    <w:p w14:paraId="4C674C2E" w14:textId="77777777" w:rsidR="002F62C9" w:rsidRPr="00693B99" w:rsidRDefault="002F62C9" w:rsidP="002F62C9">
      <w:pPr>
        <w:numPr>
          <w:ilvl w:val="0"/>
          <w:numId w:val="29"/>
        </w:numPr>
        <w:spacing w:before="120" w:after="240"/>
        <w:contextualSpacing/>
        <w:rPr>
          <w:szCs w:val="22"/>
        </w:rPr>
      </w:pPr>
      <w:r w:rsidRPr="00693B99">
        <w:rPr>
          <w:szCs w:val="22"/>
        </w:rPr>
        <w:t>Select “STA – engineering, legal or silent” from the drop down menu.</w:t>
      </w:r>
    </w:p>
    <w:p w14:paraId="31E25887" w14:textId="77777777" w:rsidR="002F62C9" w:rsidRPr="00693B99" w:rsidRDefault="002F62C9" w:rsidP="002F62C9">
      <w:pPr>
        <w:numPr>
          <w:ilvl w:val="0"/>
          <w:numId w:val="29"/>
        </w:numPr>
        <w:spacing w:before="120" w:after="240"/>
        <w:contextualSpacing/>
        <w:rPr>
          <w:szCs w:val="22"/>
        </w:rPr>
      </w:pPr>
      <w:r w:rsidRPr="00693B99">
        <w:rPr>
          <w:szCs w:val="22"/>
        </w:rPr>
        <w:t>Complete the application and click “Submit.”</w:t>
      </w:r>
    </w:p>
    <w:p w14:paraId="536B0863" w14:textId="77777777" w:rsidR="002F62C9" w:rsidRPr="00693B99" w:rsidRDefault="002F62C9" w:rsidP="002F62C9">
      <w:pPr>
        <w:numPr>
          <w:ilvl w:val="0"/>
          <w:numId w:val="29"/>
        </w:numPr>
        <w:spacing w:before="120" w:after="240"/>
        <w:contextualSpacing/>
        <w:rPr>
          <w:szCs w:val="22"/>
        </w:rPr>
      </w:pPr>
      <w:r w:rsidRPr="00693B99">
        <w:rPr>
          <w:szCs w:val="22"/>
        </w:rPr>
        <w:t xml:space="preserve">Download the Reference copy and e-mail to </w:t>
      </w:r>
      <w:r w:rsidRPr="00693B99">
        <w:rPr>
          <w:szCs w:val="22"/>
          <w:u w:val="single"/>
        </w:rPr>
        <w:t>IATransitionlicensing@fcc.gov</w:t>
      </w:r>
      <w:r w:rsidRPr="00693B99">
        <w:rPr>
          <w:szCs w:val="22"/>
        </w:rPr>
        <w:t>.</w:t>
      </w:r>
    </w:p>
    <w:p w14:paraId="4C2D9388" w14:textId="77777777" w:rsidR="002F62C9" w:rsidRPr="00693B99" w:rsidRDefault="002F62C9" w:rsidP="002F62C9">
      <w:pPr>
        <w:spacing w:before="120" w:after="240"/>
        <w:ind w:left="1440"/>
        <w:contextualSpacing/>
        <w:rPr>
          <w:szCs w:val="22"/>
          <w:u w:val="single"/>
        </w:rPr>
      </w:pPr>
    </w:p>
    <w:p w14:paraId="0B81B2E2" w14:textId="77777777" w:rsidR="002F62C9" w:rsidRPr="00693B99" w:rsidRDefault="002F62C9" w:rsidP="002F62C9">
      <w:pPr>
        <w:spacing w:before="120" w:after="240"/>
        <w:rPr>
          <w:szCs w:val="22"/>
          <w:u w:val="single"/>
        </w:rPr>
      </w:pPr>
      <w:r w:rsidRPr="00693B99">
        <w:rPr>
          <w:szCs w:val="22"/>
          <w:u w:val="single"/>
        </w:rPr>
        <w:t>Suspension of Operations Notification</w:t>
      </w:r>
    </w:p>
    <w:p w14:paraId="09B83FDA" w14:textId="77777777" w:rsidR="002F62C9" w:rsidRPr="00693B99" w:rsidRDefault="002F62C9" w:rsidP="002F62C9">
      <w:pPr>
        <w:numPr>
          <w:ilvl w:val="0"/>
          <w:numId w:val="30"/>
        </w:numPr>
        <w:spacing w:before="120" w:after="240"/>
        <w:ind w:left="1440" w:hanging="720"/>
        <w:contextualSpacing/>
        <w:rPr>
          <w:szCs w:val="22"/>
        </w:rPr>
      </w:pPr>
      <w:r w:rsidRPr="00693B99">
        <w:rPr>
          <w:szCs w:val="22"/>
        </w:rPr>
        <w:t>Click on “Facility” tab on the left top of the page.</w:t>
      </w:r>
    </w:p>
    <w:p w14:paraId="7C764710" w14:textId="77777777" w:rsidR="002F62C9" w:rsidRPr="00693B99" w:rsidRDefault="002F62C9" w:rsidP="002F62C9">
      <w:pPr>
        <w:numPr>
          <w:ilvl w:val="0"/>
          <w:numId w:val="30"/>
        </w:numPr>
        <w:spacing w:before="120" w:after="240"/>
        <w:ind w:left="1440" w:hanging="720"/>
        <w:contextualSpacing/>
        <w:rPr>
          <w:szCs w:val="22"/>
        </w:rPr>
      </w:pPr>
      <w:r w:rsidRPr="00693B99">
        <w:rPr>
          <w:szCs w:val="22"/>
        </w:rPr>
        <w:t>Click on facility ID of the station.</w:t>
      </w:r>
    </w:p>
    <w:p w14:paraId="60912BD8" w14:textId="77777777" w:rsidR="002F62C9" w:rsidRPr="00693B99" w:rsidRDefault="002F62C9" w:rsidP="002F62C9">
      <w:pPr>
        <w:numPr>
          <w:ilvl w:val="0"/>
          <w:numId w:val="30"/>
        </w:numPr>
        <w:spacing w:before="120" w:after="240"/>
        <w:ind w:left="1440" w:hanging="720"/>
        <w:contextualSpacing/>
        <w:rPr>
          <w:szCs w:val="22"/>
        </w:rPr>
      </w:pPr>
      <w:r w:rsidRPr="00693B99">
        <w:rPr>
          <w:szCs w:val="22"/>
        </w:rPr>
        <w:t>Click on “File an Application” button.</w:t>
      </w:r>
    </w:p>
    <w:p w14:paraId="3C4BE133" w14:textId="77777777" w:rsidR="002F62C9" w:rsidRPr="00693B99" w:rsidRDefault="002F62C9" w:rsidP="002F62C9">
      <w:pPr>
        <w:numPr>
          <w:ilvl w:val="0"/>
          <w:numId w:val="30"/>
        </w:numPr>
        <w:spacing w:before="120" w:after="240"/>
        <w:ind w:left="1440" w:hanging="720"/>
        <w:contextualSpacing/>
        <w:rPr>
          <w:szCs w:val="22"/>
        </w:rPr>
      </w:pPr>
      <w:r w:rsidRPr="00693B99">
        <w:rPr>
          <w:szCs w:val="22"/>
        </w:rPr>
        <w:t>Select “Suspension of Operations Notification” from the drop down menu.</w:t>
      </w:r>
    </w:p>
    <w:p w14:paraId="460B324D" w14:textId="77777777" w:rsidR="002F62C9" w:rsidRPr="00693B99" w:rsidRDefault="002F62C9" w:rsidP="002F62C9">
      <w:pPr>
        <w:numPr>
          <w:ilvl w:val="0"/>
          <w:numId w:val="30"/>
        </w:numPr>
        <w:spacing w:before="120" w:after="240"/>
        <w:ind w:left="1440" w:hanging="720"/>
        <w:contextualSpacing/>
        <w:rPr>
          <w:szCs w:val="22"/>
        </w:rPr>
      </w:pPr>
      <w:r w:rsidRPr="00693B99">
        <w:rPr>
          <w:szCs w:val="22"/>
        </w:rPr>
        <w:t>Complete the application and upload a certification of compliance with the viewer notification provisions of section 73.3700(c)(1) of the rules and click “Submit.”</w:t>
      </w:r>
    </w:p>
    <w:p w14:paraId="36958678" w14:textId="77777777" w:rsidR="002F62C9" w:rsidRPr="00693B99" w:rsidRDefault="002F62C9" w:rsidP="002F62C9">
      <w:pPr>
        <w:numPr>
          <w:ilvl w:val="0"/>
          <w:numId w:val="30"/>
        </w:numPr>
        <w:spacing w:before="120" w:after="240"/>
        <w:ind w:left="1440" w:hanging="720"/>
        <w:contextualSpacing/>
        <w:rPr>
          <w:szCs w:val="22"/>
        </w:rPr>
      </w:pPr>
      <w:r w:rsidRPr="00693B99">
        <w:rPr>
          <w:szCs w:val="22"/>
        </w:rPr>
        <w:t xml:space="preserve">Download the Reference copy and e-mail to </w:t>
      </w:r>
      <w:r w:rsidRPr="00693B99">
        <w:rPr>
          <w:szCs w:val="22"/>
          <w:u w:val="single"/>
        </w:rPr>
        <w:t>IATransitionlicensing@fcc.gov</w:t>
      </w:r>
      <w:r w:rsidRPr="00693B99">
        <w:rPr>
          <w:szCs w:val="22"/>
        </w:rPr>
        <w:t xml:space="preserve">. </w:t>
      </w:r>
    </w:p>
    <w:p w14:paraId="215482E9" w14:textId="77777777" w:rsidR="002F62C9" w:rsidRPr="00693B99" w:rsidRDefault="002F62C9" w:rsidP="002F62C9">
      <w:pPr>
        <w:spacing w:before="120" w:after="240"/>
        <w:ind w:left="1080"/>
        <w:contextualSpacing/>
        <w:rPr>
          <w:szCs w:val="22"/>
          <w:u w:val="single"/>
        </w:rPr>
      </w:pPr>
    </w:p>
    <w:p w14:paraId="422EEBE7" w14:textId="77777777" w:rsidR="002F62C9" w:rsidRPr="00693B99" w:rsidRDefault="002F62C9" w:rsidP="002F62C9">
      <w:pPr>
        <w:spacing w:before="120" w:after="240"/>
        <w:rPr>
          <w:szCs w:val="22"/>
          <w:u w:val="single"/>
        </w:rPr>
      </w:pPr>
      <w:r w:rsidRPr="00693B99">
        <w:rPr>
          <w:szCs w:val="22"/>
          <w:u w:val="single"/>
        </w:rPr>
        <w:t>Request to Cancel License</w:t>
      </w:r>
    </w:p>
    <w:p w14:paraId="1D1CCCCB" w14:textId="77777777" w:rsidR="002F62C9" w:rsidRPr="00693B99" w:rsidRDefault="002F62C9" w:rsidP="002F62C9">
      <w:pPr>
        <w:spacing w:before="120" w:after="240"/>
        <w:ind w:left="1440" w:hanging="720"/>
        <w:contextualSpacing/>
        <w:rPr>
          <w:szCs w:val="22"/>
        </w:rPr>
      </w:pPr>
      <w:r w:rsidRPr="00693B99">
        <w:rPr>
          <w:szCs w:val="22"/>
        </w:rPr>
        <w:t>1.</w:t>
      </w:r>
      <w:r w:rsidRPr="00693B99">
        <w:rPr>
          <w:szCs w:val="22"/>
        </w:rPr>
        <w:tab/>
        <w:t>Click on “Facility” tab on the left top of the page.</w:t>
      </w:r>
    </w:p>
    <w:p w14:paraId="74E95359" w14:textId="77777777" w:rsidR="002F62C9" w:rsidRPr="00693B99" w:rsidRDefault="002F62C9" w:rsidP="002F62C9">
      <w:pPr>
        <w:spacing w:before="120" w:after="240"/>
        <w:ind w:left="1440" w:hanging="720"/>
        <w:contextualSpacing/>
        <w:rPr>
          <w:szCs w:val="22"/>
        </w:rPr>
      </w:pPr>
      <w:r w:rsidRPr="00693B99">
        <w:rPr>
          <w:szCs w:val="22"/>
        </w:rPr>
        <w:t>2.</w:t>
      </w:r>
      <w:r w:rsidRPr="00693B99">
        <w:rPr>
          <w:szCs w:val="22"/>
        </w:rPr>
        <w:tab/>
        <w:t>Click on facility ID of the station.</w:t>
      </w:r>
    </w:p>
    <w:p w14:paraId="362F61BD" w14:textId="77777777" w:rsidR="002F62C9" w:rsidRPr="00693B99" w:rsidRDefault="002F62C9" w:rsidP="002F62C9">
      <w:pPr>
        <w:spacing w:before="120" w:after="240"/>
        <w:ind w:left="1440" w:hanging="720"/>
        <w:contextualSpacing/>
        <w:rPr>
          <w:szCs w:val="22"/>
        </w:rPr>
      </w:pPr>
      <w:r w:rsidRPr="00693B99">
        <w:rPr>
          <w:szCs w:val="22"/>
        </w:rPr>
        <w:t>3.</w:t>
      </w:r>
      <w:r w:rsidRPr="00693B99">
        <w:rPr>
          <w:szCs w:val="22"/>
        </w:rPr>
        <w:tab/>
        <w:t>Click on “File an Application” button.</w:t>
      </w:r>
    </w:p>
    <w:p w14:paraId="52C5526C" w14:textId="77777777" w:rsidR="002F62C9" w:rsidRPr="00693B99" w:rsidRDefault="002F62C9" w:rsidP="002F62C9">
      <w:pPr>
        <w:spacing w:before="120" w:after="240"/>
        <w:ind w:left="1440" w:hanging="720"/>
        <w:contextualSpacing/>
        <w:rPr>
          <w:szCs w:val="22"/>
        </w:rPr>
      </w:pPr>
      <w:r w:rsidRPr="00693B99">
        <w:rPr>
          <w:szCs w:val="22"/>
        </w:rPr>
        <w:t>4.</w:t>
      </w:r>
      <w:r w:rsidRPr="00693B99">
        <w:rPr>
          <w:szCs w:val="22"/>
        </w:rPr>
        <w:tab/>
        <w:t>Select “Request to Cancel License” from the drop down menu.</w:t>
      </w:r>
    </w:p>
    <w:p w14:paraId="76F7CD00" w14:textId="77777777" w:rsidR="002F62C9" w:rsidRPr="00693B99" w:rsidRDefault="002F62C9" w:rsidP="002F62C9">
      <w:pPr>
        <w:spacing w:before="120" w:after="240"/>
        <w:ind w:left="1440" w:hanging="720"/>
        <w:contextualSpacing/>
        <w:rPr>
          <w:szCs w:val="22"/>
        </w:rPr>
      </w:pPr>
      <w:r w:rsidRPr="00693B99">
        <w:rPr>
          <w:szCs w:val="22"/>
        </w:rPr>
        <w:t>5.</w:t>
      </w:r>
      <w:r w:rsidRPr="00693B99">
        <w:rPr>
          <w:szCs w:val="22"/>
        </w:rPr>
        <w:tab/>
        <w:t>Complete the application and click “Submit.”</w:t>
      </w:r>
    </w:p>
    <w:p w14:paraId="1B807C0D" w14:textId="77777777" w:rsidR="002F62C9" w:rsidRPr="00693B99" w:rsidRDefault="002F62C9" w:rsidP="002F62C9">
      <w:pPr>
        <w:spacing w:before="120" w:after="240"/>
        <w:ind w:left="1440" w:hanging="720"/>
        <w:contextualSpacing/>
        <w:rPr>
          <w:szCs w:val="22"/>
        </w:rPr>
      </w:pPr>
      <w:r w:rsidRPr="00693B99">
        <w:rPr>
          <w:szCs w:val="22"/>
        </w:rPr>
        <w:t>6.</w:t>
      </w:r>
      <w:r w:rsidRPr="00693B99">
        <w:rPr>
          <w:szCs w:val="22"/>
        </w:rPr>
        <w:tab/>
        <w:t xml:space="preserve">Download the Reference copy and e-mail to </w:t>
      </w:r>
      <w:r w:rsidRPr="00693B99">
        <w:rPr>
          <w:szCs w:val="22"/>
          <w:u w:val="single"/>
        </w:rPr>
        <w:t>IATransitionlicensing@fcc.gov</w:t>
      </w:r>
      <w:r w:rsidRPr="00693B99">
        <w:rPr>
          <w:szCs w:val="22"/>
        </w:rPr>
        <w:t xml:space="preserve">. </w:t>
      </w:r>
    </w:p>
    <w:p w14:paraId="2B23CCB9" w14:textId="77777777" w:rsidR="002F62C9" w:rsidRPr="00693B99" w:rsidRDefault="002F62C9" w:rsidP="002F62C9">
      <w:pPr>
        <w:spacing w:before="120" w:after="120"/>
        <w:rPr>
          <w:szCs w:val="22"/>
          <w:u w:val="single"/>
        </w:rPr>
      </w:pPr>
    </w:p>
    <w:p w14:paraId="1771B26C" w14:textId="77777777" w:rsidR="002F62C9" w:rsidRPr="00693B99" w:rsidRDefault="002F62C9" w:rsidP="002F62C9">
      <w:pPr>
        <w:spacing w:before="120" w:after="120"/>
        <w:rPr>
          <w:szCs w:val="22"/>
          <w:u w:val="single"/>
        </w:rPr>
      </w:pPr>
      <w:r w:rsidRPr="00693B99">
        <w:rPr>
          <w:szCs w:val="22"/>
          <w:u w:val="single"/>
        </w:rPr>
        <w:t>FCC Form 2100 – Schedule 337 – Application for Extension of Time</w:t>
      </w:r>
    </w:p>
    <w:p w14:paraId="7FD68B35" w14:textId="77777777" w:rsidR="002F62C9" w:rsidRPr="00693B99" w:rsidRDefault="002F62C9" w:rsidP="002F62C9">
      <w:pPr>
        <w:numPr>
          <w:ilvl w:val="0"/>
          <w:numId w:val="32"/>
        </w:numPr>
        <w:spacing w:before="120" w:after="240"/>
        <w:ind w:left="1440" w:hanging="720"/>
        <w:contextualSpacing/>
        <w:rPr>
          <w:szCs w:val="22"/>
        </w:rPr>
      </w:pPr>
      <w:r w:rsidRPr="00693B99">
        <w:rPr>
          <w:szCs w:val="22"/>
        </w:rPr>
        <w:t>Click on “Authorization” tab on the left top of the page.</w:t>
      </w:r>
    </w:p>
    <w:p w14:paraId="64A77660" w14:textId="77777777" w:rsidR="002F62C9" w:rsidRPr="00693B99" w:rsidRDefault="002F62C9" w:rsidP="002F62C9">
      <w:pPr>
        <w:numPr>
          <w:ilvl w:val="0"/>
          <w:numId w:val="32"/>
        </w:numPr>
        <w:spacing w:before="120" w:after="240"/>
        <w:ind w:left="1440" w:hanging="720"/>
        <w:contextualSpacing/>
        <w:rPr>
          <w:szCs w:val="22"/>
        </w:rPr>
      </w:pPr>
      <w:r w:rsidRPr="00693B99">
        <w:rPr>
          <w:szCs w:val="22"/>
        </w:rPr>
        <w:t>Click on construction permit authorization.</w:t>
      </w:r>
    </w:p>
    <w:p w14:paraId="0775201D" w14:textId="77777777" w:rsidR="002F62C9" w:rsidRPr="00693B99" w:rsidRDefault="002F62C9" w:rsidP="002F62C9">
      <w:pPr>
        <w:numPr>
          <w:ilvl w:val="0"/>
          <w:numId w:val="32"/>
        </w:numPr>
        <w:spacing w:before="120" w:after="240"/>
        <w:ind w:left="1440" w:hanging="720"/>
        <w:contextualSpacing/>
        <w:rPr>
          <w:szCs w:val="22"/>
        </w:rPr>
      </w:pPr>
      <w:r w:rsidRPr="00693B99">
        <w:rPr>
          <w:szCs w:val="22"/>
        </w:rPr>
        <w:t>Click on “File an Application” button.</w:t>
      </w:r>
    </w:p>
    <w:p w14:paraId="335DA6D8" w14:textId="77777777" w:rsidR="002F62C9" w:rsidRPr="00693B99" w:rsidRDefault="002F62C9" w:rsidP="002F62C9">
      <w:pPr>
        <w:numPr>
          <w:ilvl w:val="0"/>
          <w:numId w:val="32"/>
        </w:numPr>
        <w:spacing w:before="120" w:after="240"/>
        <w:ind w:left="1440" w:hanging="720"/>
        <w:contextualSpacing/>
        <w:rPr>
          <w:szCs w:val="22"/>
        </w:rPr>
      </w:pPr>
      <w:r w:rsidRPr="00693B99">
        <w:rPr>
          <w:szCs w:val="22"/>
        </w:rPr>
        <w:t>Select “Schedule 337” from the drop down menu.</w:t>
      </w:r>
    </w:p>
    <w:p w14:paraId="2AD669B0" w14:textId="77777777" w:rsidR="002F62C9" w:rsidRPr="00693B99" w:rsidRDefault="002F62C9" w:rsidP="002F62C9">
      <w:pPr>
        <w:numPr>
          <w:ilvl w:val="0"/>
          <w:numId w:val="32"/>
        </w:numPr>
        <w:ind w:left="1440" w:hanging="720"/>
        <w:contextualSpacing/>
        <w:rPr>
          <w:szCs w:val="22"/>
        </w:rPr>
      </w:pPr>
      <w:r w:rsidRPr="00693B99">
        <w:rPr>
          <w:szCs w:val="22"/>
        </w:rPr>
        <w:t>Complete the application and click “Submit”</w:t>
      </w:r>
    </w:p>
    <w:p w14:paraId="7EA147C5" w14:textId="77777777" w:rsidR="002F62C9" w:rsidRPr="00693B99" w:rsidRDefault="002F62C9" w:rsidP="002F62C9">
      <w:pPr>
        <w:numPr>
          <w:ilvl w:val="0"/>
          <w:numId w:val="32"/>
        </w:numPr>
        <w:ind w:left="1440" w:hanging="720"/>
        <w:contextualSpacing/>
        <w:rPr>
          <w:szCs w:val="22"/>
        </w:rPr>
      </w:pPr>
      <w:r w:rsidRPr="00693B99">
        <w:rPr>
          <w:szCs w:val="22"/>
        </w:rPr>
        <w:t xml:space="preserve">Download the Reference copy and e-mail to </w:t>
      </w:r>
      <w:r w:rsidRPr="00693B99">
        <w:rPr>
          <w:szCs w:val="22"/>
          <w:u w:val="single"/>
        </w:rPr>
        <w:t>IATransitionlicensing@fcc.gov</w:t>
      </w:r>
      <w:r w:rsidR="000517F2" w:rsidRPr="00693B99">
        <w:rPr>
          <w:szCs w:val="22"/>
        </w:rPr>
        <w:t>.</w:t>
      </w:r>
    </w:p>
    <w:p w14:paraId="0C4B51AC" w14:textId="77777777" w:rsidR="002F62C9" w:rsidRPr="00693B99" w:rsidRDefault="002F62C9" w:rsidP="002F62C9">
      <w:pPr>
        <w:spacing w:before="120" w:after="240"/>
        <w:rPr>
          <w:szCs w:val="22"/>
          <w:u w:val="single"/>
        </w:rPr>
      </w:pPr>
      <w:r w:rsidRPr="00693B99">
        <w:rPr>
          <w:szCs w:val="22"/>
          <w:u w:val="single"/>
        </w:rPr>
        <w:t>FCC Form 2100 – Schedule Tolling – Application for Tolling or Waiver of Tolling Rule</w:t>
      </w:r>
    </w:p>
    <w:p w14:paraId="4088E5C3" w14:textId="77777777" w:rsidR="002F62C9" w:rsidRPr="00693B99" w:rsidRDefault="002F62C9" w:rsidP="002F62C9">
      <w:pPr>
        <w:pStyle w:val="ParaNum"/>
        <w:numPr>
          <w:ilvl w:val="0"/>
          <w:numId w:val="0"/>
        </w:numPr>
        <w:spacing w:after="0"/>
        <w:ind w:left="1440" w:hanging="720"/>
        <w:rPr>
          <w:szCs w:val="22"/>
        </w:rPr>
      </w:pPr>
      <w:r w:rsidRPr="00693B99">
        <w:rPr>
          <w:szCs w:val="22"/>
        </w:rPr>
        <w:t>1.</w:t>
      </w:r>
      <w:r w:rsidRPr="00693B99">
        <w:rPr>
          <w:szCs w:val="22"/>
        </w:rPr>
        <w:tab/>
        <w:t>Click on “Authorizations” tab on the left top of the page.</w:t>
      </w:r>
    </w:p>
    <w:p w14:paraId="5EE33F1B" w14:textId="77777777" w:rsidR="002F62C9" w:rsidRPr="00693B99" w:rsidRDefault="002F62C9" w:rsidP="002F62C9">
      <w:pPr>
        <w:pStyle w:val="ParaNum"/>
        <w:numPr>
          <w:ilvl w:val="0"/>
          <w:numId w:val="0"/>
        </w:numPr>
        <w:spacing w:after="0"/>
        <w:ind w:left="1440" w:hanging="720"/>
        <w:rPr>
          <w:szCs w:val="22"/>
        </w:rPr>
      </w:pPr>
      <w:r w:rsidRPr="00693B99">
        <w:rPr>
          <w:szCs w:val="22"/>
        </w:rPr>
        <w:t>2.</w:t>
      </w:r>
      <w:r w:rsidRPr="00693B99">
        <w:rPr>
          <w:szCs w:val="22"/>
        </w:rPr>
        <w:tab/>
        <w:t>Click on construction permit authorization.</w:t>
      </w:r>
    </w:p>
    <w:p w14:paraId="4EF8E3C5" w14:textId="77777777" w:rsidR="002F62C9" w:rsidRPr="00693B99" w:rsidRDefault="002F62C9" w:rsidP="002F62C9">
      <w:pPr>
        <w:pStyle w:val="ParaNum"/>
        <w:numPr>
          <w:ilvl w:val="0"/>
          <w:numId w:val="0"/>
        </w:numPr>
        <w:tabs>
          <w:tab w:val="left" w:pos="720"/>
          <w:tab w:val="left" w:pos="1440"/>
          <w:tab w:val="left" w:pos="2160"/>
          <w:tab w:val="left" w:pos="2880"/>
          <w:tab w:val="left" w:pos="3600"/>
          <w:tab w:val="left" w:pos="4260"/>
        </w:tabs>
        <w:spacing w:after="0"/>
        <w:ind w:left="1440" w:hanging="720"/>
        <w:rPr>
          <w:szCs w:val="22"/>
        </w:rPr>
      </w:pPr>
      <w:r w:rsidRPr="00693B99">
        <w:rPr>
          <w:szCs w:val="22"/>
        </w:rPr>
        <w:t>3.</w:t>
      </w:r>
      <w:r w:rsidRPr="00693B99">
        <w:rPr>
          <w:szCs w:val="22"/>
        </w:rPr>
        <w:tab/>
        <w:t>Select “File an Application” button.</w:t>
      </w:r>
      <w:r w:rsidRPr="00693B99">
        <w:rPr>
          <w:szCs w:val="22"/>
        </w:rPr>
        <w:tab/>
      </w:r>
    </w:p>
    <w:p w14:paraId="3D46EB29" w14:textId="77777777" w:rsidR="002F62C9" w:rsidRPr="00693B99" w:rsidRDefault="002F62C9" w:rsidP="002F62C9">
      <w:pPr>
        <w:pStyle w:val="ParaNum"/>
        <w:numPr>
          <w:ilvl w:val="0"/>
          <w:numId w:val="0"/>
        </w:numPr>
        <w:spacing w:after="0"/>
        <w:ind w:left="1440" w:hanging="720"/>
        <w:rPr>
          <w:szCs w:val="22"/>
        </w:rPr>
      </w:pPr>
      <w:r w:rsidRPr="00693B99">
        <w:rPr>
          <w:szCs w:val="22"/>
        </w:rPr>
        <w:t>4.</w:t>
      </w:r>
      <w:r w:rsidRPr="00693B99">
        <w:rPr>
          <w:szCs w:val="22"/>
        </w:rPr>
        <w:tab/>
        <w:t>Select “Tolling” from the drop down menu.</w:t>
      </w:r>
    </w:p>
    <w:p w14:paraId="64B861A1" w14:textId="77777777" w:rsidR="002F62C9" w:rsidRPr="00693B99" w:rsidRDefault="002F62C9" w:rsidP="002F62C9">
      <w:pPr>
        <w:pStyle w:val="ParaNum"/>
        <w:numPr>
          <w:ilvl w:val="0"/>
          <w:numId w:val="0"/>
        </w:numPr>
        <w:spacing w:after="0"/>
        <w:ind w:left="1440" w:hanging="720"/>
        <w:rPr>
          <w:szCs w:val="22"/>
        </w:rPr>
      </w:pPr>
      <w:r w:rsidRPr="00693B99">
        <w:rPr>
          <w:szCs w:val="22"/>
        </w:rPr>
        <w:t>5.</w:t>
      </w:r>
      <w:r w:rsidRPr="00693B99">
        <w:rPr>
          <w:szCs w:val="22"/>
        </w:rPr>
        <w:tab/>
        <w:t>Complete the application and click “Submit.”</w:t>
      </w:r>
    </w:p>
    <w:p w14:paraId="1086403F" w14:textId="77777777" w:rsidR="002F62C9" w:rsidRPr="00693B99" w:rsidRDefault="002F62C9" w:rsidP="002F62C9">
      <w:pPr>
        <w:pStyle w:val="ParaNum"/>
        <w:numPr>
          <w:ilvl w:val="0"/>
          <w:numId w:val="0"/>
        </w:numPr>
        <w:spacing w:after="0"/>
        <w:ind w:left="1440" w:hanging="720"/>
        <w:rPr>
          <w:szCs w:val="22"/>
          <w:u w:val="single"/>
        </w:rPr>
      </w:pPr>
      <w:r w:rsidRPr="00693B99">
        <w:rPr>
          <w:szCs w:val="22"/>
        </w:rPr>
        <w:t>6.</w:t>
      </w:r>
      <w:r w:rsidRPr="00693B99">
        <w:rPr>
          <w:szCs w:val="22"/>
        </w:rPr>
        <w:tab/>
        <w:t xml:space="preserve">Download the Reference copy and e-mail to </w:t>
      </w:r>
      <w:r w:rsidRPr="00693B99">
        <w:rPr>
          <w:szCs w:val="22"/>
          <w:u w:val="single"/>
        </w:rPr>
        <w:t>IATransitionlicensing@fcc.gov</w:t>
      </w:r>
      <w:r w:rsidRPr="00693B99">
        <w:rPr>
          <w:szCs w:val="22"/>
        </w:rPr>
        <w:t>.</w:t>
      </w:r>
    </w:p>
    <w:p w14:paraId="095B73CD" w14:textId="77777777" w:rsidR="002F62C9" w:rsidRPr="00693B99" w:rsidRDefault="002F62C9" w:rsidP="002F62C9">
      <w:pPr>
        <w:pStyle w:val="ParaNum"/>
        <w:numPr>
          <w:ilvl w:val="0"/>
          <w:numId w:val="0"/>
        </w:numPr>
        <w:spacing w:after="0"/>
        <w:rPr>
          <w:szCs w:val="22"/>
          <w:u w:val="single"/>
        </w:rPr>
      </w:pPr>
    </w:p>
    <w:p w14:paraId="14763AD2" w14:textId="77777777" w:rsidR="002F62C9" w:rsidRPr="00693B99" w:rsidRDefault="002F62C9" w:rsidP="002F62C9">
      <w:pPr>
        <w:spacing w:before="120" w:after="240"/>
        <w:rPr>
          <w:szCs w:val="22"/>
          <w:u w:val="single"/>
        </w:rPr>
      </w:pPr>
      <w:r w:rsidRPr="00693B99">
        <w:rPr>
          <w:szCs w:val="22"/>
          <w:u w:val="single"/>
        </w:rPr>
        <w:t>Service Rule Waivers</w:t>
      </w:r>
    </w:p>
    <w:p w14:paraId="16BB385F" w14:textId="77777777" w:rsidR="002F62C9" w:rsidRPr="00693B99" w:rsidRDefault="002F62C9" w:rsidP="002F62C9">
      <w:pPr>
        <w:tabs>
          <w:tab w:val="left" w:pos="720"/>
        </w:tabs>
        <w:ind w:left="720"/>
        <w:rPr>
          <w:szCs w:val="22"/>
        </w:rPr>
      </w:pPr>
      <w:r w:rsidRPr="00693B99">
        <w:rPr>
          <w:szCs w:val="22"/>
        </w:rPr>
        <w:t>1.</w:t>
      </w:r>
      <w:r w:rsidRPr="00693B99">
        <w:rPr>
          <w:szCs w:val="22"/>
        </w:rPr>
        <w:tab/>
        <w:t>Click on the “Facilities” tab on the left top of the page.</w:t>
      </w:r>
    </w:p>
    <w:p w14:paraId="276E6330" w14:textId="77777777" w:rsidR="002F62C9" w:rsidRPr="00693B99" w:rsidRDefault="002F62C9" w:rsidP="002F62C9">
      <w:pPr>
        <w:tabs>
          <w:tab w:val="left" w:pos="720"/>
        </w:tabs>
        <w:ind w:left="720"/>
        <w:rPr>
          <w:szCs w:val="22"/>
        </w:rPr>
      </w:pPr>
      <w:r w:rsidRPr="00693B99">
        <w:rPr>
          <w:szCs w:val="22"/>
        </w:rPr>
        <w:t>2.</w:t>
      </w:r>
      <w:r w:rsidRPr="00693B99">
        <w:rPr>
          <w:szCs w:val="22"/>
        </w:rPr>
        <w:tab/>
        <w:t>Click on the facility ID number of the station requesting the waiver.</w:t>
      </w:r>
    </w:p>
    <w:p w14:paraId="50DFF7A3" w14:textId="77777777" w:rsidR="002F62C9" w:rsidRPr="00693B99" w:rsidRDefault="002F62C9" w:rsidP="002F62C9">
      <w:pPr>
        <w:tabs>
          <w:tab w:val="left" w:pos="720"/>
        </w:tabs>
        <w:ind w:left="720"/>
        <w:rPr>
          <w:szCs w:val="22"/>
        </w:rPr>
      </w:pPr>
      <w:r w:rsidRPr="00693B99">
        <w:rPr>
          <w:szCs w:val="22"/>
        </w:rPr>
        <w:t>3.</w:t>
      </w:r>
      <w:r w:rsidRPr="00693B99">
        <w:rPr>
          <w:szCs w:val="22"/>
        </w:rPr>
        <w:tab/>
        <w:t>Click on the “File an Application” button.</w:t>
      </w:r>
    </w:p>
    <w:p w14:paraId="3B2C01D4" w14:textId="77777777" w:rsidR="002F62C9" w:rsidRPr="00693B99" w:rsidRDefault="002F62C9" w:rsidP="002F62C9">
      <w:pPr>
        <w:tabs>
          <w:tab w:val="left" w:pos="720"/>
        </w:tabs>
        <w:ind w:left="720"/>
        <w:rPr>
          <w:szCs w:val="22"/>
        </w:rPr>
      </w:pPr>
      <w:r w:rsidRPr="00693B99">
        <w:rPr>
          <w:szCs w:val="22"/>
        </w:rPr>
        <w:t>4.</w:t>
      </w:r>
      <w:r w:rsidRPr="00693B99">
        <w:rPr>
          <w:szCs w:val="22"/>
        </w:rPr>
        <w:tab/>
        <w:t>Select “Legal STA” from drop down menu.</w:t>
      </w:r>
    </w:p>
    <w:p w14:paraId="224F0526" w14:textId="77777777" w:rsidR="002F62C9" w:rsidRPr="00693B99" w:rsidRDefault="002F62C9" w:rsidP="002F62C9">
      <w:pPr>
        <w:widowControl/>
        <w:ind w:left="1440" w:hanging="720"/>
        <w:rPr>
          <w:szCs w:val="22"/>
          <w:lang w:val="x-none" w:eastAsia="x-none"/>
        </w:rPr>
      </w:pPr>
      <w:r w:rsidRPr="00693B99">
        <w:rPr>
          <w:szCs w:val="22"/>
        </w:rPr>
        <w:t>5.</w:t>
      </w:r>
      <w:r w:rsidRPr="00693B99">
        <w:rPr>
          <w:szCs w:val="22"/>
        </w:rPr>
        <w:tab/>
      </w:r>
      <w:r w:rsidRPr="00693B99">
        <w:rPr>
          <w:szCs w:val="22"/>
          <w:lang w:eastAsia="x-none"/>
        </w:rPr>
        <w:t>In Application Description, enter “Service Rule Waiver Request Pursuant to Section 73.3700(f).”  Upload an attachment explaining justification for waiver and select “All Purpose” as the Attachment Type.  Once upload had commenced, click on Back button and then Save and Continue.</w:t>
      </w:r>
    </w:p>
    <w:p w14:paraId="4C854232" w14:textId="77777777" w:rsidR="002F62C9" w:rsidRPr="00693B99" w:rsidRDefault="002F62C9" w:rsidP="002F62C9">
      <w:pPr>
        <w:tabs>
          <w:tab w:val="left" w:pos="1440"/>
        </w:tabs>
        <w:ind w:left="1440" w:hanging="720"/>
        <w:rPr>
          <w:szCs w:val="22"/>
        </w:rPr>
      </w:pPr>
      <w:r w:rsidRPr="00693B99">
        <w:rPr>
          <w:szCs w:val="22"/>
        </w:rPr>
        <w:t>6.</w:t>
      </w:r>
      <w:r w:rsidRPr="00693B99">
        <w:rPr>
          <w:szCs w:val="22"/>
        </w:rPr>
        <w:tab/>
      </w:r>
      <w:r w:rsidRPr="00693B99">
        <w:rPr>
          <w:szCs w:val="22"/>
          <w:lang w:val="x-none"/>
        </w:rPr>
        <w:t>Select “</w:t>
      </w:r>
      <w:r w:rsidRPr="00693B99">
        <w:rPr>
          <w:szCs w:val="22"/>
          <w:lang w:eastAsia="x-none"/>
        </w:rPr>
        <w:t>Waivers”</w:t>
      </w:r>
      <w:r w:rsidRPr="00693B99">
        <w:rPr>
          <w:szCs w:val="22"/>
          <w:lang w:val="x-none" w:eastAsia="x-none"/>
        </w:rPr>
        <w:t xml:space="preserve"> from </w:t>
      </w:r>
      <w:r w:rsidRPr="00693B99">
        <w:rPr>
          <w:szCs w:val="22"/>
          <w:lang w:eastAsia="x-none"/>
        </w:rPr>
        <w:t>application section “Fees, Waivers and Exemptions.”  Select Yes for Waivers, answer questions appropriately, and click Save and Continue.</w:t>
      </w:r>
    </w:p>
    <w:p w14:paraId="2F494544" w14:textId="77777777" w:rsidR="002F62C9" w:rsidRPr="00693B99" w:rsidRDefault="002F62C9" w:rsidP="002F62C9">
      <w:pPr>
        <w:tabs>
          <w:tab w:val="left" w:pos="720"/>
        </w:tabs>
        <w:ind w:left="720"/>
        <w:rPr>
          <w:szCs w:val="22"/>
        </w:rPr>
      </w:pPr>
      <w:r w:rsidRPr="00693B99">
        <w:rPr>
          <w:szCs w:val="22"/>
        </w:rPr>
        <w:t>7.</w:t>
      </w:r>
      <w:r w:rsidRPr="00693B99">
        <w:rPr>
          <w:szCs w:val="22"/>
        </w:rPr>
        <w:tab/>
        <w:t>Complete the application and click Submit.</w:t>
      </w:r>
    </w:p>
    <w:p w14:paraId="28F31806" w14:textId="77777777" w:rsidR="002F62C9" w:rsidRPr="00693B99" w:rsidRDefault="002F62C9" w:rsidP="002F62C9">
      <w:pPr>
        <w:tabs>
          <w:tab w:val="left" w:pos="1440"/>
        </w:tabs>
        <w:ind w:left="1440" w:hanging="720"/>
        <w:rPr>
          <w:szCs w:val="22"/>
        </w:rPr>
      </w:pPr>
      <w:r w:rsidRPr="00693B99">
        <w:rPr>
          <w:szCs w:val="22"/>
        </w:rPr>
        <w:t>8.</w:t>
      </w:r>
      <w:r w:rsidRPr="00693B99">
        <w:rPr>
          <w:szCs w:val="22"/>
        </w:rPr>
        <w:tab/>
        <w:t>Download the Reference copy and e-mail to</w:t>
      </w:r>
    </w:p>
    <w:p w14:paraId="10ED5B40" w14:textId="20F5AA62" w:rsidR="002F62C9" w:rsidRPr="00693B99" w:rsidRDefault="002F62C9" w:rsidP="000517F2">
      <w:pPr>
        <w:tabs>
          <w:tab w:val="left" w:pos="1440"/>
        </w:tabs>
        <w:ind w:left="1440" w:hanging="720"/>
        <w:rPr>
          <w:szCs w:val="22"/>
        </w:rPr>
      </w:pPr>
      <w:r w:rsidRPr="00693B99">
        <w:rPr>
          <w:szCs w:val="22"/>
        </w:rPr>
        <w:tab/>
      </w:r>
      <w:hyperlink r:id="rId26" w:history="1">
        <w:r w:rsidRPr="00693B99">
          <w:rPr>
            <w:rStyle w:val="Hyperlink"/>
            <w:color w:val="auto"/>
            <w:szCs w:val="22"/>
          </w:rPr>
          <w:t>IATransitionlicensing@fcc.gov</w:t>
        </w:r>
      </w:hyperlink>
      <w:r w:rsidR="000517F2" w:rsidRPr="00693B99">
        <w:rPr>
          <w:szCs w:val="22"/>
        </w:rPr>
        <w:t>.</w:t>
      </w:r>
    </w:p>
    <w:sectPr w:rsidR="002F62C9" w:rsidRPr="00693B99" w:rsidSect="00DF0810">
      <w:headerReference w:type="even" r:id="rId27"/>
      <w:headerReference w:type="default" r:id="rId28"/>
      <w:footerReference w:type="even" r:id="rId29"/>
      <w:footerReference w:type="default" r:id="rId30"/>
      <w:headerReference w:type="first" r:id="rId31"/>
      <w:footerReference w:type="first" r:id="rId32"/>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8402C" w14:textId="77777777" w:rsidR="00DD6E3E" w:rsidRDefault="00DD6E3E">
      <w:pPr>
        <w:spacing w:line="20" w:lineRule="exact"/>
      </w:pPr>
    </w:p>
  </w:endnote>
  <w:endnote w:type="continuationSeparator" w:id="0">
    <w:p w14:paraId="096478FD" w14:textId="77777777" w:rsidR="00DD6E3E" w:rsidRDefault="00DD6E3E">
      <w:r>
        <w:t xml:space="preserve"> </w:t>
      </w:r>
    </w:p>
  </w:endnote>
  <w:endnote w:type="continuationNotice" w:id="1">
    <w:p w14:paraId="132495B4" w14:textId="77777777" w:rsidR="00DD6E3E" w:rsidRDefault="00DD6E3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charset w:val="00"/>
    <w:family w:val="swiss"/>
    <w:pitch w:val="variable"/>
    <w:sig w:usb0="A00002EF" w:usb1="4000207B" w:usb2="00000000" w:usb3="00000000" w:csb0="0000019F" w:csb1="00000000"/>
  </w:font>
  <w:font w:name="TimesNewRoman">
    <w:altName w:val="Times New Roman"/>
    <w:panose1 w:val="00000000000000000000"/>
    <w:charset w:val="00"/>
    <w:family w:val="auto"/>
    <w:notTrueType/>
    <w:pitch w:val="default"/>
    <w:sig w:usb0="00000003" w:usb1="08070000" w:usb2="00000010" w:usb3="00000000" w:csb0="0002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F019A" w14:textId="77777777" w:rsidR="004E6293" w:rsidRPr="00A115B3" w:rsidRDefault="004E6293" w:rsidP="0055614C">
    <w:pPr>
      <w:pStyle w:val="Footer"/>
      <w:framePr w:wrap="around" w:vAnchor="text" w:hAnchor="margin" w:xAlign="center" w:y="1"/>
      <w:rPr>
        <w:sz w:val="20"/>
      </w:rPr>
    </w:pPr>
    <w:r w:rsidRPr="00A115B3">
      <w:rPr>
        <w:sz w:val="20"/>
      </w:rPr>
      <w:fldChar w:fldCharType="begin"/>
    </w:r>
    <w:r w:rsidRPr="00A115B3">
      <w:rPr>
        <w:sz w:val="20"/>
      </w:rPr>
      <w:instrText xml:space="preserve">PAGE  </w:instrText>
    </w:r>
    <w:r w:rsidRPr="00A115B3">
      <w:rPr>
        <w:sz w:val="20"/>
      </w:rPr>
      <w:fldChar w:fldCharType="end"/>
    </w:r>
  </w:p>
  <w:p w14:paraId="2D8D532E" w14:textId="77777777" w:rsidR="004E6293" w:rsidRPr="00A115B3" w:rsidRDefault="004E6293">
    <w:pPr>
      <w:pStyle w:val="Footer"/>
      <w:rPr>
        <w:sz w:val="20"/>
      </w:rPr>
    </w:pPr>
  </w:p>
  <w:p w14:paraId="21BCC436" w14:textId="77777777" w:rsidR="004E6293" w:rsidRPr="00A115B3" w:rsidRDefault="004E6293">
    <w:pP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AD03D" w14:textId="77777777" w:rsidR="004E6293" w:rsidRPr="00A115B3" w:rsidRDefault="004E6293" w:rsidP="0055614C">
    <w:pPr>
      <w:pStyle w:val="Footer"/>
      <w:framePr w:wrap="around" w:vAnchor="text" w:hAnchor="margin" w:xAlign="center" w:y="1"/>
      <w:rPr>
        <w:sz w:val="20"/>
      </w:rPr>
    </w:pPr>
    <w:r w:rsidRPr="00A115B3">
      <w:rPr>
        <w:sz w:val="20"/>
      </w:rPr>
      <w:fldChar w:fldCharType="begin"/>
    </w:r>
    <w:r w:rsidRPr="00A115B3">
      <w:rPr>
        <w:sz w:val="20"/>
      </w:rPr>
      <w:instrText xml:space="preserve">PAGE  </w:instrText>
    </w:r>
    <w:r w:rsidRPr="00A115B3">
      <w:rPr>
        <w:sz w:val="20"/>
      </w:rPr>
      <w:fldChar w:fldCharType="separate"/>
    </w:r>
    <w:r w:rsidR="001815A9">
      <w:rPr>
        <w:noProof/>
        <w:sz w:val="20"/>
      </w:rPr>
      <w:t>2</w:t>
    </w:r>
    <w:r w:rsidRPr="00A115B3">
      <w:rPr>
        <w:sz w:val="20"/>
      </w:rPr>
      <w:fldChar w:fldCharType="end"/>
    </w:r>
  </w:p>
  <w:p w14:paraId="25C37520" w14:textId="77777777" w:rsidR="004E6293" w:rsidRPr="00A115B3" w:rsidRDefault="004E6293" w:rsidP="00A115B3">
    <w:pP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47133" w14:textId="77777777" w:rsidR="00FA6CD6" w:rsidRDefault="00FA6C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D6906F" w14:textId="77777777" w:rsidR="00DD6E3E" w:rsidRDefault="00DD6E3E">
      <w:r>
        <w:separator/>
      </w:r>
    </w:p>
  </w:footnote>
  <w:footnote w:type="continuationSeparator" w:id="0">
    <w:p w14:paraId="7585951F" w14:textId="77777777" w:rsidR="00DD6E3E" w:rsidRDefault="00DD6E3E" w:rsidP="00C721AC">
      <w:pPr>
        <w:spacing w:before="120"/>
        <w:rPr>
          <w:sz w:val="20"/>
        </w:rPr>
      </w:pPr>
      <w:r>
        <w:rPr>
          <w:sz w:val="20"/>
        </w:rPr>
        <w:t xml:space="preserve">(Continued from previous page)  </w:t>
      </w:r>
      <w:r>
        <w:rPr>
          <w:sz w:val="20"/>
        </w:rPr>
        <w:separator/>
      </w:r>
    </w:p>
  </w:footnote>
  <w:footnote w:type="continuationNotice" w:id="1">
    <w:p w14:paraId="1B7EBC4B" w14:textId="77777777" w:rsidR="00DD6E3E" w:rsidRDefault="00DD6E3E" w:rsidP="00C721AC">
      <w:pPr>
        <w:jc w:val="right"/>
        <w:rPr>
          <w:sz w:val="20"/>
        </w:rPr>
      </w:pPr>
      <w:r>
        <w:rPr>
          <w:sz w:val="20"/>
        </w:rPr>
        <w:t>(continued….)</w:t>
      </w:r>
    </w:p>
  </w:footnote>
  <w:footnote w:id="2">
    <w:p w14:paraId="7C427A69" w14:textId="4C86C99D" w:rsidR="004E6293" w:rsidRPr="00693B99" w:rsidRDefault="004E6293" w:rsidP="00C1003C">
      <w:pPr>
        <w:pStyle w:val="FootnoteText"/>
      </w:pPr>
      <w:r w:rsidRPr="00693B99">
        <w:rPr>
          <w:rStyle w:val="FootnoteReference"/>
        </w:rPr>
        <w:footnoteRef/>
      </w:r>
      <w:r w:rsidRPr="00693B99">
        <w:t xml:space="preserve"> The Commission delegated authority to the Media Bureau to carry out various aspects of the transition.  47 CFR § 73.3700(b)(1)(vi), (b)(2)(iii), (b)(5), (e)(7).  </w:t>
      </w:r>
    </w:p>
  </w:footnote>
  <w:footnote w:id="3">
    <w:p w14:paraId="1D5EF865" w14:textId="77777777" w:rsidR="004E6293" w:rsidRPr="00693B99" w:rsidRDefault="004E6293" w:rsidP="00C1003C">
      <w:pPr>
        <w:pStyle w:val="FootnoteText"/>
      </w:pPr>
      <w:r w:rsidRPr="00693B99">
        <w:rPr>
          <w:rStyle w:val="FootnoteReference"/>
        </w:rPr>
        <w:footnoteRef/>
      </w:r>
      <w:r w:rsidRPr="00693B99">
        <w:t xml:space="preserve"> </w:t>
      </w:r>
      <w:r w:rsidRPr="00693B99">
        <w:rPr>
          <w:i/>
        </w:rPr>
        <w:t>Expanding the Economic and Innovation Opportunities of Spectrum Through Incentive Auctions</w:t>
      </w:r>
      <w:r w:rsidRPr="00693B99">
        <w:t xml:space="preserve">, Report and Order, 29 FCC Rcd 6567 (2014), </w:t>
      </w:r>
      <w:r w:rsidRPr="00693B99">
        <w:rPr>
          <w:i/>
        </w:rPr>
        <w:t>aff’d, Nat’l Assoc. of Broadcasters, et al v. FCC</w:t>
      </w:r>
      <w:r w:rsidRPr="00693B99">
        <w:t>, 789 F.3d 165 (D.C. Cir.  2015) (</w:t>
      </w:r>
      <w:r w:rsidRPr="00693B99">
        <w:rPr>
          <w:i/>
        </w:rPr>
        <w:t>Incentive Auction R&amp;O</w:t>
      </w:r>
      <w:r w:rsidRPr="00693B99">
        <w:t>); Second Report and Order and Further Notice of Proposed Rulemaking, 29 FCC Rcd 13071 (2014) (</w:t>
      </w:r>
      <w:r w:rsidRPr="00693B99">
        <w:rPr>
          <w:i/>
        </w:rPr>
        <w:t>Second Report and Order</w:t>
      </w:r>
      <w:r w:rsidRPr="00693B99">
        <w:t>); First Order On Reconsideration and Notice of Proposed Rulemaking, 30 FCC Rcd 6668 (2015) (</w:t>
      </w:r>
      <w:r w:rsidRPr="00693B99">
        <w:rPr>
          <w:i/>
        </w:rPr>
        <w:t>First Reconsideration</w:t>
      </w:r>
      <w:r w:rsidRPr="00693B99">
        <w:t>); Second Order on Reconsideration, 30 FCC Rcd 6746 (2015)(</w:t>
      </w:r>
      <w:r w:rsidRPr="00693B99">
        <w:rPr>
          <w:i/>
        </w:rPr>
        <w:t>Second Reconsideration</w:t>
      </w:r>
      <w:r w:rsidRPr="00693B99">
        <w:t>); Second Order on Reconsideration, 30 FCC Rcd 12016 (2015) (</w:t>
      </w:r>
      <w:r w:rsidRPr="00693B99">
        <w:rPr>
          <w:i/>
        </w:rPr>
        <w:t>Third Reconsideration</w:t>
      </w:r>
      <w:r w:rsidRPr="00693B99">
        <w:t>); Third Report and Order and First Order on Reconsideration, 30 FCC Rcd 12049 (2015)(</w:t>
      </w:r>
      <w:r w:rsidRPr="00693B99">
        <w:rPr>
          <w:i/>
        </w:rPr>
        <w:t>Third Report and Order</w:t>
      </w:r>
      <w:r w:rsidRPr="00693B99">
        <w:t>); Order on Reconsideration, 31 FCC Rcd 1367 (2016) (</w:t>
      </w:r>
      <w:r w:rsidRPr="00693B99">
        <w:rPr>
          <w:i/>
        </w:rPr>
        <w:t>Fourth Reconsideration</w:t>
      </w:r>
      <w:r w:rsidRPr="00693B99">
        <w:t xml:space="preserve">), appeal docketed; Declaratory Order, 31 FCC Rcd 4246 (2016).  </w:t>
      </w:r>
      <w:r w:rsidRPr="00693B99">
        <w:rPr>
          <w:i/>
        </w:rPr>
        <w:t>See also Broadcast Auction Scheduled to Begin March 29, 2016; Procedures for Competitive Bidding in Auction 1000, Including Initial Clearing Target Determination, Qualifying to Bid, and Bidding in Auctions 1001 (Reverse) and 1002 (Forward)</w:t>
      </w:r>
      <w:r w:rsidRPr="00693B99">
        <w:t>, Public Notice, 30 FCC Rcd 8975, 8980, para. 4 (2015) (</w:t>
      </w:r>
      <w:r w:rsidRPr="00693B99">
        <w:rPr>
          <w:i/>
        </w:rPr>
        <w:t>Auction 1000 Bidding Procedures PN</w:t>
      </w:r>
      <w:r w:rsidRPr="00693B99">
        <w:t>).</w:t>
      </w:r>
    </w:p>
  </w:footnote>
  <w:footnote w:id="4">
    <w:p w14:paraId="5F6C040B" w14:textId="0D46B7E0" w:rsidR="004E6293" w:rsidRPr="00693B99" w:rsidRDefault="004E6293" w:rsidP="00F87872">
      <w:pPr>
        <w:pStyle w:val="FootnoteText"/>
      </w:pPr>
      <w:r w:rsidRPr="00693B99">
        <w:rPr>
          <w:rStyle w:val="FootnoteReference"/>
        </w:rPr>
        <w:footnoteRef/>
      </w:r>
      <w:r w:rsidRPr="00693B99">
        <w:t xml:space="preserve"> </w:t>
      </w:r>
      <w:r w:rsidRPr="00693B99">
        <w:rPr>
          <w:i/>
        </w:rPr>
        <w:t>See Incentive Auction Task Force and Media Bureau Adopt Post-Incentive Auction Transition Scheduling Plan</w:t>
      </w:r>
      <w:r w:rsidRPr="00693B99">
        <w:t>, Public Notice, DA 17-</w:t>
      </w:r>
      <w:r w:rsidR="00286E1F" w:rsidRPr="00693B99">
        <w:t>107</w:t>
      </w:r>
      <w:r w:rsidRPr="00693B99">
        <w:t xml:space="preserve"> (rel. January </w:t>
      </w:r>
      <w:r w:rsidR="00C0367F" w:rsidRPr="00693B99">
        <w:t>27</w:t>
      </w:r>
      <w:r w:rsidRPr="00693B99">
        <w:t>, 2017) (</w:t>
      </w:r>
      <w:r w:rsidRPr="00693B99">
        <w:rPr>
          <w:i/>
        </w:rPr>
        <w:t>Transition Scheduling Adoption Public Notice</w:t>
      </w:r>
      <w:r w:rsidRPr="00693B99">
        <w:t xml:space="preserve">). </w:t>
      </w:r>
    </w:p>
  </w:footnote>
  <w:footnote w:id="5">
    <w:p w14:paraId="4DE41387" w14:textId="77777777" w:rsidR="004E6293" w:rsidRPr="00693B99" w:rsidRDefault="004E6293" w:rsidP="00C1003C">
      <w:pPr>
        <w:pStyle w:val="FootnoteText"/>
      </w:pPr>
      <w:r w:rsidRPr="00693B99">
        <w:rPr>
          <w:rStyle w:val="FootnoteReference"/>
        </w:rPr>
        <w:footnoteRef/>
      </w:r>
      <w:r w:rsidRPr="00693B99">
        <w:t xml:space="preserve"> Middle Class Tax Relief and Job Creation Act of 2012, Pub. L. No. 112-96, §§ 6402 (codified at 47 U.S.C. § 309(j)(8)(G)), 6403 (codified at 47 U.S.C. § 1452), 126 Stat. 156 (2012).</w:t>
      </w:r>
    </w:p>
  </w:footnote>
  <w:footnote w:id="6">
    <w:p w14:paraId="41CE13B6" w14:textId="77777777" w:rsidR="004E6293" w:rsidRPr="00693B99" w:rsidRDefault="004E6293" w:rsidP="00C1003C">
      <w:pPr>
        <w:pStyle w:val="FootnoteText"/>
      </w:pPr>
      <w:r w:rsidRPr="00693B99">
        <w:rPr>
          <w:rStyle w:val="FootnoteReference"/>
        </w:rPr>
        <w:footnoteRef/>
      </w:r>
      <w:r w:rsidRPr="00693B99">
        <w:t xml:space="preserve"> </w:t>
      </w:r>
      <w:r w:rsidRPr="00693B99">
        <w:rPr>
          <w:i/>
        </w:rPr>
        <w:t>See Incentive Auction R&amp;O</w:t>
      </w:r>
      <w:r w:rsidRPr="00693B99">
        <w:t xml:space="preserve">, 29 FCC Rcd at 6569, 6572–73, paras. 1, 9–10.  </w:t>
      </w:r>
    </w:p>
  </w:footnote>
  <w:footnote w:id="7">
    <w:p w14:paraId="19D6F5A7" w14:textId="77777777" w:rsidR="004E6293" w:rsidRPr="00693B99" w:rsidRDefault="004E6293" w:rsidP="00C1003C">
      <w:pPr>
        <w:pStyle w:val="FootnoteText"/>
        <w:rPr>
          <w:i/>
        </w:rPr>
      </w:pPr>
      <w:r w:rsidRPr="00693B99">
        <w:rPr>
          <w:rStyle w:val="FootnoteReference"/>
        </w:rPr>
        <w:footnoteRef/>
      </w:r>
      <w:r w:rsidRPr="00693B99">
        <w:t xml:space="preserve"> </w:t>
      </w:r>
      <w:r w:rsidRPr="00693B99">
        <w:rPr>
          <w:i/>
        </w:rPr>
        <w:t xml:space="preserve">Id. </w:t>
      </w:r>
    </w:p>
  </w:footnote>
  <w:footnote w:id="8">
    <w:p w14:paraId="669AB48C" w14:textId="77777777" w:rsidR="004E6293" w:rsidRPr="00693B99" w:rsidRDefault="004E6293" w:rsidP="00643620">
      <w:pPr>
        <w:pStyle w:val="FootnoteText"/>
        <w:rPr>
          <w:i/>
        </w:rPr>
      </w:pPr>
      <w:r w:rsidRPr="00693B99">
        <w:rPr>
          <w:rStyle w:val="FootnoteReference"/>
        </w:rPr>
        <w:footnoteRef/>
      </w:r>
      <w:r w:rsidRPr="00693B99">
        <w:t xml:space="preserve"> </w:t>
      </w:r>
      <w:r w:rsidRPr="00693B99">
        <w:rPr>
          <w:i/>
        </w:rPr>
        <w:t xml:space="preserve">Id. </w:t>
      </w:r>
      <w:r w:rsidRPr="00693B99">
        <w:t>at 6617–80, paras. 109–257.</w:t>
      </w:r>
      <w:r w:rsidRPr="00693B99">
        <w:rPr>
          <w:i/>
        </w:rPr>
        <w:t xml:space="preserve"> </w:t>
      </w:r>
    </w:p>
  </w:footnote>
  <w:footnote w:id="9">
    <w:p w14:paraId="580D577E" w14:textId="77777777" w:rsidR="004E6293" w:rsidRPr="00693B99" w:rsidRDefault="004E6293" w:rsidP="00965BFD">
      <w:pPr>
        <w:widowControl/>
        <w:autoSpaceDE w:val="0"/>
        <w:autoSpaceDN w:val="0"/>
        <w:adjustRightInd w:val="0"/>
        <w:spacing w:after="120"/>
        <w:rPr>
          <w:sz w:val="20"/>
        </w:rPr>
      </w:pPr>
      <w:r w:rsidRPr="00693B99">
        <w:rPr>
          <w:rStyle w:val="FootnoteReference"/>
        </w:rPr>
        <w:footnoteRef/>
      </w:r>
      <w:r w:rsidRPr="00693B99">
        <w:rPr>
          <w:sz w:val="20"/>
        </w:rPr>
        <w:t xml:space="preserve"> </w:t>
      </w:r>
      <w:r w:rsidRPr="00693B99">
        <w:rPr>
          <w:i/>
          <w:sz w:val="20"/>
        </w:rPr>
        <w:t>See Auction 1000 Bidding Procedures PN</w:t>
      </w:r>
      <w:r w:rsidRPr="00693B99">
        <w:rPr>
          <w:sz w:val="20"/>
        </w:rPr>
        <w:t xml:space="preserve">, 30 FCC Rcd at 8982, para. 8.  </w:t>
      </w:r>
      <w:r w:rsidRPr="00693B99">
        <w:rPr>
          <w:i/>
          <w:sz w:val="20"/>
        </w:rPr>
        <w:t>See also Incentive Auction R&amp;O</w:t>
      </w:r>
      <w:r w:rsidRPr="00693B99">
        <w:rPr>
          <w:sz w:val="20"/>
        </w:rPr>
        <w:t>, 29 FCC Rcd at 6621, para. 119.</w:t>
      </w:r>
    </w:p>
  </w:footnote>
  <w:footnote w:id="10">
    <w:p w14:paraId="12E2678D" w14:textId="06982614" w:rsidR="004E6293" w:rsidRPr="00693B99" w:rsidRDefault="004E6293" w:rsidP="00C1003C">
      <w:pPr>
        <w:pStyle w:val="FootnoteText"/>
        <w:rPr>
          <w:i/>
        </w:rPr>
      </w:pPr>
      <w:r w:rsidRPr="00693B99">
        <w:rPr>
          <w:rStyle w:val="FootnoteReference"/>
        </w:rPr>
        <w:footnoteRef/>
      </w:r>
      <w:r w:rsidRPr="00693B99">
        <w:t xml:space="preserve"> The </w:t>
      </w:r>
      <w:r w:rsidRPr="00693B99">
        <w:rPr>
          <w:i/>
        </w:rPr>
        <w:t>Closing and Reassignment Public Notice</w:t>
      </w:r>
      <w:r w:rsidRPr="00693B99">
        <w:t xml:space="preserve"> is the same public notice referred to as the </w:t>
      </w:r>
      <w:r w:rsidRPr="00693B99">
        <w:rPr>
          <w:i/>
        </w:rPr>
        <w:t>Channel Reassignment Public Notice</w:t>
      </w:r>
      <w:r w:rsidRPr="00693B99">
        <w:t xml:space="preserve"> in prior public notices and orders released in this proceeding.  </w:t>
      </w:r>
      <w:r w:rsidRPr="00693B99">
        <w:rPr>
          <w:i/>
        </w:rPr>
        <w:t>See, e.g., Incentive Auction R&amp;O</w:t>
      </w:r>
      <w:r w:rsidRPr="00693B99">
        <w:t xml:space="preserve">, 29 FCC Rcd at 6782, para. 525; </w:t>
      </w:r>
      <w:r w:rsidRPr="00693B99">
        <w:rPr>
          <w:i/>
        </w:rPr>
        <w:t>Application Procedures for Broadcast Incentive Auction Scheduled to Begin on March 29, 2016; Technical Formulas for Competitive Bidding</w:t>
      </w:r>
      <w:r w:rsidRPr="00693B99">
        <w:t xml:space="preserve">, Public Notice, 30 FCC Rcd 11034, 11088, para. 167 (WTB 2015); 47 CFR </w:t>
      </w:r>
      <w:r w:rsidRPr="00693B99">
        <w:rPr>
          <w:bCs/>
        </w:rPr>
        <w:t>§ 73.3700(a)(2)</w:t>
      </w:r>
      <w:r w:rsidRPr="00693B99">
        <w:t>.</w:t>
      </w:r>
      <w:r w:rsidR="001D5E0D" w:rsidRPr="00693B99">
        <w:t xml:space="preserve"> As stated in the </w:t>
      </w:r>
      <w:r w:rsidR="001D5E0D" w:rsidRPr="00693B99">
        <w:rPr>
          <w:i/>
        </w:rPr>
        <w:t>Incentive Auction R&amp;O</w:t>
      </w:r>
      <w:r w:rsidR="001D5E0D" w:rsidRPr="00693B99">
        <w:t xml:space="preserve">, we may release the auction closing public notice and the </w:t>
      </w:r>
      <w:r w:rsidR="001D5E0D" w:rsidRPr="00693B99">
        <w:rPr>
          <w:i/>
        </w:rPr>
        <w:t>Channel Reassignment Public Notice</w:t>
      </w:r>
      <w:r w:rsidR="001D5E0D" w:rsidRPr="00693B99">
        <w:t xml:space="preserve"> simultaneously.  </w:t>
      </w:r>
      <w:r w:rsidR="001D5E0D" w:rsidRPr="00693B99">
        <w:rPr>
          <w:i/>
        </w:rPr>
        <w:t>See Incentive Auction R&amp;O</w:t>
      </w:r>
      <w:r w:rsidR="001D5E0D" w:rsidRPr="00693B99">
        <w:t xml:space="preserve">, 29 FCC Rcd at 6784, para. 529.  Our intention is to combine those into one public notice as described above.  </w:t>
      </w:r>
    </w:p>
  </w:footnote>
  <w:footnote w:id="11">
    <w:p w14:paraId="12AB397C" w14:textId="77777777" w:rsidR="004E6293" w:rsidRPr="00693B99" w:rsidRDefault="004E6293" w:rsidP="00C1003C">
      <w:pPr>
        <w:pStyle w:val="FootnoteText"/>
      </w:pPr>
      <w:r w:rsidRPr="00693B99">
        <w:rPr>
          <w:rStyle w:val="FootnoteReference"/>
        </w:rPr>
        <w:footnoteRef/>
      </w:r>
      <w:r w:rsidRPr="00693B99">
        <w:t xml:space="preserve"> The Commission determined in the </w:t>
      </w:r>
      <w:r w:rsidRPr="00693B99">
        <w:rPr>
          <w:i/>
        </w:rPr>
        <w:t xml:space="preserve">Incentive Auction R&amp;O </w:t>
      </w:r>
      <w:r w:rsidRPr="00693B99">
        <w:t xml:space="preserve">that the reverse and forward auctions will be “complete” when a public notice announces that each auction, respectively, has ended.  </w:t>
      </w:r>
      <w:r w:rsidRPr="00693B99">
        <w:rPr>
          <w:i/>
        </w:rPr>
        <w:t>Incentive Auction R&amp;O</w:t>
      </w:r>
      <w:r w:rsidRPr="00693B99">
        <w:t>, 29 FCC Rcd at 6783–84, para. 529; 47 CFR § 1.2208.</w:t>
      </w:r>
    </w:p>
  </w:footnote>
  <w:footnote w:id="12">
    <w:p w14:paraId="4DC8F26F" w14:textId="77777777" w:rsidR="004E6293" w:rsidRPr="00693B99" w:rsidRDefault="004E6293" w:rsidP="00C1003C">
      <w:pPr>
        <w:pStyle w:val="FootnoteText"/>
      </w:pPr>
      <w:r w:rsidRPr="00693B99">
        <w:rPr>
          <w:rStyle w:val="FootnoteReference"/>
        </w:rPr>
        <w:footnoteRef/>
      </w:r>
      <w:r w:rsidRPr="00693B99">
        <w:t xml:space="preserve"> </w:t>
      </w:r>
      <w:r w:rsidRPr="00693B99">
        <w:rPr>
          <w:i/>
        </w:rPr>
        <w:t>Incentive Auction R&amp;O</w:t>
      </w:r>
      <w:r w:rsidRPr="00693B99">
        <w:t>, 29 FCC Rcd at 6782, para. 525.</w:t>
      </w:r>
    </w:p>
  </w:footnote>
  <w:footnote w:id="13">
    <w:p w14:paraId="3109627E" w14:textId="77777777" w:rsidR="004E6293" w:rsidRPr="00693B99" w:rsidRDefault="004E6293" w:rsidP="00C1003C">
      <w:pPr>
        <w:pStyle w:val="FootnoteText"/>
      </w:pPr>
      <w:r w:rsidRPr="00693B99">
        <w:rPr>
          <w:rStyle w:val="FootnoteReference"/>
        </w:rPr>
        <w:footnoteRef/>
      </w:r>
      <w:r w:rsidRPr="00693B99">
        <w:t xml:space="preserve"> 47 CFR</w:t>
      </w:r>
      <w:r w:rsidRPr="00693B99">
        <w:rPr>
          <w:i/>
        </w:rPr>
        <w:t xml:space="preserve"> </w:t>
      </w:r>
      <w:r w:rsidRPr="00693B99">
        <w:t xml:space="preserve">§ 27.4.  In order to balance “the need for a post-incentive auction transition timetable that is flexible for broadcasters and that minimizes disruption to viewers” with the need for a schedule that “provide[s] certainty to wireless providers and [is] completed as expeditiously as possible,” and so that it coincides with the statutory three-year reimbursement period, the Commission established a 39-month post-incentive auction transition period.  </w:t>
      </w:r>
      <w:r w:rsidRPr="00693B99">
        <w:rPr>
          <w:i/>
        </w:rPr>
        <w:t>Incentive Auction R&amp;O,</w:t>
      </w:r>
      <w:r w:rsidRPr="00693B99">
        <w:t xml:space="preserve"> 29 FCC Rcd at 6796, </w:t>
      </w:r>
      <w:r w:rsidRPr="00693B99" w:rsidDel="00B974C8">
        <w:t>6</w:t>
      </w:r>
      <w:r w:rsidRPr="00693B99">
        <w:t>799-80, paras. 559,</w:t>
      </w:r>
      <w:r w:rsidRPr="00693B99" w:rsidDel="00B974C8">
        <w:t xml:space="preserve"> </w:t>
      </w:r>
      <w:r w:rsidRPr="00693B99">
        <w:t xml:space="preserve">568.  </w:t>
      </w:r>
      <w:r w:rsidRPr="00693B99">
        <w:rPr>
          <w:i/>
        </w:rPr>
        <w:t>See also</w:t>
      </w:r>
      <w:r w:rsidRPr="00693B99">
        <w:t xml:space="preserve"> Spectrum Act §§ 6403(b)(4)(D), (d)(4).  As discussed in </w:t>
      </w:r>
      <w:r w:rsidRPr="00693B99">
        <w:rPr>
          <w:i/>
        </w:rPr>
        <w:t>the Incentive Auction R&amp;O</w:t>
      </w:r>
      <w:r w:rsidRPr="00693B99">
        <w:t xml:space="preserve">, this post-auction transition period also affects various other services (LPTV and TV translator stations, fixed Broadcast Auxiliary Stations, Low Power Auxiliary Stations) and unlicensed operations (white space devices and unlicensed wireless microphones) that access the spectrum that is being reorganized following the incentive auction.  </w:t>
      </w:r>
      <w:r w:rsidRPr="00693B99">
        <w:rPr>
          <w:i/>
        </w:rPr>
        <w:t>See</w:t>
      </w:r>
      <w:r w:rsidRPr="00693B99">
        <w:t xml:space="preserve"> </w:t>
      </w:r>
      <w:r w:rsidRPr="00693B99">
        <w:rPr>
          <w:i/>
        </w:rPr>
        <w:t>Incentive Auction R&amp;O</w:t>
      </w:r>
      <w:r w:rsidRPr="00693B99">
        <w:t>, 29 FCC Rcd at 6834-47, paras. 656-688.  As we discuss above, this Public Notice focuses only on the transition relating to full power and Class A television stations and MVPDs.</w:t>
      </w:r>
    </w:p>
  </w:footnote>
  <w:footnote w:id="14">
    <w:p w14:paraId="50145144" w14:textId="77777777" w:rsidR="004E6293" w:rsidRPr="00693B99" w:rsidRDefault="004E6293">
      <w:pPr>
        <w:pStyle w:val="FootnoteText"/>
      </w:pPr>
      <w:r w:rsidRPr="00693B99">
        <w:rPr>
          <w:rStyle w:val="FootnoteReference"/>
        </w:rPr>
        <w:footnoteRef/>
      </w:r>
      <w:r w:rsidRPr="00693B99">
        <w:t xml:space="preserve"> </w:t>
      </w:r>
      <w:r w:rsidRPr="00693B99">
        <w:rPr>
          <w:i/>
        </w:rPr>
        <w:t>See Transition Scheduling Adoption Public Notice</w:t>
      </w:r>
      <w:r w:rsidRPr="00693B99">
        <w:t xml:space="preserve"> at 4, para. 7.</w:t>
      </w:r>
    </w:p>
  </w:footnote>
  <w:footnote w:id="15">
    <w:p w14:paraId="367E8135" w14:textId="77777777" w:rsidR="004E6293" w:rsidRPr="00693B99" w:rsidRDefault="004E6293">
      <w:pPr>
        <w:pStyle w:val="FootnoteText"/>
      </w:pPr>
      <w:r w:rsidRPr="00693B99">
        <w:rPr>
          <w:rStyle w:val="FootnoteReference"/>
        </w:rPr>
        <w:footnoteRef/>
      </w:r>
      <w:r w:rsidRPr="00693B99">
        <w:t xml:space="preserve"> </w:t>
      </w:r>
      <w:r w:rsidRPr="00693B99">
        <w:rPr>
          <w:i/>
        </w:rPr>
        <w:t>Id.</w:t>
      </w:r>
      <w:r w:rsidRPr="00693B99">
        <w:t xml:space="preserve"> at 5, para. 10.</w:t>
      </w:r>
    </w:p>
  </w:footnote>
  <w:footnote w:id="16">
    <w:p w14:paraId="2E2FB07C" w14:textId="77777777" w:rsidR="004E6293" w:rsidRPr="00693B99" w:rsidRDefault="004E6293">
      <w:pPr>
        <w:pStyle w:val="FootnoteText"/>
      </w:pPr>
      <w:r w:rsidRPr="00693B99">
        <w:rPr>
          <w:rStyle w:val="FootnoteReference"/>
        </w:rPr>
        <w:footnoteRef/>
      </w:r>
      <w:r w:rsidRPr="00693B99">
        <w:t xml:space="preserve"> </w:t>
      </w:r>
      <w:r w:rsidRPr="00693B99">
        <w:rPr>
          <w:i/>
        </w:rPr>
        <w:t>Id</w:t>
      </w:r>
      <w:r w:rsidRPr="00693B99">
        <w:t xml:space="preserve">.  </w:t>
      </w:r>
    </w:p>
  </w:footnote>
  <w:footnote w:id="17">
    <w:p w14:paraId="769263E7" w14:textId="2B12A617" w:rsidR="004E6293" w:rsidRPr="00693B99" w:rsidRDefault="004E6293" w:rsidP="002257B8">
      <w:pPr>
        <w:pStyle w:val="FootnoteText"/>
      </w:pPr>
      <w:r w:rsidRPr="00693B99">
        <w:rPr>
          <w:rStyle w:val="FootnoteReference"/>
        </w:rPr>
        <w:footnoteRef/>
      </w:r>
      <w:r w:rsidRPr="00693B99">
        <w:t xml:space="preserve"> </w:t>
      </w:r>
      <w:r w:rsidRPr="00693B99">
        <w:rPr>
          <w:i/>
        </w:rPr>
        <w:t>Id.</w:t>
      </w:r>
      <w:r w:rsidRPr="00693B99">
        <w:t xml:space="preserve">  A station “must cease operating on [its] pre-auction channel once such station begins operating on its post-auction channel or by the deadline specified in its construction permit for its post-auction channel, whichever occurs earlier…”</w:t>
      </w:r>
      <w:r w:rsidRPr="00693B99">
        <w:rPr>
          <w:vertAlign w:val="superscript"/>
        </w:rPr>
        <w:t xml:space="preserve"> </w:t>
      </w:r>
      <w:r w:rsidRPr="00693B99">
        <w:t xml:space="preserve"> 47 CFR § 73.3700(b)(4)(iii); </w:t>
      </w:r>
      <w:r w:rsidRPr="00693B99">
        <w:rPr>
          <w:i/>
        </w:rPr>
        <w:t>see also</w:t>
      </w:r>
      <w:r w:rsidRPr="00693B99">
        <w:t xml:space="preserve"> </w:t>
      </w:r>
      <w:r w:rsidRPr="00693B99">
        <w:rPr>
          <w:i/>
        </w:rPr>
        <w:t>Incentive Auction R&amp;O</w:t>
      </w:r>
      <w:r w:rsidRPr="00693B99">
        <w:t xml:space="preserve">, 29 FCC Rcd at 6797, para. 564.  We interpret “begins operating” to mean when the station begins providing a broadcast television service to the public on its post-auction channel, not simply testing equipment on that channel.  </w:t>
      </w:r>
      <w:r w:rsidRPr="00693B99">
        <w:rPr>
          <w:i/>
        </w:rPr>
        <w:t xml:space="preserve">See </w:t>
      </w:r>
      <w:r w:rsidRPr="00693B99">
        <w:t xml:space="preserve">47 CFR § 73.1740(a)(2)(iii) (“Visual transmissions of test patterns, slides, or still pictures accompanied by unrelated aural transmissions may not be counted in computing program service.”).  </w:t>
      </w:r>
    </w:p>
  </w:footnote>
  <w:footnote w:id="18">
    <w:p w14:paraId="690F9378" w14:textId="77777777" w:rsidR="004E6293" w:rsidRPr="00693B99" w:rsidRDefault="004E6293" w:rsidP="002257B8">
      <w:pPr>
        <w:pStyle w:val="FootnoteText"/>
      </w:pPr>
      <w:r w:rsidRPr="00693B99">
        <w:rPr>
          <w:rStyle w:val="FootnoteReference"/>
        </w:rPr>
        <w:footnoteRef/>
      </w:r>
      <w:r w:rsidRPr="00693B99">
        <w:t xml:space="preserve"> </w:t>
      </w:r>
      <w:r w:rsidRPr="00693B99">
        <w:rPr>
          <w:i/>
        </w:rPr>
        <w:t>Transition Scheduling Adoption Public Notice</w:t>
      </w:r>
      <w:r w:rsidRPr="00693B99">
        <w:t xml:space="preserve"> at 4, para. 7.</w:t>
      </w:r>
    </w:p>
  </w:footnote>
  <w:footnote w:id="19">
    <w:p w14:paraId="15995ADB" w14:textId="77777777" w:rsidR="004E6293" w:rsidRPr="00693B99" w:rsidRDefault="004E6293" w:rsidP="00AC04D9">
      <w:pPr>
        <w:pStyle w:val="FootnoteText"/>
      </w:pPr>
      <w:r w:rsidRPr="00693B99">
        <w:rPr>
          <w:rStyle w:val="FootnoteReference"/>
        </w:rPr>
        <w:footnoteRef/>
      </w:r>
      <w:r w:rsidRPr="00693B99">
        <w:t xml:space="preserve"> We note that some of the post auction transition-related deadlines set forth in the Commission’s rules, such as the deadline for filing an application for a construction permit for post-auction channel facilities, are referred to in months.  </w:t>
      </w:r>
      <w:r w:rsidRPr="00693B99">
        <w:rPr>
          <w:i/>
        </w:rPr>
        <w:t>See</w:t>
      </w:r>
      <w:r w:rsidRPr="00693B99">
        <w:t xml:space="preserve"> 47 CFR § 73.3700(b)(1).  For the sake of clarity and to provide greater ease of calculation, we will instead refer to such deadlines in days.  For example, a “3-month” deadline will be referred to as a “90-day” deadline.</w:t>
      </w:r>
    </w:p>
  </w:footnote>
  <w:footnote w:id="20">
    <w:p w14:paraId="373F4B7E" w14:textId="7113D95D" w:rsidR="004E6293" w:rsidRPr="00693B99" w:rsidRDefault="004E6293" w:rsidP="00C1003C">
      <w:pPr>
        <w:pStyle w:val="FootnoteText"/>
        <w:widowControl w:val="0"/>
      </w:pPr>
      <w:r w:rsidRPr="00693B99">
        <w:rPr>
          <w:rStyle w:val="FootnoteReference"/>
        </w:rPr>
        <w:footnoteRef/>
      </w:r>
      <w:r w:rsidRPr="00693B99">
        <w:t xml:space="preserve"> </w:t>
      </w:r>
      <w:r w:rsidRPr="00693B99">
        <w:rPr>
          <w:i/>
        </w:rPr>
        <w:t>Incentive Auction R&amp;O</w:t>
      </w:r>
      <w:r w:rsidRPr="00693B99">
        <w:t xml:space="preserve">, 29 FCC Rcd at 6796, para. 559; 47 CFR § 73.3700(b)(1)(i).  Stations that determine that they are unable to construct facilities that meet the technical parameters specified in the </w:t>
      </w:r>
      <w:r w:rsidRPr="00693B99">
        <w:rPr>
          <w:i/>
        </w:rPr>
        <w:t>Closing and Reassignment Public Notice</w:t>
      </w:r>
      <w:r w:rsidRPr="00693B99">
        <w:t>, or the contour coverage variance permitted by 47 CFR § 73.7300(b)(1)(ii) and</w:t>
      </w:r>
      <w:r w:rsidR="00C81FAF" w:rsidRPr="00693B99">
        <w:t xml:space="preserve"> </w:t>
      </w:r>
      <w:r w:rsidRPr="00693B99">
        <w:t xml:space="preserve">(iii), as well as stations otherwise unable to meet the 90-day construction permit filing deadline, may seek waiver of the filing deadline.  </w:t>
      </w:r>
      <w:r w:rsidRPr="00693B99">
        <w:rPr>
          <w:i/>
        </w:rPr>
        <w:t>See</w:t>
      </w:r>
      <w:r w:rsidRPr="00693B99">
        <w:t xml:space="preserve"> 47 CFR § 73.7300(b)(1)(ii), (iv)(A); </w:t>
      </w:r>
      <w:r w:rsidRPr="00693B99">
        <w:rPr>
          <w:i/>
        </w:rPr>
        <w:t>Incentive Auction R&amp;O</w:t>
      </w:r>
      <w:r w:rsidRPr="00693B99">
        <w:t>, 29 FCC Rcd at 6791, 6794 n.1571, para. 554.</w:t>
      </w:r>
    </w:p>
  </w:footnote>
  <w:footnote w:id="21">
    <w:p w14:paraId="123FE2A3" w14:textId="77777777" w:rsidR="004E6293" w:rsidRPr="00693B99" w:rsidRDefault="004E6293" w:rsidP="00C1003C">
      <w:pPr>
        <w:autoSpaceDE w:val="0"/>
        <w:autoSpaceDN w:val="0"/>
        <w:adjustRightInd w:val="0"/>
        <w:spacing w:after="120"/>
        <w:rPr>
          <w:rFonts w:eastAsia="TimesNewRoman"/>
          <w:sz w:val="20"/>
        </w:rPr>
      </w:pPr>
      <w:r w:rsidRPr="00693B99">
        <w:rPr>
          <w:rStyle w:val="FootnoteReference"/>
        </w:rPr>
        <w:footnoteRef/>
      </w:r>
      <w:r w:rsidRPr="00693B99">
        <w:rPr>
          <w:sz w:val="20"/>
        </w:rPr>
        <w:t xml:space="preserve"> </w:t>
      </w:r>
      <w:r w:rsidRPr="00693B99">
        <w:rPr>
          <w:i/>
          <w:sz w:val="20"/>
        </w:rPr>
        <w:t>See</w:t>
      </w:r>
      <w:r w:rsidRPr="00693B99">
        <w:rPr>
          <w:sz w:val="20"/>
        </w:rPr>
        <w:t xml:space="preserve"> Section III. B.; </w:t>
      </w:r>
      <w:r w:rsidRPr="00693B99">
        <w:rPr>
          <w:i/>
          <w:sz w:val="20"/>
        </w:rPr>
        <w:t>see also</w:t>
      </w:r>
      <w:r w:rsidRPr="00693B99">
        <w:rPr>
          <w:sz w:val="20"/>
        </w:rPr>
        <w:t xml:space="preserve"> 47 CFR § 73.3700(b)(1)(i), (iv), (vi). </w:t>
      </w:r>
    </w:p>
  </w:footnote>
  <w:footnote w:id="22">
    <w:p w14:paraId="37E65418" w14:textId="77777777" w:rsidR="004E6293" w:rsidRPr="00693B99" w:rsidRDefault="004E6293">
      <w:pPr>
        <w:pStyle w:val="FootnoteText"/>
      </w:pPr>
      <w:r w:rsidRPr="00693B99">
        <w:rPr>
          <w:rStyle w:val="FootnoteReference"/>
        </w:rPr>
        <w:footnoteRef/>
      </w:r>
      <w:r w:rsidRPr="00693B99">
        <w:t xml:space="preserve"> Additional information on the determination of the one percent loss is provided in Section III. B. 2.</w:t>
      </w:r>
    </w:p>
  </w:footnote>
  <w:footnote w:id="23">
    <w:p w14:paraId="1A34DE22" w14:textId="77777777" w:rsidR="004E6293" w:rsidRPr="00693B99" w:rsidRDefault="004E6293" w:rsidP="007E4252">
      <w:pPr>
        <w:pStyle w:val="FootnoteText"/>
      </w:pPr>
      <w:r w:rsidRPr="00693B99">
        <w:rPr>
          <w:rStyle w:val="FootnoteReference"/>
        </w:rPr>
        <w:footnoteRef/>
      </w:r>
      <w:r w:rsidRPr="00693B99">
        <w:t xml:space="preserve"> </w:t>
      </w:r>
      <w:r w:rsidRPr="00693B99">
        <w:rPr>
          <w:i/>
        </w:rPr>
        <w:t xml:space="preserve">See </w:t>
      </w:r>
      <w:r w:rsidRPr="00693B99">
        <w:t xml:space="preserve">47 U.S.C. § 1452(b)(4)(a).  The Spectrum Act defines an MVPD in the same manner as it is defined in section 602 of the Communications Act, 47 U.S.C. § 522.  </w:t>
      </w:r>
      <w:r w:rsidRPr="00693B99">
        <w:rPr>
          <w:i/>
        </w:rPr>
        <w:t>See</w:t>
      </w:r>
      <w:r w:rsidRPr="00693B99">
        <w:t xml:space="preserve"> Spectrum Act § 6001(19) (codified at 47 U.S.C. § 1401).  </w:t>
      </w:r>
      <w:r w:rsidRPr="00693B99">
        <w:rPr>
          <w:i/>
        </w:rPr>
        <w:t xml:space="preserve">See also </w:t>
      </w:r>
      <w:r w:rsidRPr="00693B99">
        <w:t>Spectrum Act § 6403(b)(4)(A)(i), (ii).</w:t>
      </w:r>
    </w:p>
  </w:footnote>
  <w:footnote w:id="24">
    <w:p w14:paraId="793A87C7" w14:textId="77777777" w:rsidR="004E6293" w:rsidRPr="00693B99" w:rsidRDefault="004E6293" w:rsidP="008B5FBF">
      <w:pPr>
        <w:pStyle w:val="FootnoteText"/>
        <w:rPr>
          <w:i/>
        </w:rPr>
      </w:pPr>
      <w:r w:rsidRPr="00693B99">
        <w:rPr>
          <w:rStyle w:val="FootnoteReference"/>
        </w:rPr>
        <w:footnoteRef/>
      </w:r>
      <w:r w:rsidRPr="00693B99">
        <w:t xml:space="preserve"> </w:t>
      </w:r>
      <w:r w:rsidRPr="00693B99">
        <w:rPr>
          <w:i/>
        </w:rPr>
        <w:t>See Incentive Auction R&amp;O</w:t>
      </w:r>
      <w:r w:rsidRPr="00693B99">
        <w:t xml:space="preserve">, 29 FCC Rcd at 6835-36, para. 659;  </w:t>
      </w:r>
      <w:r w:rsidRPr="00693B99">
        <w:rPr>
          <w:i/>
        </w:rPr>
        <w:t xml:space="preserve">see also Amendment of Parts 73 and 74 of the Commission’s Rules to Establish Rules for Digital Low Power Television and Television Translator Stations, </w:t>
      </w:r>
      <w:r w:rsidRPr="00693B99">
        <w:t>MB Docket No. 03-185, Third Report and Order and Fourth Notice of Proposed Rulemaking, 30 FCC Rcd 14927, 14946 (2015) (</w:t>
      </w:r>
      <w:r w:rsidRPr="00693B99">
        <w:rPr>
          <w:i/>
        </w:rPr>
        <w:t>LPTV DTV Third Report and Order</w:t>
      </w:r>
      <w:r w:rsidRPr="00693B99">
        <w:t>).</w:t>
      </w:r>
    </w:p>
  </w:footnote>
  <w:footnote w:id="25">
    <w:p w14:paraId="5577DDCB" w14:textId="77777777" w:rsidR="004E6293" w:rsidRPr="00693B99" w:rsidRDefault="004E6293" w:rsidP="008B5FBF">
      <w:pPr>
        <w:pStyle w:val="FootnoteText"/>
      </w:pPr>
      <w:r w:rsidRPr="00693B99">
        <w:rPr>
          <w:rStyle w:val="FootnoteReference"/>
        </w:rPr>
        <w:footnoteRef/>
      </w:r>
      <w:r w:rsidRPr="00693B99">
        <w:t xml:space="preserve"> </w:t>
      </w:r>
      <w:r w:rsidRPr="00693B99">
        <w:rPr>
          <w:i/>
        </w:rPr>
        <w:t>See LPTV DTV Third Report and Order</w:t>
      </w:r>
      <w:r w:rsidRPr="00693B99">
        <w:t xml:space="preserve">, 30 FCC Rcd at 14946, para. 41.  </w:t>
      </w:r>
    </w:p>
  </w:footnote>
  <w:footnote w:id="26">
    <w:p w14:paraId="7284A25D" w14:textId="77777777" w:rsidR="004E6293" w:rsidRPr="00693B99" w:rsidRDefault="004E6293">
      <w:pPr>
        <w:pStyle w:val="FootnoteText"/>
      </w:pPr>
      <w:r w:rsidRPr="00693B99">
        <w:rPr>
          <w:rStyle w:val="FootnoteReference"/>
        </w:rPr>
        <w:footnoteRef/>
      </w:r>
      <w:r w:rsidRPr="00693B99">
        <w:t xml:space="preserve"> </w:t>
      </w:r>
      <w:r w:rsidRPr="00693B99">
        <w:rPr>
          <w:i/>
        </w:rPr>
        <w:t>See Incentive Auction R&amp;O</w:t>
      </w:r>
      <w:r w:rsidRPr="00693B99">
        <w:t xml:space="preserve">, 29 FCC Rcd at 6790, para. 546; </w:t>
      </w:r>
      <w:r w:rsidRPr="00693B99">
        <w:rPr>
          <w:i/>
        </w:rPr>
        <w:t>see also</w:t>
      </w:r>
      <w:r w:rsidRPr="00693B99">
        <w:t xml:space="preserve"> 47 CFR § 73.3700(b)(1)(i).</w:t>
      </w:r>
    </w:p>
  </w:footnote>
  <w:footnote w:id="27">
    <w:p w14:paraId="6555C005" w14:textId="77777777" w:rsidR="004E6293" w:rsidRPr="00693B99" w:rsidRDefault="004E6293">
      <w:pPr>
        <w:pStyle w:val="FootnoteText"/>
      </w:pPr>
      <w:r w:rsidRPr="00693B99">
        <w:rPr>
          <w:rStyle w:val="FootnoteReference"/>
        </w:rPr>
        <w:footnoteRef/>
      </w:r>
      <w:r w:rsidRPr="00693B99">
        <w:t xml:space="preserve"> </w:t>
      </w:r>
      <w:r w:rsidRPr="00693B99">
        <w:rPr>
          <w:i/>
        </w:rPr>
        <w:t>Incentive Auction R&amp;O</w:t>
      </w:r>
      <w:r w:rsidRPr="00693B99">
        <w:t>, 29 FCC Rcd</w:t>
      </w:r>
      <w:r w:rsidRPr="00693B99">
        <w:rPr>
          <w:i/>
        </w:rPr>
        <w:t xml:space="preserve"> </w:t>
      </w:r>
      <w:r w:rsidRPr="00693B99">
        <w:t xml:space="preserve">at 6789, para. 544.  These applications will not be subject to the 30-day notice period set forth in the rules.  </w:t>
      </w:r>
      <w:r w:rsidRPr="00693B99">
        <w:rPr>
          <w:i/>
        </w:rPr>
        <w:t>See id</w:t>
      </w:r>
      <w:r w:rsidRPr="00693B99">
        <w:t xml:space="preserve">.  </w:t>
      </w:r>
      <w:r w:rsidRPr="00693B99">
        <w:rPr>
          <w:i/>
        </w:rPr>
        <w:t xml:space="preserve">See also </w:t>
      </w:r>
      <w:r w:rsidRPr="00693B99">
        <w:t>47 CFR §§ 73.3580, 73.3584.</w:t>
      </w:r>
    </w:p>
  </w:footnote>
  <w:footnote w:id="28">
    <w:p w14:paraId="25B471EF"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See Incentive Auction R&amp;O</w:t>
      </w:r>
      <w:r w:rsidRPr="00693B99">
        <w:t xml:space="preserve">, 29 FCC Rcd at 6790 n.1547.  Information on the Commission’s media application fees are contained in section 1.1114 of the rules.  </w:t>
      </w:r>
      <w:r w:rsidRPr="00693B99">
        <w:rPr>
          <w:i/>
        </w:rPr>
        <w:t xml:space="preserve">See </w:t>
      </w:r>
      <w:r w:rsidRPr="00693B99">
        <w:t xml:space="preserve">47 CFR § 1.1114.  Instructions for requesting exemption from fees are included in Appendix A.  </w:t>
      </w:r>
      <w:r w:rsidRPr="00693B99">
        <w:rPr>
          <w:i/>
        </w:rPr>
        <w:t xml:space="preserve">See </w:t>
      </w:r>
      <w:r w:rsidRPr="00693B99">
        <w:t>47 CFR § 1.1116(a).</w:t>
      </w:r>
    </w:p>
  </w:footnote>
  <w:footnote w:id="29">
    <w:p w14:paraId="1683A9CE" w14:textId="77777777" w:rsidR="004E6293" w:rsidRPr="00693B99" w:rsidRDefault="004E6293" w:rsidP="00965BFD">
      <w:pPr>
        <w:pStyle w:val="FootnoteText"/>
      </w:pPr>
      <w:r w:rsidRPr="00693B99">
        <w:rPr>
          <w:rStyle w:val="FootnoteReference"/>
        </w:rPr>
        <w:footnoteRef/>
      </w:r>
      <w:r w:rsidRPr="00693B99">
        <w:t xml:space="preserve"> Although they may not begin construction until they receive a grant of their application for construction permit, stations may continue the process of planning for construction of facilities on their post-auction channels.  Some preliminary planning activities include, but are not limited to:  retaining a technical or zoning specialist, conducting tower structural analysis, planning construction, installing new power lines, selecting equipment, and placing orders.  The Commission has found that these types of actions conducted in advance of the grant of a construction permit, do not constitute unauthorized construction.  </w:t>
      </w:r>
      <w:r w:rsidRPr="00693B99">
        <w:rPr>
          <w:i/>
        </w:rPr>
        <w:t>See Wendell &amp; Associates</w:t>
      </w:r>
      <w:r w:rsidRPr="00693B99">
        <w:t>, Memorandum Opinion and Order, 14 FCC Rcd 1671, 1679-80, para. 24 (1998).</w:t>
      </w:r>
    </w:p>
  </w:footnote>
  <w:footnote w:id="30">
    <w:p w14:paraId="5415FE5B" w14:textId="77777777" w:rsidR="004E6293" w:rsidRPr="00693B99" w:rsidRDefault="004E6293" w:rsidP="006B3708">
      <w:pPr>
        <w:pStyle w:val="FootnoteText"/>
      </w:pPr>
      <w:r w:rsidRPr="00693B99">
        <w:rPr>
          <w:rStyle w:val="FootnoteReference"/>
        </w:rPr>
        <w:footnoteRef/>
      </w:r>
      <w:r w:rsidRPr="00693B99">
        <w:rPr>
          <w:rStyle w:val="FootnoteReference"/>
        </w:rPr>
        <w:t xml:space="preserve"> </w:t>
      </w:r>
      <w:r w:rsidRPr="00693B99">
        <w:rPr>
          <w:i/>
        </w:rPr>
        <w:t>See</w:t>
      </w:r>
      <w:r w:rsidRPr="00693B99">
        <w:t xml:space="preserve"> </w:t>
      </w:r>
      <w:r w:rsidRPr="00693B99">
        <w:rPr>
          <w:i/>
        </w:rPr>
        <w:t>Incentive Auction R&amp;O</w:t>
      </w:r>
      <w:r w:rsidRPr="00693B99">
        <w:t xml:space="preserve">, 29 FCC Rcd at 6791-92, paras. 547-50. </w:t>
      </w:r>
      <w:r w:rsidRPr="00693B99">
        <w:rPr>
          <w:i/>
        </w:rPr>
        <w:t xml:space="preserve">See also </w:t>
      </w:r>
      <w:r w:rsidRPr="00693B99">
        <w:t>47 CFR § 73.3700(b)(1)(ii)-(iii).</w:t>
      </w:r>
      <w:r w:rsidRPr="00693B99">
        <w:rPr>
          <w:rStyle w:val="FootnoteReference"/>
        </w:rPr>
        <w:t xml:space="preserve"> </w:t>
      </w:r>
    </w:p>
  </w:footnote>
  <w:footnote w:id="31">
    <w:p w14:paraId="6ACBBD93"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See</w:t>
      </w:r>
      <w:r w:rsidRPr="00693B99">
        <w:t xml:space="preserve"> 47 CFR § 73.3700(b)(1)(ii)(A)-(C).  </w:t>
      </w:r>
      <w:r w:rsidRPr="00693B99">
        <w:rPr>
          <w:i/>
        </w:rPr>
        <w:t>See also Incentive Auction R&amp;O</w:t>
      </w:r>
      <w:r w:rsidRPr="00693B99">
        <w:t>, 29 FCC Rcd at 6791, para. 548.</w:t>
      </w:r>
    </w:p>
  </w:footnote>
  <w:footnote w:id="32">
    <w:p w14:paraId="2534AC69" w14:textId="77777777" w:rsidR="004E6293" w:rsidRPr="00693B99" w:rsidRDefault="004E6293" w:rsidP="006B3708">
      <w:pPr>
        <w:pStyle w:val="FootnoteText"/>
        <w:rPr>
          <w:i/>
        </w:rPr>
      </w:pPr>
      <w:r w:rsidRPr="00693B99">
        <w:rPr>
          <w:rStyle w:val="FootnoteReference"/>
        </w:rPr>
        <w:footnoteRef/>
      </w:r>
      <w:r w:rsidRPr="00693B99">
        <w:t xml:space="preserve"> </w:t>
      </w:r>
      <w:r w:rsidRPr="00693B99">
        <w:rPr>
          <w:i/>
        </w:rPr>
        <w:t>See Incentive Auction R&amp;O</w:t>
      </w:r>
      <w:r w:rsidRPr="00693B99">
        <w:t xml:space="preserve">, 29 FCC Rcd at 6792, para. 550.  Due to antenna pattern variations between bands, it is likely that some band changing stations will not be able to obtain an antenna that replicates the coverage area reflected in the </w:t>
      </w:r>
      <w:r w:rsidRPr="00693B99">
        <w:rPr>
          <w:i/>
        </w:rPr>
        <w:t>Closing and Reassignment Public Notice.  Id</w:t>
      </w:r>
      <w:r w:rsidRPr="00693B99">
        <w:t>.</w:t>
      </w:r>
    </w:p>
  </w:footnote>
  <w:footnote w:id="33">
    <w:p w14:paraId="70C7034C"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See</w:t>
      </w:r>
      <w:r w:rsidRPr="00693B99">
        <w:t xml:space="preserve"> 47 CFR § 73.3700(b)(1)(v)(A)-(C).  </w:t>
      </w:r>
      <w:r w:rsidRPr="00693B99">
        <w:rPr>
          <w:i/>
        </w:rPr>
        <w:t>See also</w:t>
      </w:r>
      <w:r w:rsidRPr="00693B99">
        <w:t xml:space="preserve"> </w:t>
      </w:r>
      <w:r w:rsidRPr="00693B99">
        <w:rPr>
          <w:i/>
        </w:rPr>
        <w:t>Incentive Auction R&amp;O</w:t>
      </w:r>
      <w:r w:rsidRPr="00693B99">
        <w:t>, 29 FCC Rcd at 6792, para. 551.</w:t>
      </w:r>
    </w:p>
  </w:footnote>
  <w:footnote w:id="34">
    <w:p w14:paraId="1DD65B92" w14:textId="2186C7B0" w:rsidR="004E6293" w:rsidRPr="00693B99" w:rsidRDefault="004E6293" w:rsidP="006B3708">
      <w:pPr>
        <w:pStyle w:val="FootnoteText"/>
      </w:pPr>
      <w:r w:rsidRPr="00693B99">
        <w:rPr>
          <w:rStyle w:val="FootnoteReference"/>
        </w:rPr>
        <w:footnoteRef/>
      </w:r>
      <w:r w:rsidRPr="00693B99">
        <w:t xml:space="preserve"> </w:t>
      </w:r>
      <w:r w:rsidRPr="00693B99">
        <w:rPr>
          <w:i/>
        </w:rPr>
        <w:t>Incentive Auction R&amp;O</w:t>
      </w:r>
      <w:r w:rsidRPr="00693B99">
        <w:t>, 29 FCC Rcd at 6792, para. 551. Applications filed during the initial 90-day window that do not qualify as “checklist applications” but are complete and acceptable for filing may take longer for processing.</w:t>
      </w:r>
    </w:p>
  </w:footnote>
  <w:footnote w:id="35">
    <w:p w14:paraId="4383A550" w14:textId="77777777" w:rsidR="004E6293" w:rsidRPr="00693B99" w:rsidRDefault="004E6293" w:rsidP="006B3708">
      <w:pPr>
        <w:pStyle w:val="FootnoteText"/>
      </w:pPr>
      <w:r w:rsidRPr="00693B99">
        <w:rPr>
          <w:rStyle w:val="FootnoteReference"/>
        </w:rPr>
        <w:footnoteRef/>
      </w:r>
      <w:r w:rsidRPr="00693B99">
        <w:t xml:space="preserve"> Instructions on filing an amendment to a pending application via LMS are contained in Appendix A.  </w:t>
      </w:r>
      <w:r w:rsidRPr="00693B99">
        <w:rPr>
          <w:i/>
        </w:rPr>
        <w:t xml:space="preserve">See also </w:t>
      </w:r>
      <w:r w:rsidRPr="00693B99">
        <w:t>47 CFR § 73.3564(a)(1).</w:t>
      </w:r>
    </w:p>
  </w:footnote>
  <w:footnote w:id="36">
    <w:p w14:paraId="2C69CD86"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See</w:t>
      </w:r>
      <w:r w:rsidRPr="00693B99">
        <w:t xml:space="preserve"> 47 CFR §§ 73.3566, 73.3568.</w:t>
      </w:r>
    </w:p>
  </w:footnote>
  <w:footnote w:id="37">
    <w:p w14:paraId="71FE50E3" w14:textId="77777777" w:rsidR="004E6293" w:rsidRPr="00693B99" w:rsidRDefault="004E6293">
      <w:pPr>
        <w:pStyle w:val="FootnoteText"/>
      </w:pPr>
      <w:r w:rsidRPr="00693B99">
        <w:rPr>
          <w:rStyle w:val="FootnoteReference"/>
        </w:rPr>
        <w:footnoteRef/>
      </w:r>
      <w:r w:rsidRPr="00693B99">
        <w:t xml:space="preserve"> Stations that anticipate being unable to timely file their initial applications for construction permits for other reasons may seek a waiver at any point prior to the 90-day deadline.  Waivers must be filed as a request for legal STA via LMS pursuant to the instructions contained in Appendix A and include a showing pursuant to the “good cause shown” standard in Section 1.3 of the Commission’s Rules.  </w:t>
      </w:r>
      <w:r w:rsidRPr="00693B99">
        <w:rPr>
          <w:i/>
        </w:rPr>
        <w:t>See</w:t>
      </w:r>
      <w:r w:rsidRPr="00693B99">
        <w:t xml:space="preserve"> 47 CFR § 1.3.  The Commission may exercise its discretion to waive a rule where the particular facts make strict compliance inconsistent with the public interest.  </w:t>
      </w:r>
      <w:r w:rsidRPr="00693B99">
        <w:rPr>
          <w:i/>
        </w:rPr>
        <w:t>See Northeast Cellular Telephone Co. v. FCC</w:t>
      </w:r>
      <w:r w:rsidRPr="00693B99">
        <w:t>, 897 F.2d 1164, 1166 (D.C. Cir. 1990) (</w:t>
      </w:r>
      <w:r w:rsidRPr="00693B99">
        <w:rPr>
          <w:i/>
        </w:rPr>
        <w:t>Northeast Cellular</w:t>
      </w:r>
      <w:r w:rsidRPr="00693B99">
        <w:t xml:space="preserve">).  In addition, the Commission may take into account considerations of hardship, equity, or more effective implementation of overall policy on an individual basis.  </w:t>
      </w:r>
      <w:r w:rsidRPr="00693B99">
        <w:rPr>
          <w:i/>
        </w:rPr>
        <w:t>See WAIT Radio v. FCC</w:t>
      </w:r>
      <w:r w:rsidRPr="00693B99">
        <w:t xml:space="preserve">, 418 F.2d 1153, 1159 (D.C. Cir. 1969); </w:t>
      </w:r>
      <w:r w:rsidRPr="00693B99">
        <w:rPr>
          <w:i/>
        </w:rPr>
        <w:t>Northeast Cellular</w:t>
      </w:r>
      <w:r w:rsidRPr="00693B99">
        <w:t xml:space="preserve">, 897 F.2d at 1166.  Waiver of the Commission’s rules is appropriate only if both (i) special circumstances warrant a deviation from the general rule, and (ii) such deviation will serve the public interest. </w:t>
      </w:r>
      <w:r w:rsidRPr="00693B99">
        <w:rPr>
          <w:i/>
        </w:rPr>
        <w:t xml:space="preserve">See id.  </w:t>
      </w:r>
      <w:r w:rsidRPr="00693B99">
        <w:t>Given the tight transition time frames, we do not anticipate granting a waiver of this deadline to stations, other than those in the “unable to construct” category, absent a showing that the licensee was unable to meet the filling deadline due to rare and exceptional circumstances.</w:t>
      </w:r>
    </w:p>
  </w:footnote>
  <w:footnote w:id="38">
    <w:p w14:paraId="4472120B" w14:textId="77777777" w:rsidR="004E6293" w:rsidRPr="00693B99" w:rsidRDefault="004E6293" w:rsidP="003E1E83">
      <w:pPr>
        <w:pStyle w:val="FootnoteText"/>
      </w:pPr>
      <w:r w:rsidRPr="00693B99">
        <w:rPr>
          <w:rStyle w:val="FootnoteReference"/>
        </w:rPr>
        <w:footnoteRef/>
      </w:r>
      <w:r w:rsidRPr="00693B99">
        <w:t xml:space="preserve"> </w:t>
      </w:r>
      <w:r w:rsidRPr="00693B99">
        <w:rPr>
          <w:i/>
        </w:rPr>
        <w:t>Incentive Auction R&amp;O</w:t>
      </w:r>
      <w:r w:rsidRPr="00693B99">
        <w:t>, 29 FCC Rcd at 6791, para. 546.</w:t>
      </w:r>
    </w:p>
  </w:footnote>
  <w:footnote w:id="39">
    <w:p w14:paraId="672B1A51" w14:textId="4AA76B00" w:rsidR="004E6293" w:rsidRPr="00693B99" w:rsidRDefault="004E6293" w:rsidP="00C546FF">
      <w:pPr>
        <w:pStyle w:val="FootnoteText"/>
      </w:pPr>
      <w:r w:rsidRPr="00693B99">
        <w:rPr>
          <w:rStyle w:val="FootnoteReference"/>
        </w:rPr>
        <w:footnoteRef/>
      </w:r>
      <w:r w:rsidRPr="00693B99">
        <w:t xml:space="preserve"> As the Commission explained previously, the fact that a station intends to file for an alternate channel or expanded facility does not constitute “good cause” for a waiver of the filing deadline.</w:t>
      </w:r>
      <w:r w:rsidRPr="00693B99">
        <w:rPr>
          <w:i/>
        </w:rPr>
        <w:t xml:space="preserve">  Id. </w:t>
      </w:r>
      <w:r w:rsidRPr="00693B99">
        <w:t>at 6761 n.1551.</w:t>
      </w:r>
    </w:p>
  </w:footnote>
  <w:footnote w:id="40">
    <w:p w14:paraId="7B9D8BF6" w14:textId="77777777" w:rsidR="004E6293" w:rsidRPr="00693B99" w:rsidRDefault="004E6293" w:rsidP="003E1E83">
      <w:pPr>
        <w:pStyle w:val="FootnoteText"/>
      </w:pPr>
      <w:r w:rsidRPr="00693B99">
        <w:rPr>
          <w:rStyle w:val="FootnoteReference"/>
        </w:rPr>
        <w:footnoteRef/>
      </w:r>
      <w:r w:rsidRPr="00693B99">
        <w:t xml:space="preserve"> </w:t>
      </w:r>
      <w:r w:rsidRPr="00693B99">
        <w:rPr>
          <w:i/>
        </w:rPr>
        <w:t xml:space="preserve">Id. </w:t>
      </w:r>
      <w:r w:rsidRPr="00693B99">
        <w:t>at 6794, para. 554.</w:t>
      </w:r>
    </w:p>
  </w:footnote>
  <w:footnote w:id="41">
    <w:p w14:paraId="660F43D7" w14:textId="77777777" w:rsidR="004E6293" w:rsidRPr="00693B99" w:rsidRDefault="004E6293" w:rsidP="003E1E83">
      <w:pPr>
        <w:pStyle w:val="FootnoteText"/>
      </w:pPr>
      <w:r w:rsidRPr="00693B99">
        <w:rPr>
          <w:rStyle w:val="FootnoteReference"/>
        </w:rPr>
        <w:footnoteRef/>
      </w:r>
      <w:r w:rsidRPr="00693B99">
        <w:t xml:space="preserve"> </w:t>
      </w:r>
      <w:r w:rsidRPr="00693B99">
        <w:rPr>
          <w:i/>
        </w:rPr>
        <w:t>Id</w:t>
      </w:r>
      <w:r w:rsidRPr="00693B99">
        <w:t>. at 6794 n.1571.</w:t>
      </w:r>
    </w:p>
  </w:footnote>
  <w:footnote w:id="42">
    <w:p w14:paraId="72AA8976" w14:textId="77777777" w:rsidR="004E6293" w:rsidRPr="00693B99" w:rsidRDefault="004E6293" w:rsidP="003E1E83">
      <w:pPr>
        <w:pStyle w:val="FootnoteText"/>
      </w:pPr>
      <w:r w:rsidRPr="00693B99">
        <w:rPr>
          <w:rStyle w:val="FootnoteReference"/>
        </w:rPr>
        <w:footnoteRef/>
      </w:r>
      <w:r w:rsidRPr="00693B99">
        <w:t xml:space="preserve"> </w:t>
      </w:r>
      <w:r w:rsidRPr="00693B99">
        <w:rPr>
          <w:i/>
        </w:rPr>
        <w:t>See</w:t>
      </w:r>
      <w:r w:rsidRPr="00693B99">
        <w:t xml:space="preserve"> Section III. B.; </w:t>
      </w:r>
      <w:r w:rsidRPr="00693B99">
        <w:rPr>
          <w:i/>
        </w:rPr>
        <w:t>see also Incentive Auction R&amp;O,</w:t>
      </w:r>
      <w:r w:rsidRPr="00693B99">
        <w:t xml:space="preserve"> 29 FCC Rcd at 6794, para. 554; 47 CFR § 73.3700(b)(iv)(A).  A station in the “unable to construct” category that is granted additional time to file its construction permit application will also be granted additional time to submit a reimbursement form detailing its estimated relocation costs (FCC Form 2100 – Schedule 399).  </w:t>
      </w:r>
      <w:r w:rsidRPr="00693B99">
        <w:rPr>
          <w:i/>
        </w:rPr>
        <w:t xml:space="preserve">See </w:t>
      </w:r>
      <w:r w:rsidRPr="00693B99">
        <w:t xml:space="preserve">Section VI.  The reimbursement form will be due within 30 days of receiving a construction permit for an alternate channel or expanded facilities.  </w:t>
      </w:r>
      <w:r w:rsidRPr="00693B99">
        <w:rPr>
          <w:i/>
        </w:rPr>
        <w:t>See Incentive Auction R&amp;O</w:t>
      </w:r>
      <w:r w:rsidRPr="00693B99">
        <w:t>, 29 FCC Rcd at 6823 n.1754.</w:t>
      </w:r>
    </w:p>
  </w:footnote>
  <w:footnote w:id="43">
    <w:p w14:paraId="13686576" w14:textId="77777777" w:rsidR="004E6293" w:rsidRPr="00693B99" w:rsidRDefault="004E6293" w:rsidP="003E1E83">
      <w:pPr>
        <w:pStyle w:val="FootnoteText"/>
      </w:pPr>
      <w:r w:rsidRPr="00693B99">
        <w:rPr>
          <w:rStyle w:val="FootnoteReference"/>
        </w:rPr>
        <w:footnoteRef/>
      </w:r>
      <w:r w:rsidRPr="00693B99">
        <w:t xml:space="preserve"> </w:t>
      </w:r>
      <w:r w:rsidRPr="00693B99">
        <w:rPr>
          <w:i/>
        </w:rPr>
        <w:t>See Incentive Auction R&amp;O</w:t>
      </w:r>
      <w:r w:rsidRPr="00693B99">
        <w:t>, 29 FCC Rcd at 6791 n.1551.</w:t>
      </w:r>
    </w:p>
  </w:footnote>
  <w:footnote w:id="44">
    <w:p w14:paraId="2709216E" w14:textId="77777777" w:rsidR="004E6293" w:rsidRPr="00693B99" w:rsidRDefault="004E6293" w:rsidP="00CA6D21">
      <w:pPr>
        <w:pStyle w:val="FootnoteText"/>
      </w:pPr>
      <w:r w:rsidRPr="00693B99">
        <w:rPr>
          <w:rStyle w:val="FootnoteReference"/>
        </w:rPr>
        <w:footnoteRef/>
      </w:r>
      <w:r w:rsidRPr="00693B99">
        <w:t xml:space="preserve"> 47 CFR § 73.3700(b)(1)(iv)(A)-(B).</w:t>
      </w:r>
    </w:p>
  </w:footnote>
  <w:footnote w:id="45">
    <w:p w14:paraId="24545054" w14:textId="77777777" w:rsidR="004E6293" w:rsidRPr="00693B99" w:rsidRDefault="004E6293" w:rsidP="009D7FFC">
      <w:pPr>
        <w:pStyle w:val="FootnoteText"/>
      </w:pPr>
      <w:r w:rsidRPr="00693B99">
        <w:rPr>
          <w:rStyle w:val="FootnoteReference"/>
        </w:rPr>
        <w:footnoteRef/>
      </w:r>
      <w:r w:rsidRPr="00693B99">
        <w:t xml:space="preserve"> </w:t>
      </w:r>
      <w:r w:rsidRPr="00693B99">
        <w:rPr>
          <w:i/>
        </w:rPr>
        <w:t>See</w:t>
      </w:r>
      <w:r w:rsidRPr="00693B99">
        <w:t xml:space="preserve"> 47 CFR §§ 73.3572(a)(1)–(3), 74.787(b).  As minor change applications, they will not be subject to the local public notice requirements or the 30-day notice period for the filing of petitions to deny.  47 CFR §§ 73.3580(a)(1), 73.3584(a).</w:t>
      </w:r>
    </w:p>
  </w:footnote>
  <w:footnote w:id="46">
    <w:p w14:paraId="519A7869" w14:textId="77777777" w:rsidR="004E6293" w:rsidRPr="00693B99" w:rsidRDefault="004E6293" w:rsidP="0069658A">
      <w:pPr>
        <w:pStyle w:val="FootnoteText"/>
      </w:pPr>
      <w:r w:rsidRPr="00693B99">
        <w:rPr>
          <w:rStyle w:val="FootnoteReference"/>
        </w:rPr>
        <w:footnoteRef/>
      </w:r>
      <w:r w:rsidRPr="00693B99">
        <w:t xml:space="preserve"> </w:t>
      </w:r>
      <w:r w:rsidRPr="00693B99">
        <w:rPr>
          <w:i/>
        </w:rPr>
        <w:t>Incentive Auction R&amp;O</w:t>
      </w:r>
      <w:r w:rsidRPr="00693B99">
        <w:t>, 29 FCC Rcd at 6793 n.1569.</w:t>
      </w:r>
    </w:p>
  </w:footnote>
  <w:footnote w:id="47">
    <w:p w14:paraId="2E0A4271" w14:textId="77777777" w:rsidR="004E6293" w:rsidRPr="00693B99" w:rsidRDefault="004E6293" w:rsidP="001E04C5">
      <w:pPr>
        <w:pStyle w:val="FootnoteText"/>
      </w:pPr>
      <w:r w:rsidRPr="00693B99">
        <w:rPr>
          <w:rStyle w:val="FootnoteReference"/>
        </w:rPr>
        <w:footnoteRef/>
      </w:r>
      <w:r w:rsidRPr="00693B99">
        <w:t xml:space="preserve"> 47 CFR § 73.3580(a)(1).</w:t>
      </w:r>
    </w:p>
  </w:footnote>
  <w:footnote w:id="48">
    <w:p w14:paraId="5AA3AAE9" w14:textId="77777777" w:rsidR="004E6293" w:rsidRPr="00693B99" w:rsidRDefault="004E6293" w:rsidP="001E04C5">
      <w:pPr>
        <w:pStyle w:val="FootnoteText"/>
      </w:pPr>
      <w:r w:rsidRPr="00693B99">
        <w:rPr>
          <w:rStyle w:val="FootnoteReference"/>
        </w:rPr>
        <w:footnoteRef/>
      </w:r>
      <w:r w:rsidRPr="00693B99">
        <w:t xml:space="preserve"> 47 CFR § 73.3584(a); </w:t>
      </w:r>
      <w:r w:rsidRPr="00693B99">
        <w:rPr>
          <w:i/>
        </w:rPr>
        <w:t>see also</w:t>
      </w:r>
      <w:r w:rsidRPr="00693B99">
        <w:t xml:space="preserve"> </w:t>
      </w:r>
      <w:r w:rsidRPr="00693B99">
        <w:rPr>
          <w:i/>
        </w:rPr>
        <w:t>Incentive Auction R&amp;O</w:t>
      </w:r>
      <w:r w:rsidRPr="00693B99">
        <w:t>, 29 FCC Rcd at 6794, para. 555 (</w:t>
      </w:r>
      <w:r w:rsidRPr="00693B99">
        <w:rPr>
          <w:i/>
        </w:rPr>
        <w:t xml:space="preserve">citing </w:t>
      </w:r>
      <w:r w:rsidRPr="00693B99">
        <w:t>47 CFR</w:t>
      </w:r>
      <w:r w:rsidRPr="00693B99">
        <w:tab/>
      </w:r>
      <w:r w:rsidRPr="00693B99">
        <w:tab/>
        <w:t xml:space="preserve"> §§ 73.3572(a)(1)-(2), 74.787(b)).  As determined in the </w:t>
      </w:r>
      <w:r w:rsidRPr="00693B99">
        <w:rPr>
          <w:i/>
        </w:rPr>
        <w:t>Incentive Auction R&amp;O</w:t>
      </w:r>
      <w:r w:rsidRPr="00693B99">
        <w:t>, alternate channel requests filed in these windows will not be subject to the current two-step rulemaking process for new channel allotments.  29 FCC Rcd at 6794 n.1575.</w:t>
      </w:r>
    </w:p>
  </w:footnote>
  <w:footnote w:id="49">
    <w:p w14:paraId="53E09FE2" w14:textId="13C0C475" w:rsidR="004E6293" w:rsidRPr="00693B99" w:rsidRDefault="004E6293" w:rsidP="0069658A">
      <w:pPr>
        <w:pStyle w:val="FootnoteText"/>
      </w:pPr>
      <w:r w:rsidRPr="00693B99">
        <w:rPr>
          <w:rStyle w:val="FootnoteReference"/>
        </w:rPr>
        <w:footnoteRef/>
      </w:r>
      <w:r w:rsidRPr="00693B99">
        <w:t xml:space="preserve">  For example, a UHF station that won its bid to move to a high VHF channel may request only an alternate high VHF channel; a UHF station that won its bid to move to a low VHF channel may request only an alternate low VHF channel; and a high VHF station that won its bid to move to a low VHF channel may propose only an alternate low VHF channel.  47 CFR § 73.3700(b)(2)(i)(A)-(C).</w:t>
      </w:r>
    </w:p>
  </w:footnote>
  <w:footnote w:id="50">
    <w:p w14:paraId="6B6288E0" w14:textId="77777777" w:rsidR="004E6293" w:rsidRPr="00693B99" w:rsidRDefault="004E6293" w:rsidP="0069658A">
      <w:pPr>
        <w:pStyle w:val="FootnoteText"/>
      </w:pPr>
      <w:r w:rsidRPr="00693B99">
        <w:rPr>
          <w:rStyle w:val="FootnoteReference"/>
        </w:rPr>
        <w:footnoteRef/>
      </w:r>
      <w:r w:rsidRPr="00693B99">
        <w:t xml:space="preserve"> </w:t>
      </w:r>
      <w:r w:rsidRPr="00693B99">
        <w:rPr>
          <w:i/>
        </w:rPr>
        <w:t>Incentive Auction R&amp;O</w:t>
      </w:r>
      <w:r w:rsidRPr="00693B99">
        <w:t>, 29 FCC Rcd at 6795, para. 556 (stating that the staff will open the window after it substantially completes its processing of initial minor change construction permits).</w:t>
      </w:r>
    </w:p>
  </w:footnote>
  <w:footnote w:id="51">
    <w:p w14:paraId="3E29E92B" w14:textId="77777777" w:rsidR="004E6293" w:rsidRPr="00693B99" w:rsidRDefault="004E6293">
      <w:pPr>
        <w:pStyle w:val="FootnoteText"/>
      </w:pPr>
      <w:r w:rsidRPr="00693B99">
        <w:rPr>
          <w:rStyle w:val="FootnoteReference"/>
        </w:rPr>
        <w:footnoteRef/>
      </w:r>
      <w:r w:rsidRPr="00693B99">
        <w:t xml:space="preserve"> </w:t>
      </w:r>
      <w:r w:rsidRPr="00693B99">
        <w:rPr>
          <w:i/>
        </w:rPr>
        <w:t>See Media Bureau Announces Limitations on the Filing and Processing of Full Power and Class A Television Station Modification Applications, Effective Immediately, and Reminds Stations of Spectrum Act Preservation Mandate</w:t>
      </w:r>
      <w:r w:rsidRPr="00693B99">
        <w:t>, Public Notice, 28 FCC Rcd 4364 (MB 2013) (</w:t>
      </w:r>
      <w:r w:rsidRPr="00693B99">
        <w:rPr>
          <w:i/>
        </w:rPr>
        <w:t>2013 Freeze PN</w:t>
      </w:r>
      <w:r w:rsidRPr="00693B99">
        <w:t>).</w:t>
      </w:r>
    </w:p>
  </w:footnote>
  <w:footnote w:id="52">
    <w:p w14:paraId="68E2F0C2" w14:textId="653D6DBB" w:rsidR="004E6293" w:rsidRPr="00693B99" w:rsidRDefault="004E6293" w:rsidP="002950F9">
      <w:pPr>
        <w:pStyle w:val="FootnoteText"/>
        <w:rPr>
          <w:i/>
        </w:rPr>
      </w:pPr>
      <w:r w:rsidRPr="00693B99">
        <w:rPr>
          <w:rStyle w:val="FootnoteReference"/>
        </w:rPr>
        <w:footnoteRef/>
      </w:r>
      <w:r w:rsidRPr="00693B99">
        <w:t xml:space="preserve"> </w:t>
      </w:r>
      <w:r w:rsidRPr="00693B99">
        <w:rPr>
          <w:i/>
        </w:rPr>
        <w:t>Incentive Auction R&amp;O,</w:t>
      </w:r>
      <w:r w:rsidRPr="00693B99">
        <w:t xml:space="preserve"> 29 FCC Rcd at 6794 n.1573 (</w:t>
      </w:r>
      <w:r w:rsidRPr="00693B99">
        <w:rPr>
          <w:i/>
        </w:rPr>
        <w:t xml:space="preserve">citing Commission Lifts Freeze on Filing of Maximization Applications and Petitions for Digital Channel Substitutions, Effective Immediately, </w:t>
      </w:r>
      <w:r w:rsidRPr="00693B99">
        <w:t>Public Notice, 23 FCC Rcd 8330 (2008)).</w:t>
      </w:r>
    </w:p>
  </w:footnote>
  <w:footnote w:id="53">
    <w:p w14:paraId="653B3005" w14:textId="77777777" w:rsidR="004E6293" w:rsidRPr="00693B99" w:rsidRDefault="004E6293" w:rsidP="0069658A">
      <w:pPr>
        <w:pStyle w:val="FootnoteText"/>
      </w:pPr>
      <w:r w:rsidRPr="00693B99">
        <w:rPr>
          <w:rStyle w:val="FootnoteReference"/>
        </w:rPr>
        <w:footnoteRef/>
      </w:r>
      <w:r w:rsidRPr="00693B99">
        <w:t xml:space="preserve"> </w:t>
      </w:r>
      <w:r w:rsidRPr="00693B99">
        <w:rPr>
          <w:i/>
        </w:rPr>
        <w:t>See</w:t>
      </w:r>
      <w:r w:rsidRPr="00693B99">
        <w:t xml:space="preserve"> Section III.B; </w:t>
      </w:r>
      <w:r w:rsidRPr="00693B99">
        <w:rPr>
          <w:i/>
        </w:rPr>
        <w:t xml:space="preserve">see also </w:t>
      </w:r>
      <w:r w:rsidRPr="00693B99">
        <w:t>47 CFR § 73.3700(b)(1)(iv).</w:t>
      </w:r>
    </w:p>
  </w:footnote>
  <w:footnote w:id="54">
    <w:p w14:paraId="2AAE1F16" w14:textId="77777777" w:rsidR="004E6293" w:rsidRPr="00693B99" w:rsidRDefault="004E6293" w:rsidP="0069658A">
      <w:pPr>
        <w:pStyle w:val="FootnoteText"/>
      </w:pPr>
      <w:r w:rsidRPr="00693B99">
        <w:rPr>
          <w:rStyle w:val="FootnoteReference"/>
        </w:rPr>
        <w:footnoteRef/>
      </w:r>
      <w:r w:rsidRPr="00693B99">
        <w:t xml:space="preserve"> </w:t>
      </w:r>
      <w:r w:rsidRPr="00693B99">
        <w:rPr>
          <w:i/>
        </w:rPr>
        <w:t>Incentive Auction R&amp;O</w:t>
      </w:r>
      <w:r w:rsidRPr="00693B99">
        <w:t>, 29 FCC Rcd at 6794, para. 555.</w:t>
      </w:r>
    </w:p>
  </w:footnote>
  <w:footnote w:id="55">
    <w:p w14:paraId="74EB5EB7" w14:textId="77777777" w:rsidR="004E6293" w:rsidRPr="00693B99" w:rsidRDefault="004E6293" w:rsidP="0069658A">
      <w:pPr>
        <w:pStyle w:val="FootnoteText"/>
      </w:pPr>
      <w:r w:rsidRPr="00693B99">
        <w:rPr>
          <w:rStyle w:val="FootnoteReference"/>
        </w:rPr>
        <w:footnoteRef/>
      </w:r>
      <w:r w:rsidRPr="00693B99">
        <w:t xml:space="preserve"> </w:t>
      </w:r>
      <w:r w:rsidRPr="00693B99">
        <w:rPr>
          <w:i/>
        </w:rPr>
        <w:t>Id.</w:t>
      </w:r>
      <w:r w:rsidRPr="00693B99">
        <w:t xml:space="preserve"> at 6794 n.1574.</w:t>
      </w:r>
    </w:p>
  </w:footnote>
  <w:footnote w:id="56">
    <w:p w14:paraId="049D7684" w14:textId="00A785BD" w:rsidR="004E6293" w:rsidRPr="00693B99" w:rsidRDefault="004E6293" w:rsidP="0069658A">
      <w:pPr>
        <w:pStyle w:val="FootnoteText"/>
      </w:pPr>
      <w:r w:rsidRPr="00693B99">
        <w:rPr>
          <w:rStyle w:val="FootnoteReference"/>
        </w:rPr>
        <w:footnoteRef/>
      </w:r>
      <w:r w:rsidRPr="00693B99">
        <w:t xml:space="preserve"> </w:t>
      </w:r>
      <w:r w:rsidRPr="00693B99">
        <w:rPr>
          <w:i/>
        </w:rPr>
        <w:t xml:space="preserve">See </w:t>
      </w:r>
      <w:r w:rsidRPr="00693B99">
        <w:t>47 CFR § 73.3700(b)(1)(iv)(B);</w:t>
      </w:r>
      <w:r w:rsidRPr="00693B99">
        <w:rPr>
          <w:i/>
        </w:rPr>
        <w:t xml:space="preserve"> see also Second Report and Order</w:t>
      </w:r>
      <w:r w:rsidRPr="00693B99">
        <w:t>,</w:t>
      </w:r>
      <w:r w:rsidRPr="00693B99">
        <w:rPr>
          <w:i/>
        </w:rPr>
        <w:t xml:space="preserve"> </w:t>
      </w:r>
      <w:r w:rsidRPr="00693B99">
        <w:t xml:space="preserve">29 FCC Rcd  at 13079-80, para. 15; </w:t>
      </w:r>
      <w:r w:rsidRPr="00693B99">
        <w:rPr>
          <w:i/>
        </w:rPr>
        <w:t>Third Report and Order</w:t>
      </w:r>
      <w:r w:rsidRPr="00693B99">
        <w:t>, 30 FCC Rcd at 12049, 12087-88, para. 86.  A</w:t>
      </w:r>
      <w:r w:rsidRPr="00693B99" w:rsidDel="00F77A20">
        <w:t xml:space="preserve">lthough allowed to file in the first </w:t>
      </w:r>
      <w:r w:rsidRPr="00693B99">
        <w:t xml:space="preserve">priority </w:t>
      </w:r>
      <w:r w:rsidRPr="00693B99" w:rsidDel="00F77A20">
        <w:t xml:space="preserve">window, </w:t>
      </w:r>
      <w:r w:rsidRPr="00693B99">
        <w:t>a reassigned</w:t>
      </w:r>
      <w:r w:rsidRPr="00693B99" w:rsidDel="00F77A20">
        <w:t xml:space="preserve"> station</w:t>
      </w:r>
      <w:r w:rsidRPr="00693B99">
        <w:t xml:space="preserve"> or a band changing station that is predicted to experience a loss of population</w:t>
      </w:r>
      <w:r w:rsidRPr="00693B99" w:rsidDel="00F77A20">
        <w:t xml:space="preserve"> </w:t>
      </w:r>
      <w:r w:rsidRPr="00693B99">
        <w:t xml:space="preserve">served in excess of one percent </w:t>
      </w:r>
      <w:r w:rsidRPr="00693B99" w:rsidDel="00F77A20">
        <w:t xml:space="preserve">must have first filed an application during the </w:t>
      </w:r>
      <w:r w:rsidRPr="00693B99">
        <w:t>90-day</w:t>
      </w:r>
      <w:r w:rsidRPr="00693B99" w:rsidDel="00F77A20">
        <w:t xml:space="preserve"> construction permit application filing period.  Stations would then file a second application (or amendment to the first application if not yet granted) during the first </w:t>
      </w:r>
      <w:r w:rsidRPr="00693B99">
        <w:t xml:space="preserve">priority </w:t>
      </w:r>
      <w:r w:rsidRPr="00693B99" w:rsidDel="00F77A20">
        <w:t>window to modify the facilities specified in the first application.</w:t>
      </w:r>
      <w:r w:rsidRPr="00693B99">
        <w:t xml:space="preserve">  Further, reassigned stations must file their cost reimbursement form by the 90-day deadline.  In addition, we note that applications for an alternate channel will be considered an application for major change.</w:t>
      </w:r>
    </w:p>
  </w:footnote>
  <w:footnote w:id="57">
    <w:p w14:paraId="27D845F3" w14:textId="35C25F3B" w:rsidR="004E6293" w:rsidRPr="00693B99" w:rsidRDefault="004E6293" w:rsidP="006E1A30">
      <w:pPr>
        <w:widowControl/>
        <w:autoSpaceDE w:val="0"/>
        <w:autoSpaceDN w:val="0"/>
        <w:adjustRightInd w:val="0"/>
        <w:rPr>
          <w:sz w:val="20"/>
        </w:rPr>
      </w:pPr>
      <w:r w:rsidRPr="00693B99">
        <w:rPr>
          <w:rStyle w:val="FootnoteReference"/>
        </w:rPr>
        <w:footnoteRef/>
      </w:r>
      <w:r w:rsidRPr="00693B99">
        <w:rPr>
          <w:sz w:val="20"/>
        </w:rPr>
        <w:t xml:space="preserve"> </w:t>
      </w:r>
      <w:r w:rsidRPr="00693B99">
        <w:rPr>
          <w:snapToGrid/>
          <w:kern w:val="0"/>
          <w:sz w:val="20"/>
        </w:rPr>
        <w:t xml:space="preserve">Costs reasonably incurred by reassigned stations filing in the first priority window that are associated with constructing alternate channels or expanded facilities, including any filing fees, will be reimbursable from the Reimbursement Fund.  </w:t>
      </w:r>
      <w:r w:rsidRPr="00693B99">
        <w:rPr>
          <w:i/>
          <w:snapToGrid/>
          <w:kern w:val="0"/>
          <w:sz w:val="20"/>
        </w:rPr>
        <w:t>See Incentive Auction R&amp;O</w:t>
      </w:r>
      <w:r w:rsidRPr="00693B99">
        <w:rPr>
          <w:snapToGrid/>
          <w:kern w:val="0"/>
          <w:sz w:val="20"/>
        </w:rPr>
        <w:t>, 29 FCC Rcd at 6823, para. 625.</w:t>
      </w:r>
    </w:p>
  </w:footnote>
  <w:footnote w:id="58">
    <w:p w14:paraId="2F004442" w14:textId="77777777" w:rsidR="004E6293" w:rsidRPr="00693B99" w:rsidRDefault="004E6293" w:rsidP="006E1A30">
      <w:pPr>
        <w:pStyle w:val="FootnoteText"/>
        <w:spacing w:after="0"/>
      </w:pPr>
    </w:p>
    <w:p w14:paraId="38476EAB" w14:textId="77777777" w:rsidR="004E6293" w:rsidRPr="00693B99" w:rsidRDefault="004E6293" w:rsidP="006E1A30">
      <w:pPr>
        <w:pStyle w:val="FootnoteText"/>
        <w:spacing w:after="0"/>
      </w:pPr>
      <w:r w:rsidRPr="00693B99">
        <w:rPr>
          <w:rStyle w:val="FootnoteReference"/>
        </w:rPr>
        <w:footnoteRef/>
      </w:r>
      <w:r w:rsidRPr="00693B99">
        <w:t xml:space="preserve"> </w:t>
      </w:r>
      <w:r w:rsidRPr="00693B99">
        <w:rPr>
          <w:i/>
        </w:rPr>
        <w:t>Second Report and Order</w:t>
      </w:r>
      <w:r w:rsidRPr="00693B99">
        <w:t>, 29 FCC Rcd at 13079-80, para. 15.</w:t>
      </w:r>
    </w:p>
  </w:footnote>
  <w:footnote w:id="59">
    <w:p w14:paraId="276D7608" w14:textId="77777777" w:rsidR="004E6293" w:rsidRPr="00693B99" w:rsidRDefault="004E6293" w:rsidP="002F6328">
      <w:pPr>
        <w:pStyle w:val="FootnoteText"/>
        <w:spacing w:after="0"/>
      </w:pPr>
    </w:p>
    <w:p w14:paraId="2D55D791" w14:textId="77777777" w:rsidR="004E6293" w:rsidRPr="00693B99" w:rsidRDefault="004E6293">
      <w:pPr>
        <w:pStyle w:val="FootnoteText"/>
      </w:pPr>
      <w:r w:rsidRPr="00693B99">
        <w:rPr>
          <w:rStyle w:val="FootnoteReference"/>
        </w:rPr>
        <w:footnoteRef/>
      </w:r>
      <w:r w:rsidRPr="00693B99">
        <w:t xml:space="preserve"> </w:t>
      </w:r>
      <w:r w:rsidRPr="00693B99">
        <w:rPr>
          <w:i/>
        </w:rPr>
        <w:t>See Incentive Auction R&amp;O</w:t>
      </w:r>
      <w:r w:rsidRPr="00693B99">
        <w:t xml:space="preserve">, 29 FCC Rcd at 6813-14, para. 602 (explaining that stations that are not reassigned to a new channel in the repacking process are not entitled to reimbursement under the Spectrum Act).  </w:t>
      </w:r>
    </w:p>
  </w:footnote>
  <w:footnote w:id="60">
    <w:p w14:paraId="513B942A" w14:textId="77777777" w:rsidR="004E6293" w:rsidRPr="00693B99" w:rsidRDefault="004E6293">
      <w:pPr>
        <w:pStyle w:val="FootnoteText"/>
      </w:pPr>
      <w:r w:rsidRPr="00693B99">
        <w:rPr>
          <w:rStyle w:val="FootnoteReference"/>
        </w:rPr>
        <w:footnoteRef/>
      </w:r>
      <w:r w:rsidRPr="00693B99">
        <w:t xml:space="preserve"> </w:t>
      </w:r>
      <w:r w:rsidRPr="00693B99">
        <w:rPr>
          <w:i/>
        </w:rPr>
        <w:t>See</w:t>
      </w:r>
      <w:r w:rsidRPr="00693B99">
        <w:t xml:space="preserve"> </w:t>
      </w:r>
      <w:r w:rsidRPr="00693B99">
        <w:rPr>
          <w:i/>
        </w:rPr>
        <w:t>Fourth Reconsideration</w:t>
      </w:r>
      <w:r w:rsidRPr="00693B99">
        <w:t>, 31 FCC Rcd at 1382, para. 22.</w:t>
      </w:r>
    </w:p>
  </w:footnote>
  <w:footnote w:id="61">
    <w:p w14:paraId="75AFFBD3" w14:textId="77777777" w:rsidR="004E6293" w:rsidRPr="00693B99" w:rsidRDefault="004E6293" w:rsidP="00072A2D">
      <w:pPr>
        <w:pStyle w:val="FootnoteText"/>
      </w:pPr>
      <w:r w:rsidRPr="00693B99">
        <w:rPr>
          <w:rStyle w:val="FootnoteReference"/>
        </w:rPr>
        <w:footnoteRef/>
      </w:r>
      <w:r w:rsidRPr="00693B99">
        <w:t xml:space="preserve"> There is no filing fee for displacement applications.</w:t>
      </w:r>
    </w:p>
  </w:footnote>
  <w:footnote w:id="62">
    <w:p w14:paraId="7B5CD56B" w14:textId="77777777" w:rsidR="004E6293" w:rsidRPr="00693B99" w:rsidRDefault="004E6293" w:rsidP="0069658A">
      <w:pPr>
        <w:pStyle w:val="FootnoteText"/>
      </w:pPr>
      <w:r w:rsidRPr="00693B99">
        <w:rPr>
          <w:rStyle w:val="FootnoteReference"/>
        </w:rPr>
        <w:footnoteRef/>
      </w:r>
      <w:r w:rsidRPr="00693B99">
        <w:t xml:space="preserve"> </w:t>
      </w:r>
      <w:r w:rsidRPr="00693B99">
        <w:rPr>
          <w:i/>
        </w:rPr>
        <w:t>Incentive Auction R&amp;O</w:t>
      </w:r>
      <w:r w:rsidRPr="00693B99">
        <w:t xml:space="preserve">, 29 FCC Rcd at 6794 n.1572.  </w:t>
      </w:r>
      <w:r w:rsidRPr="00693B99">
        <w:rPr>
          <w:i/>
        </w:rPr>
        <w:t xml:space="preserve">See also </w:t>
      </w:r>
      <w:r w:rsidRPr="00693B99">
        <w:t xml:space="preserve">47 CFR Part 73, Subpart J; 47 CFR §§ 74.707, 74.792.  Class A stations filing displacement applications during the first priority window should also note the types of facilities and applications that must be afforded interference protection as set forth in paragraph 30 </w:t>
      </w:r>
      <w:r w:rsidRPr="00693B99">
        <w:rPr>
          <w:i/>
        </w:rPr>
        <w:t>supra</w:t>
      </w:r>
      <w:r w:rsidRPr="00693B99">
        <w:t>.</w:t>
      </w:r>
    </w:p>
  </w:footnote>
  <w:footnote w:id="63">
    <w:p w14:paraId="33746F2B" w14:textId="77777777" w:rsidR="004E6293" w:rsidRPr="00693B99" w:rsidRDefault="004E6293" w:rsidP="0069658A">
      <w:pPr>
        <w:pStyle w:val="FootnoteText"/>
      </w:pPr>
      <w:r w:rsidRPr="00693B99">
        <w:rPr>
          <w:rStyle w:val="FootnoteReference"/>
        </w:rPr>
        <w:footnoteRef/>
      </w:r>
      <w:r w:rsidRPr="00693B99">
        <w:t xml:space="preserve"> 47 U.S.C. § 336(f)(7)(B).</w:t>
      </w:r>
    </w:p>
  </w:footnote>
  <w:footnote w:id="64">
    <w:p w14:paraId="14D9A3DC" w14:textId="77777777" w:rsidR="004E6293" w:rsidRPr="00693B99" w:rsidRDefault="004E6293">
      <w:pPr>
        <w:pStyle w:val="FootnoteText"/>
      </w:pPr>
      <w:r w:rsidRPr="00693B99">
        <w:rPr>
          <w:rStyle w:val="FootnoteReference"/>
        </w:rPr>
        <w:footnoteRef/>
      </w:r>
      <w:r w:rsidRPr="00693B99">
        <w:t xml:space="preserve"> </w:t>
      </w:r>
      <w:r w:rsidRPr="00693B99">
        <w:rPr>
          <w:i/>
        </w:rPr>
        <w:t>Second Reconsideration</w:t>
      </w:r>
      <w:r w:rsidRPr="00693B99">
        <w:t>, 30 FCC Rcd at 6775, para. 63.</w:t>
      </w:r>
    </w:p>
  </w:footnote>
  <w:footnote w:id="65">
    <w:p w14:paraId="7C6FDD39" w14:textId="77777777" w:rsidR="004E6293" w:rsidRPr="00693B99" w:rsidRDefault="004E6293">
      <w:pPr>
        <w:pStyle w:val="FootnoteText"/>
      </w:pPr>
      <w:r w:rsidRPr="00693B99">
        <w:rPr>
          <w:rStyle w:val="FootnoteReference"/>
        </w:rPr>
        <w:footnoteRef/>
      </w:r>
      <w:r w:rsidRPr="00693B99">
        <w:t xml:space="preserve"> Although certain stations that were not reassigned a new channel in the </w:t>
      </w:r>
      <w:r w:rsidRPr="00693B99">
        <w:rPr>
          <w:i/>
        </w:rPr>
        <w:t>Closing and Reassignment Public Notice</w:t>
      </w:r>
      <w:r w:rsidRPr="00693B99">
        <w:t xml:space="preserve"> may file an application in the first priority window, </w:t>
      </w:r>
      <w:r w:rsidRPr="00693B99">
        <w:rPr>
          <w:i/>
        </w:rPr>
        <w:t xml:space="preserve">see supra </w:t>
      </w:r>
      <w:r w:rsidRPr="00693B99">
        <w:t xml:space="preserve">Section III.B., they are not eligible to file an application during the second window. </w:t>
      </w:r>
    </w:p>
  </w:footnote>
  <w:footnote w:id="66">
    <w:p w14:paraId="6A86DDA6" w14:textId="3D918603" w:rsidR="004E6293" w:rsidRPr="00693B99" w:rsidRDefault="004E6293" w:rsidP="0069658A">
      <w:pPr>
        <w:pStyle w:val="FootnoteText"/>
        <w:rPr>
          <w:i/>
        </w:rPr>
      </w:pPr>
      <w:r w:rsidRPr="00693B99">
        <w:rPr>
          <w:rStyle w:val="FootnoteReference"/>
        </w:rPr>
        <w:footnoteRef/>
      </w:r>
      <w:r w:rsidRPr="00693B99">
        <w:t xml:space="preserve"> </w:t>
      </w:r>
      <w:r w:rsidRPr="00693B99">
        <w:rPr>
          <w:i/>
        </w:rPr>
        <w:t xml:space="preserve">Incentive Auction R&amp;O, </w:t>
      </w:r>
      <w:r w:rsidRPr="00693B99">
        <w:t>29 FCC Rcd at 6794 n.1573 (</w:t>
      </w:r>
      <w:r w:rsidRPr="00693B99">
        <w:rPr>
          <w:i/>
        </w:rPr>
        <w:t xml:space="preserve">citing Commission Lifts Freeze on Filing of Maximization Applications and Petitions for Digital Channel Substitutions, Effective Immediately, </w:t>
      </w:r>
      <w:r w:rsidRPr="00693B99">
        <w:t xml:space="preserve">Public Notice, 23 FCC Rcd 8330 (2008)). </w:t>
      </w:r>
    </w:p>
  </w:footnote>
  <w:footnote w:id="67">
    <w:p w14:paraId="52F21294" w14:textId="77777777" w:rsidR="004E6293" w:rsidRPr="00693B99" w:rsidRDefault="004E6293">
      <w:pPr>
        <w:pStyle w:val="FootnoteText"/>
      </w:pPr>
      <w:r w:rsidRPr="00693B99">
        <w:rPr>
          <w:rStyle w:val="FootnoteReference"/>
        </w:rPr>
        <w:footnoteRef/>
      </w:r>
      <w:r w:rsidRPr="00693B99">
        <w:t xml:space="preserve"> </w:t>
      </w:r>
      <w:r w:rsidRPr="00693B99">
        <w:rPr>
          <w:i/>
        </w:rPr>
        <w:t>See 2013 Freeze PN.</w:t>
      </w:r>
    </w:p>
  </w:footnote>
  <w:footnote w:id="68">
    <w:p w14:paraId="2BBF9979" w14:textId="77777777" w:rsidR="004E6293" w:rsidRPr="00693B99" w:rsidRDefault="004E6293" w:rsidP="007F54D1">
      <w:pPr>
        <w:widowControl/>
        <w:autoSpaceDE w:val="0"/>
        <w:autoSpaceDN w:val="0"/>
        <w:adjustRightInd w:val="0"/>
        <w:rPr>
          <w:sz w:val="20"/>
        </w:rPr>
      </w:pPr>
      <w:r w:rsidRPr="00693B99">
        <w:rPr>
          <w:rStyle w:val="FootnoteReference"/>
        </w:rPr>
        <w:footnoteRef/>
      </w:r>
      <w:r w:rsidRPr="00693B99">
        <w:rPr>
          <w:sz w:val="20"/>
        </w:rPr>
        <w:t xml:space="preserve"> </w:t>
      </w:r>
      <w:r w:rsidRPr="00693B99">
        <w:rPr>
          <w:i/>
          <w:sz w:val="20"/>
        </w:rPr>
        <w:t xml:space="preserve">Id.  </w:t>
      </w:r>
      <w:r w:rsidRPr="00693B99">
        <w:rPr>
          <w:snapToGrid/>
          <w:kern w:val="0"/>
          <w:sz w:val="20"/>
        </w:rPr>
        <w:t>Any additional costs incurred in constructing alternate channels or expanded facilities, beyond those</w:t>
      </w:r>
      <w:r w:rsidRPr="00693B99">
        <w:rPr>
          <w:sz w:val="20"/>
        </w:rPr>
        <w:t xml:space="preserve"> the station reasonably would have incurred to construct the facilities assigned in the </w:t>
      </w:r>
      <w:r w:rsidRPr="00693B99">
        <w:rPr>
          <w:i/>
          <w:sz w:val="20"/>
        </w:rPr>
        <w:t>Closing and Reassignment Public Notice</w:t>
      </w:r>
      <w:r w:rsidRPr="00693B99">
        <w:rPr>
          <w:sz w:val="20"/>
        </w:rPr>
        <w:t xml:space="preserve">, including the filing fees, will not be reimbursable.  </w:t>
      </w:r>
      <w:r w:rsidRPr="00693B99">
        <w:rPr>
          <w:i/>
          <w:sz w:val="20"/>
        </w:rPr>
        <w:t>See</w:t>
      </w:r>
      <w:r w:rsidRPr="00693B99">
        <w:rPr>
          <w:sz w:val="20"/>
        </w:rPr>
        <w:t xml:space="preserve"> </w:t>
      </w:r>
      <w:r w:rsidRPr="00693B99">
        <w:rPr>
          <w:i/>
          <w:sz w:val="20"/>
        </w:rPr>
        <w:t>Incentive Auction R&amp;O</w:t>
      </w:r>
      <w:r w:rsidRPr="00693B99">
        <w:rPr>
          <w:sz w:val="20"/>
        </w:rPr>
        <w:t>, 29 FCC Rcd at 6794, para. 554.</w:t>
      </w:r>
    </w:p>
    <w:p w14:paraId="706F8B66" w14:textId="77777777" w:rsidR="004E6293" w:rsidRPr="00693B99" w:rsidRDefault="004E6293" w:rsidP="007F54D1">
      <w:pPr>
        <w:widowControl/>
        <w:autoSpaceDE w:val="0"/>
        <w:autoSpaceDN w:val="0"/>
        <w:adjustRightInd w:val="0"/>
        <w:rPr>
          <w:snapToGrid/>
          <w:kern w:val="0"/>
          <w:sz w:val="20"/>
        </w:rPr>
      </w:pPr>
    </w:p>
  </w:footnote>
  <w:footnote w:id="69">
    <w:p w14:paraId="0243BD19" w14:textId="77777777" w:rsidR="004E6293" w:rsidRPr="00693B99" w:rsidRDefault="004E6293">
      <w:pPr>
        <w:pStyle w:val="FootnoteText"/>
      </w:pPr>
      <w:r w:rsidRPr="00693B99">
        <w:rPr>
          <w:rStyle w:val="FootnoteReference"/>
        </w:rPr>
        <w:footnoteRef/>
      </w:r>
      <w:r w:rsidRPr="00693B99">
        <w:t xml:space="preserve"> Any proposed settlement will be subject to the rules and limits on agreements for removing application conflicts.  </w:t>
      </w:r>
      <w:r w:rsidRPr="00693B99">
        <w:rPr>
          <w:i/>
        </w:rPr>
        <w:t xml:space="preserve">See </w:t>
      </w:r>
      <w:r w:rsidRPr="00693B99">
        <w:t>47 U.S.C. § 311(c); 47 CFR § 73.3525.</w:t>
      </w:r>
    </w:p>
  </w:footnote>
  <w:footnote w:id="70">
    <w:p w14:paraId="7BBA1111" w14:textId="12CEE98C" w:rsidR="004E6293" w:rsidRPr="00693B99" w:rsidRDefault="004E6293" w:rsidP="0069658A">
      <w:pPr>
        <w:pStyle w:val="FootnoteText"/>
        <w:rPr>
          <w:i/>
        </w:rPr>
      </w:pPr>
      <w:r w:rsidRPr="00693B99">
        <w:rPr>
          <w:rStyle w:val="FootnoteReference"/>
        </w:rPr>
        <w:footnoteRef/>
      </w:r>
      <w:r w:rsidRPr="00693B99">
        <w:t xml:space="preserve"> </w:t>
      </w:r>
      <w:r w:rsidRPr="00693B99">
        <w:rPr>
          <w:i/>
        </w:rPr>
        <w:t xml:space="preserve">See </w:t>
      </w:r>
      <w:r w:rsidRPr="00693B99">
        <w:t xml:space="preserve">47 CFR § 73.623(h)(3).  If a Class A station that files a displacement application in the first priority window is determined to be MXed with another Class A displacement application filed in that window, then the applicants will be given an opportunity to resolve their MX by settlement or engineering solution.  Absent such a resolution, the MX will be resolved through competitive bidding.  </w:t>
      </w:r>
      <w:r w:rsidRPr="00693B99">
        <w:rPr>
          <w:i/>
        </w:rPr>
        <w:t>See</w:t>
      </w:r>
      <w:r w:rsidRPr="00693B99">
        <w:t xml:space="preserve"> 47 CFR §§ 73.3572(a)(4)(iii); 74.787(a)(4).  </w:t>
      </w:r>
      <w:r w:rsidRPr="00693B99">
        <w:rPr>
          <w:i/>
        </w:rPr>
        <w:t>See also</w:t>
      </w:r>
      <w:r w:rsidRPr="00693B99">
        <w:t xml:space="preserve"> 47 CFR § 73.5000, </w:t>
      </w:r>
      <w:r w:rsidRPr="00693B99">
        <w:rPr>
          <w:i/>
        </w:rPr>
        <w:t xml:space="preserve">et seq.  </w:t>
      </w:r>
      <w:r w:rsidRPr="00693B99">
        <w:t xml:space="preserve">In the event, however, that the application of a displaced Class A station is mutually exclusive with the application of a station that was entitled to repacking protection, the application of the station that received protection will prevail.  </w:t>
      </w:r>
      <w:r w:rsidRPr="00693B99">
        <w:rPr>
          <w:i/>
        </w:rPr>
        <w:t>Fourth Reconsideration</w:t>
      </w:r>
      <w:r w:rsidRPr="00693B99">
        <w:t>, 31 FCC Rcd at 1382 n.111.</w:t>
      </w:r>
    </w:p>
  </w:footnote>
  <w:footnote w:id="71">
    <w:p w14:paraId="2C2DA0BB" w14:textId="77777777" w:rsidR="004E6293" w:rsidRPr="00693B99" w:rsidRDefault="004E6293" w:rsidP="0088128F">
      <w:pPr>
        <w:pStyle w:val="FootnoteText"/>
      </w:pPr>
      <w:r w:rsidRPr="00693B99">
        <w:rPr>
          <w:rStyle w:val="FootnoteReference"/>
        </w:rPr>
        <w:footnoteRef/>
      </w:r>
      <w:r w:rsidRPr="00693B99">
        <w:t xml:space="preserve"> Instructions on filing an amendment via LMS are contained in Appendix A.  </w:t>
      </w:r>
      <w:r w:rsidRPr="00693B99">
        <w:rPr>
          <w:i/>
        </w:rPr>
        <w:t xml:space="preserve">See also </w:t>
      </w:r>
      <w:r w:rsidRPr="00693B99">
        <w:t>47 CFR § 73.3564(a)(1).</w:t>
      </w:r>
    </w:p>
  </w:footnote>
  <w:footnote w:id="72">
    <w:p w14:paraId="6D7BF189" w14:textId="77777777" w:rsidR="004E6293" w:rsidRPr="00693B99" w:rsidRDefault="004E6293" w:rsidP="0088128F">
      <w:pPr>
        <w:pStyle w:val="FootnoteText"/>
      </w:pPr>
      <w:r w:rsidRPr="00693B99">
        <w:rPr>
          <w:rStyle w:val="FootnoteReference"/>
        </w:rPr>
        <w:footnoteRef/>
      </w:r>
      <w:r w:rsidRPr="00693B99">
        <w:t xml:space="preserve"> </w:t>
      </w:r>
      <w:r w:rsidRPr="00693B99">
        <w:rPr>
          <w:i/>
        </w:rPr>
        <w:t>See</w:t>
      </w:r>
      <w:r w:rsidRPr="00693B99">
        <w:t xml:space="preserve"> 47 CFR §§ 73.3566, 73.3568.</w:t>
      </w:r>
    </w:p>
  </w:footnote>
  <w:footnote w:id="73">
    <w:p w14:paraId="46EDF92C" w14:textId="77777777" w:rsidR="004E6293" w:rsidRPr="00693B99" w:rsidRDefault="004E6293">
      <w:pPr>
        <w:pStyle w:val="FootnoteText"/>
      </w:pPr>
      <w:r w:rsidRPr="00693B99">
        <w:rPr>
          <w:rStyle w:val="FootnoteReference"/>
        </w:rPr>
        <w:footnoteRef/>
      </w:r>
      <w:r w:rsidRPr="00693B99">
        <w:t xml:space="preserve"> </w:t>
      </w:r>
      <w:r w:rsidRPr="00693B99">
        <w:rPr>
          <w:i/>
        </w:rPr>
        <w:t>See 2013 Freeze PN</w:t>
      </w:r>
      <w:r w:rsidRPr="00693B99">
        <w:t>.</w:t>
      </w:r>
    </w:p>
  </w:footnote>
  <w:footnote w:id="74">
    <w:p w14:paraId="327CF61C" w14:textId="77777777" w:rsidR="004E6293" w:rsidRPr="00693B99" w:rsidRDefault="004E6293">
      <w:pPr>
        <w:pStyle w:val="FootnoteText"/>
      </w:pPr>
      <w:r w:rsidRPr="00693B99">
        <w:rPr>
          <w:rStyle w:val="FootnoteReference"/>
        </w:rPr>
        <w:footnoteRef/>
      </w:r>
      <w:r w:rsidRPr="00693B99">
        <w:t xml:space="preserve"> </w:t>
      </w:r>
      <w:r w:rsidRPr="00693B99">
        <w:rPr>
          <w:i/>
        </w:rPr>
        <w:t xml:space="preserve">Transition Scheduling Adoption Public Notice </w:t>
      </w:r>
      <w:r w:rsidRPr="00693B99">
        <w:t>at 5, para. 10.</w:t>
      </w:r>
    </w:p>
  </w:footnote>
  <w:footnote w:id="75">
    <w:p w14:paraId="7EFA63F0" w14:textId="77777777" w:rsidR="004E6293" w:rsidRPr="00693B99" w:rsidRDefault="004E6293">
      <w:pPr>
        <w:pStyle w:val="FootnoteText"/>
      </w:pPr>
      <w:r w:rsidRPr="00693B99">
        <w:rPr>
          <w:rStyle w:val="FootnoteReference"/>
        </w:rPr>
        <w:footnoteRef/>
      </w:r>
      <w:r w:rsidRPr="00693B99">
        <w:t xml:space="preserve"> </w:t>
      </w:r>
      <w:r w:rsidRPr="00693B99">
        <w:rPr>
          <w:i/>
        </w:rPr>
        <w:t xml:space="preserve">Id. </w:t>
      </w:r>
      <w:r w:rsidRPr="00693B99">
        <w:t>at 21, para. 44.</w:t>
      </w:r>
    </w:p>
  </w:footnote>
  <w:footnote w:id="76">
    <w:p w14:paraId="66D8F13C" w14:textId="77777777" w:rsidR="004E6293" w:rsidRPr="00693B99" w:rsidRDefault="004E6293" w:rsidP="008E793C">
      <w:pPr>
        <w:pStyle w:val="FootnoteText"/>
      </w:pPr>
      <w:r w:rsidRPr="00693B99">
        <w:rPr>
          <w:rStyle w:val="FootnoteReference"/>
        </w:rPr>
        <w:footnoteRef/>
      </w:r>
      <w:r w:rsidRPr="00693B99">
        <w:t xml:space="preserve"> </w:t>
      </w:r>
      <w:r w:rsidRPr="00693B99">
        <w:rPr>
          <w:i/>
        </w:rPr>
        <w:t>Id.</w:t>
      </w:r>
      <w:r w:rsidRPr="00693B99">
        <w:t xml:space="preserve"> at 4, para. 7.</w:t>
      </w:r>
    </w:p>
  </w:footnote>
  <w:footnote w:id="77">
    <w:p w14:paraId="2BAB7F29"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See Incentive Auction R&amp;O</w:t>
      </w:r>
      <w:r w:rsidRPr="00693B99">
        <w:t xml:space="preserve">, 29 FCC Rcd at 6806, para. 584.  </w:t>
      </w:r>
    </w:p>
  </w:footnote>
  <w:footnote w:id="78">
    <w:p w14:paraId="6D3A251A" w14:textId="26E26C23" w:rsidR="004E6293" w:rsidRPr="00693B99" w:rsidRDefault="004E6293">
      <w:pPr>
        <w:pStyle w:val="FootnoteText"/>
      </w:pPr>
      <w:r w:rsidRPr="00693B99">
        <w:rPr>
          <w:rStyle w:val="FootnoteReference"/>
        </w:rPr>
        <w:footnoteRef/>
      </w:r>
      <w:r w:rsidRPr="00693B99">
        <w:t xml:space="preserve"> </w:t>
      </w:r>
      <w:r w:rsidRPr="00693B99">
        <w:rPr>
          <w:i/>
        </w:rPr>
        <w:t xml:space="preserve">Transition Scheduling Adoption Public Notice </w:t>
      </w:r>
      <w:r w:rsidRPr="00693B99">
        <w:t>at 17, para. 37 and n.118.</w:t>
      </w:r>
    </w:p>
  </w:footnote>
  <w:footnote w:id="79">
    <w:p w14:paraId="6AAE5526" w14:textId="65436334" w:rsidR="004E6293" w:rsidRPr="00693B99" w:rsidRDefault="004E6293" w:rsidP="006C3F4D">
      <w:pPr>
        <w:pStyle w:val="FootnoteText"/>
      </w:pPr>
      <w:r w:rsidRPr="00693B99">
        <w:rPr>
          <w:rStyle w:val="FootnoteReference"/>
        </w:rPr>
        <w:footnoteRef/>
      </w:r>
      <w:r w:rsidRPr="00693B99">
        <w:t xml:space="preserve"> </w:t>
      </w:r>
      <w:r w:rsidRPr="00693B99">
        <w:rPr>
          <w:i/>
        </w:rPr>
        <w:t xml:space="preserve">Incentive Auction R&amp;O, </w:t>
      </w:r>
      <w:r w:rsidRPr="00693B99">
        <w:t>, 29 FCC Rcd</w:t>
      </w:r>
      <w:r w:rsidRPr="00693B99">
        <w:rPr>
          <w:i/>
        </w:rPr>
        <w:t>.</w:t>
      </w:r>
      <w:r w:rsidRPr="00693B99">
        <w:t xml:space="preserve"> at 6804, para. 580 (emphasis added); 47 CFR § 73.3700(b)(5).  In adopting this provision, the Commission specifically considered and rejected allowing stations to seek multiple extensions and limited such requests to a single extension.  </w:t>
      </w:r>
      <w:r w:rsidRPr="00693B99">
        <w:rPr>
          <w:i/>
        </w:rPr>
        <w:t xml:space="preserve">Incentive Auction R&amp;O, </w:t>
      </w:r>
      <w:r w:rsidRPr="00693B99">
        <w:t>29 FCC Rcd at 6805-06, para. 583.</w:t>
      </w:r>
    </w:p>
  </w:footnote>
  <w:footnote w:id="80">
    <w:p w14:paraId="3D0572A3" w14:textId="77777777"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47 CFR § 73.3700(b)(5)(iv).</w:t>
      </w:r>
    </w:p>
  </w:footnote>
  <w:footnote w:id="81">
    <w:p w14:paraId="150BBD45" w14:textId="77777777" w:rsidR="004E6293" w:rsidRPr="00693B99" w:rsidRDefault="004E6293" w:rsidP="006C3F4D">
      <w:pPr>
        <w:pStyle w:val="FootnoteText"/>
      </w:pPr>
      <w:r w:rsidRPr="00693B99">
        <w:rPr>
          <w:rStyle w:val="FootnoteReference"/>
        </w:rPr>
        <w:footnoteRef/>
      </w:r>
      <w:r w:rsidRPr="00693B99">
        <w:t xml:space="preserve"> </w:t>
      </w:r>
      <w:r w:rsidRPr="00693B99">
        <w:rPr>
          <w:i/>
        </w:rPr>
        <w:t>Id.</w:t>
      </w:r>
      <w:r w:rsidRPr="00693B99">
        <w:t xml:space="preserve">; </w:t>
      </w:r>
      <w:r w:rsidRPr="00693B99">
        <w:rPr>
          <w:i/>
        </w:rPr>
        <w:t xml:space="preserve">Incentive Auction R&amp;O, </w:t>
      </w:r>
      <w:r w:rsidRPr="00693B99">
        <w:t>29 FCC Rcd at 6804-05, para. 581.</w:t>
      </w:r>
    </w:p>
  </w:footnote>
  <w:footnote w:id="82">
    <w:p w14:paraId="7E68C2AD" w14:textId="77777777" w:rsidR="004E6293" w:rsidRPr="00693B99" w:rsidRDefault="004E6293" w:rsidP="006C3F4D">
      <w:pPr>
        <w:pStyle w:val="FootnoteText"/>
      </w:pPr>
      <w:r w:rsidRPr="00693B99">
        <w:rPr>
          <w:rStyle w:val="FootnoteReference"/>
        </w:rPr>
        <w:footnoteRef/>
      </w:r>
      <w:r w:rsidRPr="00693B99">
        <w:t xml:space="preserve"> </w:t>
      </w:r>
      <w:r w:rsidRPr="00693B99">
        <w:rPr>
          <w:i/>
        </w:rPr>
        <w:t xml:space="preserve">Incentive Auction R&amp;O, </w:t>
      </w:r>
      <w:r w:rsidRPr="00693B99">
        <w:t>29 FCC Rcd at 6804-05, para. 581.</w:t>
      </w:r>
    </w:p>
  </w:footnote>
  <w:footnote w:id="83">
    <w:p w14:paraId="1401530C" w14:textId="77777777" w:rsidR="004E6293" w:rsidRPr="00693B99" w:rsidRDefault="004E6293" w:rsidP="006C3F4D">
      <w:pPr>
        <w:pStyle w:val="FootnoteText"/>
      </w:pPr>
      <w:r w:rsidRPr="00693B99">
        <w:rPr>
          <w:rStyle w:val="FootnoteReference"/>
        </w:rPr>
        <w:footnoteRef/>
      </w:r>
      <w:r w:rsidRPr="00693B99">
        <w:t xml:space="preserve"> </w:t>
      </w:r>
      <w:r w:rsidRPr="00693B99">
        <w:rPr>
          <w:i/>
        </w:rPr>
        <w:t xml:space="preserve">See </w:t>
      </w:r>
      <w:r w:rsidRPr="00693B99">
        <w:t xml:space="preserve">47 CFR § 73.3700(b)(5)(iii); </w:t>
      </w:r>
      <w:r w:rsidRPr="00693B99">
        <w:rPr>
          <w:i/>
        </w:rPr>
        <w:t xml:space="preserve">Incentive Auction R&amp;O, </w:t>
      </w:r>
      <w:r w:rsidRPr="00693B99">
        <w:t>29 FCC Rcd at 6805, para. 582.</w:t>
      </w:r>
    </w:p>
  </w:footnote>
  <w:footnote w:id="84">
    <w:p w14:paraId="11DBB1ED" w14:textId="77777777" w:rsidR="004E6293" w:rsidRPr="00693B99" w:rsidRDefault="004E6293" w:rsidP="006C3F4D">
      <w:pPr>
        <w:pStyle w:val="FootnoteText"/>
      </w:pPr>
      <w:r w:rsidRPr="00693B99">
        <w:rPr>
          <w:rStyle w:val="FootnoteReference"/>
        </w:rPr>
        <w:footnoteRef/>
      </w:r>
      <w:r w:rsidRPr="00693B99">
        <w:t xml:space="preserve"> </w:t>
      </w:r>
      <w:r w:rsidRPr="00693B99">
        <w:rPr>
          <w:i/>
        </w:rPr>
        <w:t xml:space="preserve">Incentive Auction R&amp;O, </w:t>
      </w:r>
      <w:r w:rsidRPr="00693B99">
        <w:t>29 FCC Rcd at 6805, para. 582.</w:t>
      </w:r>
    </w:p>
  </w:footnote>
  <w:footnote w:id="85">
    <w:p w14:paraId="34459E46" w14:textId="77777777" w:rsidR="004E6293" w:rsidRPr="00693B99" w:rsidRDefault="004E6293" w:rsidP="006C3F4D">
      <w:pPr>
        <w:pStyle w:val="FootnoteText"/>
        <w:rPr>
          <w:i/>
        </w:rPr>
      </w:pPr>
      <w:r w:rsidRPr="00693B99">
        <w:rPr>
          <w:rStyle w:val="FootnoteReference"/>
        </w:rPr>
        <w:footnoteRef/>
      </w:r>
      <w:r w:rsidRPr="00693B99">
        <w:t xml:space="preserve"> </w:t>
      </w:r>
      <w:r w:rsidRPr="00693B99">
        <w:rPr>
          <w:i/>
        </w:rPr>
        <w:t>See</w:t>
      </w:r>
      <w:r w:rsidRPr="00693B99">
        <w:t xml:space="preserve"> 47 CFR § 73.3700(b)(5)(i); </w:t>
      </w:r>
      <w:r w:rsidRPr="00693B99">
        <w:rPr>
          <w:i/>
        </w:rPr>
        <w:t xml:space="preserve">Incentive Auction R&amp;O, </w:t>
      </w:r>
      <w:r w:rsidRPr="00693B99">
        <w:t xml:space="preserve">29 FCC Rcd at 6805-06, para. 583.  </w:t>
      </w:r>
      <w:r w:rsidRPr="00693B99">
        <w:rPr>
          <w:i/>
        </w:rPr>
        <w:t>See also</w:t>
      </w:r>
      <w:r w:rsidRPr="00693B99">
        <w:t xml:space="preserve"> 47 CFR § 73.3598(b).  Stations are reminded to follow the reporting procedures set forth in the rule, which require notification to the Commission within 30 days </w:t>
      </w:r>
      <w:r w:rsidRPr="00693B99">
        <w:rPr>
          <w:snapToGrid w:val="0"/>
          <w:kern w:val="28"/>
        </w:rPr>
        <w:t>of any pertinent event covered by the tolling rule.</w:t>
      </w:r>
      <w:r w:rsidRPr="00693B99">
        <w:t xml:space="preserve">  </w:t>
      </w:r>
      <w:r w:rsidRPr="00693B99">
        <w:rPr>
          <w:i/>
        </w:rPr>
        <w:t>See</w:t>
      </w:r>
      <w:r w:rsidRPr="00693B99">
        <w:t xml:space="preserve"> 47 CFR § 73.3598(b).  The Media Bureau will consider tolling the construction deadline only where the licensee notifies it that additional time is needed after the conclusion of the initial 180-day extension period.  </w:t>
      </w:r>
      <w:r w:rsidRPr="00693B99">
        <w:rPr>
          <w:i/>
        </w:rPr>
        <w:t>Id.</w:t>
      </w:r>
    </w:p>
  </w:footnote>
  <w:footnote w:id="86">
    <w:p w14:paraId="6DD5C0B7" w14:textId="77777777" w:rsidR="004E6293" w:rsidRPr="00693B99" w:rsidRDefault="004E6293" w:rsidP="006C3F4D">
      <w:pPr>
        <w:pStyle w:val="FootnoteText"/>
      </w:pPr>
      <w:r w:rsidRPr="00693B99">
        <w:rPr>
          <w:rStyle w:val="FootnoteReference"/>
        </w:rPr>
        <w:footnoteRef/>
      </w:r>
      <w:r w:rsidRPr="00693B99">
        <w:t xml:space="preserve"> </w:t>
      </w:r>
      <w:r w:rsidRPr="00693B99">
        <w:rPr>
          <w:i/>
        </w:rPr>
        <w:t>See</w:t>
      </w:r>
      <w:r w:rsidRPr="00693B99">
        <w:t xml:space="preserve"> 47 CFR § 73.3598(b).</w:t>
      </w:r>
      <w:r w:rsidRPr="00693B99">
        <w:rPr>
          <w:i/>
        </w:rPr>
        <w:t xml:space="preserve">  </w:t>
      </w:r>
      <w:r w:rsidRPr="00693B99">
        <w:t xml:space="preserve">We note that the Section 73.3598(b) tolling standard does not provide relief for financial hardship, except that paragraph (b)(2) would toll the construction deadline for a station that could not build because of a pending bankruptcy court action.  </w:t>
      </w:r>
      <w:r w:rsidRPr="00693B99">
        <w:rPr>
          <w:i/>
        </w:rPr>
        <w:t>See</w:t>
      </w:r>
      <w:r w:rsidRPr="00693B99">
        <w:t xml:space="preserve"> </w:t>
      </w:r>
      <w:r w:rsidRPr="00693B99">
        <w:rPr>
          <w:i/>
        </w:rPr>
        <w:t>Implementation of the DTV Delay Act</w:t>
      </w:r>
      <w:r w:rsidRPr="00693B99">
        <w:t>, MB Docket No. 09-17, Third Report and Order and Order on Reconsideration, 24 FCC Rcd 3399, 3429 n.156 (2009).</w:t>
      </w:r>
    </w:p>
  </w:footnote>
  <w:footnote w:id="87">
    <w:p w14:paraId="3C4F0BCA" w14:textId="77777777" w:rsidR="004E6293" w:rsidRPr="00693B99" w:rsidRDefault="004E6293" w:rsidP="006C3F4D">
      <w:pPr>
        <w:pStyle w:val="FootnoteText"/>
      </w:pPr>
      <w:r w:rsidRPr="00693B99">
        <w:rPr>
          <w:rStyle w:val="FootnoteReference"/>
        </w:rPr>
        <w:footnoteRef/>
      </w:r>
      <w:r w:rsidRPr="00693B99">
        <w:t xml:space="preserve"> </w:t>
      </w:r>
      <w:r w:rsidRPr="00693B99">
        <w:rPr>
          <w:i/>
        </w:rPr>
        <w:t>See 1998 Regulatory Review - Streamlining of Mass Media Applications, Rules and Processes</w:t>
      </w:r>
      <w:r w:rsidRPr="00693B99">
        <w:t>, Memorandum Opinion and Order, 14 FCC Rcd 17525, 17536, para. 42 (1999).</w:t>
      </w:r>
    </w:p>
  </w:footnote>
  <w:footnote w:id="88">
    <w:p w14:paraId="3F842005" w14:textId="60979947" w:rsidR="004E6293" w:rsidRPr="00693B99" w:rsidRDefault="004E6293" w:rsidP="00CF702C">
      <w:pPr>
        <w:rPr>
          <w:snapToGrid/>
          <w:kern w:val="0"/>
          <w:sz w:val="20"/>
        </w:rPr>
      </w:pPr>
      <w:r w:rsidRPr="00693B99">
        <w:rPr>
          <w:rStyle w:val="FootnoteReference"/>
        </w:rPr>
        <w:footnoteRef/>
      </w:r>
      <w:r w:rsidRPr="00693B99">
        <w:rPr>
          <w:sz w:val="20"/>
        </w:rPr>
        <w:t xml:space="preserve"> The Media Bureau has adopted a progress report form (FCC Form 2100 –Schedule 387)  that broadcast television stations  eligible to receive payment of relocation expenses from the Reimbursement Fund are required to file during the 39-month post-incentive auction transition period to identify their progress and status of their construction efforts, and also seeks comment on whether broadcast television stations that must transition to new channels, but are not eligible to receive payment from the Reimbursement Fund, should similarly be required to file progress reports.</w:t>
      </w:r>
      <w:r w:rsidR="00CF702C" w:rsidRPr="00693B99">
        <w:rPr>
          <w:sz w:val="20"/>
        </w:rPr>
        <w:t xml:space="preserve"> </w:t>
      </w:r>
      <w:r w:rsidR="00CF702C" w:rsidRPr="00693B99">
        <w:rPr>
          <w:i/>
          <w:sz w:val="20"/>
        </w:rPr>
        <w:t>See</w:t>
      </w:r>
      <w:r w:rsidR="00CF702C" w:rsidRPr="00693B99">
        <w:rPr>
          <w:sz w:val="20"/>
        </w:rPr>
        <w:t xml:space="preserve"> </w:t>
      </w:r>
      <w:r w:rsidR="00CF702C" w:rsidRPr="00693B99">
        <w:rPr>
          <w:i/>
          <w:snapToGrid/>
          <w:kern w:val="0"/>
          <w:sz w:val="20"/>
        </w:rPr>
        <w:t xml:space="preserve">The Incentive Auction Task Force and Media Bureau Release Transition Progress Report Form and Filing Requirements for Stations Eligible for Reimbursement From the TV Broadcast Relocation Fund and Seek Comment on the Filing of the Report by Non-Reimbursable Stations, </w:t>
      </w:r>
      <w:r w:rsidR="00CF702C" w:rsidRPr="00693B99">
        <w:rPr>
          <w:snapToGrid/>
          <w:kern w:val="0"/>
          <w:sz w:val="20"/>
        </w:rPr>
        <w:t xml:space="preserve">MB Docket No. 16-306 and GN Docket No. 12-268, Public Notice, DA 17-34 (rel. Jan. 10, 2017); </w:t>
      </w:r>
      <w:r w:rsidR="00CF702C" w:rsidRPr="00693B99">
        <w:rPr>
          <w:i/>
          <w:snapToGrid/>
          <w:kern w:val="0"/>
          <w:sz w:val="20"/>
        </w:rPr>
        <w:t>Incentive Auction R&amp;O</w:t>
      </w:r>
      <w:r w:rsidR="00CF702C" w:rsidRPr="00693B99">
        <w:rPr>
          <w:snapToGrid/>
          <w:kern w:val="0"/>
          <w:sz w:val="20"/>
        </w:rPr>
        <w:t xml:space="preserve">, 29 FCC Rcd at 6825, para. 634 and n.1768; </w:t>
      </w:r>
      <w:r w:rsidR="00CF702C" w:rsidRPr="00693B99">
        <w:rPr>
          <w:i/>
          <w:snapToGrid/>
          <w:kern w:val="0"/>
          <w:sz w:val="20"/>
        </w:rPr>
        <w:t>see also</w:t>
      </w:r>
      <w:r w:rsidR="00CF702C" w:rsidRPr="00693B99">
        <w:rPr>
          <w:snapToGrid/>
          <w:kern w:val="0"/>
          <w:sz w:val="20"/>
        </w:rPr>
        <w:t xml:space="preserve"> 47 CFR § 73.3700(e)(5) (“Broadcast television station licensees and MVPDs that receive payment from the TV Broadcaster Relocation Fund are required to submit progress reports at a date and frequency to be determined by the Media Bureau”).</w:t>
      </w:r>
    </w:p>
    <w:p w14:paraId="3BCD95CF" w14:textId="77777777" w:rsidR="00CF702C" w:rsidRPr="00693B99" w:rsidRDefault="00CF702C" w:rsidP="00CF702C">
      <w:pPr>
        <w:rPr>
          <w:snapToGrid/>
          <w:kern w:val="0"/>
          <w:sz w:val="20"/>
        </w:rPr>
      </w:pPr>
    </w:p>
  </w:footnote>
  <w:footnote w:id="89">
    <w:p w14:paraId="4ACD3F46" w14:textId="32E02A76" w:rsidR="004E6293" w:rsidRPr="00693B99" w:rsidRDefault="004E6293">
      <w:pPr>
        <w:pStyle w:val="FootnoteText"/>
      </w:pPr>
      <w:r w:rsidRPr="00693B99">
        <w:rPr>
          <w:rStyle w:val="FootnoteReference"/>
        </w:rPr>
        <w:footnoteRef/>
      </w:r>
      <w:r w:rsidRPr="00693B99">
        <w:t xml:space="preserve"> </w:t>
      </w:r>
      <w:r w:rsidRPr="00693B99">
        <w:rPr>
          <w:i/>
        </w:rPr>
        <w:t>Incentive Auction R&amp;O,</w:t>
      </w:r>
      <w:r w:rsidR="00C81FAF" w:rsidRPr="00693B99">
        <w:rPr>
          <w:i/>
        </w:rPr>
        <w:t xml:space="preserve"> </w:t>
      </w:r>
      <w:r w:rsidRPr="00693B99">
        <w:t>29 FCC Rcd at 6806, para. 584.</w:t>
      </w:r>
    </w:p>
  </w:footnote>
  <w:footnote w:id="90">
    <w:p w14:paraId="3F014A01" w14:textId="77777777" w:rsidR="004E6293" w:rsidRPr="00693B99" w:rsidRDefault="004E6293" w:rsidP="006B3708">
      <w:pPr>
        <w:pStyle w:val="FootnoteText"/>
        <w:rPr>
          <w:i/>
        </w:rPr>
      </w:pPr>
      <w:r w:rsidRPr="00693B99">
        <w:rPr>
          <w:rStyle w:val="FootnoteReference"/>
        </w:rPr>
        <w:footnoteRef/>
      </w:r>
      <w:r w:rsidRPr="00693B99">
        <w:t xml:space="preserve"> </w:t>
      </w:r>
      <w:r w:rsidRPr="00693B99">
        <w:rPr>
          <w:i/>
        </w:rPr>
        <w:t>Id.</w:t>
      </w:r>
    </w:p>
  </w:footnote>
  <w:footnote w:id="91">
    <w:p w14:paraId="2F80DF95" w14:textId="77777777" w:rsidR="004E6293" w:rsidRPr="00693B99" w:rsidRDefault="004E6293" w:rsidP="006B3708">
      <w:pPr>
        <w:pStyle w:val="FootnoteText"/>
        <w:rPr>
          <w:i/>
        </w:rPr>
      </w:pPr>
      <w:r w:rsidRPr="00693B99">
        <w:rPr>
          <w:rStyle w:val="FootnoteReference"/>
        </w:rPr>
        <w:footnoteRef/>
      </w:r>
      <w:r w:rsidRPr="00693B99">
        <w:t xml:space="preserve"> </w:t>
      </w:r>
      <w:r w:rsidRPr="00693B99">
        <w:rPr>
          <w:i/>
        </w:rPr>
        <w:t>Id.</w:t>
      </w:r>
    </w:p>
  </w:footnote>
  <w:footnote w:id="92">
    <w:p w14:paraId="7E0E1B16" w14:textId="77777777" w:rsidR="004E6293" w:rsidRPr="00693B99" w:rsidRDefault="004E6293" w:rsidP="006B3708">
      <w:pPr>
        <w:pStyle w:val="FootnoteText"/>
        <w:rPr>
          <w:i/>
        </w:rPr>
      </w:pPr>
      <w:r w:rsidRPr="00693B99">
        <w:rPr>
          <w:rStyle w:val="FootnoteReference"/>
        </w:rPr>
        <w:footnoteRef/>
      </w:r>
      <w:r w:rsidRPr="00693B99">
        <w:t xml:space="preserve"> </w:t>
      </w:r>
      <w:r w:rsidRPr="00693B99">
        <w:rPr>
          <w:i/>
        </w:rPr>
        <w:t>Id.</w:t>
      </w:r>
    </w:p>
  </w:footnote>
  <w:footnote w:id="93">
    <w:p w14:paraId="7E321186"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 xml:space="preserve">Id.  </w:t>
      </w:r>
      <w:r w:rsidRPr="00693B99">
        <w:t xml:space="preserve">The authorizations also are secondary to all other authorized and licensed users, including secondary services such as the LPTV service.  </w:t>
      </w:r>
      <w:r w:rsidRPr="00693B99">
        <w:rPr>
          <w:i/>
        </w:rPr>
        <w:t>Id</w:t>
      </w:r>
      <w:r w:rsidRPr="00693B99">
        <w:t>. at 6676, para. 245.</w:t>
      </w:r>
    </w:p>
  </w:footnote>
  <w:footnote w:id="94">
    <w:p w14:paraId="61D74FAB" w14:textId="61CE3A4B" w:rsidR="004E6293" w:rsidRPr="00693B99" w:rsidRDefault="004E6293">
      <w:pPr>
        <w:pStyle w:val="FootnoteText"/>
      </w:pPr>
      <w:r w:rsidRPr="00693B99">
        <w:rPr>
          <w:rStyle w:val="FootnoteReference"/>
        </w:rPr>
        <w:footnoteRef/>
      </w:r>
      <w:r w:rsidRPr="00693B99">
        <w:t xml:space="preserve"> </w:t>
      </w:r>
      <w:r w:rsidR="0022336C" w:rsidRPr="00693B99">
        <w:t xml:space="preserve">The </w:t>
      </w:r>
      <w:r w:rsidR="0022336C" w:rsidRPr="00693B99">
        <w:rPr>
          <w:i/>
        </w:rPr>
        <w:t>Transition Scheduling Adoption Public Notice</w:t>
      </w:r>
      <w:r w:rsidR="0022336C" w:rsidRPr="00693B99">
        <w:t xml:space="preserve"> provides guidance regarding how the Media Bureau will evaluate requests for STA to operate using temporary, interim, or auxiliary facilities.  </w:t>
      </w:r>
      <w:r w:rsidR="0022336C" w:rsidRPr="00693B99">
        <w:rPr>
          <w:i/>
        </w:rPr>
        <w:t xml:space="preserve">See Transition Scheduling Adoption Public Notice </w:t>
      </w:r>
      <w:r w:rsidR="0022336C" w:rsidRPr="00693B99">
        <w:t>at 22-29, paras. 47-58 and 61-62.</w:t>
      </w:r>
    </w:p>
  </w:footnote>
  <w:footnote w:id="95">
    <w:p w14:paraId="1C18350E" w14:textId="77777777" w:rsidR="004E6293" w:rsidRPr="00693B99" w:rsidRDefault="004E6293" w:rsidP="00990585">
      <w:pPr>
        <w:pStyle w:val="FootnoteText"/>
        <w:rPr>
          <w:i/>
        </w:rPr>
      </w:pPr>
      <w:r w:rsidRPr="00693B99">
        <w:rPr>
          <w:rStyle w:val="FootnoteReference"/>
        </w:rPr>
        <w:footnoteRef/>
      </w:r>
      <w:r w:rsidRPr="00693B99">
        <w:t xml:space="preserve"> </w:t>
      </w:r>
      <w:r w:rsidRPr="00693B99">
        <w:rPr>
          <w:i/>
        </w:rPr>
        <w:t>Incentive Auction R&amp;O</w:t>
      </w:r>
      <w:r w:rsidRPr="00693B99">
        <w:t>, 29 FCC Rcd at 6806, para. 584.</w:t>
      </w:r>
    </w:p>
  </w:footnote>
  <w:footnote w:id="96">
    <w:p w14:paraId="67B81D12" w14:textId="77777777" w:rsidR="004E6293" w:rsidRPr="00693B99" w:rsidRDefault="004E6293">
      <w:pPr>
        <w:pStyle w:val="FootnoteText"/>
      </w:pPr>
      <w:r w:rsidRPr="00693B99">
        <w:rPr>
          <w:rStyle w:val="FootnoteReference"/>
        </w:rPr>
        <w:footnoteRef/>
      </w:r>
      <w:r w:rsidRPr="00693B99">
        <w:t xml:space="preserve"> </w:t>
      </w:r>
      <w:r w:rsidRPr="00693B99">
        <w:rPr>
          <w:i/>
        </w:rPr>
        <w:t>See</w:t>
      </w:r>
      <w:r w:rsidRPr="00693B99">
        <w:t xml:space="preserve"> 47 CFR § 73.1740(a)(4).</w:t>
      </w:r>
    </w:p>
  </w:footnote>
  <w:footnote w:id="97">
    <w:p w14:paraId="1D402437" w14:textId="77777777" w:rsidR="004E6293" w:rsidRPr="00693B99" w:rsidRDefault="004E6293" w:rsidP="000834A4">
      <w:pPr>
        <w:pStyle w:val="FootnoteText"/>
      </w:pPr>
      <w:r w:rsidRPr="00693B99">
        <w:rPr>
          <w:rStyle w:val="FootnoteReference"/>
        </w:rPr>
        <w:footnoteRef/>
      </w:r>
      <w:r w:rsidRPr="00693B99">
        <w:t xml:space="preserve"> </w:t>
      </w:r>
      <w:r w:rsidRPr="00693B99">
        <w:rPr>
          <w:i/>
        </w:rPr>
        <w:t>Id</w:t>
      </w:r>
      <w:r w:rsidRPr="00693B99">
        <w:t>.</w:t>
      </w:r>
    </w:p>
  </w:footnote>
  <w:footnote w:id="98">
    <w:p w14:paraId="40BA224E" w14:textId="77777777" w:rsidR="004E6293" w:rsidRPr="00693B99" w:rsidRDefault="004E6293" w:rsidP="00BC22C7">
      <w:pPr>
        <w:pStyle w:val="FootnoteText"/>
      </w:pPr>
      <w:r w:rsidRPr="00693B99">
        <w:rPr>
          <w:rStyle w:val="FootnoteReference"/>
        </w:rPr>
        <w:footnoteRef/>
      </w:r>
      <w:r w:rsidRPr="00693B99">
        <w:t xml:space="preserve"> </w:t>
      </w:r>
      <w:r w:rsidRPr="00693B99">
        <w:rPr>
          <w:i/>
        </w:rPr>
        <w:t xml:space="preserve">See </w:t>
      </w:r>
      <w:r w:rsidRPr="00693B99">
        <w:t xml:space="preserve">47 U.S.C. § 312(g).  The Commission’s rules also provide that the “license of a broadcasting station that fails to transmit broadcast signals for any consecutive 12-month period expires as a matter of law at the end of that period, notwithstanding any provision, term, or condition of the license to the contrary.”  47 CFR § 73.1020(c).  </w:t>
      </w:r>
      <w:r w:rsidRPr="00693B99">
        <w:rPr>
          <w:i/>
        </w:rPr>
        <w:t>See also</w:t>
      </w:r>
      <w:r w:rsidRPr="00693B99">
        <w:t xml:space="preserve"> 47 CFR §§ 73.1615(c)(2), 73.1635(a)(4), 73.1740(c), 73.1750.</w:t>
      </w:r>
    </w:p>
  </w:footnote>
  <w:footnote w:id="99">
    <w:p w14:paraId="3FC2D963" w14:textId="77777777" w:rsidR="004E6293" w:rsidRPr="00693B99" w:rsidRDefault="004E6293" w:rsidP="00BC22C7">
      <w:pPr>
        <w:pStyle w:val="FootnoteText"/>
      </w:pPr>
      <w:r w:rsidRPr="00693B99">
        <w:rPr>
          <w:rStyle w:val="FootnoteReference"/>
        </w:rPr>
        <w:footnoteRef/>
      </w:r>
      <w:r w:rsidRPr="00693B99">
        <w:t xml:space="preserve"> </w:t>
      </w:r>
      <w:r w:rsidRPr="00693B99">
        <w:rPr>
          <w:i/>
        </w:rPr>
        <w:t>Incentive Auction R&amp;O</w:t>
      </w:r>
      <w:r w:rsidRPr="00693B99">
        <w:t>, 29 FCC Rcd at 6806-07, para. 585.</w:t>
      </w:r>
    </w:p>
  </w:footnote>
  <w:footnote w:id="100">
    <w:p w14:paraId="311A76A5" w14:textId="77777777" w:rsidR="004E6293" w:rsidRPr="00693B99" w:rsidRDefault="004E6293" w:rsidP="00BC22C7">
      <w:pPr>
        <w:pStyle w:val="FootnoteText"/>
        <w:rPr>
          <w:i/>
        </w:rPr>
      </w:pPr>
      <w:r w:rsidRPr="00693B99">
        <w:rPr>
          <w:rStyle w:val="FootnoteReference"/>
        </w:rPr>
        <w:footnoteRef/>
      </w:r>
      <w:r w:rsidRPr="00693B99">
        <w:t xml:space="preserve"> </w:t>
      </w:r>
      <w:r w:rsidRPr="00693B99">
        <w:rPr>
          <w:rStyle w:val="apple-converted-space"/>
          <w:i/>
        </w:rPr>
        <w:t>See Christian Broadcasting of East Point, Inc.</w:t>
      </w:r>
      <w:r w:rsidRPr="00693B99">
        <w:rPr>
          <w:rStyle w:val="apple-converted-space"/>
        </w:rPr>
        <w:t xml:space="preserve">, </w:t>
      </w:r>
      <w:r w:rsidRPr="00693B99">
        <w:t>30 FCC Rcd 13975, para. 4 (2015) (explaining that the Commission has reinstated a silent station’s expired license “‘to promote equity and fairness’ . . . only in rare circumstances where a station was silent as the result of natural disasters or other compelling reasons beyond the licensee’s control”).</w:t>
      </w:r>
      <w:r w:rsidRPr="00693B99">
        <w:rPr>
          <w:i/>
        </w:rPr>
        <w:t xml:space="preserve">  See also Incentive Auction R&amp;O,</w:t>
      </w:r>
      <w:r w:rsidRPr="00693B99">
        <w:t xml:space="preserve"> 29 FCC Rcd at 6806-07, para. 585 (“In considering such requests, we will take into account the extent to which a station has been involuntarily forced to remain dark as a result of the repacking process and whether, in light of the facts presented, equity and fairness dictate a license extension or reinstatement and a waiver.”).</w:t>
      </w:r>
    </w:p>
  </w:footnote>
  <w:footnote w:id="101">
    <w:p w14:paraId="5F465CF3" w14:textId="77777777" w:rsidR="004E6293" w:rsidRPr="00693B99" w:rsidRDefault="004E6293" w:rsidP="00261289">
      <w:pPr>
        <w:pStyle w:val="FootnoteText"/>
        <w:rPr>
          <w:i/>
        </w:rPr>
      </w:pPr>
      <w:r w:rsidRPr="00693B99">
        <w:rPr>
          <w:rStyle w:val="FootnoteReference"/>
        </w:rPr>
        <w:footnoteRef/>
      </w:r>
      <w:r w:rsidRPr="00693B99">
        <w:t xml:space="preserve"> As directed by the Commission, the Incentive Auction Task Force is working with the Media, Wireless, and Consumer and Governmental Affairs Bureaus to develop a comprehensive consumer outreach plan to enhance consumer awareness regarding the transition, including the development of web sites for use by stakeholders.  </w:t>
      </w:r>
      <w:r w:rsidRPr="00693B99">
        <w:rPr>
          <w:i/>
        </w:rPr>
        <w:t>See Incentive Auction R&amp;O</w:t>
      </w:r>
      <w:r w:rsidRPr="00693B99">
        <w:t xml:space="preserve">, 29 FCC Rcd at 6809-10, para, 591. </w:t>
      </w:r>
    </w:p>
  </w:footnote>
  <w:footnote w:id="102">
    <w:p w14:paraId="2968BB48" w14:textId="3F9F494E"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 xml:space="preserve">47 CFR § 73.3700(c)(2).  </w:t>
      </w:r>
      <w:r w:rsidRPr="00693B99">
        <w:rPr>
          <w:i/>
        </w:rPr>
        <w:t>See also Second Reconsideration</w:t>
      </w:r>
      <w:r w:rsidRPr="00693B99">
        <w:t xml:space="preserve">, 30 FCC Rcd at 6819-20, para. 165. A “crawl” is “text that advances very slowly across the bottom or top of the screen.”  </w:t>
      </w:r>
      <w:r w:rsidRPr="00693B99">
        <w:rPr>
          <w:i/>
        </w:rPr>
        <w:t>See In the Matter of Review of the Emergency Alert System</w:t>
      </w:r>
      <w:r w:rsidRPr="00693B99">
        <w:t xml:space="preserve">, EB Docket No. 04-296, First Report and Order and Further Notice of Proposed Rulemaking, 20 FCC Rcd 18625, 18657 n.222 (2005).  Stations may use alternative forms of crawls, including a text “flipper,” which is a message on the screen that flips to a new line of text instead of crawling across the screen.  </w:t>
      </w:r>
      <w:r w:rsidRPr="00693B99">
        <w:rPr>
          <w:i/>
        </w:rPr>
        <w:t>Incentive Auction R&amp;O</w:t>
      </w:r>
      <w:r w:rsidRPr="00693B99">
        <w:t xml:space="preserve">, 29 FCC Rcd at 6808 n.1661.  The crawls should not block any closed captioning or emergency information.  </w:t>
      </w:r>
      <w:r w:rsidRPr="00693B99">
        <w:rPr>
          <w:i/>
        </w:rPr>
        <w:t>Cf.</w:t>
      </w:r>
      <w:r w:rsidRPr="00693B99">
        <w:t xml:space="preserve"> 47 CFR § 79.2(b)(3) (prohibiting closed captioning from blocking emergency information, and vice versa).  </w:t>
      </w:r>
      <w:r w:rsidRPr="00693B99">
        <w:rPr>
          <w:i/>
        </w:rPr>
        <w:t xml:space="preserve">Incentive Auction R&amp;O, </w:t>
      </w:r>
      <w:r w:rsidRPr="00693B99">
        <w:t>29 FCC Rcd at 6808 n.1664.</w:t>
      </w:r>
    </w:p>
  </w:footnote>
  <w:footnote w:id="103">
    <w:p w14:paraId="31E58D4D" w14:textId="1AD0EA23" w:rsidR="004E6293" w:rsidRPr="00693B99" w:rsidRDefault="004E6293">
      <w:pPr>
        <w:pStyle w:val="FootnoteText"/>
      </w:pPr>
      <w:r w:rsidRPr="00693B99">
        <w:rPr>
          <w:rStyle w:val="FootnoteReference"/>
        </w:rPr>
        <w:footnoteRef/>
      </w:r>
      <w:r w:rsidRPr="00693B99">
        <w:t xml:space="preserve"> </w:t>
      </w:r>
      <w:r w:rsidRPr="00693B99">
        <w:rPr>
          <w:i/>
        </w:rPr>
        <w:t>Second Reconsideration</w:t>
      </w:r>
      <w:r w:rsidRPr="00693B99">
        <w:t xml:space="preserve">, 30 FCC Rcd at 6819-20, para. 165.  Broadcasters are free to air additional PSAs that do not meet all of these requirements, as long as the information included is accurate and not misleading.  </w:t>
      </w:r>
      <w:r w:rsidRPr="00693B99">
        <w:rPr>
          <w:i/>
        </w:rPr>
        <w:t>Incentive Auction R&amp;O</w:t>
      </w:r>
      <w:r w:rsidRPr="00693B99">
        <w:t>, 29 FCC Rcd at 6808 n.1666.</w:t>
      </w:r>
    </w:p>
  </w:footnote>
  <w:footnote w:id="104">
    <w:p w14:paraId="4E6A9C23" w14:textId="77777777" w:rsidR="004E6293" w:rsidRPr="00693B99" w:rsidRDefault="004E6293" w:rsidP="008F0453">
      <w:pPr>
        <w:pStyle w:val="FootnoteText"/>
      </w:pPr>
      <w:r w:rsidRPr="00693B99">
        <w:rPr>
          <w:rStyle w:val="FootnoteReference"/>
        </w:rPr>
        <w:footnoteRef/>
      </w:r>
      <w:r w:rsidRPr="00693B99">
        <w:t xml:space="preserve"> </w:t>
      </w:r>
      <w:r w:rsidRPr="00693B99">
        <w:rPr>
          <w:i/>
        </w:rPr>
        <w:t>See</w:t>
      </w:r>
      <w:r w:rsidRPr="00693B99">
        <w:t xml:space="preserve"> 47 CFR § 73.3700(c).  </w:t>
      </w:r>
    </w:p>
  </w:footnote>
  <w:footnote w:id="105">
    <w:p w14:paraId="6AF4CA65" w14:textId="77777777" w:rsidR="004E6293" w:rsidRPr="00693B99" w:rsidRDefault="004E6293" w:rsidP="006B3708">
      <w:pPr>
        <w:pStyle w:val="FootnoteText"/>
      </w:pPr>
      <w:r w:rsidRPr="00693B99">
        <w:rPr>
          <w:rStyle w:val="FootnoteReference"/>
        </w:rPr>
        <w:footnoteRef/>
      </w:r>
      <w:r w:rsidRPr="00693B99">
        <w:t xml:space="preserve"> 47 CFR § 73.3700(c)(6).  </w:t>
      </w:r>
      <w:r w:rsidRPr="00693B99">
        <w:rPr>
          <w:i/>
        </w:rPr>
        <w:t>See also Incentive Auction R&amp;O</w:t>
      </w:r>
      <w:r w:rsidRPr="00693B99">
        <w:t>, 29 FCC Rcd at 6809, para. 590.</w:t>
      </w:r>
    </w:p>
  </w:footnote>
  <w:footnote w:id="106">
    <w:p w14:paraId="4C05832C"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 xml:space="preserve">See </w:t>
      </w:r>
      <w:r w:rsidRPr="00693B99">
        <w:t xml:space="preserve">47 CFR § 73.3700(d); </w:t>
      </w:r>
      <w:r w:rsidRPr="00693B99">
        <w:rPr>
          <w:i/>
        </w:rPr>
        <w:t>Incentive Auction R&amp;O</w:t>
      </w:r>
      <w:r w:rsidRPr="00693B99">
        <w:t>, 29 FCC Rcd at 6810-11, paras. 594-96.</w:t>
      </w:r>
    </w:p>
  </w:footnote>
  <w:footnote w:id="107">
    <w:p w14:paraId="0A85F9D7"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Incentive Auction R&amp;O</w:t>
      </w:r>
      <w:r w:rsidRPr="00693B99">
        <w:t>, 29 FCC Rcd at 6810-11, paras. 594-96.</w:t>
      </w:r>
    </w:p>
  </w:footnote>
  <w:footnote w:id="108">
    <w:p w14:paraId="50CE7230" w14:textId="77777777" w:rsidR="004E6293" w:rsidRPr="00693B99" w:rsidRDefault="004E6293">
      <w:pPr>
        <w:pStyle w:val="FootnoteText"/>
      </w:pPr>
      <w:r w:rsidRPr="00693B99">
        <w:rPr>
          <w:rStyle w:val="FootnoteReference"/>
        </w:rPr>
        <w:footnoteRef/>
      </w:r>
      <w:r w:rsidRPr="00693B99">
        <w:t xml:space="preserve"> </w:t>
      </w:r>
      <w:r w:rsidRPr="00693B99">
        <w:rPr>
          <w:i/>
        </w:rPr>
        <w:t>Id.</w:t>
      </w:r>
    </w:p>
  </w:footnote>
  <w:footnote w:id="109">
    <w:p w14:paraId="1AFF8769" w14:textId="77777777" w:rsidR="004E6293" w:rsidRPr="00693B99" w:rsidRDefault="004E6293" w:rsidP="00374EE3">
      <w:pPr>
        <w:rPr>
          <w:snapToGrid/>
          <w:kern w:val="0"/>
          <w:sz w:val="20"/>
        </w:rPr>
      </w:pPr>
      <w:r w:rsidRPr="00693B99">
        <w:rPr>
          <w:rStyle w:val="FootnoteReference"/>
        </w:rPr>
        <w:footnoteRef/>
      </w:r>
      <w:r w:rsidRPr="00693B99">
        <w:rPr>
          <w:sz w:val="20"/>
        </w:rPr>
        <w:t xml:space="preserve"> </w:t>
      </w:r>
      <w:r w:rsidRPr="00693B99">
        <w:rPr>
          <w:i/>
          <w:sz w:val="20"/>
        </w:rPr>
        <w:t xml:space="preserve">Id.  </w:t>
      </w:r>
      <w:r w:rsidRPr="00693B99">
        <w:rPr>
          <w:snapToGrid/>
          <w:kern w:val="0"/>
          <w:sz w:val="20"/>
        </w:rPr>
        <w:t>Where COALS includes an email address with the official address of record the letter may be sent electronically.</w:t>
      </w:r>
    </w:p>
    <w:p w14:paraId="57FA972B" w14:textId="77777777" w:rsidR="004E6293" w:rsidRPr="00693B99" w:rsidRDefault="004E6293" w:rsidP="00374EE3">
      <w:pPr>
        <w:rPr>
          <w:snapToGrid/>
          <w:kern w:val="0"/>
          <w:sz w:val="20"/>
        </w:rPr>
      </w:pPr>
    </w:p>
  </w:footnote>
  <w:footnote w:id="110">
    <w:p w14:paraId="43862629"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 xml:space="preserve">Id.  </w:t>
      </w:r>
      <w:r w:rsidRPr="00693B99">
        <w:t>Where the official corporate address registered with the MVPD’s state of incorporation includes a form of electronic communication the letter may be sent electronically.</w:t>
      </w:r>
    </w:p>
  </w:footnote>
  <w:footnote w:id="111">
    <w:p w14:paraId="0C72CF0F" w14:textId="77777777" w:rsidR="004E6293" w:rsidRPr="00693B99" w:rsidRDefault="004E6293">
      <w:pPr>
        <w:pStyle w:val="FootnoteText"/>
      </w:pPr>
      <w:r w:rsidRPr="00693B99">
        <w:rPr>
          <w:rStyle w:val="FootnoteReference"/>
        </w:rPr>
        <w:footnoteRef/>
      </w:r>
      <w:r w:rsidRPr="00693B99">
        <w:t xml:space="preserve"> </w:t>
      </w:r>
      <w:r w:rsidRPr="00693B99">
        <w:rPr>
          <w:i/>
        </w:rPr>
        <w:t>Id.</w:t>
      </w:r>
    </w:p>
  </w:footnote>
  <w:footnote w:id="112">
    <w:p w14:paraId="2B7E35F6"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Id.</w:t>
      </w:r>
    </w:p>
  </w:footnote>
  <w:footnote w:id="113">
    <w:p w14:paraId="23E8EB19" w14:textId="77777777" w:rsidR="004E6293" w:rsidRPr="00693B99" w:rsidRDefault="004E6293" w:rsidP="001A7330">
      <w:pPr>
        <w:pStyle w:val="FootnoteText"/>
      </w:pPr>
      <w:r w:rsidRPr="00693B99">
        <w:rPr>
          <w:rStyle w:val="FootnoteReference"/>
        </w:rPr>
        <w:footnoteRef/>
      </w:r>
      <w:r w:rsidRPr="00693B99">
        <w:t xml:space="preserve"> </w:t>
      </w:r>
      <w:r w:rsidRPr="00693B99">
        <w:rPr>
          <w:i/>
        </w:rPr>
        <w:t>See</w:t>
      </w:r>
      <w:r w:rsidRPr="00693B99">
        <w:t xml:space="preserve"> 47 CFR § 73.1620(a)(1).  </w:t>
      </w:r>
    </w:p>
  </w:footnote>
  <w:footnote w:id="114">
    <w:p w14:paraId="398FD18F" w14:textId="77777777" w:rsidR="004E6293" w:rsidRPr="00693B99" w:rsidRDefault="004E6293" w:rsidP="00014E94">
      <w:pPr>
        <w:pStyle w:val="FootnoteText"/>
      </w:pPr>
      <w:r w:rsidRPr="00693B99">
        <w:rPr>
          <w:rStyle w:val="FootnoteReference"/>
        </w:rPr>
        <w:footnoteRef/>
      </w:r>
      <w:r w:rsidRPr="00693B99">
        <w:t xml:space="preserve"> </w:t>
      </w:r>
      <w:r w:rsidRPr="00693B99">
        <w:rPr>
          <w:i/>
        </w:rPr>
        <w:t>Incentive Auction R&amp;O</w:t>
      </w:r>
      <w:r w:rsidRPr="00693B99">
        <w:t>, 29 FCC Rcd at 6784, para. 534 (“In all spectrum license auctions [such as the forward auction], the Commission disburses auction proceeds only after spectrum licenses associated with winning bids have been granted, absent express statutory direction to do otherwise.  . . . Furthermore, the Commission has granted spectrum licenses post-auction on a rolling basis, as license applications filed by winning bidders are ready to be granted.  Thus, amounts become available for distribution on a rolling basis over time and at intervals tied to the licensing process.  Given these facts, a specific deadline for sharing proceeds is not feasible.”(footnotes omitted))</w:t>
      </w:r>
    </w:p>
  </w:footnote>
  <w:footnote w:id="115">
    <w:p w14:paraId="5D672C9F" w14:textId="77777777" w:rsidR="004E6293" w:rsidRPr="00693B99" w:rsidRDefault="004E6293" w:rsidP="00014E94">
      <w:pPr>
        <w:pStyle w:val="FootnoteText"/>
      </w:pPr>
      <w:r w:rsidRPr="00693B99">
        <w:rPr>
          <w:rStyle w:val="FootnoteReference"/>
        </w:rPr>
        <w:footnoteRef/>
      </w:r>
      <w:r w:rsidRPr="00693B99">
        <w:t xml:space="preserve"> </w:t>
      </w:r>
      <w:r w:rsidRPr="00693B99">
        <w:rPr>
          <w:i/>
        </w:rPr>
        <w:t>See Incentive Auction R&amp;O</w:t>
      </w:r>
      <w:r w:rsidRPr="00693B99">
        <w:t>, 29 FCC Rcd at 6787, para. 537 (adopting proposal to require successful bidders in the reverse auction to submit additional information to facilitate incentive payments on standardized incentive payment forms).</w:t>
      </w:r>
    </w:p>
  </w:footnote>
  <w:footnote w:id="116">
    <w:p w14:paraId="5A27A926" w14:textId="3A076BC2" w:rsidR="004E6293" w:rsidRPr="00693B99" w:rsidRDefault="004E6293" w:rsidP="00014E94">
      <w:pPr>
        <w:pStyle w:val="FootnoteText"/>
        <w:rPr>
          <w:i/>
        </w:rPr>
      </w:pPr>
      <w:r w:rsidRPr="00693B99">
        <w:rPr>
          <w:rStyle w:val="FootnoteReference"/>
        </w:rPr>
        <w:footnoteRef/>
      </w:r>
      <w:r w:rsidRPr="00693B99">
        <w:t xml:space="preserve"> </w:t>
      </w:r>
      <w:r w:rsidRPr="00693B99">
        <w:rPr>
          <w:i/>
        </w:rPr>
        <w:t>See Wireless Telecommunications Bureau Clarifies Procedure For Disbursing Reverse Auction Incentive Payments</w:t>
      </w:r>
      <w:r w:rsidRPr="00693B99">
        <w:t xml:space="preserve">, Public Notice, 30 FCC Rcd 13613 (2015).  As stated in that public notice, an incentive payment for each winning bid will be made to only a single payee and into a single account.  </w:t>
      </w:r>
      <w:r w:rsidRPr="00693B99">
        <w:rPr>
          <w:i/>
        </w:rPr>
        <w:t>Id.</w:t>
      </w:r>
    </w:p>
  </w:footnote>
  <w:footnote w:id="117">
    <w:p w14:paraId="3E910B65" w14:textId="77777777" w:rsidR="004E6293" w:rsidRPr="00693B99" w:rsidRDefault="004E6293" w:rsidP="00656A09">
      <w:pPr>
        <w:pStyle w:val="FootnoteText"/>
      </w:pPr>
      <w:r w:rsidRPr="00693B99">
        <w:rPr>
          <w:rStyle w:val="FootnoteReference"/>
        </w:rPr>
        <w:footnoteRef/>
      </w:r>
      <w:r w:rsidRPr="00693B99">
        <w:t xml:space="preserve"> </w:t>
      </w:r>
      <w:r w:rsidRPr="00693B99">
        <w:rPr>
          <w:i/>
        </w:rPr>
        <w:t>See also The Incentive Auction Task Force Announces an Online Tutorial for Full Power and Class A Broadcasters and Multichannel Video Programming Providers On Preparing To Receive Post-Auction Payments</w:t>
      </w:r>
      <w:r w:rsidRPr="00693B99">
        <w:t>, Public Notice, DA 16-1410 (rel. Dec. 19, 2016).</w:t>
      </w:r>
    </w:p>
  </w:footnote>
  <w:footnote w:id="118">
    <w:p w14:paraId="5D6EED71" w14:textId="49BDBCC7" w:rsidR="004E6293" w:rsidRPr="00693B99" w:rsidRDefault="004E6293">
      <w:pPr>
        <w:pStyle w:val="FootnoteText"/>
      </w:pPr>
      <w:r w:rsidRPr="00693B99">
        <w:rPr>
          <w:rStyle w:val="FootnoteReference"/>
        </w:rPr>
        <w:footnoteRef/>
      </w:r>
      <w:r w:rsidRPr="00693B99">
        <w:t xml:space="preserve"> 47 CFR § 73.3700(b)(4)(i).  The Department of the Treasury (U.S. Treasury) will disburse incentive payments subject to all applicable laws and procedures and in accordance with the payment instructions provided by a relinquishing licensee to the Commission.  </w:t>
      </w:r>
      <w:r w:rsidRPr="00693B99">
        <w:rPr>
          <w:i/>
        </w:rPr>
        <w:t>See Wireless Telecommunications Bureau Clarifies Procedure For Disbursing Reverse Auction Incentive Payments</w:t>
      </w:r>
      <w:r w:rsidRPr="00693B99">
        <w:t xml:space="preserve">, Public Notice, 30 FCC Rcd 13613 (2015).  </w:t>
      </w:r>
    </w:p>
  </w:footnote>
  <w:footnote w:id="119">
    <w:p w14:paraId="0397FA65"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Incentive Auction R&amp;O</w:t>
      </w:r>
      <w:r w:rsidRPr="00693B99">
        <w:t>, 29 FCC Rcd</w:t>
      </w:r>
      <w:r w:rsidRPr="00693B99">
        <w:rPr>
          <w:i/>
        </w:rPr>
        <w:t xml:space="preserve"> </w:t>
      </w:r>
      <w:r w:rsidRPr="00693B99">
        <w:t>at 6803, para. 578.</w:t>
      </w:r>
    </w:p>
  </w:footnote>
  <w:footnote w:id="120">
    <w:p w14:paraId="786DAF35"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Id.</w:t>
      </w:r>
      <w:r w:rsidRPr="00693B99">
        <w:t xml:space="preserve"> and n.1627.</w:t>
      </w:r>
    </w:p>
  </w:footnote>
  <w:footnote w:id="121">
    <w:p w14:paraId="22E77F23" w14:textId="77777777" w:rsidR="004E6293" w:rsidRPr="00693B99" w:rsidRDefault="004E6293" w:rsidP="00F17E61">
      <w:pPr>
        <w:pStyle w:val="FootnoteText"/>
      </w:pPr>
      <w:r w:rsidRPr="00693B99">
        <w:rPr>
          <w:rStyle w:val="FootnoteReference"/>
        </w:rPr>
        <w:footnoteRef/>
      </w:r>
      <w:r w:rsidRPr="00693B99">
        <w:t xml:space="preserve"> </w:t>
      </w:r>
      <w:r w:rsidRPr="00693B99">
        <w:rPr>
          <w:i/>
        </w:rPr>
        <w:t>Id.</w:t>
      </w:r>
    </w:p>
  </w:footnote>
  <w:footnote w:id="122">
    <w:p w14:paraId="2605375C" w14:textId="77777777" w:rsidR="004E6293" w:rsidRPr="00693B99" w:rsidRDefault="004E6293" w:rsidP="00966131">
      <w:pPr>
        <w:pStyle w:val="FootnoteText"/>
      </w:pPr>
      <w:r w:rsidRPr="00693B99">
        <w:rPr>
          <w:rStyle w:val="FootnoteReference"/>
        </w:rPr>
        <w:footnoteRef/>
      </w:r>
      <w:r w:rsidRPr="00693B99">
        <w:t xml:space="preserve"> </w:t>
      </w:r>
      <w:r w:rsidRPr="00693B99">
        <w:rPr>
          <w:i/>
        </w:rPr>
        <w:t xml:space="preserve">See </w:t>
      </w:r>
      <w:r w:rsidRPr="00693B99">
        <w:t xml:space="preserve">47 CFR § 73.3700(b)(4)(i) (license relinquishment station) and (ii) (channel sharee station) (directing license relinquishment and channel sharee stations to follow the license cancellation procedures in 47 CFR § 73.1750).  We clarify, because requests to cancel license are now made electronically, stations are not required to mail or otherwise send their paper license to the Commission. </w:t>
      </w:r>
    </w:p>
  </w:footnote>
  <w:footnote w:id="123">
    <w:p w14:paraId="31298F80" w14:textId="77777777"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 xml:space="preserve">47 CFR § 73.3700(c)(1).  </w:t>
      </w:r>
    </w:p>
  </w:footnote>
  <w:footnote w:id="124">
    <w:p w14:paraId="2272FB7E" w14:textId="77777777" w:rsidR="004E6293" w:rsidRPr="00693B99" w:rsidRDefault="004E6293" w:rsidP="00DE15A7">
      <w:pPr>
        <w:pStyle w:val="FootnoteText"/>
      </w:pPr>
      <w:r w:rsidRPr="00693B99">
        <w:rPr>
          <w:rStyle w:val="FootnoteReference"/>
        </w:rPr>
        <w:footnoteRef/>
      </w:r>
      <w:r w:rsidRPr="00693B99">
        <w:t xml:space="preserve"> </w:t>
      </w:r>
      <w:r w:rsidRPr="00693B99">
        <w:rPr>
          <w:i/>
        </w:rPr>
        <w:t>Incentive Auction R&amp;O</w:t>
      </w:r>
      <w:r w:rsidRPr="00693B99">
        <w:t>, 29 FCC Rcd at 6808, para. 588.</w:t>
      </w:r>
    </w:p>
  </w:footnote>
  <w:footnote w:id="125">
    <w:p w14:paraId="3026CA05" w14:textId="77777777" w:rsidR="004E6293" w:rsidRPr="00693B99" w:rsidRDefault="004E6293" w:rsidP="00DE15A7">
      <w:pPr>
        <w:pStyle w:val="FootnoteText"/>
      </w:pPr>
      <w:r w:rsidRPr="00693B99">
        <w:rPr>
          <w:rStyle w:val="FootnoteReference"/>
        </w:rPr>
        <w:footnoteRef/>
      </w:r>
      <w:r w:rsidRPr="00693B99">
        <w:t xml:space="preserve"> </w:t>
      </w:r>
      <w:r w:rsidRPr="00693B99">
        <w:rPr>
          <w:i/>
        </w:rPr>
        <w:t xml:space="preserve">See </w:t>
      </w:r>
      <w:r w:rsidRPr="00693B99">
        <w:t xml:space="preserve">47 CFR § 73.3700(c)(1); </w:t>
      </w:r>
      <w:r w:rsidRPr="00693B99">
        <w:rPr>
          <w:i/>
        </w:rPr>
        <w:t>Incentive Auction R&amp;O</w:t>
      </w:r>
      <w:r w:rsidRPr="00693B99">
        <w:t xml:space="preserve">, 29 FCC Rcd 6808, para. 588.  </w:t>
      </w:r>
      <w:r w:rsidRPr="00693B99">
        <w:rPr>
          <w:i/>
        </w:rPr>
        <w:t>See also supra</w:t>
      </w:r>
      <w:r w:rsidRPr="00693B99">
        <w:t xml:space="preserve"> n. 100 (defining a “crawl” and a text “flipper”).</w:t>
      </w:r>
    </w:p>
  </w:footnote>
  <w:footnote w:id="126">
    <w:p w14:paraId="5B20F2F6" w14:textId="5BB2F038" w:rsidR="004E6293" w:rsidRPr="00693B99" w:rsidRDefault="004E6293" w:rsidP="00DE15A7">
      <w:pPr>
        <w:pStyle w:val="FootnoteText"/>
      </w:pPr>
      <w:r w:rsidRPr="00693B99">
        <w:rPr>
          <w:rStyle w:val="FootnoteReference"/>
        </w:rPr>
        <w:footnoteRef/>
      </w:r>
      <w:r w:rsidRPr="00693B99">
        <w:t xml:space="preserve"> </w:t>
      </w:r>
      <w:r w:rsidRPr="00693B99">
        <w:rPr>
          <w:i/>
        </w:rPr>
        <w:t xml:space="preserve">See </w:t>
      </w:r>
      <w:r w:rsidRPr="00693B99">
        <w:t xml:space="preserve">47 CFR § 73.3700(c)(1); </w:t>
      </w:r>
      <w:r w:rsidRPr="00693B99">
        <w:rPr>
          <w:i/>
        </w:rPr>
        <w:t>Incentive Auction R&amp;O</w:t>
      </w:r>
      <w:r w:rsidRPr="00693B99">
        <w:t xml:space="preserve">, 29 FCC Rcd at 6808, para. 588.  For the purposes of these requirements, each broadcast day can be broken into four quarters: 6:01 am to 12:00 pm, 12:01 pm to 6:00 pm, 6:01 pm to 12:00 am, and 12:01 am to 6:00 am, and “primetime” is defined as the hours between 8:00 pm and 11:00 pm in the Eastern and Pacific time zones, and between 7:00 pm and 10:00 pm in the Mountain and Central time zones.  </w:t>
      </w:r>
      <w:r w:rsidRPr="00693B99">
        <w:rPr>
          <w:i/>
        </w:rPr>
        <w:t xml:space="preserve">See </w:t>
      </w:r>
      <w:r w:rsidRPr="00693B99">
        <w:t xml:space="preserve">47 C.F.R. § 73.3700(c)(1); </w:t>
      </w:r>
      <w:r w:rsidRPr="00693B99">
        <w:rPr>
          <w:i/>
        </w:rPr>
        <w:t>Incentive Auction R&amp;O</w:t>
      </w:r>
      <w:r w:rsidRPr="00693B99">
        <w:t>, 29 FCC Rcd at 6808 n.1662 and 1663.</w:t>
      </w:r>
    </w:p>
  </w:footnote>
  <w:footnote w:id="127">
    <w:p w14:paraId="1A15BCB5" w14:textId="77777777"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47 CFR § 73.3700(c)(4)(i).</w:t>
      </w:r>
    </w:p>
  </w:footnote>
  <w:footnote w:id="128">
    <w:p w14:paraId="4EF53076" w14:textId="77777777" w:rsidR="004E6293" w:rsidRPr="00693B99" w:rsidRDefault="004E6293" w:rsidP="00DE15A7">
      <w:pPr>
        <w:pStyle w:val="FootnoteText"/>
      </w:pPr>
      <w:r w:rsidRPr="00693B99">
        <w:rPr>
          <w:rStyle w:val="FootnoteReference"/>
        </w:rPr>
        <w:footnoteRef/>
      </w:r>
      <w:r w:rsidRPr="00693B99">
        <w:t xml:space="preserve"> 47 CFR § 73.3700(c)(4)(ii); </w:t>
      </w:r>
      <w:r w:rsidRPr="00693B99">
        <w:rPr>
          <w:i/>
        </w:rPr>
        <w:t>Incentive Auction R&amp;O</w:t>
      </w:r>
      <w:r w:rsidRPr="00693B99">
        <w:t xml:space="preserve">, 29 FCC Rcd at 6808, para. 588.  The crawls should not block any closed captioning or emergency information.  </w:t>
      </w:r>
      <w:r w:rsidRPr="00693B99">
        <w:rPr>
          <w:i/>
        </w:rPr>
        <w:t>Cf.</w:t>
      </w:r>
      <w:r w:rsidRPr="00693B99">
        <w:t xml:space="preserve"> 47 CFR § 79.2(b)(3) (prohibiting closed captioning from blocking emergency information, and vice versa).  </w:t>
      </w:r>
      <w:r w:rsidRPr="00693B99">
        <w:rPr>
          <w:i/>
        </w:rPr>
        <w:t>Incentive Auction R&amp;O</w:t>
      </w:r>
      <w:r w:rsidRPr="00693B99">
        <w:t>, 29 FCC Rcd at 6808 n.1664.</w:t>
      </w:r>
    </w:p>
  </w:footnote>
  <w:footnote w:id="129">
    <w:p w14:paraId="2F510E5D" w14:textId="77777777" w:rsidR="004E6293" w:rsidRPr="00693B99" w:rsidRDefault="004E6293">
      <w:pPr>
        <w:pStyle w:val="FootnoteText"/>
        <w:rPr>
          <w:i/>
        </w:rPr>
      </w:pPr>
      <w:r w:rsidRPr="00693B99">
        <w:rPr>
          <w:rStyle w:val="FootnoteReference"/>
        </w:rPr>
        <w:footnoteRef/>
      </w:r>
      <w:r w:rsidRPr="00693B99">
        <w:t xml:space="preserve"> 47 CFR § 73.3700(c)(5)(i)-(ii).</w:t>
      </w:r>
    </w:p>
  </w:footnote>
  <w:footnote w:id="130">
    <w:p w14:paraId="53A0C40D" w14:textId="44998824" w:rsidR="004E6293" w:rsidRPr="00693B99" w:rsidRDefault="004E6293" w:rsidP="00DE15A7">
      <w:pPr>
        <w:pStyle w:val="FootnoteText"/>
      </w:pPr>
      <w:r w:rsidRPr="00693B99">
        <w:rPr>
          <w:rStyle w:val="FootnoteReference"/>
        </w:rPr>
        <w:footnoteRef/>
      </w:r>
      <w:r w:rsidRPr="00693B99">
        <w:t xml:space="preserve"> 47 CFR § 73.3700(c)(5)(ii); </w:t>
      </w:r>
      <w:r w:rsidRPr="00693B99">
        <w:rPr>
          <w:i/>
        </w:rPr>
        <w:t>Incentive Auction R&amp;O</w:t>
      </w:r>
      <w:r w:rsidRPr="00693B99">
        <w:t xml:space="preserve">, 29 FCC Rcd at 6808, para. 588.  Broadcasters are free to air additional PSAs that do not meet all of these requirements, as long as the information included is accurate and not misleading.  </w:t>
      </w:r>
      <w:r w:rsidRPr="00693B99">
        <w:rPr>
          <w:i/>
        </w:rPr>
        <w:t>Incentive Auction R&amp;O</w:t>
      </w:r>
      <w:r w:rsidRPr="00693B99">
        <w:t xml:space="preserve">, 29 FCC Rcd at 6808 n.1666.  If a relinquishment station knows that its current programming will continue to be carried by another station in the market after it terminates operations (such as on a commonly-owned station), we encourage the relinquishment station to identify that station in its viewer notifications.  </w:t>
      </w:r>
    </w:p>
  </w:footnote>
  <w:footnote w:id="131">
    <w:p w14:paraId="598DFE63" w14:textId="77777777" w:rsidR="004E6293" w:rsidRPr="00693B99" w:rsidRDefault="004E6293" w:rsidP="00DE15A7">
      <w:pPr>
        <w:pStyle w:val="FootnoteText"/>
      </w:pPr>
      <w:r w:rsidRPr="00693B99">
        <w:rPr>
          <w:rStyle w:val="FootnoteReference"/>
        </w:rPr>
        <w:footnoteRef/>
      </w:r>
      <w:r w:rsidRPr="00693B99">
        <w:t xml:space="preserve"> </w:t>
      </w:r>
      <w:r w:rsidRPr="00693B99">
        <w:rPr>
          <w:i/>
        </w:rPr>
        <w:t>Incentive Auction R&amp;O</w:t>
      </w:r>
      <w:r w:rsidRPr="00693B99">
        <w:t>, 29 FCC Rcd at 6808-09, para. 588.</w:t>
      </w:r>
    </w:p>
  </w:footnote>
  <w:footnote w:id="132">
    <w:p w14:paraId="376509BC" w14:textId="77777777" w:rsidR="004E6293" w:rsidRPr="00693B99" w:rsidRDefault="004E6293" w:rsidP="00DE15A7">
      <w:pPr>
        <w:pStyle w:val="FootnoteText"/>
      </w:pPr>
      <w:r w:rsidRPr="00693B99">
        <w:rPr>
          <w:rStyle w:val="FootnoteReference"/>
        </w:rPr>
        <w:footnoteRef/>
      </w:r>
      <w:r w:rsidRPr="00693B99">
        <w:t xml:space="preserve"> </w:t>
      </w:r>
      <w:r w:rsidRPr="00693B99">
        <w:rPr>
          <w:i/>
        </w:rPr>
        <w:t>See</w:t>
      </w:r>
      <w:r w:rsidRPr="00693B99">
        <w:t xml:space="preserve"> 47 CFR § 73.3700(c)(2); </w:t>
      </w:r>
      <w:r w:rsidRPr="00693B99">
        <w:rPr>
          <w:i/>
        </w:rPr>
        <w:t>Incentive Auction R&amp;O</w:t>
      </w:r>
      <w:r w:rsidRPr="00693B99">
        <w:t>, 29 FCC Rcd at 6809, para. 589.</w:t>
      </w:r>
    </w:p>
  </w:footnote>
  <w:footnote w:id="133">
    <w:p w14:paraId="3A334F1C" w14:textId="77777777" w:rsidR="004E6293" w:rsidRPr="00693B99" w:rsidRDefault="004E6293">
      <w:pPr>
        <w:pStyle w:val="FootnoteText"/>
      </w:pPr>
      <w:r w:rsidRPr="00693B99">
        <w:rPr>
          <w:rStyle w:val="FootnoteReference"/>
        </w:rPr>
        <w:footnoteRef/>
      </w:r>
      <w:r w:rsidRPr="00693B99">
        <w:t xml:space="preserve"> </w:t>
      </w:r>
      <w:r w:rsidRPr="00693B99">
        <w:rPr>
          <w:i/>
        </w:rPr>
        <w:t>Incentive Auction R&amp;O</w:t>
      </w:r>
      <w:r w:rsidRPr="00693B99">
        <w:t>, 29 FCC Rcd at 6809, para. 589.</w:t>
      </w:r>
    </w:p>
  </w:footnote>
  <w:footnote w:id="134">
    <w:p w14:paraId="5D6EA888" w14:textId="77777777" w:rsidR="004E6293" w:rsidRPr="00693B99" w:rsidRDefault="004E6293" w:rsidP="00DE15A7">
      <w:pPr>
        <w:pStyle w:val="FootnoteText"/>
      </w:pPr>
      <w:r w:rsidRPr="00693B99">
        <w:rPr>
          <w:rStyle w:val="FootnoteReference"/>
        </w:rPr>
        <w:footnoteRef/>
      </w:r>
      <w:r w:rsidRPr="00693B99">
        <w:t xml:space="preserve"> </w:t>
      </w:r>
      <w:r w:rsidRPr="00693B99">
        <w:rPr>
          <w:i/>
        </w:rPr>
        <w:t>Id.</w:t>
      </w:r>
    </w:p>
  </w:footnote>
  <w:footnote w:id="135">
    <w:p w14:paraId="79444E8E" w14:textId="77777777" w:rsidR="004E6293" w:rsidRPr="00693B99" w:rsidRDefault="004E6293" w:rsidP="006B3708">
      <w:pPr>
        <w:pStyle w:val="FootnoteText"/>
      </w:pPr>
      <w:r w:rsidRPr="00693B99">
        <w:rPr>
          <w:rStyle w:val="FootnoteReference"/>
        </w:rPr>
        <w:footnoteRef/>
      </w:r>
      <w:r w:rsidRPr="00693B99">
        <w:t xml:space="preserve"> 47 CFR § 73.3700(c)(6); </w:t>
      </w:r>
      <w:r w:rsidRPr="00693B99">
        <w:rPr>
          <w:i/>
        </w:rPr>
        <w:t>see also</w:t>
      </w:r>
      <w:r w:rsidRPr="00693B99">
        <w:t xml:space="preserve"> </w:t>
      </w:r>
      <w:r w:rsidRPr="00693B99">
        <w:rPr>
          <w:i/>
        </w:rPr>
        <w:t>Incentive Auction R&amp;O</w:t>
      </w:r>
      <w:r w:rsidRPr="00693B99">
        <w:t>, 29 FCC Rcd at 6809, para. 590.</w:t>
      </w:r>
    </w:p>
  </w:footnote>
  <w:footnote w:id="136">
    <w:p w14:paraId="4C86A608" w14:textId="77777777" w:rsidR="004E6293" w:rsidRPr="00693B99" w:rsidRDefault="004E6293" w:rsidP="00531A22">
      <w:pPr>
        <w:pStyle w:val="FootnoteText"/>
      </w:pPr>
      <w:r w:rsidRPr="00693B99">
        <w:rPr>
          <w:rStyle w:val="FootnoteReference"/>
        </w:rPr>
        <w:footnoteRef/>
      </w:r>
      <w:r w:rsidRPr="00693B99">
        <w:t xml:space="preserve"> </w:t>
      </w:r>
      <w:r w:rsidRPr="00693B99">
        <w:rPr>
          <w:i/>
        </w:rPr>
        <w:t xml:space="preserve">See </w:t>
      </w:r>
      <w:r w:rsidRPr="00693B99">
        <w:t xml:space="preserve">47 CFR § 73.3700(d)(1)(i)-(iii); </w:t>
      </w:r>
      <w:r w:rsidRPr="00693B99">
        <w:rPr>
          <w:i/>
        </w:rPr>
        <w:t>Incentive Auction R&amp;O</w:t>
      </w:r>
      <w:r w:rsidRPr="00693B99">
        <w:t>, 29 FCC Rcd at 6810, para. 594.</w:t>
      </w:r>
    </w:p>
  </w:footnote>
  <w:footnote w:id="137">
    <w:p w14:paraId="649C51E7" w14:textId="77777777"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 xml:space="preserve">47 CFR § 73.3700(d)(2); </w:t>
      </w:r>
      <w:r w:rsidRPr="00693B99">
        <w:rPr>
          <w:i/>
        </w:rPr>
        <w:t>Incentive Auction R&amp;O</w:t>
      </w:r>
      <w:r w:rsidRPr="00693B99">
        <w:t>, 29 FCC Rcd at 6811, para. 595.</w:t>
      </w:r>
    </w:p>
  </w:footnote>
  <w:footnote w:id="138">
    <w:p w14:paraId="5BFEF251" w14:textId="77777777"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 xml:space="preserve">47 CFR § 73.3700(d)(4); </w:t>
      </w:r>
      <w:r w:rsidRPr="00693B99">
        <w:rPr>
          <w:i/>
        </w:rPr>
        <w:t>Incentive Auction R&amp;O</w:t>
      </w:r>
      <w:r w:rsidRPr="00693B99">
        <w:t>, 29 FCC Rcd at 6811, para. 595.  Where COALS includes an email address with the official address of record the letter may be sent electronically.</w:t>
      </w:r>
    </w:p>
  </w:footnote>
  <w:footnote w:id="139">
    <w:p w14:paraId="5EA300BD" w14:textId="77777777" w:rsidR="004E6293" w:rsidRPr="00693B99" w:rsidRDefault="004E6293" w:rsidP="00531A22">
      <w:pPr>
        <w:pStyle w:val="FootnoteText"/>
        <w:rPr>
          <w:i/>
        </w:rPr>
      </w:pPr>
      <w:r w:rsidRPr="00693B99">
        <w:rPr>
          <w:rStyle w:val="FootnoteReference"/>
        </w:rPr>
        <w:footnoteRef/>
      </w:r>
      <w:r w:rsidRPr="00693B99">
        <w:t xml:space="preserve"> </w:t>
      </w:r>
      <w:r w:rsidRPr="00693B99">
        <w:rPr>
          <w:i/>
        </w:rPr>
        <w:t>Id</w:t>
      </w:r>
      <w:r w:rsidRPr="00693B99">
        <w:t>. Where the official corporate address registered with the MVPD’s state of incorporation includes a form of electronic communication the letter may be sent electronically.</w:t>
      </w:r>
    </w:p>
  </w:footnote>
  <w:footnote w:id="140">
    <w:p w14:paraId="2E604168" w14:textId="77777777"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47 CFR § 73.3700(d)(5)(i).</w:t>
      </w:r>
    </w:p>
  </w:footnote>
  <w:footnote w:id="141">
    <w:p w14:paraId="3DB9F817" w14:textId="77777777" w:rsidR="004E6293" w:rsidRPr="00693B99" w:rsidRDefault="004E6293" w:rsidP="00531A22">
      <w:pPr>
        <w:pStyle w:val="FootnoteText"/>
      </w:pPr>
      <w:r w:rsidRPr="00693B99">
        <w:rPr>
          <w:rStyle w:val="FootnoteReference"/>
        </w:rPr>
        <w:footnoteRef/>
      </w:r>
      <w:r w:rsidRPr="00693B99">
        <w:t xml:space="preserve"> </w:t>
      </w:r>
      <w:r w:rsidRPr="00693B99">
        <w:rPr>
          <w:i/>
        </w:rPr>
        <w:t xml:space="preserve">See </w:t>
      </w:r>
      <w:r w:rsidRPr="00693B99">
        <w:t xml:space="preserve">47 CFR § 73.3700(d)(5)(v); </w:t>
      </w:r>
      <w:r w:rsidRPr="00693B99">
        <w:rPr>
          <w:i/>
        </w:rPr>
        <w:t>Incentive Auction R&amp;O</w:t>
      </w:r>
      <w:r w:rsidRPr="00693B99">
        <w:t>, 29 FCC Rcd at 6811, para. 596.</w:t>
      </w:r>
    </w:p>
  </w:footnote>
  <w:footnote w:id="142">
    <w:p w14:paraId="226F64DF" w14:textId="5108ADCF" w:rsidR="004E6293" w:rsidRPr="00693B99" w:rsidRDefault="004E6293">
      <w:pPr>
        <w:pStyle w:val="FootnoteText"/>
      </w:pPr>
      <w:r w:rsidRPr="00693B99">
        <w:rPr>
          <w:rStyle w:val="FootnoteReference"/>
        </w:rPr>
        <w:footnoteRef/>
      </w:r>
      <w:r w:rsidRPr="00693B99">
        <w:t xml:space="preserve"> We clarify that, absent any contrary information from the station, any station that indicated it had a pre-auction CSA and/or an intent to channel share on its reverse auction FCC Form 177 will be considered a channel sharee station until the station fails to meet or obtain a waiver of a deadline applicable to it as a channel sharee.</w:t>
      </w:r>
    </w:p>
  </w:footnote>
  <w:footnote w:id="143">
    <w:p w14:paraId="267D82AD" w14:textId="67EFF737" w:rsidR="004E6293" w:rsidRPr="00693B99" w:rsidRDefault="004E6293" w:rsidP="00D53E10">
      <w:pPr>
        <w:pStyle w:val="FootnoteText"/>
      </w:pPr>
      <w:r w:rsidRPr="00693B99">
        <w:rPr>
          <w:rStyle w:val="FootnoteReference"/>
        </w:rPr>
        <w:footnoteRef/>
      </w:r>
      <w:r w:rsidRPr="00693B99">
        <w:t xml:space="preserve"> 47 CFR §§ 73.3700(b)(3), 73.3700(b)(4)(ii).  </w:t>
      </w:r>
      <w:r w:rsidRPr="00693B99">
        <w:rPr>
          <w:i/>
        </w:rPr>
        <w:t>See also</w:t>
      </w:r>
      <w:r w:rsidRPr="00693B99">
        <w:t xml:space="preserve"> </w:t>
      </w:r>
      <w:r w:rsidRPr="00693B99">
        <w:rPr>
          <w:i/>
        </w:rPr>
        <w:t>Third Reconsideration</w:t>
      </w:r>
      <w:r w:rsidRPr="00693B99">
        <w:t xml:space="preserve">, 30 FCC Rcd at 12020, para. 11.  The Department of the Treasury (U.S. Treasury) will disburse incentive payments subject to all applicable laws and procedures and in accordance with the payment instructions provided by a relinquishing licensee to the Commission.  </w:t>
      </w:r>
      <w:r w:rsidRPr="00693B99">
        <w:rPr>
          <w:i/>
        </w:rPr>
        <w:t>See Wireless Telecommunications Bureau Clarifies Procedure For Disbursing Reverse Auction Incentive Payments</w:t>
      </w:r>
      <w:r w:rsidRPr="00693B99">
        <w:t>, Public Notice, 30 FCC Rcd 13613 (2015).</w:t>
      </w:r>
    </w:p>
  </w:footnote>
  <w:footnote w:id="144">
    <w:p w14:paraId="380ADB26" w14:textId="77777777" w:rsidR="004E6293" w:rsidRPr="00693B99" w:rsidRDefault="004E6293" w:rsidP="00D53E10">
      <w:pPr>
        <w:pStyle w:val="FootnoteText"/>
      </w:pPr>
      <w:r w:rsidRPr="00693B99">
        <w:rPr>
          <w:rStyle w:val="FootnoteReference"/>
        </w:rPr>
        <w:footnoteRef/>
      </w:r>
      <w:r w:rsidRPr="00693B99">
        <w:t xml:space="preserve"> 47 CFR § 73.3700(b)(1)(vii). </w:t>
      </w:r>
    </w:p>
  </w:footnote>
  <w:footnote w:id="145">
    <w:p w14:paraId="13861268"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Id</w:t>
      </w:r>
      <w:r w:rsidRPr="00693B99">
        <w:t xml:space="preserve">.  </w:t>
      </w:r>
      <w:r w:rsidRPr="00693B99">
        <w:rPr>
          <w:i/>
        </w:rPr>
        <w:t>See also</w:t>
      </w:r>
      <w:r w:rsidRPr="00693B99">
        <w:t xml:space="preserve"> </w:t>
      </w:r>
      <w:r w:rsidRPr="00693B99">
        <w:rPr>
          <w:i/>
        </w:rPr>
        <w:t>First Reconsideration</w:t>
      </w:r>
      <w:r w:rsidRPr="00693B99">
        <w:t>, 30 FCC Rcd at 6678-9, para. 28.</w:t>
      </w:r>
    </w:p>
  </w:footnote>
  <w:footnote w:id="146">
    <w:p w14:paraId="197CCBD7" w14:textId="77777777" w:rsidR="004E6293" w:rsidRPr="00693B99" w:rsidRDefault="004E6293" w:rsidP="00D53E10">
      <w:pPr>
        <w:pStyle w:val="FootnoteText"/>
      </w:pPr>
      <w:r w:rsidRPr="00693B99">
        <w:rPr>
          <w:rStyle w:val="FootnoteReference"/>
        </w:rPr>
        <w:footnoteRef/>
      </w:r>
      <w:r w:rsidRPr="00693B99">
        <w:t xml:space="preserve"> 47 CFR § 73.3700(b)(1)(vii).</w:t>
      </w:r>
    </w:p>
  </w:footnote>
  <w:footnote w:id="147">
    <w:p w14:paraId="63A4C973" w14:textId="77777777" w:rsidR="004E6293" w:rsidRPr="00693B99" w:rsidRDefault="004E6293" w:rsidP="008D5ECB">
      <w:pPr>
        <w:pStyle w:val="FootnoteText"/>
      </w:pPr>
      <w:r w:rsidRPr="00693B99">
        <w:rPr>
          <w:rStyle w:val="FootnoteReference"/>
        </w:rPr>
        <w:footnoteRef/>
      </w:r>
      <w:r w:rsidRPr="00693B99">
        <w:t xml:space="preserve"> 47 CFR § 73.3700(b)(1).</w:t>
      </w:r>
    </w:p>
  </w:footnote>
  <w:footnote w:id="148">
    <w:p w14:paraId="43D13285" w14:textId="1A7E2854" w:rsidR="004E6293" w:rsidRPr="00693B99" w:rsidRDefault="004E6293" w:rsidP="008D5ECB">
      <w:pPr>
        <w:pStyle w:val="FootnoteText"/>
      </w:pPr>
      <w:r w:rsidRPr="00693B99">
        <w:rPr>
          <w:rStyle w:val="FootnoteReference"/>
        </w:rPr>
        <w:footnoteRef/>
      </w:r>
      <w:r w:rsidRPr="00693B99">
        <w:t xml:space="preserve"> Under these circumstances, the sharee also may need to request a waiver of the deadline to discontinue operations on its pre-auction channel and commence shared operations.  Such a waiver is discussed in Section IV.C.4. </w:t>
      </w:r>
    </w:p>
  </w:footnote>
  <w:footnote w:id="149">
    <w:p w14:paraId="4B8BE7D1" w14:textId="77777777" w:rsidR="004E6293" w:rsidRPr="00693B99" w:rsidRDefault="004E6293" w:rsidP="00FB31D4">
      <w:pPr>
        <w:pStyle w:val="FootnoteText"/>
      </w:pPr>
      <w:r w:rsidRPr="00693B99">
        <w:rPr>
          <w:rStyle w:val="FootnoteReference"/>
        </w:rPr>
        <w:footnoteRef/>
      </w:r>
      <w:r w:rsidRPr="00693B99">
        <w:t xml:space="preserve"> 47 CFR § 73.3700(b)(4)(i) (license relinquishment station) and (ii) (channel sharee station) (directing license relinquishment and channel sharee stations to follow the license cancellation procedures in 47 CFR § 73.1750).  We clarify, because requests to cancel license are now made electronically, stations are not required to mail or otherwise send their paper license to the Commission.</w:t>
      </w:r>
    </w:p>
  </w:footnote>
  <w:footnote w:id="150">
    <w:p w14:paraId="51490C0D" w14:textId="77777777" w:rsidR="004E6293" w:rsidRPr="00693B99" w:rsidRDefault="004E6293">
      <w:pPr>
        <w:pStyle w:val="FootnoteText"/>
      </w:pPr>
      <w:r w:rsidRPr="00693B99">
        <w:rPr>
          <w:rStyle w:val="FootnoteReference"/>
        </w:rPr>
        <w:footnoteRef/>
      </w:r>
      <w:r w:rsidRPr="00693B99">
        <w:t xml:space="preserve"> </w:t>
      </w:r>
      <w:r w:rsidRPr="00693B99">
        <w:rPr>
          <w:i/>
        </w:rPr>
        <w:t>See</w:t>
      </w:r>
      <w:r w:rsidRPr="00693B99">
        <w:t xml:space="preserve"> 47 CFR § 73.1620(a)(1).</w:t>
      </w:r>
    </w:p>
  </w:footnote>
  <w:footnote w:id="151">
    <w:p w14:paraId="7A60215E" w14:textId="77777777" w:rsidR="004E6293" w:rsidRPr="00693B99" w:rsidRDefault="004E6293">
      <w:pPr>
        <w:pStyle w:val="FootnoteText"/>
      </w:pPr>
      <w:r w:rsidRPr="00693B99">
        <w:rPr>
          <w:rStyle w:val="FootnoteReference"/>
        </w:rPr>
        <w:footnoteRef/>
      </w:r>
      <w:r w:rsidRPr="00693B99">
        <w:t xml:space="preserve"> </w:t>
      </w:r>
      <w:r w:rsidRPr="00693B99">
        <w:rPr>
          <w:i/>
        </w:rPr>
        <w:t>See supra</w:t>
      </w:r>
      <w:r w:rsidRPr="00693B99">
        <w:t xml:space="preserve"> para. 65.</w:t>
      </w:r>
    </w:p>
  </w:footnote>
  <w:footnote w:id="152">
    <w:p w14:paraId="54ECFA66" w14:textId="77777777" w:rsidR="004E6293" w:rsidRPr="00693B99" w:rsidRDefault="004E6293" w:rsidP="00A160BF">
      <w:pPr>
        <w:pStyle w:val="FootnoteText"/>
      </w:pPr>
      <w:r w:rsidRPr="00693B99">
        <w:rPr>
          <w:rStyle w:val="FootnoteReference"/>
        </w:rPr>
        <w:footnoteRef/>
      </w:r>
      <w:r w:rsidRPr="00693B99">
        <w:t xml:space="preserve"> </w:t>
      </w:r>
      <w:r w:rsidRPr="00693B99">
        <w:rPr>
          <w:i/>
        </w:rPr>
        <w:t>See Incentive Auction R&amp;O</w:t>
      </w:r>
      <w:r w:rsidRPr="00693B99">
        <w:t>, 29 FCC Rcd</w:t>
      </w:r>
      <w:r w:rsidRPr="00693B99">
        <w:rPr>
          <w:i/>
        </w:rPr>
        <w:t xml:space="preserve"> </w:t>
      </w:r>
      <w:r w:rsidRPr="00693B99">
        <w:t xml:space="preserve">at 6803, para. 578; </w:t>
      </w:r>
      <w:r w:rsidRPr="00693B99">
        <w:rPr>
          <w:i/>
        </w:rPr>
        <w:t>Third Reconsideration</w:t>
      </w:r>
      <w:r w:rsidRPr="00693B99">
        <w:t xml:space="preserve">, 30 FCC Rcd at 12020, para. 11.  </w:t>
      </w:r>
      <w:r w:rsidRPr="00693B99">
        <w:rPr>
          <w:i/>
        </w:rPr>
        <w:t xml:space="preserve">See also </w:t>
      </w:r>
      <w:r w:rsidRPr="00693B99">
        <w:t xml:space="preserve">47 CFR § 1.3. </w:t>
      </w:r>
    </w:p>
  </w:footnote>
  <w:footnote w:id="153">
    <w:p w14:paraId="224F0096" w14:textId="77777777" w:rsidR="004E6293" w:rsidRPr="00693B99" w:rsidRDefault="004E6293" w:rsidP="00A160BF">
      <w:pPr>
        <w:pStyle w:val="FootnoteText"/>
      </w:pPr>
      <w:r w:rsidRPr="00693B99">
        <w:rPr>
          <w:rStyle w:val="FootnoteReference"/>
        </w:rPr>
        <w:footnoteRef/>
      </w:r>
      <w:r w:rsidRPr="00693B99">
        <w:t xml:space="preserve"> </w:t>
      </w:r>
      <w:r w:rsidRPr="00693B99">
        <w:rPr>
          <w:i/>
        </w:rPr>
        <w:t>Third Reconsideration</w:t>
      </w:r>
      <w:r w:rsidRPr="00693B99">
        <w:t>, 30 FCC Rcd at 12020, para. 11.</w:t>
      </w:r>
    </w:p>
  </w:footnote>
  <w:footnote w:id="154">
    <w:p w14:paraId="4BD632B0" w14:textId="74DDE8D7" w:rsidR="004E6293" w:rsidRPr="00693B99" w:rsidRDefault="004E6293" w:rsidP="00A160BF">
      <w:pPr>
        <w:pStyle w:val="FootnoteText"/>
      </w:pPr>
      <w:r w:rsidRPr="00693B99">
        <w:rPr>
          <w:rStyle w:val="FootnoteReference"/>
        </w:rPr>
        <w:footnoteRef/>
      </w:r>
      <w:r w:rsidRPr="00693B99">
        <w:t xml:space="preserve"> </w:t>
      </w:r>
      <w:r w:rsidRPr="00693B99">
        <w:rPr>
          <w:i/>
        </w:rPr>
        <w:t>Incentive Auction R&amp;O</w:t>
      </w:r>
      <w:r w:rsidRPr="00693B99">
        <w:t>, 29 FCC Rcd at 6803 n.1627.</w:t>
      </w:r>
    </w:p>
  </w:footnote>
  <w:footnote w:id="155">
    <w:p w14:paraId="73636C9E" w14:textId="003A8781" w:rsidR="004E6293" w:rsidRPr="00693B99" w:rsidRDefault="004E6293" w:rsidP="00D53E10">
      <w:pPr>
        <w:pStyle w:val="FootnoteText"/>
      </w:pPr>
      <w:r w:rsidRPr="00693B99">
        <w:rPr>
          <w:rStyle w:val="FootnoteReference"/>
        </w:rPr>
        <w:footnoteRef/>
      </w:r>
      <w:r w:rsidRPr="00693B99">
        <w:t xml:space="preserve"> 47 CFR § 73.3700(c)(2); </w:t>
      </w:r>
      <w:r w:rsidRPr="00693B99">
        <w:rPr>
          <w:i/>
        </w:rPr>
        <w:t>Second Reconsideration</w:t>
      </w:r>
      <w:r w:rsidRPr="00693B99">
        <w:t xml:space="preserve">, 30 FCC Rcd at 6819-20, para. 165.  </w:t>
      </w:r>
      <w:r w:rsidRPr="00693B99">
        <w:rPr>
          <w:i/>
        </w:rPr>
        <w:t>See also supra</w:t>
      </w:r>
      <w:r w:rsidRPr="00693B99">
        <w:t xml:space="preserve"> n.100 (defining a “crawl” and a text “flipper”). </w:t>
      </w:r>
    </w:p>
  </w:footnote>
  <w:footnote w:id="156">
    <w:p w14:paraId="484ACBB4" w14:textId="606D1C07" w:rsidR="004E6293" w:rsidRPr="00693B99" w:rsidRDefault="004E6293" w:rsidP="00D53E10">
      <w:pPr>
        <w:pStyle w:val="FootnoteText"/>
      </w:pPr>
      <w:r w:rsidRPr="00693B99">
        <w:rPr>
          <w:rStyle w:val="FootnoteReference"/>
        </w:rPr>
        <w:footnoteRef/>
      </w:r>
      <w:r w:rsidRPr="00693B99">
        <w:t xml:space="preserve"> </w:t>
      </w:r>
      <w:r w:rsidRPr="00693B99">
        <w:rPr>
          <w:i/>
        </w:rPr>
        <w:t>Second Reconsideration</w:t>
      </w:r>
      <w:r w:rsidRPr="00693B99">
        <w:t xml:space="preserve">, 30 FCC Rcd at 6819-20, para. 165.  Broadcasters are free to air additional PSAs that do not meet all of these requirements, as long as the information included is accurate and not misleading.  </w:t>
      </w:r>
      <w:r w:rsidRPr="00693B99">
        <w:rPr>
          <w:i/>
        </w:rPr>
        <w:t>Incentive Auction R&amp;O</w:t>
      </w:r>
      <w:r w:rsidRPr="00693B99">
        <w:t>, 29 FCC Rcd at 6808 n.1666.</w:t>
      </w:r>
    </w:p>
  </w:footnote>
  <w:footnote w:id="157">
    <w:p w14:paraId="78759E37"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See</w:t>
      </w:r>
      <w:r w:rsidRPr="00693B99">
        <w:t xml:space="preserve"> 47 CFR § 73.3700(c).  </w:t>
      </w:r>
    </w:p>
  </w:footnote>
  <w:footnote w:id="158">
    <w:p w14:paraId="53439E6A" w14:textId="77777777" w:rsidR="004E6293" w:rsidRPr="00693B99" w:rsidRDefault="004E6293" w:rsidP="00D53E10">
      <w:pPr>
        <w:pStyle w:val="FootnoteText"/>
      </w:pPr>
      <w:r w:rsidRPr="00693B99">
        <w:rPr>
          <w:rStyle w:val="FootnoteReference"/>
        </w:rPr>
        <w:footnoteRef/>
      </w:r>
      <w:r w:rsidRPr="00693B99">
        <w:t xml:space="preserve"> 47 CFR § 73.3700(c)(6).  </w:t>
      </w:r>
      <w:r w:rsidRPr="00693B99">
        <w:rPr>
          <w:i/>
        </w:rPr>
        <w:t>See also Incentive Auction R&amp;O</w:t>
      </w:r>
      <w:r w:rsidRPr="00693B99">
        <w:t>, 29 FCC Rcd at 6809, para. 590.</w:t>
      </w:r>
    </w:p>
  </w:footnote>
  <w:footnote w:id="159">
    <w:p w14:paraId="64211ADA" w14:textId="2B9100E3" w:rsidR="004E6293" w:rsidRPr="00693B99" w:rsidRDefault="004E6293" w:rsidP="00D53E10">
      <w:pPr>
        <w:pStyle w:val="FootnoteText"/>
      </w:pPr>
      <w:r w:rsidRPr="00693B99">
        <w:rPr>
          <w:rStyle w:val="FootnoteReference"/>
        </w:rPr>
        <w:footnoteRef/>
      </w:r>
      <w:r w:rsidRPr="00693B99">
        <w:t xml:space="preserve"> </w:t>
      </w:r>
      <w:r w:rsidRPr="00693B99">
        <w:rPr>
          <w:i/>
        </w:rPr>
        <w:t>See Incentive Auction R&amp;O</w:t>
      </w:r>
      <w:r w:rsidRPr="00693B99">
        <w:t>, 29 FCC Rcd at 6807 n.1656.</w:t>
      </w:r>
    </w:p>
  </w:footnote>
  <w:footnote w:id="160">
    <w:p w14:paraId="65100EEF"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 xml:space="preserve">See </w:t>
      </w:r>
      <w:r w:rsidRPr="00693B99">
        <w:t xml:space="preserve">47 CFR § 73.3700(d)(1)(i)-(iii); </w:t>
      </w:r>
      <w:r w:rsidRPr="00693B99">
        <w:rPr>
          <w:i/>
        </w:rPr>
        <w:t>Incentive Auction R&amp;O</w:t>
      </w:r>
      <w:r w:rsidRPr="00693B99">
        <w:t>, 29 FCC Rcd at 6810, para. 594.</w:t>
      </w:r>
    </w:p>
  </w:footnote>
  <w:footnote w:id="161">
    <w:p w14:paraId="3419DCB0"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 xml:space="preserve">See </w:t>
      </w:r>
      <w:r w:rsidRPr="00693B99">
        <w:t xml:space="preserve">47 CFR § 73.3700(d)(2); </w:t>
      </w:r>
      <w:r w:rsidRPr="00693B99">
        <w:rPr>
          <w:i/>
        </w:rPr>
        <w:t>Incentive Auction R&amp;O</w:t>
      </w:r>
      <w:r w:rsidRPr="00693B99">
        <w:t>, 29 FCC Rcd at 6811, para. 595.</w:t>
      </w:r>
    </w:p>
  </w:footnote>
  <w:footnote w:id="162">
    <w:p w14:paraId="5F341B0F"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 xml:space="preserve">See </w:t>
      </w:r>
      <w:r w:rsidRPr="00693B99">
        <w:t xml:space="preserve">47 CFR § 73.3700(d)(3). </w:t>
      </w:r>
    </w:p>
  </w:footnote>
  <w:footnote w:id="163">
    <w:p w14:paraId="6CFF0775"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 xml:space="preserve">See </w:t>
      </w:r>
      <w:r w:rsidRPr="00693B99">
        <w:t xml:space="preserve">47 CFR § 73.3700(d)(4); </w:t>
      </w:r>
      <w:r w:rsidRPr="00693B99">
        <w:rPr>
          <w:i/>
        </w:rPr>
        <w:t>Incentive Auction R&amp;O</w:t>
      </w:r>
      <w:r w:rsidRPr="00693B99">
        <w:t>, 29 FCC Rcd at 6811, para. 595.  Where COALS includes an email address with the official address of record the letter may be sent electronically.</w:t>
      </w:r>
    </w:p>
  </w:footnote>
  <w:footnote w:id="164">
    <w:p w14:paraId="0ECDFAC2"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Id.</w:t>
      </w:r>
      <w:r w:rsidRPr="00693B99">
        <w:t xml:space="preserve">  Where the official corporate address registered with the MVPD’s state of incorporation includes a form of electronic communication the letter may be sent electronically.</w:t>
      </w:r>
    </w:p>
  </w:footnote>
  <w:footnote w:id="165">
    <w:p w14:paraId="0F19A3A5"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 xml:space="preserve">See </w:t>
      </w:r>
      <w:r w:rsidRPr="00693B99">
        <w:t xml:space="preserve">47 CFR § 73.3700(d)(5)(i)-(iii); </w:t>
      </w:r>
      <w:r w:rsidRPr="00693B99">
        <w:rPr>
          <w:i/>
        </w:rPr>
        <w:t>Incentive Auction R&amp;O</w:t>
      </w:r>
      <w:r w:rsidRPr="00693B99">
        <w:t>, 29 FCC Rcd at 6811, para. 596.</w:t>
      </w:r>
    </w:p>
  </w:footnote>
  <w:footnote w:id="166">
    <w:p w14:paraId="65A7A923" w14:textId="77777777" w:rsidR="004E6293" w:rsidRPr="00693B99" w:rsidRDefault="004E6293" w:rsidP="00D53E10">
      <w:pPr>
        <w:pStyle w:val="FootnoteText"/>
      </w:pPr>
      <w:r w:rsidRPr="00693B99">
        <w:rPr>
          <w:rStyle w:val="FootnoteReference"/>
        </w:rPr>
        <w:footnoteRef/>
      </w:r>
      <w:r w:rsidRPr="00693B99">
        <w:t xml:space="preserve"> </w:t>
      </w:r>
      <w:r w:rsidRPr="00693B99">
        <w:rPr>
          <w:i/>
        </w:rPr>
        <w:t xml:space="preserve">See </w:t>
      </w:r>
      <w:r w:rsidRPr="00693B99">
        <w:t xml:space="preserve">47 CFR § 73.3700(d)(5)(v); </w:t>
      </w:r>
      <w:r w:rsidRPr="00693B99">
        <w:rPr>
          <w:i/>
        </w:rPr>
        <w:t>Incentive Auction R&amp;O</w:t>
      </w:r>
      <w:r w:rsidRPr="00693B99">
        <w:t>, 29 FCC Rcd at 6811, para. 596.</w:t>
      </w:r>
    </w:p>
  </w:footnote>
  <w:footnote w:id="167">
    <w:p w14:paraId="6C108665" w14:textId="77777777" w:rsidR="004E6293" w:rsidRPr="00693B99" w:rsidRDefault="004E6293" w:rsidP="00B568A6">
      <w:pPr>
        <w:pStyle w:val="FootnoteText"/>
      </w:pPr>
      <w:r w:rsidRPr="00693B99">
        <w:rPr>
          <w:rStyle w:val="FootnoteReference"/>
        </w:rPr>
        <w:footnoteRef/>
      </w:r>
      <w:r w:rsidRPr="00693B99">
        <w:t xml:space="preserve"> </w:t>
      </w:r>
      <w:r w:rsidRPr="00693B99">
        <w:rPr>
          <w:i/>
        </w:rPr>
        <w:t xml:space="preserve">Transition Scheduling Adoption Public Notice </w:t>
      </w:r>
      <w:r w:rsidRPr="00693B99">
        <w:t>at 22-24, paras. 47-52</w:t>
      </w:r>
      <w:r w:rsidRPr="00693B99">
        <w:rPr>
          <w:i/>
        </w:rPr>
        <w:t>.</w:t>
      </w:r>
    </w:p>
  </w:footnote>
  <w:footnote w:id="168">
    <w:p w14:paraId="5100B2FF" w14:textId="303A1B8A" w:rsidR="004E6293" w:rsidRPr="00693B99" w:rsidRDefault="004E6293" w:rsidP="00B568A6">
      <w:pPr>
        <w:pStyle w:val="FootnoteText"/>
        <w:widowControl w:val="0"/>
      </w:pPr>
      <w:r w:rsidRPr="00693B99">
        <w:rPr>
          <w:rStyle w:val="FootnoteReference"/>
        </w:rPr>
        <w:footnoteRef/>
      </w:r>
      <w:r w:rsidRPr="00693B99">
        <w:t xml:space="preserve"> </w:t>
      </w:r>
      <w:r w:rsidRPr="00693B99">
        <w:rPr>
          <w:i/>
        </w:rPr>
        <w:t xml:space="preserve">Id. </w:t>
      </w:r>
      <w:r w:rsidRPr="00693B99">
        <w:t>at 2</w:t>
      </w:r>
      <w:r w:rsidR="008E0D99" w:rsidRPr="00693B99">
        <w:t>2-2</w:t>
      </w:r>
      <w:r w:rsidRPr="00693B99">
        <w:t xml:space="preserve">3, para. 49 and n.153.  If an application for an alternate channel or expanded facility is granted, the initial deadline listed in the construction permit for the alternate channel or expanded facility will be the same as the deadline in the station’s initial construction permit.  </w:t>
      </w:r>
      <w:r w:rsidRPr="00693B99">
        <w:rPr>
          <w:i/>
        </w:rPr>
        <w:t>See Incentive Auction R&amp;O</w:t>
      </w:r>
      <w:r w:rsidRPr="00693B99">
        <w:t xml:space="preserve">, 29 FCC Rcd at 6793-94 n.1570.  Thus, any station requesting an expanded facility or alternate channel will be required to abide by the construction deadline and other transition schedule requirements applicable to the phase to which the station is assigned unless otherwise modified by the Media Bureau. </w:t>
      </w:r>
    </w:p>
  </w:footnote>
  <w:footnote w:id="169">
    <w:p w14:paraId="22DFC677" w14:textId="546F1460" w:rsidR="004E6293" w:rsidRPr="00693B99" w:rsidRDefault="004E6293" w:rsidP="00B568A6">
      <w:pPr>
        <w:pStyle w:val="FootnoteText"/>
        <w:widowControl w:val="0"/>
      </w:pPr>
      <w:r w:rsidRPr="00693B99">
        <w:rPr>
          <w:rStyle w:val="FootnoteReference"/>
        </w:rPr>
        <w:footnoteRef/>
      </w:r>
      <w:r w:rsidRPr="00693B99">
        <w:t xml:space="preserve"> </w:t>
      </w:r>
      <w:r w:rsidRPr="00693B99">
        <w:rPr>
          <w:i/>
        </w:rPr>
        <w:t xml:space="preserve"> Transition Scheduling Adoption Public Notice </w:t>
      </w:r>
      <w:r w:rsidRPr="00693B99">
        <w:t xml:space="preserve">at 23, n.153.  This presumption is not meant to discourage stations from proposing transition solutions that would reduce reimbursement costs or implement a market-wide transition plan that broadcasters may independently develop.  </w:t>
      </w:r>
      <w:r w:rsidRPr="00693B99">
        <w:rPr>
          <w:i/>
        </w:rPr>
        <w:t xml:space="preserve">Id. </w:t>
      </w:r>
      <w:r w:rsidRPr="00693B99">
        <w:t xml:space="preserve">at 23, para. 50.  Nonetheless, such proposals should be created with the transition schedule in mind, and disclose either how implementation of the proposal may interfere with the transition schedule or demonstrate that implementation would not interfere with other stations’ transition efforts.  </w:t>
      </w:r>
      <w:r w:rsidRPr="00693B99">
        <w:rPr>
          <w:i/>
        </w:rPr>
        <w:t>Id.</w:t>
      </w:r>
      <w:r w:rsidRPr="00693B99">
        <w:t xml:space="preserve"> </w:t>
      </w:r>
    </w:p>
  </w:footnote>
  <w:footnote w:id="170">
    <w:p w14:paraId="7DCD974C" w14:textId="4DD49DE9" w:rsidR="004E6293" w:rsidRPr="00693B99" w:rsidRDefault="004E6293" w:rsidP="00B568A6">
      <w:pPr>
        <w:pStyle w:val="FootnoteText"/>
        <w:widowControl w:val="0"/>
      </w:pPr>
      <w:r w:rsidRPr="00693B99">
        <w:rPr>
          <w:rStyle w:val="FootnoteReference"/>
        </w:rPr>
        <w:footnoteRef/>
      </w:r>
      <w:r w:rsidRPr="00693B99">
        <w:t xml:space="preserve">  </w:t>
      </w:r>
      <w:r w:rsidRPr="00693B99">
        <w:rPr>
          <w:i/>
        </w:rPr>
        <w:t>Id.</w:t>
      </w:r>
      <w:r w:rsidRPr="00693B99">
        <w:t xml:space="preserve"> at 23-24, para. 5</w:t>
      </w:r>
      <w:r w:rsidR="008E0D99" w:rsidRPr="00693B99">
        <w:t>0</w:t>
      </w:r>
      <w:r w:rsidRPr="00693B99">
        <w:rPr>
          <w:i/>
        </w:rPr>
        <w:t>.</w:t>
      </w:r>
      <w:r w:rsidRPr="00693B99">
        <w:t xml:space="preserve">  In the </w:t>
      </w:r>
      <w:r w:rsidRPr="00693B99">
        <w:rPr>
          <w:i/>
        </w:rPr>
        <w:t>Incentive Auction R&amp;O</w:t>
      </w:r>
      <w:r w:rsidRPr="00693B99">
        <w:t xml:space="preserve">, the Commission stated that it would consider “granting longer construction periods for alternate channels or expanded facilities in situations where extenuating circumstances justify such an extension.”  </w:t>
      </w:r>
      <w:r w:rsidRPr="00693B99">
        <w:rPr>
          <w:i/>
        </w:rPr>
        <w:t>See Incentive Auction R&amp;O</w:t>
      </w:r>
      <w:r w:rsidR="00C01786" w:rsidRPr="00693B99">
        <w:t>, 29 FCC Rcd</w:t>
      </w:r>
      <w:r w:rsidRPr="00693B99">
        <w:rPr>
          <w:i/>
        </w:rPr>
        <w:t xml:space="preserve"> </w:t>
      </w:r>
      <w:r w:rsidRPr="00693B99">
        <w:t xml:space="preserve">at 6794 n.1570.  If the Media Bureau determines that granting a particular request would not cause adverse effects on the transition schedule, or that granting a request would be beneficial to the transition plan, the Media Bureau may adjust the phase assignment of the requesting station, or if necessary, other stations as well.  </w:t>
      </w:r>
      <w:r w:rsidRPr="00693B99">
        <w:rPr>
          <w:i/>
        </w:rPr>
        <w:t>Transition Scheduling Adoption Public Notice</w:t>
      </w:r>
      <w:r w:rsidRPr="00693B99">
        <w:t xml:space="preserve"> at 21-22, para. 45.  In making these adjustments, however, the Media Bureau will not assign a station to an earlier transition phase than its original one without its consent.  </w:t>
      </w:r>
      <w:r w:rsidRPr="00693B99">
        <w:rPr>
          <w:i/>
        </w:rPr>
        <w:t>Id.</w:t>
      </w:r>
      <w:r w:rsidRPr="00693B99">
        <w:t xml:space="preserve"> at 2</w:t>
      </w:r>
      <w:r w:rsidR="001B7408" w:rsidRPr="00693B99">
        <w:t>1-2</w:t>
      </w:r>
      <w:r w:rsidRPr="00693B99">
        <w:t>2, para. 45.</w:t>
      </w:r>
    </w:p>
  </w:footnote>
  <w:footnote w:id="171">
    <w:p w14:paraId="5332372B" w14:textId="70BABF52" w:rsidR="004E6293" w:rsidRPr="00693B99" w:rsidRDefault="004E6293" w:rsidP="00261289">
      <w:pPr>
        <w:pStyle w:val="FootnoteText"/>
      </w:pPr>
      <w:r w:rsidRPr="00693B99">
        <w:rPr>
          <w:rStyle w:val="FootnoteReference"/>
        </w:rPr>
        <w:footnoteRef/>
      </w:r>
      <w:r w:rsidRPr="00693B99">
        <w:t xml:space="preserve"> </w:t>
      </w:r>
      <w:r w:rsidRPr="00693B99">
        <w:rPr>
          <w:i/>
        </w:rPr>
        <w:t xml:space="preserve">Transition Scheduling Adoption Public Notice </w:t>
      </w:r>
      <w:r w:rsidRPr="00693B99">
        <w:t>at 17, para. 37 and n.118.</w:t>
      </w:r>
    </w:p>
  </w:footnote>
  <w:footnote w:id="172">
    <w:p w14:paraId="487B5080" w14:textId="13BC41FA"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 xml:space="preserve">47 CFR 73.3700(e); </w:t>
      </w:r>
      <w:r w:rsidRPr="00693B99">
        <w:rPr>
          <w:i/>
          <w:iCs/>
        </w:rPr>
        <w:t>Incentive Auction R&amp;O</w:t>
      </w:r>
      <w:r w:rsidR="00C01786" w:rsidRPr="00693B99">
        <w:t>, 29 FCC Rcd at 6812-25</w:t>
      </w:r>
      <w:r w:rsidR="00C81FAF" w:rsidRPr="00693B99">
        <w:t xml:space="preserve">, paras. </w:t>
      </w:r>
      <w:r w:rsidR="00C01786" w:rsidRPr="00693B99">
        <w:t>598-630.</w:t>
      </w:r>
    </w:p>
  </w:footnote>
  <w:footnote w:id="173">
    <w:p w14:paraId="3DCC1D36" w14:textId="69D7DCF1" w:rsidR="004E6293" w:rsidRPr="00693B99" w:rsidRDefault="004E6293">
      <w:pPr>
        <w:pStyle w:val="FootnoteText"/>
      </w:pPr>
      <w:r w:rsidRPr="00693B99">
        <w:rPr>
          <w:rStyle w:val="FootnoteReference"/>
        </w:rPr>
        <w:footnoteRef/>
      </w:r>
      <w:r w:rsidRPr="00693B99">
        <w:t xml:space="preserve"> </w:t>
      </w:r>
      <w:r w:rsidRPr="00693B99">
        <w:rPr>
          <w:i/>
        </w:rPr>
        <w:t xml:space="preserve">See </w:t>
      </w:r>
      <w:r w:rsidRPr="00693B99">
        <w:t xml:space="preserve">47 CFR § 73.3700(f); </w:t>
      </w:r>
      <w:r w:rsidRPr="00693B99">
        <w:rPr>
          <w:i/>
        </w:rPr>
        <w:t>Incentive Auction R&amp;O</w:t>
      </w:r>
      <w:r w:rsidRPr="00693B99">
        <w:t>, 29 FCC Rcd at 6827-30</w:t>
      </w:r>
      <w:r w:rsidR="00C01786" w:rsidRPr="00693B99">
        <w:t>, para. 637-644</w:t>
      </w:r>
      <w:r w:rsidRPr="00693B99">
        <w:t>; 47 U.S.C. § 1452(b)(4)(B).</w:t>
      </w:r>
    </w:p>
  </w:footnote>
  <w:footnote w:id="174">
    <w:p w14:paraId="5A896ADF" w14:textId="77777777" w:rsidR="004E6293" w:rsidRPr="00693B99" w:rsidRDefault="004E6293">
      <w:pPr>
        <w:pStyle w:val="FootnoteText"/>
      </w:pPr>
      <w:r w:rsidRPr="00693B99">
        <w:rPr>
          <w:rStyle w:val="FootnoteReference"/>
        </w:rPr>
        <w:footnoteRef/>
      </w:r>
      <w:r w:rsidRPr="00693B99">
        <w:t xml:space="preserve"> We note that band changing stations and displaced Class A stations are not eligible for reimbursement.  </w:t>
      </w:r>
      <w:r w:rsidRPr="00693B99">
        <w:rPr>
          <w:i/>
        </w:rPr>
        <w:t>See Incentive Auction R&amp;O</w:t>
      </w:r>
      <w:r w:rsidRPr="00693B99">
        <w:t xml:space="preserve">, 29 FCC Rcd at 6813, para. 601; </w:t>
      </w:r>
      <w:r w:rsidRPr="00693B99">
        <w:rPr>
          <w:i/>
        </w:rPr>
        <w:t>Second Reconsideration</w:t>
      </w:r>
      <w:r w:rsidRPr="00693B99">
        <w:t>, 30 FCC Rcd at 6775, para. 63.</w:t>
      </w:r>
    </w:p>
  </w:footnote>
  <w:footnote w:id="175">
    <w:p w14:paraId="64D5C713"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See Incentive Auction R&amp;O</w:t>
      </w:r>
      <w:r w:rsidRPr="00693B99">
        <w:t>, 29 FCC Rcd at 6818, para. 614.</w:t>
      </w:r>
    </w:p>
  </w:footnote>
  <w:footnote w:id="176">
    <w:p w14:paraId="78430A7A"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Id</w:t>
      </w:r>
      <w:r w:rsidRPr="00693B99">
        <w:t>.</w:t>
      </w:r>
    </w:p>
  </w:footnote>
  <w:footnote w:id="177">
    <w:p w14:paraId="3EF5DDB6" w14:textId="77777777" w:rsidR="004E6293" w:rsidRPr="00693B99" w:rsidRDefault="004E6293" w:rsidP="00684AE3">
      <w:pPr>
        <w:pStyle w:val="FootnoteText"/>
        <w:rPr>
          <w:i/>
        </w:rPr>
      </w:pPr>
      <w:r w:rsidRPr="00693B99">
        <w:rPr>
          <w:rStyle w:val="FootnoteReference"/>
        </w:rPr>
        <w:footnoteRef/>
      </w:r>
      <w:r w:rsidRPr="00693B99">
        <w:t xml:space="preserve"> </w:t>
      </w:r>
      <w:r w:rsidRPr="00693B99">
        <w:rPr>
          <w:i/>
        </w:rPr>
        <w:t>See</w:t>
      </w:r>
      <w:r w:rsidRPr="00693B99">
        <w:t xml:space="preserve"> </w:t>
      </w:r>
      <w:r w:rsidRPr="00693B99">
        <w:rPr>
          <w:i/>
        </w:rPr>
        <w:t xml:space="preserve">Media Bureau Finalizes Reimbursement Form For Submission To OMB and Adopts Catalog of Expenses, </w:t>
      </w:r>
      <w:r w:rsidRPr="00693B99">
        <w:t>Public Notice, 30 FCC Rcd 11701(MB 2015).</w:t>
      </w:r>
    </w:p>
  </w:footnote>
  <w:footnote w:id="178">
    <w:p w14:paraId="79475E77"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See</w:t>
      </w:r>
      <w:r w:rsidRPr="00693B99">
        <w:t xml:space="preserve"> </w:t>
      </w:r>
      <w:r w:rsidRPr="00693B99">
        <w:rPr>
          <w:i/>
        </w:rPr>
        <w:t>Incentive Auction R&amp;O</w:t>
      </w:r>
      <w:r w:rsidRPr="00693B99">
        <w:t>, 29 FCC Rcd at 6817-18, para. 611.</w:t>
      </w:r>
    </w:p>
  </w:footnote>
  <w:footnote w:id="179">
    <w:p w14:paraId="41FFE2C8" w14:textId="383BC892" w:rsidR="004E6293" w:rsidRPr="00693B99" w:rsidRDefault="004E6293">
      <w:pPr>
        <w:pStyle w:val="FootnoteText"/>
      </w:pPr>
      <w:r w:rsidRPr="00693B99">
        <w:rPr>
          <w:rStyle w:val="FootnoteReference"/>
        </w:rPr>
        <w:footnoteRef/>
      </w:r>
      <w:r w:rsidRPr="00693B99">
        <w:t xml:space="preserve"> The Commission delegated authority to the Media Bureau to develop a catalog of eligible reimbursement expenses (Cost Catalog) for reimbursement-eligible entities to use as a guide.  </w:t>
      </w:r>
      <w:r w:rsidRPr="00693B99">
        <w:rPr>
          <w:i/>
        </w:rPr>
        <w:t>Incentive Auction R&amp;O</w:t>
      </w:r>
      <w:r w:rsidRPr="00693B99">
        <w:t xml:space="preserve">, 29 FCC Rcd at 6820, para. 619.  The Media Bureau recently sought comment on updates to the prices in the Cost Catalog and will release a final Catalog prior to the beginning of the reimbursement period.  </w:t>
      </w:r>
      <w:r w:rsidRPr="00693B99">
        <w:rPr>
          <w:i/>
        </w:rPr>
        <w:t>See Media Bureau Seeks Comment on Updates to Catalog of Reimbursement Expenses</w:t>
      </w:r>
      <w:r w:rsidRPr="00693B99">
        <w:t>, MB Docket No. 16-306, GN Docket No. 12-268, Public Notice, 31 FCC Rcd 11467 (MB 2016).</w:t>
      </w:r>
    </w:p>
  </w:footnote>
  <w:footnote w:id="180">
    <w:p w14:paraId="10ABEDB3"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Id.</w:t>
      </w:r>
    </w:p>
  </w:footnote>
  <w:footnote w:id="181">
    <w:p w14:paraId="2ECA93BE" w14:textId="688A5E15" w:rsidR="004E6293" w:rsidRPr="00693B99" w:rsidRDefault="004E6293" w:rsidP="006B3708">
      <w:pPr>
        <w:pStyle w:val="FootnoteText"/>
      </w:pPr>
      <w:r w:rsidRPr="00693B99">
        <w:rPr>
          <w:rStyle w:val="FootnoteReference"/>
        </w:rPr>
        <w:footnoteRef/>
      </w:r>
      <w:r w:rsidRPr="00693B99">
        <w:t xml:space="preserve"> </w:t>
      </w:r>
      <w:r w:rsidRPr="00693B99">
        <w:rPr>
          <w:i/>
        </w:rPr>
        <w:t>Incentive Auction R&amp;O</w:t>
      </w:r>
      <w:r w:rsidRPr="00693B99">
        <w:t xml:space="preserve">, 29 FCC Rcd at 6817, para. 610.  We reiterate that stations that are “unable to construct” and, thus, file their application for a construction permit for the first time in the first priority window for alternate channel/expanded facilities, will not be required to file the Reimbursement Form detailing their estimated relocation costs within 90 days after the release of the </w:t>
      </w:r>
      <w:r w:rsidRPr="00693B99">
        <w:rPr>
          <w:i/>
        </w:rPr>
        <w:t>Closing and Reassignment Public Notice</w:t>
      </w:r>
      <w:r w:rsidRPr="00693B99">
        <w:t xml:space="preserve">, as other stations eligible for reimbursement must do.  Instead, they must file the Reimbursement Form detailing their estimated relocation costs within 30 days after receiving a construction permit for an alternate channel or expanded facilities.  </w:t>
      </w:r>
      <w:r w:rsidRPr="00693B99">
        <w:rPr>
          <w:i/>
        </w:rPr>
        <w:t>Id.</w:t>
      </w:r>
      <w:r w:rsidRPr="00693B99">
        <w:t xml:space="preserve"> at 6823 n.1754.</w:t>
      </w:r>
    </w:p>
  </w:footnote>
  <w:footnote w:id="182">
    <w:p w14:paraId="2C929DD7" w14:textId="77777777" w:rsidR="004E6293" w:rsidRPr="00693B99" w:rsidRDefault="004E6293" w:rsidP="00EC636F">
      <w:pPr>
        <w:pStyle w:val="FootnoteText"/>
      </w:pPr>
      <w:r w:rsidRPr="00693B99">
        <w:rPr>
          <w:rStyle w:val="FootnoteReference"/>
        </w:rPr>
        <w:footnoteRef/>
      </w:r>
      <w:r w:rsidRPr="00693B99">
        <w:t xml:space="preserve"> </w:t>
      </w:r>
      <w:r w:rsidRPr="00693B99">
        <w:rPr>
          <w:i/>
        </w:rPr>
        <w:t>See Incentive Auction R&amp;O</w:t>
      </w:r>
      <w:r w:rsidRPr="00693B99">
        <w:t>, 29 FCC Rcd at 6820, para. 619 (delegating authority to the Media Bureau to create one or more forms to be used by entities to claim reimbursement from the Reimbursement Fund, as well as to report on entities’ use of money disbursed from the Fund and the status of their construction efforts, and for any other Reimbursement Fund-related purposes).</w:t>
      </w:r>
    </w:p>
  </w:footnote>
  <w:footnote w:id="183">
    <w:p w14:paraId="0FBE1554" w14:textId="77777777" w:rsidR="004E6293" w:rsidRPr="00693B99" w:rsidRDefault="004E6293">
      <w:pPr>
        <w:pStyle w:val="FootnoteText"/>
      </w:pPr>
      <w:r w:rsidRPr="00693B99">
        <w:rPr>
          <w:rStyle w:val="FootnoteReference"/>
        </w:rPr>
        <w:footnoteRef/>
      </w:r>
      <w:r w:rsidRPr="00693B99">
        <w:t xml:space="preserve"> </w:t>
      </w:r>
      <w:r w:rsidRPr="00693B99">
        <w:rPr>
          <w:i/>
        </w:rPr>
        <w:t>See also The Incentive Auction Task Force Announces an Online Tutorial for Full Power and Class A Broadcasters and Multichannel Video Programming Providers On Preparing To Receive Post-Auction Payments</w:t>
      </w:r>
      <w:r w:rsidRPr="00693B99">
        <w:t>, Public Notice, DA 16-1410 (rel. Dec. 19, 2016).</w:t>
      </w:r>
    </w:p>
  </w:footnote>
  <w:footnote w:id="184">
    <w:p w14:paraId="0A44F14A" w14:textId="77777777" w:rsidR="004E6293" w:rsidRPr="00693B99" w:rsidRDefault="004E6293">
      <w:pPr>
        <w:pStyle w:val="FootnoteText"/>
      </w:pPr>
      <w:r w:rsidRPr="00693B99">
        <w:rPr>
          <w:rStyle w:val="FootnoteReference"/>
        </w:rPr>
        <w:footnoteRef/>
      </w:r>
      <w:r w:rsidRPr="00693B99">
        <w:t xml:space="preserve"> Spectrum Act § 6403(b)(4)(D).</w:t>
      </w:r>
    </w:p>
  </w:footnote>
  <w:footnote w:id="185">
    <w:p w14:paraId="11E95916" w14:textId="1F482BB0" w:rsidR="004E6293" w:rsidRPr="00693B99" w:rsidRDefault="004E6293" w:rsidP="006B3708">
      <w:pPr>
        <w:pStyle w:val="FootnoteText"/>
      </w:pPr>
      <w:r w:rsidRPr="00693B99">
        <w:rPr>
          <w:rStyle w:val="FootnoteReference"/>
        </w:rPr>
        <w:footnoteRef/>
      </w:r>
      <w:r w:rsidRPr="00693B99">
        <w:t xml:space="preserve"> </w:t>
      </w:r>
      <w:r w:rsidRPr="00693B99">
        <w:rPr>
          <w:i/>
        </w:rPr>
        <w:t>Incentive Auction R&amp;O</w:t>
      </w:r>
      <w:r w:rsidRPr="00693B99">
        <w:t>, 29 FCC Rcd at 6819, para. 616.</w:t>
      </w:r>
    </w:p>
  </w:footnote>
  <w:footnote w:id="186">
    <w:p w14:paraId="400B531F" w14:textId="77777777" w:rsidR="004E6293" w:rsidRPr="00693B99" w:rsidRDefault="004E6293">
      <w:pPr>
        <w:pStyle w:val="FootnoteText"/>
      </w:pPr>
      <w:r w:rsidRPr="00693B99">
        <w:rPr>
          <w:rStyle w:val="FootnoteReference"/>
        </w:rPr>
        <w:footnoteRef/>
      </w:r>
      <w:r w:rsidRPr="00693B99">
        <w:t xml:space="preserve"> 47 U.S.C. § 1452(b)(4).</w:t>
      </w:r>
    </w:p>
  </w:footnote>
  <w:footnote w:id="187">
    <w:p w14:paraId="0D809399" w14:textId="77777777" w:rsidR="004E6293" w:rsidRPr="00693B99" w:rsidRDefault="004E6293" w:rsidP="006B3708">
      <w:pPr>
        <w:pStyle w:val="FootnoteText"/>
      </w:pPr>
      <w:r w:rsidRPr="00693B99">
        <w:rPr>
          <w:rStyle w:val="FootnoteReference"/>
        </w:rPr>
        <w:footnoteRef/>
      </w:r>
      <w:r w:rsidRPr="00693B99">
        <w:t xml:space="preserve"> </w:t>
      </w:r>
      <w:r w:rsidRPr="00693B99">
        <w:rPr>
          <w:i/>
        </w:rPr>
        <w:t>See Expanding the Economic and Innovation Opportunities of Spectrum Through Incentive Auctions</w:t>
      </w:r>
      <w:r w:rsidRPr="00693B99">
        <w:t xml:space="preserve">, GN Docket No. 12-268, Declaratory Ruling, 31 FCC Rcd 4246 (2016). </w:t>
      </w:r>
    </w:p>
  </w:footnote>
  <w:footnote w:id="188">
    <w:p w14:paraId="18AB0510" w14:textId="77777777" w:rsidR="004E6293" w:rsidRPr="00693B99" w:rsidRDefault="004E6293" w:rsidP="0086151B">
      <w:pPr>
        <w:pStyle w:val="FootnoteText"/>
      </w:pPr>
      <w:r w:rsidRPr="00693B99">
        <w:rPr>
          <w:rStyle w:val="FootnoteReference"/>
        </w:rPr>
        <w:footnoteRef/>
      </w:r>
      <w:r w:rsidRPr="00693B99">
        <w:t xml:space="preserve"> 47 U.S.C. § 1452(b)(4)(B); 47 CFR § 73.3700(f).</w:t>
      </w:r>
    </w:p>
  </w:footnote>
  <w:footnote w:id="189">
    <w:p w14:paraId="73EDFE4B" w14:textId="77777777" w:rsidR="004E6293" w:rsidRPr="00693B99" w:rsidRDefault="004E6293" w:rsidP="0086151B">
      <w:pPr>
        <w:pStyle w:val="FootnoteText"/>
        <w:rPr>
          <w:i/>
        </w:rPr>
      </w:pPr>
      <w:r w:rsidRPr="00693B99">
        <w:rPr>
          <w:rStyle w:val="FootnoteReference"/>
        </w:rPr>
        <w:footnoteRef/>
      </w:r>
      <w:r w:rsidRPr="00693B99">
        <w:t xml:space="preserve"> </w:t>
      </w:r>
      <w:r w:rsidRPr="00693B99">
        <w:rPr>
          <w:i/>
        </w:rPr>
        <w:t>Id.</w:t>
      </w:r>
    </w:p>
  </w:footnote>
  <w:footnote w:id="190">
    <w:p w14:paraId="0C416807" w14:textId="77777777" w:rsidR="004E6293" w:rsidRPr="00693B99" w:rsidRDefault="004E6293">
      <w:pPr>
        <w:pStyle w:val="FootnoteText"/>
      </w:pPr>
      <w:r w:rsidRPr="00693B99">
        <w:rPr>
          <w:rStyle w:val="FootnoteReference"/>
        </w:rPr>
        <w:footnoteRef/>
      </w:r>
      <w:r w:rsidRPr="00693B99">
        <w:t xml:space="preserve"> </w:t>
      </w:r>
      <w:r w:rsidRPr="00693B99">
        <w:rPr>
          <w:i/>
        </w:rPr>
        <w:t>Incentive Auction R&amp;O</w:t>
      </w:r>
      <w:r w:rsidRPr="00693B99">
        <w:t>, 29 FCC Rcd at 6828, para. 640.</w:t>
      </w:r>
    </w:p>
  </w:footnote>
  <w:footnote w:id="191">
    <w:p w14:paraId="444093DC" w14:textId="77777777" w:rsidR="004E6293" w:rsidRPr="00693B99" w:rsidRDefault="004E6293" w:rsidP="0086151B">
      <w:pPr>
        <w:pStyle w:val="FootnoteText"/>
      </w:pPr>
      <w:r w:rsidRPr="00693B99">
        <w:rPr>
          <w:rStyle w:val="FootnoteReference"/>
        </w:rPr>
        <w:footnoteRef/>
      </w:r>
      <w:r w:rsidRPr="00693B99">
        <w:t xml:space="preserve"> </w:t>
      </w:r>
      <w:r w:rsidRPr="00693B99">
        <w:rPr>
          <w:i/>
        </w:rPr>
        <w:t>Incentive Auction R&amp;O</w:t>
      </w:r>
      <w:r w:rsidRPr="00693B99">
        <w:t>, 29 FCC Rcd at 6828, para. 640 and n.1783; 47 CFR § 1.3.</w:t>
      </w:r>
    </w:p>
  </w:footnote>
  <w:footnote w:id="192">
    <w:p w14:paraId="7C75250D" w14:textId="77777777" w:rsidR="004E6293" w:rsidRPr="00693B99" w:rsidRDefault="004E6293" w:rsidP="0086151B">
      <w:pPr>
        <w:pStyle w:val="FootnoteText"/>
      </w:pPr>
      <w:r w:rsidRPr="00693B99">
        <w:rPr>
          <w:rStyle w:val="FootnoteReference"/>
        </w:rPr>
        <w:footnoteRef/>
      </w:r>
      <w:r w:rsidRPr="00693B99">
        <w:t xml:space="preserve"> 47 U.S.C. § 1452(b)(4)(B); </w:t>
      </w:r>
      <w:r w:rsidRPr="00693B99">
        <w:rPr>
          <w:i/>
        </w:rPr>
        <w:t>Incentive Auction R&amp;O</w:t>
      </w:r>
      <w:r w:rsidRPr="00693B99">
        <w:t>, 29 FCC Rcd at 6828, para. 640 and n.1784.</w:t>
      </w:r>
    </w:p>
  </w:footnote>
  <w:footnote w:id="193">
    <w:p w14:paraId="351B6486" w14:textId="77777777" w:rsidR="004E6293" w:rsidRPr="00693B99" w:rsidRDefault="004E6293" w:rsidP="0086151B">
      <w:pPr>
        <w:pStyle w:val="FootnoteText"/>
      </w:pPr>
      <w:r w:rsidRPr="00693B99">
        <w:rPr>
          <w:rStyle w:val="FootnoteReference"/>
        </w:rPr>
        <w:footnoteRef/>
      </w:r>
      <w:r w:rsidRPr="00693B99">
        <w:t xml:space="preserve"> 47 CFR § 73.3700(f)(1)(ii); </w:t>
      </w:r>
      <w:r w:rsidRPr="00693B99">
        <w:rPr>
          <w:i/>
        </w:rPr>
        <w:t>Incentive Auction R&amp;O</w:t>
      </w:r>
      <w:r w:rsidRPr="00693B99">
        <w:t>, 29 FCC Rcd at 6829, para. 643.</w:t>
      </w:r>
    </w:p>
  </w:footnote>
  <w:footnote w:id="194">
    <w:p w14:paraId="76EC4BCF" w14:textId="77777777" w:rsidR="004E6293" w:rsidRPr="00693B99" w:rsidRDefault="004E6293" w:rsidP="0086151B">
      <w:pPr>
        <w:pStyle w:val="FootnoteText"/>
      </w:pPr>
      <w:r w:rsidRPr="00693B99">
        <w:rPr>
          <w:rStyle w:val="FootnoteReference"/>
        </w:rPr>
        <w:footnoteRef/>
      </w:r>
      <w:r w:rsidRPr="00693B99">
        <w:t xml:space="preserve"> 47 CFR § 73.3700(f)(1)(i); </w:t>
      </w:r>
      <w:r w:rsidRPr="00693B99">
        <w:rPr>
          <w:i/>
        </w:rPr>
        <w:t>Incentive Auction R&amp;O</w:t>
      </w:r>
      <w:r w:rsidRPr="00693B99">
        <w:t>, 29 FCC Rcd at 6829, para. 643.</w:t>
      </w:r>
    </w:p>
  </w:footnote>
  <w:footnote w:id="195">
    <w:p w14:paraId="622529F3" w14:textId="77777777" w:rsidR="004E6293" w:rsidRPr="00693B99" w:rsidRDefault="004E6293" w:rsidP="0086151B">
      <w:pPr>
        <w:pStyle w:val="FootnoteText"/>
      </w:pPr>
      <w:r w:rsidRPr="00693B99">
        <w:rPr>
          <w:rStyle w:val="FootnoteReference"/>
        </w:rPr>
        <w:footnoteRef/>
      </w:r>
      <w:r w:rsidRPr="00693B99">
        <w:t xml:space="preserve"> Notifications will be sent to the station’s address of record via LMS as well as any address provided in the waiver request.</w:t>
      </w:r>
    </w:p>
  </w:footnote>
  <w:footnote w:id="196">
    <w:p w14:paraId="46C742E4" w14:textId="77777777" w:rsidR="004E6293" w:rsidRPr="00693B99" w:rsidRDefault="004E6293" w:rsidP="0086151B">
      <w:pPr>
        <w:pStyle w:val="FootnoteText"/>
      </w:pPr>
      <w:r w:rsidRPr="00693B99">
        <w:rPr>
          <w:rStyle w:val="FootnoteReference"/>
        </w:rPr>
        <w:footnoteRef/>
      </w:r>
      <w:r w:rsidRPr="00693B99">
        <w:t xml:space="preserve"> 47 CFR § 73.3700(f)(2); </w:t>
      </w:r>
      <w:r w:rsidRPr="00693B99">
        <w:rPr>
          <w:i/>
        </w:rPr>
        <w:t>Incentive Auction R&amp;O</w:t>
      </w:r>
      <w:r w:rsidRPr="00693B99">
        <w:t>, 29 FCC Rcd at 6829, para. 643.</w:t>
      </w:r>
    </w:p>
  </w:footnote>
  <w:footnote w:id="197">
    <w:p w14:paraId="655E0915" w14:textId="77777777" w:rsidR="004E6293" w:rsidRPr="00693B99" w:rsidRDefault="004E6293">
      <w:pPr>
        <w:pStyle w:val="FootnoteText"/>
      </w:pPr>
      <w:r w:rsidRPr="00693B99">
        <w:rPr>
          <w:rStyle w:val="FootnoteReference"/>
        </w:rPr>
        <w:footnoteRef/>
      </w:r>
      <w:r w:rsidRPr="00693B99">
        <w:t xml:space="preserve"> 47 CFR § 73.3700(f)(3); </w:t>
      </w:r>
      <w:r w:rsidRPr="00693B99">
        <w:rPr>
          <w:i/>
        </w:rPr>
        <w:t>Incentive Auction R&amp;O</w:t>
      </w:r>
      <w:r w:rsidRPr="00693B99">
        <w:t>, 29 FCC Rcd 6829-30, para. 644.</w:t>
      </w:r>
    </w:p>
  </w:footnote>
  <w:footnote w:id="198">
    <w:p w14:paraId="638F45D1" w14:textId="77777777" w:rsidR="004E6293" w:rsidRPr="00693B99" w:rsidRDefault="004E6293" w:rsidP="0086151B">
      <w:pPr>
        <w:pStyle w:val="FootnoteText"/>
      </w:pPr>
      <w:r w:rsidRPr="00693B99">
        <w:rPr>
          <w:rStyle w:val="FootnoteReference"/>
        </w:rPr>
        <w:footnoteRef/>
      </w:r>
      <w:r w:rsidRPr="00693B99">
        <w:t xml:space="preserve"> 47 CFR § 73.3700(f)(4); </w:t>
      </w:r>
      <w:r w:rsidRPr="00693B99">
        <w:rPr>
          <w:i/>
        </w:rPr>
        <w:t>Incentive Auction R&amp;O</w:t>
      </w:r>
      <w:r w:rsidRPr="00693B99">
        <w:t>, 29 FCC Rcd 6829-30, para. 644.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36D5FB" w14:textId="77777777" w:rsidR="00FA6CD6" w:rsidRDefault="00FA6C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52E3B" w14:textId="5887DA75" w:rsidR="004E6293" w:rsidRPr="00C0367F" w:rsidRDefault="004E6293" w:rsidP="00C0367F">
    <w:pPr>
      <w:pStyle w:val="Header"/>
    </w:pPr>
    <w:r w:rsidRPr="00C0367F">
      <w:rPr>
        <w:noProof/>
      </w:rPr>
      <mc:AlternateContent>
        <mc:Choice Requires="wps">
          <w:drawing>
            <wp:anchor distT="0" distB="0" distL="114300" distR="114300" simplePos="0" relativeHeight="251667456" behindDoc="1" locked="0" layoutInCell="0" allowOverlap="1" wp14:anchorId="6662B2F7" wp14:editId="737890EF">
              <wp:simplePos x="0" y="0"/>
              <wp:positionH relativeFrom="margin">
                <wp:posOffset>7620</wp:posOffset>
              </wp:positionH>
              <wp:positionV relativeFrom="paragraph">
                <wp:posOffset>160655</wp:posOffset>
              </wp:positionV>
              <wp:extent cx="5943600" cy="12065"/>
              <wp:effectExtent l="0" t="0" r="0" b="698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59591F" w14:textId="77777777" w:rsidR="004E6293" w:rsidRDefault="004E6293" w:rsidP="006123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662B2F7" id="Rectangle 3"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N7S7AIAAD0GAAAOAAAAZHJzL2Uyb0RvYy54bWysVNuO0zAQfUfiHyy/Z3Np7tp01XZbhLTA&#10;igXx7CZOY5HYwXabLoh/Z+z0Ci8roJUijz0+PnPmcnu371q0o1IxwQvs33gYUV6KivFNgT9/Wjkp&#10;RkoTXpFWcFrgZ6rw3fT1q9uhz2kgGtFWVCIA4Sof+gI3Wve566qyoR1RN6KnHA5rITuiwZQbt5Jk&#10;APSudQPPi91ByKqXoqRKwe79eIinFr+uaak/1LWiGrUFBm7afqX9rs3Xnd6SfCNJ37DyQIP8BYuO&#10;MA6PnqDuiSZoK9kfUB0rpVCi1jel6FxR16ykNgaIxvd+i+apIT21sYA4qj/JpP4fbPl+9ygRqwqc&#10;YcRJByn6CKIRvmkpmhh5hl7l4PXUP0oToOofRPlVIS4WDXjRmZRiaCipgJRv/N2rC8ZQcBWth3ei&#10;AnSy1cIqta9lZwBBA7S3CXk+JYTuNSphM8rCSexB3ko48wMvjuwLJD9e7qXSb6jokFkUWAJ1C052&#10;D0obMiQ/uljyomXVirWtNeRmvWgl2hFTG/Z3QFeXbi03zlyYayPiuENtdY3PkBwYw9J4Gu428z8y&#10;Pwi9eZA5qzhNnHAVRk6WeKnj+dk8i70wC+9XPw1dP8wbVlWUPzBOj1Xohy/L8qEfxvqxdYiGAseT&#10;yApxFYp6WcQd09CTLesKnJ5kIblJ8pJXoAHJNWHtuHav2VvJQYJrJWaryEvCSeokSTRxwsnSc+bp&#10;auHMFn4cJ8v5Yr70r5VYWnXVv4thiRxTZQyxheiemmpAFTM1M4mywMdgwFQIkjFeRNoNjLNSS4yk&#10;0F+YbmwvmgI1GFdCpp75H0rnhD4KcX74QqdDbGepoEqP9WO7xzTM2Hh6v96D4KaL1qJ6hj4COoaF&#10;mbmwaIT8jtEA86vA6tuWSIpR+5ZDL2Z+GJqBZ40wSgIw5OXJ+vKE8BKgCqwxGpcLPQ7JbS/ZpoGX&#10;fBs4FzPo35rZ3jqzglCMATPKBnWYp2YIXtrW6zz1p78AAAD//wMAUEsDBBQABgAIAAAAIQDzY7kY&#10;2QAAAAcBAAAPAAAAZHJzL2Rvd25yZXYueG1sTI5NTsMwEIX3SNzBGiQ2iDpNBaEhToUQILqkcICJ&#10;M00C8Tiy3TbcnmEFq9H70Zuv2sxuVEcKcfBsYLnIQBFb3w7cGfh4f76+AxUTcoujZzLwTRE29flZ&#10;hWXrT/xGx13qlIxwLNFAn9JUah1tTw7jwk/Eku19cJhEhk63AU8y7kadZ9mtdjiwfOhxosee7Nfu&#10;4AzodbTFy9Pn1TL55tVui4DNvjDm8mJ+uAeVaE5/ZfjFF3SohanxB26jGkXnUjSQ36xASbxeFWI0&#10;YsjVdaX/89c/AAAA//8DAFBLAQItABQABgAIAAAAIQC2gziS/gAAAOEBAAATAAAAAAAAAAAAAAAA&#10;AAAAAABbQ29udGVudF9UeXBlc10ueG1sUEsBAi0AFAAGAAgAAAAhADj9If/WAAAAlAEAAAsAAAAA&#10;AAAAAAAAAAAALwEAAF9yZWxzLy5yZWxzUEsBAi0AFAAGAAgAAAAhACik3tLsAgAAPQYAAA4AAAAA&#10;AAAAAAAAAAAALgIAAGRycy9lMm9Eb2MueG1sUEsBAi0AFAAGAAgAAAAhAPNjuRjZAAAABwEAAA8A&#10;AAAAAAAAAAAAAAAARgUAAGRycy9kb3ducmV2LnhtbFBLBQYAAAAABAAEAPMAAABMBgAAAAA=&#10;" o:allowincell="f" fillcolor="black" stroked="f" strokeweight=".05pt">
              <v:textbox>
                <w:txbxContent>
                  <w:p w14:paraId="7559591F" w14:textId="77777777" w:rsidR="004E6293" w:rsidRDefault="004E6293" w:rsidP="00612365"/>
                </w:txbxContent>
              </v:textbox>
              <w10:wrap anchorx="margin"/>
            </v:rect>
          </w:pict>
        </mc:Fallback>
      </mc:AlternateContent>
    </w:r>
    <w:r w:rsidRPr="00C0367F">
      <w:tab/>
      <w:t>Federal Co</w:t>
    </w:r>
    <w:r w:rsidR="00A036ED">
      <w:t>mmunications Commission</w:t>
    </w:r>
    <w:r w:rsidR="00A036ED">
      <w:tab/>
      <w:t>DA 17-106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3B72C" w14:textId="77777777" w:rsidR="004E6293" w:rsidRPr="00BA6E7A" w:rsidRDefault="004E6293" w:rsidP="00F709FC">
    <w:pPr>
      <w:spacing w:before="40"/>
      <w:rPr>
        <w:rFonts w:ascii="Arial" w:hAnsi="Arial" w:cs="Arial"/>
        <w:b/>
        <w:sz w:val="96"/>
      </w:rPr>
    </w:pPr>
    <w:r>
      <w:rPr>
        <w:noProof/>
      </w:rPr>
      <mc:AlternateContent>
        <mc:Choice Requires="wps">
          <w:drawing>
            <wp:anchor distT="0" distB="0" distL="114300" distR="114300" simplePos="0" relativeHeight="251669504" behindDoc="0" locked="0" layoutInCell="0" allowOverlap="1" wp14:anchorId="735D0D8B" wp14:editId="53DD7CEA">
              <wp:simplePos x="0" y="0"/>
              <wp:positionH relativeFrom="margin">
                <wp:posOffset>-57150</wp:posOffset>
              </wp:positionH>
              <wp:positionV relativeFrom="paragraph">
                <wp:posOffset>741045</wp:posOffset>
              </wp:positionV>
              <wp:extent cx="3108960" cy="640080"/>
              <wp:effectExtent l="0" t="0" r="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wps:spPr>
                    <wps:txbx>
                      <w:txbxContent>
                        <w:p w14:paraId="0F26A176" w14:textId="77777777" w:rsidR="004E6293" w:rsidRDefault="004E6293" w:rsidP="00F709FC">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35D0D8B" id="_x0000_t202" coordsize="21600,21600" o:spt="202" path="m,l,21600r21600,l21600,xe">
              <v:stroke joinstyle="miter"/>
              <v:path gradientshapeok="t" o:connecttype="rect"/>
            </v:shapetype>
            <v:shape id="Text Box 3" o:spid="_x0000_s1027" type="#_x0000_t202" style="position:absolute;margin-left:-4.5pt;margin-top:58.35pt;width:244.8pt;height:50.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jkOAIAAEAEAAAOAAAAZHJzL2Uyb0RvYy54bWysU9tu2zAMfR+wfxD0nthO3CQ24hRNggwD&#10;ugvQ7gNkWb5gtqhJSuxs2L+PkpM26N6G+UEwRfKQPIda3w9dS05CmwZkRqNpSImQHIpGVhn99nyY&#10;rCgxlsmCtSBFRs/C0PvN+3frXqViBjW0hdAEQaRJe5XR2lqVBoHhteiYmYISEp0l6I5ZNHUVFJr1&#10;iN61wSwMF0EPulAauDAGb/ejk248flkKbr+UpRGWtBnF3qw/tT9zdwabNUsrzVTd8Esb7B+66Fgj&#10;segL1J5ZRo66+Quqa7gGA6WdcugCKMuGCz8DThOFb6Z5qpkSfhYkx6gXmsz/g+WfT181aYqMzimR&#10;rEOJnsVgyRYGMnfs9MqkGPSkMMwOeI0q+0mNegT+3RAJu5rJSjxoDX0tWIHdRS4zuEkdcYwDyftP&#10;UGAZdrTggYZSd446JIMgOqp0flHGtcLxch6Fq2SBLo6+RRyGKy9dwNJrttLGfhDQEfeTUY3Ke3R2&#10;ejTWdcPSa4grZqBtikPTtt7QVb5rNTkx3JKD//wAb8Ja6YIluLQRcbzBJrGG87l2veq/kmgWh9tZ&#10;MjksVstJXMZ3k2QZriZhlGxxkDiJ94fflyLXfE+Y42hkyw754JXxbDoycyjOyKCGcY3x2eFPDfon&#10;JT2ucEbNjyPTgpL2o0QVkiiO3c57I75bztDQt5781sMkR6iMWkrG350d38lR6aaqsdKou4QHVK5s&#10;PKmvXV30xjX1XF+elHsHt7aPen34mz8AAAD//wMAUEsDBBQABgAIAAAAIQCW+/Lx3wAAAAoBAAAP&#10;AAAAZHJzL2Rvd25yZXYueG1sTI9BT4NAEIXvJv6HzZh4Me1C00KLLI2aaLy29gcMMAUiO0vYbaH/&#10;3vGkxzfv5c338v1se3Wl0XeODcTLCBRx5eqOGwOnr/fFFpQPyDX2jsnAjTzsi/u7HLPaTXyg6zE0&#10;SkrYZ2igDWHItPZVSxb90g3E4p3daDGIHBtdjzhJue31KooSbbFj+dDiQG8tVd/HizVw/pyeNrup&#10;/Ain9LBOXrFLS3cz5vFhfnkGFWgOf2H4xRd0KISpdBeuveoNLHYyJcg9TlJQElhvowRUaWAVpxvQ&#10;Ra7/Tyh+AAAA//8DAFBLAQItABQABgAIAAAAIQC2gziS/gAAAOEBAAATAAAAAAAAAAAAAAAAAAAA&#10;AABbQ29udGVudF9UeXBlc10ueG1sUEsBAi0AFAAGAAgAAAAhADj9If/WAAAAlAEAAAsAAAAAAAAA&#10;AAAAAAAALwEAAF9yZWxzLy5yZWxzUEsBAi0AFAAGAAgAAAAhADjHuOQ4AgAAQAQAAA4AAAAAAAAA&#10;AAAAAAAALgIAAGRycy9lMm9Eb2MueG1sUEsBAi0AFAAGAAgAAAAhAJb78vHfAAAACgEAAA8AAAAA&#10;AAAAAAAAAAAAkgQAAGRycy9kb3ducmV2LnhtbFBLBQYAAAAABAAEAPMAAACeBQAAAAA=&#10;" o:allowincell="f" stroked="f">
              <v:textbox>
                <w:txbxContent>
                  <w:p w14:paraId="0F26A176" w14:textId="77777777" w:rsidR="004E6293" w:rsidRDefault="004E6293" w:rsidP="00F709FC">
                    <w:pPr>
                      <w:rPr>
                        <w:rFonts w:ascii="Arial" w:hAnsi="Arial"/>
                      </w:rPr>
                    </w:pPr>
                    <w:r>
                      <w:rPr>
                        <w:rFonts w:ascii="Arial" w:hAnsi="Arial"/>
                        <w:b/>
                      </w:rPr>
                      <w:t>Federal Communications Commission</w:t>
                    </w:r>
                    <w:r>
                      <w:rPr>
                        <w:rFonts w:ascii="Arial" w:hAnsi="Arial"/>
                        <w:b/>
                      </w:rPr>
                      <w:br/>
                      <w:t>445 12</w:t>
                    </w:r>
                    <w:r>
                      <w:rPr>
                        <w:rFonts w:ascii="Arial" w:hAnsi="Arial"/>
                        <w:b/>
                        <w:vertAlign w:val="superscript"/>
                      </w:rPr>
                      <w:t>th</w:t>
                    </w:r>
                    <w:r>
                      <w:rPr>
                        <w:rFonts w:ascii="Arial" w:hAnsi="Arial"/>
                        <w:b/>
                      </w:rPr>
                      <w:t xml:space="preserve"> St., S.W.</w:t>
                    </w:r>
                    <w:r>
                      <w:rPr>
                        <w:rFonts w:ascii="Arial" w:hAnsi="Arial"/>
                        <w:b/>
                      </w:rPr>
                      <w:br/>
                      <w:t>Washington, D.C. 20554</w:t>
                    </w:r>
                  </w:p>
                </w:txbxContent>
              </v:textbox>
              <w10:wrap anchorx="margin"/>
            </v:shape>
          </w:pict>
        </mc:Fallback>
      </mc:AlternateContent>
    </w:r>
    <w:r w:rsidRPr="00705606">
      <w:rPr>
        <w:rFonts w:ascii="Arial" w:hAnsi="Arial" w:cs="Arial"/>
        <w:b/>
        <w:noProof/>
        <w:snapToGrid/>
        <w:sz w:val="24"/>
      </w:rPr>
      <w:drawing>
        <wp:inline distT="0" distB="0" distL="0" distR="0" wp14:anchorId="730DFABE" wp14:editId="7A592DC7">
          <wp:extent cx="526415" cy="526415"/>
          <wp:effectExtent l="0" t="0" r="6985" b="6985"/>
          <wp:docPr id="17" name="Picture 10"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6415" cy="526415"/>
                  </a:xfrm>
                  <a:prstGeom prst="rect">
                    <a:avLst/>
                  </a:prstGeom>
                  <a:noFill/>
                  <a:ln>
                    <a:noFill/>
                  </a:ln>
                </pic:spPr>
              </pic:pic>
            </a:graphicData>
          </a:graphic>
        </wp:inline>
      </w:drawing>
    </w:r>
    <w:r w:rsidRPr="00BA6E7A">
      <w:rPr>
        <w:rFonts w:ascii="Arial" w:hAnsi="Arial" w:cs="Arial"/>
        <w:b/>
        <w:sz w:val="96"/>
      </w:rPr>
      <w:t xml:space="preserve"> PUBLIC NOTICE</w:t>
    </w:r>
  </w:p>
  <w:p w14:paraId="1CF6FE49" w14:textId="77777777" w:rsidR="004E6293" w:rsidRPr="00F709FC" w:rsidRDefault="004E6293" w:rsidP="00F709FC">
    <w:pPr>
      <w:spacing w:before="40"/>
      <w:rPr>
        <w:rFonts w:ascii="Arial" w:hAnsi="Arial" w:cs="Arial"/>
        <w:b/>
        <w:sz w:val="96"/>
      </w:rPr>
    </w:pPr>
    <w:r>
      <w:rPr>
        <w:noProof/>
      </w:rPr>
      <mc:AlternateContent>
        <mc:Choice Requires="wps">
          <w:drawing>
            <wp:anchor distT="4294967295" distB="4294967295" distL="114300" distR="114300" simplePos="0" relativeHeight="251670528" behindDoc="0" locked="0" layoutInCell="0" allowOverlap="1" wp14:anchorId="4A3E14B7" wp14:editId="4AADA033">
              <wp:simplePos x="0" y="0"/>
              <wp:positionH relativeFrom="margin">
                <wp:align>right</wp:align>
              </wp:positionH>
              <wp:positionV relativeFrom="paragraph">
                <wp:posOffset>720089</wp:posOffset>
              </wp:positionV>
              <wp:extent cx="59436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DC3203" id="Line 4" o:spid="_x0000_s1026" style="position:absolute;z-index:251670528;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4og8gEAALMDAAAOAAAAZHJzL2Uyb0RvYy54bWysU02P2jAQvVfqf7B8hwQ2UIgIqypAL9su&#10;0m5/gLEdYtXxWLYhoKr/vWPz0W17q5qDNfbMvJn3ZrJ4PHWaHKXzCkxFR8OcEmk4CGX2Ff36uhnM&#10;KPGBGcE0GFnRs/T0cfn+3aK3pRxDC1pIRxDE+LK3FW1DsGWWed7KjvkhWGnQ2YDrWMCr22fCsR7R&#10;O52N83ya9eCEdcCl9/i6ujjpMuE3jeThuWm8DERXFHsL6XTp3MUzWy5YuXfMtopf22D/0EXHlMGi&#10;d6gVC4wcnPoLqlPcgYcmDDl0GTSN4jJxQDaj/A82Ly2zMnFBcby9y+T/Hyz/ctw6okRFC0oM63BE&#10;T8pIUkRleutLDKjN1kVu/GRe7BPwb54YqFtm9jJ1+Hq2mDaKGdlvKfHiLeLv+s8gMIYdAiSZTo3r&#10;IiQKQE5pGuf7NOQpEI6Pk3nxMM1xaPzmy1h5S7TOh08SOhKNimrsOQGz45MPsRFW3kJiHQMbpXUa&#10;tjakr+h8Mp6kBA9aieiMYd7td7V25MjiuqQvsULP2zAHByMSWCuZWF/twJS+2Fhcm4iHVLCdq3XZ&#10;h+/zfL6erWfFoBhP14MiF2LwcVMXg+lm9GGyeljV9Wr041r1lp9kjUpeZrIDcd66m9y4GYnvdYvj&#10;6r29p6H8+teWPwE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DUP4og8gEAALMDAAAOAAAAAAAAAAAAAAAAAC4CAABkcnMvZTJv&#10;RG9jLnhtbFBLAQItABQABgAIAAAAIQDqAmoM2wAAAAgBAAAPAAAAAAAAAAAAAAAAAEwEAABkcnMv&#10;ZG93bnJldi54bWxQSwUGAAAAAAQABADzAAAAVAUAAAAA&#10;" o:allowincell="f">
              <w10:wrap anchorx="margin"/>
            </v:line>
          </w:pict>
        </mc:Fallback>
      </mc:AlternateContent>
    </w:r>
    <w:r>
      <w:rPr>
        <w:noProof/>
      </w:rPr>
      <mc:AlternateContent>
        <mc:Choice Requires="wps">
          <w:drawing>
            <wp:anchor distT="0" distB="0" distL="114300" distR="114300" simplePos="0" relativeHeight="251671552" behindDoc="0" locked="0" layoutInCell="0" allowOverlap="1" wp14:anchorId="01E797B4" wp14:editId="2CB37955">
              <wp:simplePos x="0" y="0"/>
              <wp:positionH relativeFrom="column">
                <wp:posOffset>3343275</wp:posOffset>
              </wp:positionH>
              <wp:positionV relativeFrom="paragraph">
                <wp:posOffset>178435</wp:posOffset>
              </wp:positionV>
              <wp:extent cx="2640965" cy="447675"/>
              <wp:effectExtent l="0" t="0" r="698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wps:spPr>
                    <wps:txbx>
                      <w:txbxContent>
                        <w:p w14:paraId="02CF6E67" w14:textId="2C7A63B4" w:rsidR="004E6293" w:rsidRDefault="004E6293" w:rsidP="00F709FC">
                          <w:pPr>
                            <w:spacing w:before="40"/>
                            <w:jc w:val="right"/>
                          </w:pPr>
                          <w:r>
                            <w:rPr>
                              <w:rFonts w:ascii="Arial" w:hAnsi="Arial"/>
                              <w:b/>
                              <w:sz w:val="16"/>
                            </w:rPr>
                            <w:t>News Media Information: 202-418-0500</w:t>
                          </w:r>
                          <w:r>
                            <w:rPr>
                              <w:rFonts w:ascii="Arial" w:hAnsi="Arial"/>
                              <w:b/>
                              <w:sz w:val="16"/>
                            </w:rPr>
                            <w:br/>
                            <w:t xml:space="preserve">Internet: </w:t>
                          </w:r>
                          <w:hyperlink r:id="rId2" w:history="1">
                            <w:r w:rsidRPr="00A466A2">
                              <w:rPr>
                                <w:rStyle w:val="Hyperlink"/>
                                <w:rFonts w:ascii="Arial" w:hAnsi="Arial"/>
                                <w:sz w:val="16"/>
                              </w:rPr>
                              <w:t>http://www.fcc.gov</w:t>
                            </w:r>
                          </w:hyperlink>
                          <w:r>
                            <w:rPr>
                              <w:rFonts w:ascii="Arial" w:hAnsi="Arial"/>
                              <w:b/>
                              <w:sz w:val="16"/>
                            </w:rPr>
                            <w:b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margin-left:263.25pt;margin-top:14.05pt;width:207.95pt;height:35.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KVQCQIAAPkDAAAOAAAAZHJzL2Uyb0RvYy54bWysU8tu2zAQvBfoPxC817INxWkEy0HqwEWB&#10;9AEk/QCKoiSiFJdd0pbcr++Ssl0jvRXVgSBXy9mZ2eX6fuwNOyj0GmzJF7M5Z8pKqLVtS/79Zffu&#10;PWc+CFsLA1aV/Kg8v9+8fbMeXKGW0IGpFTICsb4YXMm7EFyRZV52qhd+Bk5Z+tkA9iLQEdusRjEQ&#10;em+y5Xy+ygbA2iFI5T1FH6effJPwm0bJ8LVpvArMlJy4hbRiWqu4Zpu1KFoUrtPyREP8A4teaEtF&#10;L1CPIgi2R/0XVK8lgocmzCT0GTSNlippIDWL+Ss1z51wKmkhc7y72OT/H6z8cviGTNclv+HMip5a&#10;9KLGwD7AyG6iO4PzBSU9O0oLI4Wpy0mpd08gf3hmYdsJ26oHRBg6JWpit4g3s6urE46PINXwGWoq&#10;I/YBEtDYYB+tIzMYoVOXjpfORCqSgstVPr9bEUVJ//L8dnWbyGWiON926MNHBT2Lm5IjdT6hi8OT&#10;D5GNKM4psZgHo+udNiYdsK22BtlB0JTs0pcEvEozNiZbiNcmxClCJE81ouIocpIbxmpM1i7PRlZQ&#10;H8kChGkO6d3QpgP8xdlAM1hy/3MvUHFmPlmy8W6R53Fo04E2eB2tzlFhJUGUPHA2bbdhGvC9Q912&#10;VGFqmIUHsrzRyY3IdGJzahTNVzLp9BbiAF+fU9afF7v5DQAA//8DAFBLAwQUAAYACAAAACEApgCL&#10;ut8AAAAJAQAADwAAAGRycy9kb3ducmV2LnhtbEyPwU7DMAyG70i8Q2Qkbixd1FWlNJ3QBAdOiI3L&#10;bmlj2rLGqZpsK3t6zIndbPnT7+8v17MbxAmn0HvSsFwkIJAab3tqNXzuXh9yECEasmbwhBp+MMC6&#10;ur0pTWH9mT7wtI2t4BAKhdHQxTgWUoamQ2fCwo9IfPvykzOR16mVdjJnDneDVEmSSWd64g+dGXHT&#10;YXPYHp2Gt/30/rIPycWrOm6+m4PfXWSq9f3d/PwEIuIc/2H402d1qNip9keyQQwaVipbMapB5UsQ&#10;DDymKgVR85BnIKtSXjeofgEAAP//AwBQSwECLQAUAAYACAAAACEAtoM4kv4AAADhAQAAEwAAAAAA&#10;AAAAAAAAAAAAAAAAW0NvbnRlbnRfVHlwZXNdLnhtbFBLAQItABQABgAIAAAAIQA4/SH/1gAAAJQB&#10;AAALAAAAAAAAAAAAAAAAAC8BAABfcmVscy8ucmVsc1BLAQItABQABgAIAAAAIQAsxKVQCQIAAPkD&#10;AAAOAAAAAAAAAAAAAAAAAC4CAABkcnMvZTJvRG9jLnhtbFBLAQItABQABgAIAAAAIQCmAIu63wAA&#10;AAkBAAAPAAAAAAAAAAAAAAAAAGMEAABkcnMvZG93bnJldi54bWxQSwUGAAAAAAQABADzAAAAbwUA&#10;AAAA&#10;" o:allowincell="f" stroked="f">
              <v:textbox inset=",0,,0">
                <w:txbxContent>
                  <w:p w14:paraId="02CF6E67" w14:textId="2C7A63B4" w:rsidR="004E6293" w:rsidRDefault="004E6293" w:rsidP="00F709FC">
                    <w:pPr>
                      <w:spacing w:before="40"/>
                      <w:jc w:val="right"/>
                    </w:pPr>
                    <w:r>
                      <w:rPr>
                        <w:rFonts w:ascii="Arial" w:hAnsi="Arial"/>
                        <w:b/>
                        <w:sz w:val="16"/>
                      </w:rPr>
                      <w:t>News Media Information: 202-418-0500</w:t>
                    </w:r>
                    <w:r>
                      <w:rPr>
                        <w:rFonts w:ascii="Arial" w:hAnsi="Arial"/>
                        <w:b/>
                        <w:sz w:val="16"/>
                      </w:rPr>
                      <w:br/>
                      <w:t xml:space="preserve">Internet: </w:t>
                    </w:r>
                    <w:hyperlink r:id="rId3" w:history="1">
                      <w:r w:rsidRPr="00A466A2">
                        <w:rPr>
                          <w:rStyle w:val="Hyperlink"/>
                          <w:rFonts w:ascii="Arial" w:hAnsi="Arial"/>
                          <w:sz w:val="16"/>
                        </w:rPr>
                        <w:t>http://www.fcc.gov</w:t>
                      </w:r>
                    </w:hyperlink>
                    <w:r>
                      <w:rPr>
                        <w:rFonts w:ascii="Arial" w:hAnsi="Arial"/>
                        <w:b/>
                        <w:sz w:val="16"/>
                      </w:rPr>
                      <w:br/>
                      <w:t>TTY: 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E1B5293"/>
    <w:multiLevelType w:val="hybridMultilevel"/>
    <w:tmpl w:val="D84A24E2"/>
    <w:lvl w:ilvl="0" w:tplc="EA1A9C5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820534"/>
    <w:multiLevelType w:val="hybridMultilevel"/>
    <w:tmpl w:val="94B8D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941448"/>
    <w:multiLevelType w:val="hybridMultilevel"/>
    <w:tmpl w:val="6F6E38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5B90C92"/>
    <w:multiLevelType w:val="hybridMultilevel"/>
    <w:tmpl w:val="EB2E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6A12"/>
    <w:multiLevelType w:val="hybridMultilevel"/>
    <w:tmpl w:val="581CAD00"/>
    <w:lvl w:ilvl="0" w:tplc="5F9659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7915D1E"/>
    <w:multiLevelType w:val="hybridMultilevel"/>
    <w:tmpl w:val="D8FE1912"/>
    <w:lvl w:ilvl="0" w:tplc="356CD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41B26"/>
    <w:multiLevelType w:val="hybridMultilevel"/>
    <w:tmpl w:val="5CEAD8AE"/>
    <w:lvl w:ilvl="0" w:tplc="5A2CBC8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1D76E4"/>
    <w:multiLevelType w:val="hybridMultilevel"/>
    <w:tmpl w:val="2E5865F2"/>
    <w:lvl w:ilvl="0" w:tplc="4E6CD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0">
    <w:nsid w:val="248246F3"/>
    <w:multiLevelType w:val="singleLevel"/>
    <w:tmpl w:val="B1F45678"/>
    <w:lvl w:ilvl="0">
      <w:start w:val="1"/>
      <w:numFmt w:val="decimal"/>
      <w:lvlText w:val="%1."/>
      <w:lvlJc w:val="left"/>
      <w:pPr>
        <w:tabs>
          <w:tab w:val="num" w:pos="1080"/>
        </w:tabs>
        <w:ind w:left="0" w:firstLine="720"/>
      </w:pPr>
    </w:lvl>
  </w:abstractNum>
  <w:abstractNum w:abstractNumId="11">
    <w:nsid w:val="25D05B06"/>
    <w:multiLevelType w:val="hybridMultilevel"/>
    <w:tmpl w:val="8B68AD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E06CBB"/>
    <w:multiLevelType w:val="multilevel"/>
    <w:tmpl w:val="6F46508E"/>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1530"/>
        </w:tabs>
        <w:ind w:left="153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3">
    <w:nsid w:val="2DAE2288"/>
    <w:multiLevelType w:val="hybridMultilevel"/>
    <w:tmpl w:val="031E0B46"/>
    <w:lvl w:ilvl="0" w:tplc="509AA1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F0748DE"/>
    <w:multiLevelType w:val="hybridMultilevel"/>
    <w:tmpl w:val="DE68ED7A"/>
    <w:lvl w:ilvl="0" w:tplc="FDAC40A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0E4256"/>
    <w:multiLevelType w:val="hybridMultilevel"/>
    <w:tmpl w:val="F26E025C"/>
    <w:lvl w:ilvl="0" w:tplc="F5CAF84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FD7D55"/>
    <w:multiLevelType w:val="hybridMultilevel"/>
    <w:tmpl w:val="FB2423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011EEA"/>
    <w:multiLevelType w:val="hybridMultilevel"/>
    <w:tmpl w:val="4ADE8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1D39BE"/>
    <w:multiLevelType w:val="hybridMultilevel"/>
    <w:tmpl w:val="FFD8A2B8"/>
    <w:lvl w:ilvl="0" w:tplc="546AE8F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383775A"/>
    <w:multiLevelType w:val="hybridMultilevel"/>
    <w:tmpl w:val="7F94E9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CB1520"/>
    <w:multiLevelType w:val="hybridMultilevel"/>
    <w:tmpl w:val="F1B2FB6C"/>
    <w:lvl w:ilvl="0" w:tplc="2B9AF7D4">
      <w:start w:val="1"/>
      <w:numFmt w:val="decimal"/>
      <w:lvlText w:val="%1."/>
      <w:lvlJc w:val="left"/>
      <w:pPr>
        <w:ind w:left="1800" w:hanging="360"/>
      </w:pPr>
      <w:rPr>
        <w:rFonts w:ascii="Times New Roman" w:eastAsia="Times New Roman"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A8C5E3B"/>
    <w:multiLevelType w:val="hybridMultilevel"/>
    <w:tmpl w:val="2898AC5A"/>
    <w:lvl w:ilvl="0" w:tplc="437AF24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44DC68C7"/>
    <w:multiLevelType w:val="hybridMultilevel"/>
    <w:tmpl w:val="7B0CDC06"/>
    <w:lvl w:ilvl="0" w:tplc="05D2AA7A">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631EDA"/>
    <w:multiLevelType w:val="hybridMultilevel"/>
    <w:tmpl w:val="031CAF3C"/>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9EE0304"/>
    <w:multiLevelType w:val="hybridMultilevel"/>
    <w:tmpl w:val="30C2DCCA"/>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6">
    <w:nsid w:val="51892E35"/>
    <w:multiLevelType w:val="hybridMultilevel"/>
    <w:tmpl w:val="6A0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6E065F"/>
    <w:multiLevelType w:val="hybridMultilevel"/>
    <w:tmpl w:val="031CAF3C"/>
    <w:lvl w:ilvl="0" w:tplc="AF78FA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9">
    <w:nsid w:val="58A8614A"/>
    <w:multiLevelType w:val="hybridMultilevel"/>
    <w:tmpl w:val="16AE5686"/>
    <w:lvl w:ilvl="0" w:tplc="9680489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EEE0DC6"/>
    <w:multiLevelType w:val="hybridMultilevel"/>
    <w:tmpl w:val="288A7F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2">
    <w:nsid w:val="6FA30CAC"/>
    <w:multiLevelType w:val="hybridMultilevel"/>
    <w:tmpl w:val="238ABDD6"/>
    <w:lvl w:ilvl="0" w:tplc="7778C1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A42D39"/>
    <w:multiLevelType w:val="hybridMultilevel"/>
    <w:tmpl w:val="8F202A38"/>
    <w:lvl w:ilvl="0" w:tplc="025E34B0">
      <w:start w:val="30"/>
      <w:numFmt w:val="bullet"/>
      <w:lvlText w:val=""/>
      <w:lvlJc w:val="left"/>
      <w:pPr>
        <w:ind w:left="6120" w:hanging="360"/>
      </w:pPr>
      <w:rPr>
        <w:rFonts w:ascii="Wingdings" w:eastAsia="Times New Roman" w:hAnsi="Wingdings" w:cs="Times New Roman" w:hint="default"/>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4">
    <w:nsid w:val="75225A4A"/>
    <w:multiLevelType w:val="hybridMultilevel"/>
    <w:tmpl w:val="1504A9E0"/>
    <w:lvl w:ilvl="0" w:tplc="356CDE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6E16054"/>
    <w:multiLevelType w:val="hybridMultilevel"/>
    <w:tmpl w:val="321CCC22"/>
    <w:lvl w:ilvl="0" w:tplc="618A83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1"/>
  </w:num>
  <w:num w:numId="3">
    <w:abstractNumId w:val="12"/>
  </w:num>
  <w:num w:numId="4">
    <w:abstractNumId w:val="25"/>
  </w:num>
  <w:num w:numId="5">
    <w:abstractNumId w:val="10"/>
  </w:num>
  <w:num w:numId="6">
    <w:abstractNumId w:val="0"/>
  </w:num>
  <w:num w:numId="7">
    <w:abstractNumId w:val="28"/>
  </w:num>
  <w:num w:numId="8">
    <w:abstractNumId w:val="7"/>
  </w:num>
  <w:num w:numId="9">
    <w:abstractNumId w:val="1"/>
  </w:num>
  <w:num w:numId="10">
    <w:abstractNumId w:val="21"/>
  </w:num>
  <w:num w:numId="11">
    <w:abstractNumId w:val="17"/>
  </w:num>
  <w:num w:numId="12">
    <w:abstractNumId w:val="33"/>
  </w:num>
  <w:num w:numId="13">
    <w:abstractNumId w:val="19"/>
  </w:num>
  <w:num w:numId="14">
    <w:abstractNumId w:val="11"/>
  </w:num>
  <w:num w:numId="15">
    <w:abstractNumId w:val="16"/>
  </w:num>
  <w:num w:numId="16">
    <w:abstractNumId w:val="4"/>
  </w:num>
  <w:num w:numId="17">
    <w:abstractNumId w:val="22"/>
  </w:num>
  <w:num w:numId="18">
    <w:abstractNumId w:val="26"/>
  </w:num>
  <w:num w:numId="19">
    <w:abstractNumId w:val="2"/>
  </w:num>
  <w:num w:numId="20">
    <w:abstractNumId w:val="14"/>
  </w:num>
  <w:num w:numId="21">
    <w:abstractNumId w:val="31"/>
    <w:lvlOverride w:ilvl="0">
      <w:startOverride w:val="1"/>
    </w:lvlOverride>
  </w:num>
  <w:num w:numId="22">
    <w:abstractNumId w:val="2"/>
  </w:num>
  <w:num w:numId="23">
    <w:abstractNumId w:val="32"/>
  </w:num>
  <w:num w:numId="24">
    <w:abstractNumId w:val="20"/>
  </w:num>
  <w:num w:numId="25">
    <w:abstractNumId w:val="35"/>
  </w:num>
  <w:num w:numId="26">
    <w:abstractNumId w:val="8"/>
  </w:num>
  <w:num w:numId="27">
    <w:abstractNumId w:val="18"/>
  </w:num>
  <w:num w:numId="28">
    <w:abstractNumId w:val="29"/>
  </w:num>
  <w:num w:numId="29">
    <w:abstractNumId w:val="15"/>
  </w:num>
  <w:num w:numId="30">
    <w:abstractNumId w:val="34"/>
  </w:num>
  <w:num w:numId="31">
    <w:abstractNumId w:val="5"/>
  </w:num>
  <w:num w:numId="32">
    <w:abstractNumId w:val="24"/>
  </w:num>
  <w:num w:numId="33">
    <w:abstractNumId w:val="13"/>
  </w:num>
  <w:num w:numId="34">
    <w:abstractNumId w:val="31"/>
    <w:lvlOverride w:ilvl="0">
      <w:startOverride w:val="1"/>
    </w:lvlOverride>
  </w:num>
  <w:num w:numId="35">
    <w:abstractNumId w:val="23"/>
  </w:num>
  <w:num w:numId="36">
    <w:abstractNumId w:val="27"/>
  </w:num>
  <w:num w:numId="37">
    <w:abstractNumId w:val="12"/>
  </w:num>
  <w:num w:numId="38">
    <w:abstractNumId w:val="12"/>
  </w:num>
  <w:num w:numId="39">
    <w:abstractNumId w:val="12"/>
  </w:num>
  <w:num w:numId="40">
    <w:abstractNumId w:val="12"/>
  </w:num>
  <w:num w:numId="41">
    <w:abstractNumId w:val="12"/>
  </w:num>
  <w:num w:numId="42">
    <w:abstractNumId w:val="3"/>
  </w:num>
  <w:num w:numId="43">
    <w:abstractNumId w:val="30"/>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B0A"/>
    <w:rsid w:val="00001F4E"/>
    <w:rsid w:val="00003112"/>
    <w:rsid w:val="00004AED"/>
    <w:rsid w:val="00005FC4"/>
    <w:rsid w:val="0000632F"/>
    <w:rsid w:val="0000691F"/>
    <w:rsid w:val="00007934"/>
    <w:rsid w:val="000103A0"/>
    <w:rsid w:val="00012DF5"/>
    <w:rsid w:val="000140B2"/>
    <w:rsid w:val="00014E94"/>
    <w:rsid w:val="0001521A"/>
    <w:rsid w:val="0001564F"/>
    <w:rsid w:val="00015C6E"/>
    <w:rsid w:val="00017550"/>
    <w:rsid w:val="00020DD4"/>
    <w:rsid w:val="00020F04"/>
    <w:rsid w:val="00021785"/>
    <w:rsid w:val="000219C8"/>
    <w:rsid w:val="0002255D"/>
    <w:rsid w:val="00023B46"/>
    <w:rsid w:val="000245C6"/>
    <w:rsid w:val="000246FF"/>
    <w:rsid w:val="00024AD4"/>
    <w:rsid w:val="0002538C"/>
    <w:rsid w:val="00025DCE"/>
    <w:rsid w:val="000264D9"/>
    <w:rsid w:val="00026AA5"/>
    <w:rsid w:val="00026FF2"/>
    <w:rsid w:val="000276A1"/>
    <w:rsid w:val="00030B23"/>
    <w:rsid w:val="000312C9"/>
    <w:rsid w:val="000316AC"/>
    <w:rsid w:val="00032B72"/>
    <w:rsid w:val="00032D25"/>
    <w:rsid w:val="000341F9"/>
    <w:rsid w:val="000348EB"/>
    <w:rsid w:val="00036039"/>
    <w:rsid w:val="00036727"/>
    <w:rsid w:val="00036FF9"/>
    <w:rsid w:val="00037872"/>
    <w:rsid w:val="00037F90"/>
    <w:rsid w:val="00040602"/>
    <w:rsid w:val="0004100A"/>
    <w:rsid w:val="00041A34"/>
    <w:rsid w:val="000457D3"/>
    <w:rsid w:val="00045C15"/>
    <w:rsid w:val="000468F0"/>
    <w:rsid w:val="00047A9C"/>
    <w:rsid w:val="00050B21"/>
    <w:rsid w:val="00050E94"/>
    <w:rsid w:val="000516E4"/>
    <w:rsid w:val="000517F2"/>
    <w:rsid w:val="0005265A"/>
    <w:rsid w:val="00052703"/>
    <w:rsid w:val="00053A10"/>
    <w:rsid w:val="00053E79"/>
    <w:rsid w:val="0005411C"/>
    <w:rsid w:val="000548A3"/>
    <w:rsid w:val="0005532E"/>
    <w:rsid w:val="00057D38"/>
    <w:rsid w:val="00061A6D"/>
    <w:rsid w:val="00061FF5"/>
    <w:rsid w:val="00062913"/>
    <w:rsid w:val="0006725A"/>
    <w:rsid w:val="0007102E"/>
    <w:rsid w:val="0007238D"/>
    <w:rsid w:val="00072A2D"/>
    <w:rsid w:val="0007386A"/>
    <w:rsid w:val="00074D9F"/>
    <w:rsid w:val="00076115"/>
    <w:rsid w:val="00077EBA"/>
    <w:rsid w:val="00082E62"/>
    <w:rsid w:val="000834A4"/>
    <w:rsid w:val="00083D45"/>
    <w:rsid w:val="00084669"/>
    <w:rsid w:val="00085A1D"/>
    <w:rsid w:val="000875BF"/>
    <w:rsid w:val="0008779C"/>
    <w:rsid w:val="000913A5"/>
    <w:rsid w:val="00091966"/>
    <w:rsid w:val="00093A22"/>
    <w:rsid w:val="0009405A"/>
    <w:rsid w:val="00096B87"/>
    <w:rsid w:val="00096C15"/>
    <w:rsid w:val="00096D8C"/>
    <w:rsid w:val="000973D6"/>
    <w:rsid w:val="000A0939"/>
    <w:rsid w:val="000A158D"/>
    <w:rsid w:val="000A1D14"/>
    <w:rsid w:val="000A1DF3"/>
    <w:rsid w:val="000A356F"/>
    <w:rsid w:val="000A402E"/>
    <w:rsid w:val="000A6C53"/>
    <w:rsid w:val="000A6D22"/>
    <w:rsid w:val="000A7698"/>
    <w:rsid w:val="000A7FA4"/>
    <w:rsid w:val="000B01BF"/>
    <w:rsid w:val="000B1080"/>
    <w:rsid w:val="000B15B4"/>
    <w:rsid w:val="000B1AA7"/>
    <w:rsid w:val="000B249F"/>
    <w:rsid w:val="000B273D"/>
    <w:rsid w:val="000B2EE5"/>
    <w:rsid w:val="000B3FB1"/>
    <w:rsid w:val="000B45AD"/>
    <w:rsid w:val="000B4948"/>
    <w:rsid w:val="000B4CE0"/>
    <w:rsid w:val="000B60CD"/>
    <w:rsid w:val="000B64AB"/>
    <w:rsid w:val="000C0720"/>
    <w:rsid w:val="000C0B65"/>
    <w:rsid w:val="000C1274"/>
    <w:rsid w:val="000C1AAE"/>
    <w:rsid w:val="000C1C57"/>
    <w:rsid w:val="000C1F08"/>
    <w:rsid w:val="000C2A5E"/>
    <w:rsid w:val="000C4152"/>
    <w:rsid w:val="000C42C7"/>
    <w:rsid w:val="000C6B6F"/>
    <w:rsid w:val="000D02F0"/>
    <w:rsid w:val="000D11DD"/>
    <w:rsid w:val="000D16FC"/>
    <w:rsid w:val="000D1D8C"/>
    <w:rsid w:val="000D2005"/>
    <w:rsid w:val="000D3B32"/>
    <w:rsid w:val="000D3CE7"/>
    <w:rsid w:val="000D6AD3"/>
    <w:rsid w:val="000D6EEB"/>
    <w:rsid w:val="000D6FA6"/>
    <w:rsid w:val="000E05FE"/>
    <w:rsid w:val="000E0DC5"/>
    <w:rsid w:val="000E174A"/>
    <w:rsid w:val="000E2619"/>
    <w:rsid w:val="000E26AB"/>
    <w:rsid w:val="000E3D42"/>
    <w:rsid w:val="000E65A9"/>
    <w:rsid w:val="000E708E"/>
    <w:rsid w:val="000E7A82"/>
    <w:rsid w:val="000F0B64"/>
    <w:rsid w:val="000F0E3A"/>
    <w:rsid w:val="000F0EFB"/>
    <w:rsid w:val="000F150C"/>
    <w:rsid w:val="000F1DDD"/>
    <w:rsid w:val="000F2A49"/>
    <w:rsid w:val="000F3101"/>
    <w:rsid w:val="000F3DB7"/>
    <w:rsid w:val="000F7DC0"/>
    <w:rsid w:val="001007CC"/>
    <w:rsid w:val="00100C4C"/>
    <w:rsid w:val="001027B9"/>
    <w:rsid w:val="00106244"/>
    <w:rsid w:val="00107B98"/>
    <w:rsid w:val="0011101D"/>
    <w:rsid w:val="001119F2"/>
    <w:rsid w:val="00111C1C"/>
    <w:rsid w:val="00111D51"/>
    <w:rsid w:val="00112582"/>
    <w:rsid w:val="001138C0"/>
    <w:rsid w:val="001139A8"/>
    <w:rsid w:val="00114811"/>
    <w:rsid w:val="00115E26"/>
    <w:rsid w:val="00115FD0"/>
    <w:rsid w:val="00117E2F"/>
    <w:rsid w:val="00120BAE"/>
    <w:rsid w:val="00121C60"/>
    <w:rsid w:val="00122BD5"/>
    <w:rsid w:val="001239A5"/>
    <w:rsid w:val="00123D1D"/>
    <w:rsid w:val="00124813"/>
    <w:rsid w:val="00125461"/>
    <w:rsid w:val="0012563C"/>
    <w:rsid w:val="00127B5E"/>
    <w:rsid w:val="0013150A"/>
    <w:rsid w:val="001327F2"/>
    <w:rsid w:val="00132E2B"/>
    <w:rsid w:val="00133C4F"/>
    <w:rsid w:val="00133F79"/>
    <w:rsid w:val="00135205"/>
    <w:rsid w:val="0013580F"/>
    <w:rsid w:val="00136012"/>
    <w:rsid w:val="00136FF9"/>
    <w:rsid w:val="00137200"/>
    <w:rsid w:val="00137AED"/>
    <w:rsid w:val="00137F19"/>
    <w:rsid w:val="001419D7"/>
    <w:rsid w:val="001448C3"/>
    <w:rsid w:val="00144CBA"/>
    <w:rsid w:val="00145B15"/>
    <w:rsid w:val="0014793E"/>
    <w:rsid w:val="00147B27"/>
    <w:rsid w:val="00151A1A"/>
    <w:rsid w:val="001524C7"/>
    <w:rsid w:val="00152886"/>
    <w:rsid w:val="00153418"/>
    <w:rsid w:val="00154FB9"/>
    <w:rsid w:val="001551C5"/>
    <w:rsid w:val="00156FE1"/>
    <w:rsid w:val="00162BA7"/>
    <w:rsid w:val="001645D4"/>
    <w:rsid w:val="00164655"/>
    <w:rsid w:val="00165FCA"/>
    <w:rsid w:val="001660E8"/>
    <w:rsid w:val="00166552"/>
    <w:rsid w:val="00166BA5"/>
    <w:rsid w:val="00166FE6"/>
    <w:rsid w:val="00167165"/>
    <w:rsid w:val="0017079A"/>
    <w:rsid w:val="001742FF"/>
    <w:rsid w:val="00177817"/>
    <w:rsid w:val="0017791A"/>
    <w:rsid w:val="001802CC"/>
    <w:rsid w:val="001812B7"/>
    <w:rsid w:val="001815A9"/>
    <w:rsid w:val="001825C4"/>
    <w:rsid w:val="00183CB5"/>
    <w:rsid w:val="00184780"/>
    <w:rsid w:val="00185AF1"/>
    <w:rsid w:val="0018621B"/>
    <w:rsid w:val="00186F4D"/>
    <w:rsid w:val="00187289"/>
    <w:rsid w:val="00187F56"/>
    <w:rsid w:val="001912D9"/>
    <w:rsid w:val="00192A6F"/>
    <w:rsid w:val="001937F7"/>
    <w:rsid w:val="00194A66"/>
    <w:rsid w:val="001959D9"/>
    <w:rsid w:val="00195EE6"/>
    <w:rsid w:val="001A3823"/>
    <w:rsid w:val="001A4905"/>
    <w:rsid w:val="001A6A21"/>
    <w:rsid w:val="001A6EEF"/>
    <w:rsid w:val="001A7330"/>
    <w:rsid w:val="001B0388"/>
    <w:rsid w:val="001B04E2"/>
    <w:rsid w:val="001B0AC1"/>
    <w:rsid w:val="001B11ED"/>
    <w:rsid w:val="001B1512"/>
    <w:rsid w:val="001B47C6"/>
    <w:rsid w:val="001B47D0"/>
    <w:rsid w:val="001B4FBB"/>
    <w:rsid w:val="001B6481"/>
    <w:rsid w:val="001B7408"/>
    <w:rsid w:val="001C0211"/>
    <w:rsid w:val="001C1C8E"/>
    <w:rsid w:val="001C27C1"/>
    <w:rsid w:val="001C39CA"/>
    <w:rsid w:val="001C51F3"/>
    <w:rsid w:val="001C54DF"/>
    <w:rsid w:val="001C573E"/>
    <w:rsid w:val="001C5B93"/>
    <w:rsid w:val="001C7D45"/>
    <w:rsid w:val="001D0D84"/>
    <w:rsid w:val="001D0E90"/>
    <w:rsid w:val="001D2243"/>
    <w:rsid w:val="001D30AF"/>
    <w:rsid w:val="001D4A25"/>
    <w:rsid w:val="001D4BA2"/>
    <w:rsid w:val="001D544F"/>
    <w:rsid w:val="001D558F"/>
    <w:rsid w:val="001D55A1"/>
    <w:rsid w:val="001D5E0D"/>
    <w:rsid w:val="001D6BCF"/>
    <w:rsid w:val="001E01CA"/>
    <w:rsid w:val="001E04C5"/>
    <w:rsid w:val="001E069B"/>
    <w:rsid w:val="001E088E"/>
    <w:rsid w:val="001E0AE8"/>
    <w:rsid w:val="001E2145"/>
    <w:rsid w:val="001E3225"/>
    <w:rsid w:val="001E3CF8"/>
    <w:rsid w:val="001E6457"/>
    <w:rsid w:val="001E7823"/>
    <w:rsid w:val="001F0354"/>
    <w:rsid w:val="001F1D2E"/>
    <w:rsid w:val="001F1F6E"/>
    <w:rsid w:val="001F2BDA"/>
    <w:rsid w:val="001F2EA0"/>
    <w:rsid w:val="001F3F75"/>
    <w:rsid w:val="001F592D"/>
    <w:rsid w:val="001F601B"/>
    <w:rsid w:val="001F6E04"/>
    <w:rsid w:val="001F7927"/>
    <w:rsid w:val="002009F3"/>
    <w:rsid w:val="00200B75"/>
    <w:rsid w:val="0020298E"/>
    <w:rsid w:val="0020316D"/>
    <w:rsid w:val="002037E1"/>
    <w:rsid w:val="00203AD6"/>
    <w:rsid w:val="002062AD"/>
    <w:rsid w:val="002073ED"/>
    <w:rsid w:val="002074B9"/>
    <w:rsid w:val="00211084"/>
    <w:rsid w:val="00211A5D"/>
    <w:rsid w:val="00211EC6"/>
    <w:rsid w:val="00212301"/>
    <w:rsid w:val="002130C7"/>
    <w:rsid w:val="0021344F"/>
    <w:rsid w:val="00213844"/>
    <w:rsid w:val="00213A09"/>
    <w:rsid w:val="00213F8F"/>
    <w:rsid w:val="00214EE0"/>
    <w:rsid w:val="0021584B"/>
    <w:rsid w:val="002202D2"/>
    <w:rsid w:val="00220991"/>
    <w:rsid w:val="002215F0"/>
    <w:rsid w:val="0022213C"/>
    <w:rsid w:val="00222B81"/>
    <w:rsid w:val="0022336C"/>
    <w:rsid w:val="002244C9"/>
    <w:rsid w:val="002253A8"/>
    <w:rsid w:val="002257B8"/>
    <w:rsid w:val="00225F1F"/>
    <w:rsid w:val="002276F2"/>
    <w:rsid w:val="00227F63"/>
    <w:rsid w:val="0023078C"/>
    <w:rsid w:val="00231D7C"/>
    <w:rsid w:val="00236070"/>
    <w:rsid w:val="00240295"/>
    <w:rsid w:val="0024056B"/>
    <w:rsid w:val="0024212C"/>
    <w:rsid w:val="00243B7C"/>
    <w:rsid w:val="00243DBE"/>
    <w:rsid w:val="002441C0"/>
    <w:rsid w:val="00244BFF"/>
    <w:rsid w:val="00244CD0"/>
    <w:rsid w:val="00244EFA"/>
    <w:rsid w:val="0024524A"/>
    <w:rsid w:val="0024798F"/>
    <w:rsid w:val="0025095F"/>
    <w:rsid w:val="0025167F"/>
    <w:rsid w:val="00251CD1"/>
    <w:rsid w:val="00251F6B"/>
    <w:rsid w:val="00252617"/>
    <w:rsid w:val="00252F4B"/>
    <w:rsid w:val="00253DD3"/>
    <w:rsid w:val="00256F0E"/>
    <w:rsid w:val="002577BC"/>
    <w:rsid w:val="00261289"/>
    <w:rsid w:val="00262FFB"/>
    <w:rsid w:val="00263BE6"/>
    <w:rsid w:val="00264219"/>
    <w:rsid w:val="002655A2"/>
    <w:rsid w:val="00265A22"/>
    <w:rsid w:val="00266E38"/>
    <w:rsid w:val="00270EDC"/>
    <w:rsid w:val="002711CE"/>
    <w:rsid w:val="00271269"/>
    <w:rsid w:val="00271472"/>
    <w:rsid w:val="0027189A"/>
    <w:rsid w:val="00271B7A"/>
    <w:rsid w:val="00271CDD"/>
    <w:rsid w:val="00272E44"/>
    <w:rsid w:val="00272FC7"/>
    <w:rsid w:val="00274829"/>
    <w:rsid w:val="00275CF5"/>
    <w:rsid w:val="00275E31"/>
    <w:rsid w:val="0028301F"/>
    <w:rsid w:val="0028365C"/>
    <w:rsid w:val="0028457A"/>
    <w:rsid w:val="00284CAC"/>
    <w:rsid w:val="00285017"/>
    <w:rsid w:val="00286E1F"/>
    <w:rsid w:val="002872AE"/>
    <w:rsid w:val="002872EA"/>
    <w:rsid w:val="00287B5B"/>
    <w:rsid w:val="002900B9"/>
    <w:rsid w:val="00290316"/>
    <w:rsid w:val="002906DF"/>
    <w:rsid w:val="00291326"/>
    <w:rsid w:val="0029135C"/>
    <w:rsid w:val="00292D59"/>
    <w:rsid w:val="002933B5"/>
    <w:rsid w:val="00294A4B"/>
    <w:rsid w:val="002950F9"/>
    <w:rsid w:val="00295F02"/>
    <w:rsid w:val="00297EA6"/>
    <w:rsid w:val="002A1947"/>
    <w:rsid w:val="002A23B7"/>
    <w:rsid w:val="002A2D2E"/>
    <w:rsid w:val="002A304E"/>
    <w:rsid w:val="002A376B"/>
    <w:rsid w:val="002A3CE0"/>
    <w:rsid w:val="002A6DC0"/>
    <w:rsid w:val="002B0927"/>
    <w:rsid w:val="002B114B"/>
    <w:rsid w:val="002B119B"/>
    <w:rsid w:val="002B1DDB"/>
    <w:rsid w:val="002B46B5"/>
    <w:rsid w:val="002B5825"/>
    <w:rsid w:val="002B5C46"/>
    <w:rsid w:val="002B6DB6"/>
    <w:rsid w:val="002C00E8"/>
    <w:rsid w:val="002C0193"/>
    <w:rsid w:val="002C20F5"/>
    <w:rsid w:val="002C306D"/>
    <w:rsid w:val="002C31AF"/>
    <w:rsid w:val="002C344F"/>
    <w:rsid w:val="002C38D5"/>
    <w:rsid w:val="002C5270"/>
    <w:rsid w:val="002C65A0"/>
    <w:rsid w:val="002C6D63"/>
    <w:rsid w:val="002C77DC"/>
    <w:rsid w:val="002C7856"/>
    <w:rsid w:val="002C7FAD"/>
    <w:rsid w:val="002D0994"/>
    <w:rsid w:val="002D1C56"/>
    <w:rsid w:val="002D29AB"/>
    <w:rsid w:val="002D3CFD"/>
    <w:rsid w:val="002D5311"/>
    <w:rsid w:val="002D6E45"/>
    <w:rsid w:val="002D75A9"/>
    <w:rsid w:val="002D777D"/>
    <w:rsid w:val="002E21E7"/>
    <w:rsid w:val="002E2F88"/>
    <w:rsid w:val="002E435A"/>
    <w:rsid w:val="002E4469"/>
    <w:rsid w:val="002E4A99"/>
    <w:rsid w:val="002E4FFB"/>
    <w:rsid w:val="002E76E3"/>
    <w:rsid w:val="002F07AB"/>
    <w:rsid w:val="002F0EF4"/>
    <w:rsid w:val="002F4A46"/>
    <w:rsid w:val="002F517F"/>
    <w:rsid w:val="002F586E"/>
    <w:rsid w:val="002F62C9"/>
    <w:rsid w:val="002F6328"/>
    <w:rsid w:val="003001A8"/>
    <w:rsid w:val="003005F1"/>
    <w:rsid w:val="00300CB6"/>
    <w:rsid w:val="003016C6"/>
    <w:rsid w:val="00304857"/>
    <w:rsid w:val="003050BF"/>
    <w:rsid w:val="00305D5F"/>
    <w:rsid w:val="00307EA8"/>
    <w:rsid w:val="0031037B"/>
    <w:rsid w:val="003120FE"/>
    <w:rsid w:val="0031256B"/>
    <w:rsid w:val="0031264B"/>
    <w:rsid w:val="00314483"/>
    <w:rsid w:val="00314618"/>
    <w:rsid w:val="0031539A"/>
    <w:rsid w:val="0031547C"/>
    <w:rsid w:val="003159CE"/>
    <w:rsid w:val="00315FC7"/>
    <w:rsid w:val="00316045"/>
    <w:rsid w:val="00316ED8"/>
    <w:rsid w:val="003214D7"/>
    <w:rsid w:val="003219C0"/>
    <w:rsid w:val="00323145"/>
    <w:rsid w:val="00323FE3"/>
    <w:rsid w:val="00324072"/>
    <w:rsid w:val="0032449F"/>
    <w:rsid w:val="0032479F"/>
    <w:rsid w:val="00324A72"/>
    <w:rsid w:val="003255C4"/>
    <w:rsid w:val="0032788F"/>
    <w:rsid w:val="003278F3"/>
    <w:rsid w:val="00327B89"/>
    <w:rsid w:val="00327CEF"/>
    <w:rsid w:val="0033086E"/>
    <w:rsid w:val="0033100C"/>
    <w:rsid w:val="00331499"/>
    <w:rsid w:val="00331CCC"/>
    <w:rsid w:val="00333025"/>
    <w:rsid w:val="00335977"/>
    <w:rsid w:val="003366CA"/>
    <w:rsid w:val="003370DA"/>
    <w:rsid w:val="00341D50"/>
    <w:rsid w:val="00341DDC"/>
    <w:rsid w:val="00342174"/>
    <w:rsid w:val="003429CA"/>
    <w:rsid w:val="00343749"/>
    <w:rsid w:val="00344339"/>
    <w:rsid w:val="00344D5C"/>
    <w:rsid w:val="00347534"/>
    <w:rsid w:val="00347C4D"/>
    <w:rsid w:val="0035011F"/>
    <w:rsid w:val="00351628"/>
    <w:rsid w:val="003524A6"/>
    <w:rsid w:val="0035267D"/>
    <w:rsid w:val="00353089"/>
    <w:rsid w:val="0035367D"/>
    <w:rsid w:val="003538E2"/>
    <w:rsid w:val="00353C9E"/>
    <w:rsid w:val="00356624"/>
    <w:rsid w:val="00360331"/>
    <w:rsid w:val="00360D02"/>
    <w:rsid w:val="0036311D"/>
    <w:rsid w:val="00363794"/>
    <w:rsid w:val="00363B5B"/>
    <w:rsid w:val="0036508F"/>
    <w:rsid w:val="003660ED"/>
    <w:rsid w:val="00366EC7"/>
    <w:rsid w:val="003671E3"/>
    <w:rsid w:val="003673BE"/>
    <w:rsid w:val="00370AB9"/>
    <w:rsid w:val="00370E5C"/>
    <w:rsid w:val="00371150"/>
    <w:rsid w:val="00371B86"/>
    <w:rsid w:val="00372CD0"/>
    <w:rsid w:val="00373ED9"/>
    <w:rsid w:val="00374C74"/>
    <w:rsid w:val="00374EE3"/>
    <w:rsid w:val="00375A4E"/>
    <w:rsid w:val="003762DA"/>
    <w:rsid w:val="003805BD"/>
    <w:rsid w:val="003818F3"/>
    <w:rsid w:val="003820CD"/>
    <w:rsid w:val="00384513"/>
    <w:rsid w:val="003869FF"/>
    <w:rsid w:val="0039241E"/>
    <w:rsid w:val="00394163"/>
    <w:rsid w:val="003945A7"/>
    <w:rsid w:val="0039508B"/>
    <w:rsid w:val="00395282"/>
    <w:rsid w:val="003954C2"/>
    <w:rsid w:val="0039653E"/>
    <w:rsid w:val="00396554"/>
    <w:rsid w:val="00396649"/>
    <w:rsid w:val="00396877"/>
    <w:rsid w:val="00397E81"/>
    <w:rsid w:val="003A0749"/>
    <w:rsid w:val="003A3A70"/>
    <w:rsid w:val="003A566A"/>
    <w:rsid w:val="003A5D93"/>
    <w:rsid w:val="003A5EF5"/>
    <w:rsid w:val="003A7731"/>
    <w:rsid w:val="003B0550"/>
    <w:rsid w:val="003B0F4C"/>
    <w:rsid w:val="003B2642"/>
    <w:rsid w:val="003B2BFC"/>
    <w:rsid w:val="003B694F"/>
    <w:rsid w:val="003B73ED"/>
    <w:rsid w:val="003B7664"/>
    <w:rsid w:val="003B7AC0"/>
    <w:rsid w:val="003C0A4D"/>
    <w:rsid w:val="003C415E"/>
    <w:rsid w:val="003C487C"/>
    <w:rsid w:val="003C5A53"/>
    <w:rsid w:val="003C6C33"/>
    <w:rsid w:val="003D290B"/>
    <w:rsid w:val="003D4A46"/>
    <w:rsid w:val="003D513A"/>
    <w:rsid w:val="003D57B5"/>
    <w:rsid w:val="003D5F13"/>
    <w:rsid w:val="003D61F0"/>
    <w:rsid w:val="003D67BE"/>
    <w:rsid w:val="003D77B3"/>
    <w:rsid w:val="003E0C10"/>
    <w:rsid w:val="003E0DD0"/>
    <w:rsid w:val="003E1060"/>
    <w:rsid w:val="003E12EA"/>
    <w:rsid w:val="003E1E83"/>
    <w:rsid w:val="003E2F38"/>
    <w:rsid w:val="003E4674"/>
    <w:rsid w:val="003E564A"/>
    <w:rsid w:val="003E58B2"/>
    <w:rsid w:val="003E7F4B"/>
    <w:rsid w:val="003F0143"/>
    <w:rsid w:val="003F08C6"/>
    <w:rsid w:val="003F12B4"/>
    <w:rsid w:val="003F171C"/>
    <w:rsid w:val="003F19F6"/>
    <w:rsid w:val="003F2D5A"/>
    <w:rsid w:val="003F3C03"/>
    <w:rsid w:val="003F503D"/>
    <w:rsid w:val="003F58BB"/>
    <w:rsid w:val="003F58D9"/>
    <w:rsid w:val="003F6369"/>
    <w:rsid w:val="003F7BE3"/>
    <w:rsid w:val="0040096F"/>
    <w:rsid w:val="00400D90"/>
    <w:rsid w:val="0040212A"/>
    <w:rsid w:val="00402BB6"/>
    <w:rsid w:val="004038E4"/>
    <w:rsid w:val="00403C9D"/>
    <w:rsid w:val="00404F4A"/>
    <w:rsid w:val="004064C7"/>
    <w:rsid w:val="00407065"/>
    <w:rsid w:val="00411181"/>
    <w:rsid w:val="00411282"/>
    <w:rsid w:val="00412014"/>
    <w:rsid w:val="00412990"/>
    <w:rsid w:val="00412D8F"/>
    <w:rsid w:val="00412FC5"/>
    <w:rsid w:val="00413F67"/>
    <w:rsid w:val="00414B41"/>
    <w:rsid w:val="00414F4F"/>
    <w:rsid w:val="0041796B"/>
    <w:rsid w:val="004202C4"/>
    <w:rsid w:val="00420B4B"/>
    <w:rsid w:val="00421081"/>
    <w:rsid w:val="00421573"/>
    <w:rsid w:val="00421675"/>
    <w:rsid w:val="00421745"/>
    <w:rsid w:val="00421FDD"/>
    <w:rsid w:val="00422276"/>
    <w:rsid w:val="004242F1"/>
    <w:rsid w:val="00425D76"/>
    <w:rsid w:val="00426535"/>
    <w:rsid w:val="00426FC3"/>
    <w:rsid w:val="00427935"/>
    <w:rsid w:val="00430E15"/>
    <w:rsid w:val="004342C3"/>
    <w:rsid w:val="004343C8"/>
    <w:rsid w:val="0043562C"/>
    <w:rsid w:val="00435A6A"/>
    <w:rsid w:val="004369F1"/>
    <w:rsid w:val="004372E8"/>
    <w:rsid w:val="00441540"/>
    <w:rsid w:val="00441745"/>
    <w:rsid w:val="00442061"/>
    <w:rsid w:val="004422B7"/>
    <w:rsid w:val="00442D91"/>
    <w:rsid w:val="00444402"/>
    <w:rsid w:val="004449C8"/>
    <w:rsid w:val="00445A00"/>
    <w:rsid w:val="004466CE"/>
    <w:rsid w:val="00446F14"/>
    <w:rsid w:val="004503FE"/>
    <w:rsid w:val="0045171C"/>
    <w:rsid w:val="00451B0F"/>
    <w:rsid w:val="00452947"/>
    <w:rsid w:val="00453B0C"/>
    <w:rsid w:val="00456822"/>
    <w:rsid w:val="00456E7C"/>
    <w:rsid w:val="00457DA1"/>
    <w:rsid w:val="004616E8"/>
    <w:rsid w:val="00463FBB"/>
    <w:rsid w:val="004668DF"/>
    <w:rsid w:val="0047103C"/>
    <w:rsid w:val="00471492"/>
    <w:rsid w:val="004745E1"/>
    <w:rsid w:val="00476786"/>
    <w:rsid w:val="0047751C"/>
    <w:rsid w:val="0048029C"/>
    <w:rsid w:val="00481178"/>
    <w:rsid w:val="004811F4"/>
    <w:rsid w:val="00482754"/>
    <w:rsid w:val="0048423D"/>
    <w:rsid w:val="0048522D"/>
    <w:rsid w:val="004863C3"/>
    <w:rsid w:val="00487067"/>
    <w:rsid w:val="00487372"/>
    <w:rsid w:val="004873EB"/>
    <w:rsid w:val="00487549"/>
    <w:rsid w:val="004906FC"/>
    <w:rsid w:val="00490D00"/>
    <w:rsid w:val="00490F5A"/>
    <w:rsid w:val="00490FC0"/>
    <w:rsid w:val="00491990"/>
    <w:rsid w:val="00491AA7"/>
    <w:rsid w:val="00491D71"/>
    <w:rsid w:val="00496141"/>
    <w:rsid w:val="0049639A"/>
    <w:rsid w:val="00496734"/>
    <w:rsid w:val="004A05AB"/>
    <w:rsid w:val="004A0FB5"/>
    <w:rsid w:val="004A1C6C"/>
    <w:rsid w:val="004A1DB5"/>
    <w:rsid w:val="004A3198"/>
    <w:rsid w:val="004A3BCF"/>
    <w:rsid w:val="004A4038"/>
    <w:rsid w:val="004A58B7"/>
    <w:rsid w:val="004A68BF"/>
    <w:rsid w:val="004A7F1B"/>
    <w:rsid w:val="004B08C2"/>
    <w:rsid w:val="004B0A0F"/>
    <w:rsid w:val="004B19BA"/>
    <w:rsid w:val="004B325E"/>
    <w:rsid w:val="004B3324"/>
    <w:rsid w:val="004B4ABA"/>
    <w:rsid w:val="004B4CED"/>
    <w:rsid w:val="004B6150"/>
    <w:rsid w:val="004B650C"/>
    <w:rsid w:val="004C11FE"/>
    <w:rsid w:val="004C23B0"/>
    <w:rsid w:val="004C26D1"/>
    <w:rsid w:val="004C2976"/>
    <w:rsid w:val="004C2EE3"/>
    <w:rsid w:val="004C2F5E"/>
    <w:rsid w:val="004C333E"/>
    <w:rsid w:val="004C5BAC"/>
    <w:rsid w:val="004C6A14"/>
    <w:rsid w:val="004D0059"/>
    <w:rsid w:val="004D2550"/>
    <w:rsid w:val="004D38CD"/>
    <w:rsid w:val="004D45FD"/>
    <w:rsid w:val="004D5515"/>
    <w:rsid w:val="004D631B"/>
    <w:rsid w:val="004D6917"/>
    <w:rsid w:val="004D785E"/>
    <w:rsid w:val="004D7C9F"/>
    <w:rsid w:val="004E063B"/>
    <w:rsid w:val="004E117C"/>
    <w:rsid w:val="004E128B"/>
    <w:rsid w:val="004E453F"/>
    <w:rsid w:val="004E4779"/>
    <w:rsid w:val="004E4793"/>
    <w:rsid w:val="004E4A22"/>
    <w:rsid w:val="004E53E3"/>
    <w:rsid w:val="004E6293"/>
    <w:rsid w:val="004E6470"/>
    <w:rsid w:val="004E7196"/>
    <w:rsid w:val="004E7B1E"/>
    <w:rsid w:val="004F2960"/>
    <w:rsid w:val="005000DF"/>
    <w:rsid w:val="005000E1"/>
    <w:rsid w:val="00500164"/>
    <w:rsid w:val="00504687"/>
    <w:rsid w:val="005051F8"/>
    <w:rsid w:val="00507CDE"/>
    <w:rsid w:val="005112D2"/>
    <w:rsid w:val="00511968"/>
    <w:rsid w:val="0051285F"/>
    <w:rsid w:val="005130D0"/>
    <w:rsid w:val="00513ECD"/>
    <w:rsid w:val="00515E8C"/>
    <w:rsid w:val="00515F1E"/>
    <w:rsid w:val="00516D12"/>
    <w:rsid w:val="00520073"/>
    <w:rsid w:val="00522FAD"/>
    <w:rsid w:val="00523FCA"/>
    <w:rsid w:val="005246B8"/>
    <w:rsid w:val="00526EF4"/>
    <w:rsid w:val="00527AB7"/>
    <w:rsid w:val="0053049B"/>
    <w:rsid w:val="00531A22"/>
    <w:rsid w:val="005336B6"/>
    <w:rsid w:val="005338EB"/>
    <w:rsid w:val="00533B9E"/>
    <w:rsid w:val="00536A47"/>
    <w:rsid w:val="0053709B"/>
    <w:rsid w:val="00537505"/>
    <w:rsid w:val="00541037"/>
    <w:rsid w:val="00542E6F"/>
    <w:rsid w:val="00543411"/>
    <w:rsid w:val="00544629"/>
    <w:rsid w:val="005452EC"/>
    <w:rsid w:val="005456B5"/>
    <w:rsid w:val="005474C4"/>
    <w:rsid w:val="00547D06"/>
    <w:rsid w:val="005500ED"/>
    <w:rsid w:val="005516E4"/>
    <w:rsid w:val="00551977"/>
    <w:rsid w:val="0055246A"/>
    <w:rsid w:val="00553C45"/>
    <w:rsid w:val="00554FB1"/>
    <w:rsid w:val="0055547D"/>
    <w:rsid w:val="0055614C"/>
    <w:rsid w:val="005570AA"/>
    <w:rsid w:val="005574A0"/>
    <w:rsid w:val="005608F6"/>
    <w:rsid w:val="00561DAC"/>
    <w:rsid w:val="005621F8"/>
    <w:rsid w:val="005629EC"/>
    <w:rsid w:val="005631DA"/>
    <w:rsid w:val="005647A4"/>
    <w:rsid w:val="00567B50"/>
    <w:rsid w:val="00570338"/>
    <w:rsid w:val="00570C26"/>
    <w:rsid w:val="00572847"/>
    <w:rsid w:val="005736A4"/>
    <w:rsid w:val="00573D01"/>
    <w:rsid w:val="005769B2"/>
    <w:rsid w:val="0057711E"/>
    <w:rsid w:val="00577D03"/>
    <w:rsid w:val="005801F0"/>
    <w:rsid w:val="005803CB"/>
    <w:rsid w:val="00582656"/>
    <w:rsid w:val="00582814"/>
    <w:rsid w:val="00582C5C"/>
    <w:rsid w:val="00582F67"/>
    <w:rsid w:val="00582FF3"/>
    <w:rsid w:val="00584418"/>
    <w:rsid w:val="00585130"/>
    <w:rsid w:val="005856E2"/>
    <w:rsid w:val="005863B0"/>
    <w:rsid w:val="00586550"/>
    <w:rsid w:val="00586A60"/>
    <w:rsid w:val="00586B76"/>
    <w:rsid w:val="00587043"/>
    <w:rsid w:val="00591D84"/>
    <w:rsid w:val="00593690"/>
    <w:rsid w:val="00593FD8"/>
    <w:rsid w:val="00594A2D"/>
    <w:rsid w:val="00597EED"/>
    <w:rsid w:val="005A16FE"/>
    <w:rsid w:val="005A19D1"/>
    <w:rsid w:val="005A4718"/>
    <w:rsid w:val="005A5BC8"/>
    <w:rsid w:val="005A5C50"/>
    <w:rsid w:val="005B018B"/>
    <w:rsid w:val="005B0987"/>
    <w:rsid w:val="005B168F"/>
    <w:rsid w:val="005B24AC"/>
    <w:rsid w:val="005B2AEE"/>
    <w:rsid w:val="005B2E43"/>
    <w:rsid w:val="005B36E6"/>
    <w:rsid w:val="005B4B04"/>
    <w:rsid w:val="005B5597"/>
    <w:rsid w:val="005C04F5"/>
    <w:rsid w:val="005C0D53"/>
    <w:rsid w:val="005C12A2"/>
    <w:rsid w:val="005C2D72"/>
    <w:rsid w:val="005C4B62"/>
    <w:rsid w:val="005C4CE6"/>
    <w:rsid w:val="005C5354"/>
    <w:rsid w:val="005C6E1A"/>
    <w:rsid w:val="005C78B8"/>
    <w:rsid w:val="005D1467"/>
    <w:rsid w:val="005D1548"/>
    <w:rsid w:val="005D252D"/>
    <w:rsid w:val="005D5DEE"/>
    <w:rsid w:val="005D610D"/>
    <w:rsid w:val="005D69D7"/>
    <w:rsid w:val="005D7902"/>
    <w:rsid w:val="005D7F54"/>
    <w:rsid w:val="005E021D"/>
    <w:rsid w:val="005E14C2"/>
    <w:rsid w:val="005E315A"/>
    <w:rsid w:val="005E37AF"/>
    <w:rsid w:val="005E402A"/>
    <w:rsid w:val="005E4433"/>
    <w:rsid w:val="005E468A"/>
    <w:rsid w:val="005E5747"/>
    <w:rsid w:val="005E65B8"/>
    <w:rsid w:val="005E71EF"/>
    <w:rsid w:val="005F1D20"/>
    <w:rsid w:val="005F1E80"/>
    <w:rsid w:val="005F2C73"/>
    <w:rsid w:val="005F30E2"/>
    <w:rsid w:val="005F38FF"/>
    <w:rsid w:val="005F4A6D"/>
    <w:rsid w:val="005F6B8D"/>
    <w:rsid w:val="005F7E4C"/>
    <w:rsid w:val="005F7F66"/>
    <w:rsid w:val="0060011F"/>
    <w:rsid w:val="006004D6"/>
    <w:rsid w:val="0060198E"/>
    <w:rsid w:val="00603735"/>
    <w:rsid w:val="00603BF0"/>
    <w:rsid w:val="00604434"/>
    <w:rsid w:val="00604C30"/>
    <w:rsid w:val="00607BA5"/>
    <w:rsid w:val="00610D6B"/>
    <w:rsid w:val="0061133E"/>
    <w:rsid w:val="0061180A"/>
    <w:rsid w:val="00612365"/>
    <w:rsid w:val="00612BEB"/>
    <w:rsid w:val="00615EA0"/>
    <w:rsid w:val="006166DC"/>
    <w:rsid w:val="006174C3"/>
    <w:rsid w:val="00617C01"/>
    <w:rsid w:val="00617DBF"/>
    <w:rsid w:val="006202C6"/>
    <w:rsid w:val="00620B6F"/>
    <w:rsid w:val="00620BE6"/>
    <w:rsid w:val="006210B0"/>
    <w:rsid w:val="00621624"/>
    <w:rsid w:val="00623160"/>
    <w:rsid w:val="00623307"/>
    <w:rsid w:val="0062428E"/>
    <w:rsid w:val="00626EB6"/>
    <w:rsid w:val="00627BAE"/>
    <w:rsid w:val="00627CD6"/>
    <w:rsid w:val="006306FF"/>
    <w:rsid w:val="0063287E"/>
    <w:rsid w:val="00632B91"/>
    <w:rsid w:val="00635DBB"/>
    <w:rsid w:val="00636A34"/>
    <w:rsid w:val="00637480"/>
    <w:rsid w:val="00640348"/>
    <w:rsid w:val="00640ECA"/>
    <w:rsid w:val="0064212C"/>
    <w:rsid w:val="0064268C"/>
    <w:rsid w:val="00642B2F"/>
    <w:rsid w:val="00643620"/>
    <w:rsid w:val="00643A9B"/>
    <w:rsid w:val="00644606"/>
    <w:rsid w:val="0064508F"/>
    <w:rsid w:val="00645254"/>
    <w:rsid w:val="006467C7"/>
    <w:rsid w:val="00646FDF"/>
    <w:rsid w:val="006511E1"/>
    <w:rsid w:val="0065133E"/>
    <w:rsid w:val="00651983"/>
    <w:rsid w:val="0065256B"/>
    <w:rsid w:val="006525C8"/>
    <w:rsid w:val="00653E56"/>
    <w:rsid w:val="00654E3C"/>
    <w:rsid w:val="00655D03"/>
    <w:rsid w:val="00656535"/>
    <w:rsid w:val="00656A09"/>
    <w:rsid w:val="0065727F"/>
    <w:rsid w:val="006579C1"/>
    <w:rsid w:val="00660CA1"/>
    <w:rsid w:val="006613A6"/>
    <w:rsid w:val="00662D10"/>
    <w:rsid w:val="006648D2"/>
    <w:rsid w:val="00664D79"/>
    <w:rsid w:val="00666A16"/>
    <w:rsid w:val="00670E39"/>
    <w:rsid w:val="00672E97"/>
    <w:rsid w:val="00674CB0"/>
    <w:rsid w:val="00675A71"/>
    <w:rsid w:val="00677925"/>
    <w:rsid w:val="00681410"/>
    <w:rsid w:val="006816F3"/>
    <w:rsid w:val="00682EAB"/>
    <w:rsid w:val="00683388"/>
    <w:rsid w:val="006834A0"/>
    <w:rsid w:val="00683B1A"/>
    <w:rsid w:val="00683F84"/>
    <w:rsid w:val="0068421C"/>
    <w:rsid w:val="006847A5"/>
    <w:rsid w:val="00684AE3"/>
    <w:rsid w:val="0068779A"/>
    <w:rsid w:val="00690695"/>
    <w:rsid w:val="006914F5"/>
    <w:rsid w:val="00691662"/>
    <w:rsid w:val="006918EC"/>
    <w:rsid w:val="00691B46"/>
    <w:rsid w:val="00692016"/>
    <w:rsid w:val="0069247B"/>
    <w:rsid w:val="006932A4"/>
    <w:rsid w:val="00693625"/>
    <w:rsid w:val="00693B99"/>
    <w:rsid w:val="0069658A"/>
    <w:rsid w:val="00696AD4"/>
    <w:rsid w:val="00697A47"/>
    <w:rsid w:val="006A0260"/>
    <w:rsid w:val="006A09EB"/>
    <w:rsid w:val="006A15E9"/>
    <w:rsid w:val="006A1CBE"/>
    <w:rsid w:val="006A1F49"/>
    <w:rsid w:val="006A2CAB"/>
    <w:rsid w:val="006A4051"/>
    <w:rsid w:val="006A43D5"/>
    <w:rsid w:val="006A4451"/>
    <w:rsid w:val="006A6A81"/>
    <w:rsid w:val="006A7844"/>
    <w:rsid w:val="006B1456"/>
    <w:rsid w:val="006B2775"/>
    <w:rsid w:val="006B2864"/>
    <w:rsid w:val="006B29BD"/>
    <w:rsid w:val="006B3708"/>
    <w:rsid w:val="006B3A97"/>
    <w:rsid w:val="006B4257"/>
    <w:rsid w:val="006B4399"/>
    <w:rsid w:val="006B45FC"/>
    <w:rsid w:val="006C05B1"/>
    <w:rsid w:val="006C163E"/>
    <w:rsid w:val="006C373B"/>
    <w:rsid w:val="006C3798"/>
    <w:rsid w:val="006C3F4D"/>
    <w:rsid w:val="006C4097"/>
    <w:rsid w:val="006C4BDE"/>
    <w:rsid w:val="006C5571"/>
    <w:rsid w:val="006C6195"/>
    <w:rsid w:val="006C7B54"/>
    <w:rsid w:val="006D05FF"/>
    <w:rsid w:val="006D16F7"/>
    <w:rsid w:val="006D2023"/>
    <w:rsid w:val="006D527C"/>
    <w:rsid w:val="006D5BC9"/>
    <w:rsid w:val="006E115B"/>
    <w:rsid w:val="006E1A30"/>
    <w:rsid w:val="006E2039"/>
    <w:rsid w:val="006E3099"/>
    <w:rsid w:val="006E386A"/>
    <w:rsid w:val="006E4A0D"/>
    <w:rsid w:val="006E4B1F"/>
    <w:rsid w:val="006E5158"/>
    <w:rsid w:val="006E60D9"/>
    <w:rsid w:val="006E753D"/>
    <w:rsid w:val="006F09BA"/>
    <w:rsid w:val="006F0ED6"/>
    <w:rsid w:val="006F1420"/>
    <w:rsid w:val="006F21FC"/>
    <w:rsid w:val="006F3215"/>
    <w:rsid w:val="006F3240"/>
    <w:rsid w:val="006F35E2"/>
    <w:rsid w:val="006F45D4"/>
    <w:rsid w:val="006F5834"/>
    <w:rsid w:val="006F5D84"/>
    <w:rsid w:val="006F648F"/>
    <w:rsid w:val="006F6597"/>
    <w:rsid w:val="006F7393"/>
    <w:rsid w:val="006F7661"/>
    <w:rsid w:val="00701AB0"/>
    <w:rsid w:val="0070224F"/>
    <w:rsid w:val="007031A4"/>
    <w:rsid w:val="00703820"/>
    <w:rsid w:val="0070460F"/>
    <w:rsid w:val="00705186"/>
    <w:rsid w:val="0070644A"/>
    <w:rsid w:val="00706F5E"/>
    <w:rsid w:val="007115F7"/>
    <w:rsid w:val="007120AE"/>
    <w:rsid w:val="00712A63"/>
    <w:rsid w:val="00712F95"/>
    <w:rsid w:val="00714253"/>
    <w:rsid w:val="00714D63"/>
    <w:rsid w:val="007150F7"/>
    <w:rsid w:val="00715EB3"/>
    <w:rsid w:val="00717278"/>
    <w:rsid w:val="007175D4"/>
    <w:rsid w:val="007178E5"/>
    <w:rsid w:val="00723BA5"/>
    <w:rsid w:val="00725471"/>
    <w:rsid w:val="00725C63"/>
    <w:rsid w:val="00732723"/>
    <w:rsid w:val="007340E7"/>
    <w:rsid w:val="0073469E"/>
    <w:rsid w:val="00743A53"/>
    <w:rsid w:val="0074413B"/>
    <w:rsid w:val="00744FD0"/>
    <w:rsid w:val="00747257"/>
    <w:rsid w:val="0074748E"/>
    <w:rsid w:val="00747E63"/>
    <w:rsid w:val="0075156A"/>
    <w:rsid w:val="00751630"/>
    <w:rsid w:val="00751CF0"/>
    <w:rsid w:val="00752CF2"/>
    <w:rsid w:val="007557C8"/>
    <w:rsid w:val="00756480"/>
    <w:rsid w:val="00756555"/>
    <w:rsid w:val="00762B29"/>
    <w:rsid w:val="00764555"/>
    <w:rsid w:val="00764EFC"/>
    <w:rsid w:val="0076614B"/>
    <w:rsid w:val="00766F27"/>
    <w:rsid w:val="00771EE9"/>
    <w:rsid w:val="007723C4"/>
    <w:rsid w:val="0077243B"/>
    <w:rsid w:val="00780D1C"/>
    <w:rsid w:val="00781AFF"/>
    <w:rsid w:val="007824BB"/>
    <w:rsid w:val="00782B21"/>
    <w:rsid w:val="007831AA"/>
    <w:rsid w:val="0078377E"/>
    <w:rsid w:val="00783D35"/>
    <w:rsid w:val="007845E7"/>
    <w:rsid w:val="007851BA"/>
    <w:rsid w:val="00785689"/>
    <w:rsid w:val="00787171"/>
    <w:rsid w:val="007871CE"/>
    <w:rsid w:val="00787346"/>
    <w:rsid w:val="00787AD1"/>
    <w:rsid w:val="00790ECF"/>
    <w:rsid w:val="00791290"/>
    <w:rsid w:val="00791A82"/>
    <w:rsid w:val="00792E20"/>
    <w:rsid w:val="00794563"/>
    <w:rsid w:val="00795539"/>
    <w:rsid w:val="007966E6"/>
    <w:rsid w:val="00796E3D"/>
    <w:rsid w:val="007973B5"/>
    <w:rsid w:val="0079754B"/>
    <w:rsid w:val="00797CD2"/>
    <w:rsid w:val="007A1057"/>
    <w:rsid w:val="007A156A"/>
    <w:rsid w:val="007A1714"/>
    <w:rsid w:val="007A1C75"/>
    <w:rsid w:val="007A1E6D"/>
    <w:rsid w:val="007A31E6"/>
    <w:rsid w:val="007A32AC"/>
    <w:rsid w:val="007A4F05"/>
    <w:rsid w:val="007A67A7"/>
    <w:rsid w:val="007A6D7E"/>
    <w:rsid w:val="007A70F7"/>
    <w:rsid w:val="007A7665"/>
    <w:rsid w:val="007A7B38"/>
    <w:rsid w:val="007B0EB2"/>
    <w:rsid w:val="007B23E6"/>
    <w:rsid w:val="007B3018"/>
    <w:rsid w:val="007B62B3"/>
    <w:rsid w:val="007B6644"/>
    <w:rsid w:val="007C23F7"/>
    <w:rsid w:val="007C2A72"/>
    <w:rsid w:val="007C2CDE"/>
    <w:rsid w:val="007C34B2"/>
    <w:rsid w:val="007C3D43"/>
    <w:rsid w:val="007C5AC6"/>
    <w:rsid w:val="007C6830"/>
    <w:rsid w:val="007C7D49"/>
    <w:rsid w:val="007D2793"/>
    <w:rsid w:val="007D2C61"/>
    <w:rsid w:val="007D2D5B"/>
    <w:rsid w:val="007D2EAB"/>
    <w:rsid w:val="007D3DB5"/>
    <w:rsid w:val="007D4661"/>
    <w:rsid w:val="007D572B"/>
    <w:rsid w:val="007D6F81"/>
    <w:rsid w:val="007D7A2C"/>
    <w:rsid w:val="007D7E9D"/>
    <w:rsid w:val="007E0356"/>
    <w:rsid w:val="007E05C5"/>
    <w:rsid w:val="007E0D16"/>
    <w:rsid w:val="007E21C6"/>
    <w:rsid w:val="007E30C9"/>
    <w:rsid w:val="007E4252"/>
    <w:rsid w:val="007E6443"/>
    <w:rsid w:val="007E7724"/>
    <w:rsid w:val="007F1DC0"/>
    <w:rsid w:val="007F2762"/>
    <w:rsid w:val="007F2A58"/>
    <w:rsid w:val="007F329D"/>
    <w:rsid w:val="007F413A"/>
    <w:rsid w:val="007F4358"/>
    <w:rsid w:val="007F5484"/>
    <w:rsid w:val="007F54D1"/>
    <w:rsid w:val="007F5D06"/>
    <w:rsid w:val="007F76F5"/>
    <w:rsid w:val="007F7BAE"/>
    <w:rsid w:val="008001AC"/>
    <w:rsid w:val="00800D61"/>
    <w:rsid w:val="00800E9E"/>
    <w:rsid w:val="008025DD"/>
    <w:rsid w:val="00802792"/>
    <w:rsid w:val="00802B2D"/>
    <w:rsid w:val="00802EE1"/>
    <w:rsid w:val="00803F3A"/>
    <w:rsid w:val="0080416F"/>
    <w:rsid w:val="00804200"/>
    <w:rsid w:val="00804E61"/>
    <w:rsid w:val="0080637C"/>
    <w:rsid w:val="00807B5E"/>
    <w:rsid w:val="00807E5F"/>
    <w:rsid w:val="00810B6F"/>
    <w:rsid w:val="00810D5B"/>
    <w:rsid w:val="00811005"/>
    <w:rsid w:val="008124BE"/>
    <w:rsid w:val="008136AF"/>
    <w:rsid w:val="008153CF"/>
    <w:rsid w:val="0081557D"/>
    <w:rsid w:val="008169DE"/>
    <w:rsid w:val="00820BF3"/>
    <w:rsid w:val="00820F00"/>
    <w:rsid w:val="008216E6"/>
    <w:rsid w:val="008225ED"/>
    <w:rsid w:val="00822CE0"/>
    <w:rsid w:val="008235FC"/>
    <w:rsid w:val="00824382"/>
    <w:rsid w:val="00824669"/>
    <w:rsid w:val="00826BDB"/>
    <w:rsid w:val="00830D64"/>
    <w:rsid w:val="00831656"/>
    <w:rsid w:val="00831E64"/>
    <w:rsid w:val="0083204F"/>
    <w:rsid w:val="008320BF"/>
    <w:rsid w:val="0083247B"/>
    <w:rsid w:val="008334D4"/>
    <w:rsid w:val="00834B29"/>
    <w:rsid w:val="00837111"/>
    <w:rsid w:val="00837B7A"/>
    <w:rsid w:val="00837CC8"/>
    <w:rsid w:val="00837F34"/>
    <w:rsid w:val="00840717"/>
    <w:rsid w:val="00841AB1"/>
    <w:rsid w:val="00844FF2"/>
    <w:rsid w:val="00845F1A"/>
    <w:rsid w:val="008464A8"/>
    <w:rsid w:val="00846DA6"/>
    <w:rsid w:val="0084745E"/>
    <w:rsid w:val="008476E3"/>
    <w:rsid w:val="00851952"/>
    <w:rsid w:val="008521EF"/>
    <w:rsid w:val="00853DFF"/>
    <w:rsid w:val="00854924"/>
    <w:rsid w:val="00854927"/>
    <w:rsid w:val="008568B9"/>
    <w:rsid w:val="0086151B"/>
    <w:rsid w:val="00861E96"/>
    <w:rsid w:val="008634E2"/>
    <w:rsid w:val="00863524"/>
    <w:rsid w:val="00864743"/>
    <w:rsid w:val="00864FF8"/>
    <w:rsid w:val="00865519"/>
    <w:rsid w:val="0086599B"/>
    <w:rsid w:val="008672FB"/>
    <w:rsid w:val="00873A60"/>
    <w:rsid w:val="00875222"/>
    <w:rsid w:val="00875EA4"/>
    <w:rsid w:val="00876689"/>
    <w:rsid w:val="00876C58"/>
    <w:rsid w:val="0087779A"/>
    <w:rsid w:val="0088080C"/>
    <w:rsid w:val="0088128F"/>
    <w:rsid w:val="00881DB6"/>
    <w:rsid w:val="008828E2"/>
    <w:rsid w:val="00883283"/>
    <w:rsid w:val="00884540"/>
    <w:rsid w:val="00884706"/>
    <w:rsid w:val="0088522B"/>
    <w:rsid w:val="00885FD7"/>
    <w:rsid w:val="00886E9C"/>
    <w:rsid w:val="008878D7"/>
    <w:rsid w:val="00887EC9"/>
    <w:rsid w:val="0089288E"/>
    <w:rsid w:val="00894049"/>
    <w:rsid w:val="00894BE1"/>
    <w:rsid w:val="0089522B"/>
    <w:rsid w:val="00895ACF"/>
    <w:rsid w:val="00896720"/>
    <w:rsid w:val="0089741E"/>
    <w:rsid w:val="008974FD"/>
    <w:rsid w:val="00897BCE"/>
    <w:rsid w:val="008A0DCA"/>
    <w:rsid w:val="008A2981"/>
    <w:rsid w:val="008A2B54"/>
    <w:rsid w:val="008A325E"/>
    <w:rsid w:val="008A4171"/>
    <w:rsid w:val="008A4907"/>
    <w:rsid w:val="008A62E5"/>
    <w:rsid w:val="008A6515"/>
    <w:rsid w:val="008A6A69"/>
    <w:rsid w:val="008A79A4"/>
    <w:rsid w:val="008A7BB0"/>
    <w:rsid w:val="008A7CCB"/>
    <w:rsid w:val="008B0497"/>
    <w:rsid w:val="008B11F6"/>
    <w:rsid w:val="008B3428"/>
    <w:rsid w:val="008B3E58"/>
    <w:rsid w:val="008B4171"/>
    <w:rsid w:val="008B5FBF"/>
    <w:rsid w:val="008B61DF"/>
    <w:rsid w:val="008B704D"/>
    <w:rsid w:val="008C0AB2"/>
    <w:rsid w:val="008C15B8"/>
    <w:rsid w:val="008C1C1F"/>
    <w:rsid w:val="008C31E6"/>
    <w:rsid w:val="008C67EE"/>
    <w:rsid w:val="008C68F1"/>
    <w:rsid w:val="008C765D"/>
    <w:rsid w:val="008D0269"/>
    <w:rsid w:val="008D147E"/>
    <w:rsid w:val="008D32B1"/>
    <w:rsid w:val="008D4689"/>
    <w:rsid w:val="008D554D"/>
    <w:rsid w:val="008D5ECB"/>
    <w:rsid w:val="008D7F30"/>
    <w:rsid w:val="008E0276"/>
    <w:rsid w:val="008E0362"/>
    <w:rsid w:val="008E0D99"/>
    <w:rsid w:val="008E21FB"/>
    <w:rsid w:val="008E3381"/>
    <w:rsid w:val="008E5356"/>
    <w:rsid w:val="008E6149"/>
    <w:rsid w:val="008E7020"/>
    <w:rsid w:val="008E793C"/>
    <w:rsid w:val="008E7EF6"/>
    <w:rsid w:val="008F0453"/>
    <w:rsid w:val="008F17BF"/>
    <w:rsid w:val="008F2135"/>
    <w:rsid w:val="008F34EF"/>
    <w:rsid w:val="008F3734"/>
    <w:rsid w:val="008F3F09"/>
    <w:rsid w:val="008F5C6D"/>
    <w:rsid w:val="008F7398"/>
    <w:rsid w:val="008F752F"/>
    <w:rsid w:val="008F7D71"/>
    <w:rsid w:val="009001AF"/>
    <w:rsid w:val="00900982"/>
    <w:rsid w:val="00902D55"/>
    <w:rsid w:val="00902E6A"/>
    <w:rsid w:val="00903E1A"/>
    <w:rsid w:val="009062E8"/>
    <w:rsid w:val="00906363"/>
    <w:rsid w:val="00906712"/>
    <w:rsid w:val="00906A4F"/>
    <w:rsid w:val="00907E4E"/>
    <w:rsid w:val="0091043C"/>
    <w:rsid w:val="009113A4"/>
    <w:rsid w:val="00912C71"/>
    <w:rsid w:val="00913457"/>
    <w:rsid w:val="009165D5"/>
    <w:rsid w:val="00916C57"/>
    <w:rsid w:val="0092105D"/>
    <w:rsid w:val="00921803"/>
    <w:rsid w:val="009226FF"/>
    <w:rsid w:val="00922758"/>
    <w:rsid w:val="009228D8"/>
    <w:rsid w:val="00923115"/>
    <w:rsid w:val="009259C7"/>
    <w:rsid w:val="00925B33"/>
    <w:rsid w:val="00926503"/>
    <w:rsid w:val="009268FB"/>
    <w:rsid w:val="009272D2"/>
    <w:rsid w:val="00930849"/>
    <w:rsid w:val="00931174"/>
    <w:rsid w:val="00933BAF"/>
    <w:rsid w:val="00933F90"/>
    <w:rsid w:val="00935627"/>
    <w:rsid w:val="0093696A"/>
    <w:rsid w:val="00937759"/>
    <w:rsid w:val="00937995"/>
    <w:rsid w:val="00940A7F"/>
    <w:rsid w:val="00941A07"/>
    <w:rsid w:val="0094343A"/>
    <w:rsid w:val="00944270"/>
    <w:rsid w:val="009452DF"/>
    <w:rsid w:val="009458CE"/>
    <w:rsid w:val="00946919"/>
    <w:rsid w:val="00946FBC"/>
    <w:rsid w:val="00951648"/>
    <w:rsid w:val="0095232C"/>
    <w:rsid w:val="009527BF"/>
    <w:rsid w:val="0095347C"/>
    <w:rsid w:val="00956004"/>
    <w:rsid w:val="00957341"/>
    <w:rsid w:val="00957F6C"/>
    <w:rsid w:val="009607DD"/>
    <w:rsid w:val="009616E8"/>
    <w:rsid w:val="009630DD"/>
    <w:rsid w:val="00963DC4"/>
    <w:rsid w:val="00964C67"/>
    <w:rsid w:val="00965BFD"/>
    <w:rsid w:val="00966131"/>
    <w:rsid w:val="00966451"/>
    <w:rsid w:val="00967283"/>
    <w:rsid w:val="009673FB"/>
    <w:rsid w:val="00967CCE"/>
    <w:rsid w:val="009726D8"/>
    <w:rsid w:val="009741EF"/>
    <w:rsid w:val="00974440"/>
    <w:rsid w:val="00974B5A"/>
    <w:rsid w:val="00974CD9"/>
    <w:rsid w:val="009804EC"/>
    <w:rsid w:val="00981324"/>
    <w:rsid w:val="00981BAD"/>
    <w:rsid w:val="00984A22"/>
    <w:rsid w:val="0098600C"/>
    <w:rsid w:val="00986476"/>
    <w:rsid w:val="00986613"/>
    <w:rsid w:val="009867AE"/>
    <w:rsid w:val="009872C6"/>
    <w:rsid w:val="00990096"/>
    <w:rsid w:val="00990585"/>
    <w:rsid w:val="009908CD"/>
    <w:rsid w:val="00993682"/>
    <w:rsid w:val="00993CB4"/>
    <w:rsid w:val="0099437B"/>
    <w:rsid w:val="00995A03"/>
    <w:rsid w:val="00995DFE"/>
    <w:rsid w:val="0099739D"/>
    <w:rsid w:val="0099769A"/>
    <w:rsid w:val="00997AB0"/>
    <w:rsid w:val="009A1821"/>
    <w:rsid w:val="009A1AB5"/>
    <w:rsid w:val="009A4175"/>
    <w:rsid w:val="009A4680"/>
    <w:rsid w:val="009A4695"/>
    <w:rsid w:val="009A5CF5"/>
    <w:rsid w:val="009A64D8"/>
    <w:rsid w:val="009A6647"/>
    <w:rsid w:val="009A7029"/>
    <w:rsid w:val="009B1482"/>
    <w:rsid w:val="009B28ED"/>
    <w:rsid w:val="009B32D7"/>
    <w:rsid w:val="009B4025"/>
    <w:rsid w:val="009B44A7"/>
    <w:rsid w:val="009B4D4D"/>
    <w:rsid w:val="009B4EDE"/>
    <w:rsid w:val="009B7DCD"/>
    <w:rsid w:val="009C0AA8"/>
    <w:rsid w:val="009C6975"/>
    <w:rsid w:val="009C6BF0"/>
    <w:rsid w:val="009C72DC"/>
    <w:rsid w:val="009D047D"/>
    <w:rsid w:val="009D1087"/>
    <w:rsid w:val="009D2CA8"/>
    <w:rsid w:val="009D32CF"/>
    <w:rsid w:val="009D5D8B"/>
    <w:rsid w:val="009D7B8D"/>
    <w:rsid w:val="009D7FFC"/>
    <w:rsid w:val="009E2227"/>
    <w:rsid w:val="009E26E3"/>
    <w:rsid w:val="009E4492"/>
    <w:rsid w:val="009E66B3"/>
    <w:rsid w:val="009E6A0A"/>
    <w:rsid w:val="009F0779"/>
    <w:rsid w:val="009F0F26"/>
    <w:rsid w:val="009F0F4A"/>
    <w:rsid w:val="009F24AF"/>
    <w:rsid w:val="009F2B94"/>
    <w:rsid w:val="009F5ED1"/>
    <w:rsid w:val="009F64BB"/>
    <w:rsid w:val="009F76DB"/>
    <w:rsid w:val="009F7893"/>
    <w:rsid w:val="00A0072D"/>
    <w:rsid w:val="00A00A80"/>
    <w:rsid w:val="00A036ED"/>
    <w:rsid w:val="00A03B05"/>
    <w:rsid w:val="00A04DF2"/>
    <w:rsid w:val="00A06437"/>
    <w:rsid w:val="00A06CD9"/>
    <w:rsid w:val="00A115B3"/>
    <w:rsid w:val="00A12CF8"/>
    <w:rsid w:val="00A14A0B"/>
    <w:rsid w:val="00A150C8"/>
    <w:rsid w:val="00A1544D"/>
    <w:rsid w:val="00A15661"/>
    <w:rsid w:val="00A15764"/>
    <w:rsid w:val="00A15862"/>
    <w:rsid w:val="00A15A22"/>
    <w:rsid w:val="00A160BF"/>
    <w:rsid w:val="00A164E2"/>
    <w:rsid w:val="00A166B7"/>
    <w:rsid w:val="00A16D68"/>
    <w:rsid w:val="00A1734F"/>
    <w:rsid w:val="00A17FB3"/>
    <w:rsid w:val="00A2062D"/>
    <w:rsid w:val="00A210C5"/>
    <w:rsid w:val="00A21B8D"/>
    <w:rsid w:val="00A2381F"/>
    <w:rsid w:val="00A24D4D"/>
    <w:rsid w:val="00A2514D"/>
    <w:rsid w:val="00A262CE"/>
    <w:rsid w:val="00A26D80"/>
    <w:rsid w:val="00A26F18"/>
    <w:rsid w:val="00A301E0"/>
    <w:rsid w:val="00A30645"/>
    <w:rsid w:val="00A30D6E"/>
    <w:rsid w:val="00A328C9"/>
    <w:rsid w:val="00A32C3B"/>
    <w:rsid w:val="00A3418C"/>
    <w:rsid w:val="00A341A6"/>
    <w:rsid w:val="00A34481"/>
    <w:rsid w:val="00A34D7F"/>
    <w:rsid w:val="00A352D6"/>
    <w:rsid w:val="00A35847"/>
    <w:rsid w:val="00A35A28"/>
    <w:rsid w:val="00A35E08"/>
    <w:rsid w:val="00A37939"/>
    <w:rsid w:val="00A37C6C"/>
    <w:rsid w:val="00A37D30"/>
    <w:rsid w:val="00A40BC9"/>
    <w:rsid w:val="00A40E06"/>
    <w:rsid w:val="00A41116"/>
    <w:rsid w:val="00A41E06"/>
    <w:rsid w:val="00A4362B"/>
    <w:rsid w:val="00A45F4F"/>
    <w:rsid w:val="00A45F61"/>
    <w:rsid w:val="00A4680F"/>
    <w:rsid w:val="00A5223B"/>
    <w:rsid w:val="00A552AC"/>
    <w:rsid w:val="00A55C3A"/>
    <w:rsid w:val="00A600A9"/>
    <w:rsid w:val="00A6030E"/>
    <w:rsid w:val="00A61A06"/>
    <w:rsid w:val="00A6348B"/>
    <w:rsid w:val="00A63B0A"/>
    <w:rsid w:val="00A6417E"/>
    <w:rsid w:val="00A6455F"/>
    <w:rsid w:val="00A647A8"/>
    <w:rsid w:val="00A65CF8"/>
    <w:rsid w:val="00A663DE"/>
    <w:rsid w:val="00A6687E"/>
    <w:rsid w:val="00A7150C"/>
    <w:rsid w:val="00A7181B"/>
    <w:rsid w:val="00A72526"/>
    <w:rsid w:val="00A7257D"/>
    <w:rsid w:val="00A72640"/>
    <w:rsid w:val="00A72BB2"/>
    <w:rsid w:val="00A7344E"/>
    <w:rsid w:val="00A73CC0"/>
    <w:rsid w:val="00A749FE"/>
    <w:rsid w:val="00A76754"/>
    <w:rsid w:val="00A840E6"/>
    <w:rsid w:val="00A84354"/>
    <w:rsid w:val="00A86437"/>
    <w:rsid w:val="00A878A3"/>
    <w:rsid w:val="00A91CA4"/>
    <w:rsid w:val="00A925A6"/>
    <w:rsid w:val="00A92D3C"/>
    <w:rsid w:val="00A93DD5"/>
    <w:rsid w:val="00A95FE6"/>
    <w:rsid w:val="00A96312"/>
    <w:rsid w:val="00A978FA"/>
    <w:rsid w:val="00A979AB"/>
    <w:rsid w:val="00A97E98"/>
    <w:rsid w:val="00AA0E3A"/>
    <w:rsid w:val="00AA2281"/>
    <w:rsid w:val="00AA26F7"/>
    <w:rsid w:val="00AA3CA8"/>
    <w:rsid w:val="00AA4413"/>
    <w:rsid w:val="00AA55B7"/>
    <w:rsid w:val="00AA5B9E"/>
    <w:rsid w:val="00AA7B60"/>
    <w:rsid w:val="00AA7FB4"/>
    <w:rsid w:val="00AB2407"/>
    <w:rsid w:val="00AB2C13"/>
    <w:rsid w:val="00AB53DF"/>
    <w:rsid w:val="00AB5791"/>
    <w:rsid w:val="00AB5B8A"/>
    <w:rsid w:val="00AB6879"/>
    <w:rsid w:val="00AB6DEE"/>
    <w:rsid w:val="00AB7AFA"/>
    <w:rsid w:val="00AC02AA"/>
    <w:rsid w:val="00AC04D9"/>
    <w:rsid w:val="00AC19FC"/>
    <w:rsid w:val="00AC2521"/>
    <w:rsid w:val="00AC33A6"/>
    <w:rsid w:val="00AC357D"/>
    <w:rsid w:val="00AC424B"/>
    <w:rsid w:val="00AC45F8"/>
    <w:rsid w:val="00AC5480"/>
    <w:rsid w:val="00AC64F6"/>
    <w:rsid w:val="00AC6C70"/>
    <w:rsid w:val="00AC7028"/>
    <w:rsid w:val="00AC767F"/>
    <w:rsid w:val="00AC7A6E"/>
    <w:rsid w:val="00AD2F26"/>
    <w:rsid w:val="00AD43C3"/>
    <w:rsid w:val="00AD4582"/>
    <w:rsid w:val="00AD6279"/>
    <w:rsid w:val="00AD6B17"/>
    <w:rsid w:val="00AD7943"/>
    <w:rsid w:val="00AE00D3"/>
    <w:rsid w:val="00AE2984"/>
    <w:rsid w:val="00AE3920"/>
    <w:rsid w:val="00AE4643"/>
    <w:rsid w:val="00AE62AD"/>
    <w:rsid w:val="00AE7860"/>
    <w:rsid w:val="00AE7A5F"/>
    <w:rsid w:val="00AF1AFA"/>
    <w:rsid w:val="00AF2DC6"/>
    <w:rsid w:val="00AF3054"/>
    <w:rsid w:val="00AF3493"/>
    <w:rsid w:val="00AF3BD2"/>
    <w:rsid w:val="00AF3D4A"/>
    <w:rsid w:val="00AF45D1"/>
    <w:rsid w:val="00AF46DC"/>
    <w:rsid w:val="00AF552B"/>
    <w:rsid w:val="00AF5BC2"/>
    <w:rsid w:val="00B01168"/>
    <w:rsid w:val="00B03569"/>
    <w:rsid w:val="00B036F5"/>
    <w:rsid w:val="00B04BB8"/>
    <w:rsid w:val="00B04E7F"/>
    <w:rsid w:val="00B04FAD"/>
    <w:rsid w:val="00B068C3"/>
    <w:rsid w:val="00B07E5C"/>
    <w:rsid w:val="00B10C6D"/>
    <w:rsid w:val="00B11800"/>
    <w:rsid w:val="00B119D4"/>
    <w:rsid w:val="00B11AA9"/>
    <w:rsid w:val="00B11AE5"/>
    <w:rsid w:val="00B129DE"/>
    <w:rsid w:val="00B134BE"/>
    <w:rsid w:val="00B13CB1"/>
    <w:rsid w:val="00B13CF4"/>
    <w:rsid w:val="00B14126"/>
    <w:rsid w:val="00B1474F"/>
    <w:rsid w:val="00B16095"/>
    <w:rsid w:val="00B20363"/>
    <w:rsid w:val="00B208BD"/>
    <w:rsid w:val="00B21294"/>
    <w:rsid w:val="00B21E7A"/>
    <w:rsid w:val="00B22400"/>
    <w:rsid w:val="00B23693"/>
    <w:rsid w:val="00B245C7"/>
    <w:rsid w:val="00B27FDE"/>
    <w:rsid w:val="00B30479"/>
    <w:rsid w:val="00B30768"/>
    <w:rsid w:val="00B309D8"/>
    <w:rsid w:val="00B312B0"/>
    <w:rsid w:val="00B322C0"/>
    <w:rsid w:val="00B32539"/>
    <w:rsid w:val="00B32F25"/>
    <w:rsid w:val="00B338A9"/>
    <w:rsid w:val="00B339D0"/>
    <w:rsid w:val="00B3666E"/>
    <w:rsid w:val="00B36ADA"/>
    <w:rsid w:val="00B3765C"/>
    <w:rsid w:val="00B40974"/>
    <w:rsid w:val="00B409D1"/>
    <w:rsid w:val="00B42348"/>
    <w:rsid w:val="00B4299F"/>
    <w:rsid w:val="00B42BAC"/>
    <w:rsid w:val="00B42D1D"/>
    <w:rsid w:val="00B430C1"/>
    <w:rsid w:val="00B454D0"/>
    <w:rsid w:val="00B46699"/>
    <w:rsid w:val="00B47B82"/>
    <w:rsid w:val="00B53B6D"/>
    <w:rsid w:val="00B549D7"/>
    <w:rsid w:val="00B552D3"/>
    <w:rsid w:val="00B568A6"/>
    <w:rsid w:val="00B56D91"/>
    <w:rsid w:val="00B6021A"/>
    <w:rsid w:val="00B606C3"/>
    <w:rsid w:val="00B633DE"/>
    <w:rsid w:val="00B64DA2"/>
    <w:rsid w:val="00B64F25"/>
    <w:rsid w:val="00B679AB"/>
    <w:rsid w:val="00B67C4D"/>
    <w:rsid w:val="00B72AE1"/>
    <w:rsid w:val="00B74CCF"/>
    <w:rsid w:val="00B75EE7"/>
    <w:rsid w:val="00B766B1"/>
    <w:rsid w:val="00B76DB8"/>
    <w:rsid w:val="00B77C41"/>
    <w:rsid w:val="00B77FE4"/>
    <w:rsid w:val="00B808EC"/>
    <w:rsid w:val="00B811F7"/>
    <w:rsid w:val="00B81297"/>
    <w:rsid w:val="00B8275E"/>
    <w:rsid w:val="00B82D20"/>
    <w:rsid w:val="00B83208"/>
    <w:rsid w:val="00B83394"/>
    <w:rsid w:val="00B83575"/>
    <w:rsid w:val="00B83C4E"/>
    <w:rsid w:val="00B855FB"/>
    <w:rsid w:val="00B872D9"/>
    <w:rsid w:val="00B9105D"/>
    <w:rsid w:val="00B919D8"/>
    <w:rsid w:val="00B94060"/>
    <w:rsid w:val="00B95584"/>
    <w:rsid w:val="00B9586A"/>
    <w:rsid w:val="00B9603B"/>
    <w:rsid w:val="00B96F3C"/>
    <w:rsid w:val="00B974C8"/>
    <w:rsid w:val="00BA0D56"/>
    <w:rsid w:val="00BA3080"/>
    <w:rsid w:val="00BA3B4B"/>
    <w:rsid w:val="00BA4E32"/>
    <w:rsid w:val="00BA5DC6"/>
    <w:rsid w:val="00BA6149"/>
    <w:rsid w:val="00BA6196"/>
    <w:rsid w:val="00BA61A2"/>
    <w:rsid w:val="00BA69F6"/>
    <w:rsid w:val="00BA6C52"/>
    <w:rsid w:val="00BA7D70"/>
    <w:rsid w:val="00BB0382"/>
    <w:rsid w:val="00BB0542"/>
    <w:rsid w:val="00BB2708"/>
    <w:rsid w:val="00BB380A"/>
    <w:rsid w:val="00BB4BD9"/>
    <w:rsid w:val="00BB4FAC"/>
    <w:rsid w:val="00BB6B27"/>
    <w:rsid w:val="00BB7A7A"/>
    <w:rsid w:val="00BC07C5"/>
    <w:rsid w:val="00BC22C7"/>
    <w:rsid w:val="00BC3047"/>
    <w:rsid w:val="00BC6C0E"/>
    <w:rsid w:val="00BC6D8C"/>
    <w:rsid w:val="00BC6F16"/>
    <w:rsid w:val="00BC7F1F"/>
    <w:rsid w:val="00BD038E"/>
    <w:rsid w:val="00BD147F"/>
    <w:rsid w:val="00BD16A9"/>
    <w:rsid w:val="00BD1CBC"/>
    <w:rsid w:val="00BD2194"/>
    <w:rsid w:val="00BD2D53"/>
    <w:rsid w:val="00BD3350"/>
    <w:rsid w:val="00BD3EC5"/>
    <w:rsid w:val="00BD593C"/>
    <w:rsid w:val="00BD5EF8"/>
    <w:rsid w:val="00BD6171"/>
    <w:rsid w:val="00BD6E8C"/>
    <w:rsid w:val="00BE1E0E"/>
    <w:rsid w:val="00BE23D6"/>
    <w:rsid w:val="00BE402B"/>
    <w:rsid w:val="00BE4E7D"/>
    <w:rsid w:val="00BE51FA"/>
    <w:rsid w:val="00BE674B"/>
    <w:rsid w:val="00BE7C2C"/>
    <w:rsid w:val="00BF3FAB"/>
    <w:rsid w:val="00BF4BAE"/>
    <w:rsid w:val="00BF4F94"/>
    <w:rsid w:val="00BF75FC"/>
    <w:rsid w:val="00C0031A"/>
    <w:rsid w:val="00C01786"/>
    <w:rsid w:val="00C02DCF"/>
    <w:rsid w:val="00C033F9"/>
    <w:rsid w:val="00C0367F"/>
    <w:rsid w:val="00C039AC"/>
    <w:rsid w:val="00C079D4"/>
    <w:rsid w:val="00C07AB1"/>
    <w:rsid w:val="00C1003C"/>
    <w:rsid w:val="00C109A7"/>
    <w:rsid w:val="00C11AC3"/>
    <w:rsid w:val="00C11BA3"/>
    <w:rsid w:val="00C11E83"/>
    <w:rsid w:val="00C13118"/>
    <w:rsid w:val="00C13462"/>
    <w:rsid w:val="00C13698"/>
    <w:rsid w:val="00C136C5"/>
    <w:rsid w:val="00C15302"/>
    <w:rsid w:val="00C15FBB"/>
    <w:rsid w:val="00C16578"/>
    <w:rsid w:val="00C168F3"/>
    <w:rsid w:val="00C1690B"/>
    <w:rsid w:val="00C17C7B"/>
    <w:rsid w:val="00C21723"/>
    <w:rsid w:val="00C22975"/>
    <w:rsid w:val="00C27DEE"/>
    <w:rsid w:val="00C31735"/>
    <w:rsid w:val="00C32B97"/>
    <w:rsid w:val="00C332A6"/>
    <w:rsid w:val="00C34006"/>
    <w:rsid w:val="00C340BF"/>
    <w:rsid w:val="00C3567D"/>
    <w:rsid w:val="00C35F1E"/>
    <w:rsid w:val="00C370B8"/>
    <w:rsid w:val="00C3724D"/>
    <w:rsid w:val="00C426B1"/>
    <w:rsid w:val="00C44C66"/>
    <w:rsid w:val="00C46B82"/>
    <w:rsid w:val="00C4744A"/>
    <w:rsid w:val="00C47749"/>
    <w:rsid w:val="00C47993"/>
    <w:rsid w:val="00C47EC1"/>
    <w:rsid w:val="00C508F4"/>
    <w:rsid w:val="00C50B6F"/>
    <w:rsid w:val="00C51D45"/>
    <w:rsid w:val="00C54632"/>
    <w:rsid w:val="00C546FF"/>
    <w:rsid w:val="00C54A26"/>
    <w:rsid w:val="00C60593"/>
    <w:rsid w:val="00C61CF0"/>
    <w:rsid w:val="00C61E1C"/>
    <w:rsid w:val="00C6241F"/>
    <w:rsid w:val="00C63B4F"/>
    <w:rsid w:val="00C66160"/>
    <w:rsid w:val="00C66872"/>
    <w:rsid w:val="00C717A5"/>
    <w:rsid w:val="00C721AC"/>
    <w:rsid w:val="00C724DB"/>
    <w:rsid w:val="00C731F6"/>
    <w:rsid w:val="00C73553"/>
    <w:rsid w:val="00C73B2B"/>
    <w:rsid w:val="00C74064"/>
    <w:rsid w:val="00C74A56"/>
    <w:rsid w:val="00C763D4"/>
    <w:rsid w:val="00C769EA"/>
    <w:rsid w:val="00C77547"/>
    <w:rsid w:val="00C80A31"/>
    <w:rsid w:val="00C80FF3"/>
    <w:rsid w:val="00C81275"/>
    <w:rsid w:val="00C81FAF"/>
    <w:rsid w:val="00C8289A"/>
    <w:rsid w:val="00C82D3E"/>
    <w:rsid w:val="00C83A39"/>
    <w:rsid w:val="00C83ED7"/>
    <w:rsid w:val="00C90D6A"/>
    <w:rsid w:val="00C91984"/>
    <w:rsid w:val="00C9357E"/>
    <w:rsid w:val="00C94699"/>
    <w:rsid w:val="00C947A2"/>
    <w:rsid w:val="00C97CC4"/>
    <w:rsid w:val="00C97E0A"/>
    <w:rsid w:val="00CA0B08"/>
    <w:rsid w:val="00CA1E65"/>
    <w:rsid w:val="00CA247E"/>
    <w:rsid w:val="00CA58B6"/>
    <w:rsid w:val="00CA6D21"/>
    <w:rsid w:val="00CB27BA"/>
    <w:rsid w:val="00CB3FC5"/>
    <w:rsid w:val="00CB4644"/>
    <w:rsid w:val="00CB47DB"/>
    <w:rsid w:val="00CB516B"/>
    <w:rsid w:val="00CB7ECE"/>
    <w:rsid w:val="00CC02EC"/>
    <w:rsid w:val="00CC0771"/>
    <w:rsid w:val="00CC0EFA"/>
    <w:rsid w:val="00CC1899"/>
    <w:rsid w:val="00CC2640"/>
    <w:rsid w:val="00CC4442"/>
    <w:rsid w:val="00CC53D0"/>
    <w:rsid w:val="00CC57B3"/>
    <w:rsid w:val="00CC5FB4"/>
    <w:rsid w:val="00CC72B6"/>
    <w:rsid w:val="00CC742B"/>
    <w:rsid w:val="00CC7713"/>
    <w:rsid w:val="00CC776F"/>
    <w:rsid w:val="00CD1260"/>
    <w:rsid w:val="00CD2953"/>
    <w:rsid w:val="00CD3095"/>
    <w:rsid w:val="00CD33DD"/>
    <w:rsid w:val="00CD399B"/>
    <w:rsid w:val="00CD3E6D"/>
    <w:rsid w:val="00CD405C"/>
    <w:rsid w:val="00CD53E2"/>
    <w:rsid w:val="00CD56D0"/>
    <w:rsid w:val="00CD75EE"/>
    <w:rsid w:val="00CE279F"/>
    <w:rsid w:val="00CE4778"/>
    <w:rsid w:val="00CF012C"/>
    <w:rsid w:val="00CF124C"/>
    <w:rsid w:val="00CF21DD"/>
    <w:rsid w:val="00CF24BE"/>
    <w:rsid w:val="00CF2558"/>
    <w:rsid w:val="00CF3CEE"/>
    <w:rsid w:val="00CF4736"/>
    <w:rsid w:val="00CF4DC3"/>
    <w:rsid w:val="00CF4E8E"/>
    <w:rsid w:val="00CF50B6"/>
    <w:rsid w:val="00CF5BD6"/>
    <w:rsid w:val="00CF5DC1"/>
    <w:rsid w:val="00CF6A2A"/>
    <w:rsid w:val="00CF6A33"/>
    <w:rsid w:val="00CF702C"/>
    <w:rsid w:val="00D0117D"/>
    <w:rsid w:val="00D02148"/>
    <w:rsid w:val="00D0218D"/>
    <w:rsid w:val="00D04E37"/>
    <w:rsid w:val="00D06C00"/>
    <w:rsid w:val="00D071ED"/>
    <w:rsid w:val="00D076EA"/>
    <w:rsid w:val="00D07829"/>
    <w:rsid w:val="00D07A65"/>
    <w:rsid w:val="00D105BF"/>
    <w:rsid w:val="00D11E06"/>
    <w:rsid w:val="00D120F4"/>
    <w:rsid w:val="00D12433"/>
    <w:rsid w:val="00D137FC"/>
    <w:rsid w:val="00D1485C"/>
    <w:rsid w:val="00D14863"/>
    <w:rsid w:val="00D14ACA"/>
    <w:rsid w:val="00D1580D"/>
    <w:rsid w:val="00D16241"/>
    <w:rsid w:val="00D16E73"/>
    <w:rsid w:val="00D17266"/>
    <w:rsid w:val="00D17510"/>
    <w:rsid w:val="00D2042F"/>
    <w:rsid w:val="00D20FF2"/>
    <w:rsid w:val="00D21885"/>
    <w:rsid w:val="00D24FED"/>
    <w:rsid w:val="00D2507D"/>
    <w:rsid w:val="00D25FB5"/>
    <w:rsid w:val="00D27033"/>
    <w:rsid w:val="00D27124"/>
    <w:rsid w:val="00D2793D"/>
    <w:rsid w:val="00D27BF1"/>
    <w:rsid w:val="00D27F4B"/>
    <w:rsid w:val="00D300F1"/>
    <w:rsid w:val="00D309D2"/>
    <w:rsid w:val="00D31C28"/>
    <w:rsid w:val="00D32F28"/>
    <w:rsid w:val="00D33AE1"/>
    <w:rsid w:val="00D345B1"/>
    <w:rsid w:val="00D34876"/>
    <w:rsid w:val="00D34C05"/>
    <w:rsid w:val="00D34DDD"/>
    <w:rsid w:val="00D35F43"/>
    <w:rsid w:val="00D40DC1"/>
    <w:rsid w:val="00D42317"/>
    <w:rsid w:val="00D42F8C"/>
    <w:rsid w:val="00D44223"/>
    <w:rsid w:val="00D46446"/>
    <w:rsid w:val="00D47505"/>
    <w:rsid w:val="00D5007E"/>
    <w:rsid w:val="00D512CE"/>
    <w:rsid w:val="00D51497"/>
    <w:rsid w:val="00D514D2"/>
    <w:rsid w:val="00D51C5B"/>
    <w:rsid w:val="00D51D7D"/>
    <w:rsid w:val="00D5229D"/>
    <w:rsid w:val="00D528C0"/>
    <w:rsid w:val="00D538C6"/>
    <w:rsid w:val="00D53E10"/>
    <w:rsid w:val="00D603CF"/>
    <w:rsid w:val="00D60FAF"/>
    <w:rsid w:val="00D62601"/>
    <w:rsid w:val="00D6289D"/>
    <w:rsid w:val="00D637E5"/>
    <w:rsid w:val="00D64787"/>
    <w:rsid w:val="00D64CC3"/>
    <w:rsid w:val="00D66B9C"/>
    <w:rsid w:val="00D66D9F"/>
    <w:rsid w:val="00D70383"/>
    <w:rsid w:val="00D70D8E"/>
    <w:rsid w:val="00D70E36"/>
    <w:rsid w:val="00D71CC5"/>
    <w:rsid w:val="00D72318"/>
    <w:rsid w:val="00D74579"/>
    <w:rsid w:val="00D76B88"/>
    <w:rsid w:val="00D772DD"/>
    <w:rsid w:val="00D804CC"/>
    <w:rsid w:val="00D80E3C"/>
    <w:rsid w:val="00D82590"/>
    <w:rsid w:val="00D8430C"/>
    <w:rsid w:val="00D8490F"/>
    <w:rsid w:val="00D87395"/>
    <w:rsid w:val="00D906C8"/>
    <w:rsid w:val="00D914B6"/>
    <w:rsid w:val="00D9182E"/>
    <w:rsid w:val="00D92DCE"/>
    <w:rsid w:val="00D93F72"/>
    <w:rsid w:val="00D94DE1"/>
    <w:rsid w:val="00D952C0"/>
    <w:rsid w:val="00D973FA"/>
    <w:rsid w:val="00DA204F"/>
    <w:rsid w:val="00DA2529"/>
    <w:rsid w:val="00DA3141"/>
    <w:rsid w:val="00DA3400"/>
    <w:rsid w:val="00DA4779"/>
    <w:rsid w:val="00DA4AF0"/>
    <w:rsid w:val="00DA532B"/>
    <w:rsid w:val="00DA6D4C"/>
    <w:rsid w:val="00DA6EB8"/>
    <w:rsid w:val="00DA6F96"/>
    <w:rsid w:val="00DA7308"/>
    <w:rsid w:val="00DA734B"/>
    <w:rsid w:val="00DB130A"/>
    <w:rsid w:val="00DB1B4F"/>
    <w:rsid w:val="00DB2BBF"/>
    <w:rsid w:val="00DB2EBB"/>
    <w:rsid w:val="00DB30AA"/>
    <w:rsid w:val="00DB33D3"/>
    <w:rsid w:val="00DB3F0F"/>
    <w:rsid w:val="00DB4C87"/>
    <w:rsid w:val="00DB5AEB"/>
    <w:rsid w:val="00DB7280"/>
    <w:rsid w:val="00DC0182"/>
    <w:rsid w:val="00DC01E9"/>
    <w:rsid w:val="00DC10A1"/>
    <w:rsid w:val="00DC1CA4"/>
    <w:rsid w:val="00DC3A0F"/>
    <w:rsid w:val="00DC4870"/>
    <w:rsid w:val="00DC5322"/>
    <w:rsid w:val="00DC56AA"/>
    <w:rsid w:val="00DC655F"/>
    <w:rsid w:val="00DC707B"/>
    <w:rsid w:val="00DC7098"/>
    <w:rsid w:val="00DC79B6"/>
    <w:rsid w:val="00DC7EAC"/>
    <w:rsid w:val="00DD00F6"/>
    <w:rsid w:val="00DD058D"/>
    <w:rsid w:val="00DD078E"/>
    <w:rsid w:val="00DD0B59"/>
    <w:rsid w:val="00DD1863"/>
    <w:rsid w:val="00DD235D"/>
    <w:rsid w:val="00DD32CB"/>
    <w:rsid w:val="00DD3CD2"/>
    <w:rsid w:val="00DD3F57"/>
    <w:rsid w:val="00DD550B"/>
    <w:rsid w:val="00DD6E3E"/>
    <w:rsid w:val="00DD6F65"/>
    <w:rsid w:val="00DD7D5C"/>
    <w:rsid w:val="00DD7EBD"/>
    <w:rsid w:val="00DE15A7"/>
    <w:rsid w:val="00DE2419"/>
    <w:rsid w:val="00DE42D2"/>
    <w:rsid w:val="00DE4C8D"/>
    <w:rsid w:val="00DE4DC0"/>
    <w:rsid w:val="00DE4DDC"/>
    <w:rsid w:val="00DE6D2B"/>
    <w:rsid w:val="00DE6FCD"/>
    <w:rsid w:val="00DE782C"/>
    <w:rsid w:val="00DF0810"/>
    <w:rsid w:val="00DF1570"/>
    <w:rsid w:val="00DF2632"/>
    <w:rsid w:val="00DF29EA"/>
    <w:rsid w:val="00DF5EBC"/>
    <w:rsid w:val="00DF62B6"/>
    <w:rsid w:val="00DF6AD7"/>
    <w:rsid w:val="00DF7846"/>
    <w:rsid w:val="00DF7B4E"/>
    <w:rsid w:val="00E00114"/>
    <w:rsid w:val="00E00B7A"/>
    <w:rsid w:val="00E01406"/>
    <w:rsid w:val="00E02E16"/>
    <w:rsid w:val="00E03136"/>
    <w:rsid w:val="00E03192"/>
    <w:rsid w:val="00E031BC"/>
    <w:rsid w:val="00E0335D"/>
    <w:rsid w:val="00E037A5"/>
    <w:rsid w:val="00E0523A"/>
    <w:rsid w:val="00E059CE"/>
    <w:rsid w:val="00E05FA8"/>
    <w:rsid w:val="00E07225"/>
    <w:rsid w:val="00E122EE"/>
    <w:rsid w:val="00E163BA"/>
    <w:rsid w:val="00E200F9"/>
    <w:rsid w:val="00E20CDF"/>
    <w:rsid w:val="00E2166E"/>
    <w:rsid w:val="00E23A01"/>
    <w:rsid w:val="00E244CC"/>
    <w:rsid w:val="00E31812"/>
    <w:rsid w:val="00E31865"/>
    <w:rsid w:val="00E343D8"/>
    <w:rsid w:val="00E352BD"/>
    <w:rsid w:val="00E35CA1"/>
    <w:rsid w:val="00E364BA"/>
    <w:rsid w:val="00E36CA5"/>
    <w:rsid w:val="00E36EAC"/>
    <w:rsid w:val="00E372F2"/>
    <w:rsid w:val="00E378E5"/>
    <w:rsid w:val="00E4244B"/>
    <w:rsid w:val="00E42B1F"/>
    <w:rsid w:val="00E42C80"/>
    <w:rsid w:val="00E42CFB"/>
    <w:rsid w:val="00E43DF3"/>
    <w:rsid w:val="00E442AC"/>
    <w:rsid w:val="00E4604F"/>
    <w:rsid w:val="00E461CC"/>
    <w:rsid w:val="00E4726A"/>
    <w:rsid w:val="00E50528"/>
    <w:rsid w:val="00E51066"/>
    <w:rsid w:val="00E520C3"/>
    <w:rsid w:val="00E52378"/>
    <w:rsid w:val="00E5298A"/>
    <w:rsid w:val="00E5409F"/>
    <w:rsid w:val="00E56C38"/>
    <w:rsid w:val="00E57026"/>
    <w:rsid w:val="00E57A90"/>
    <w:rsid w:val="00E60153"/>
    <w:rsid w:val="00E601E5"/>
    <w:rsid w:val="00E604BA"/>
    <w:rsid w:val="00E6066E"/>
    <w:rsid w:val="00E61650"/>
    <w:rsid w:val="00E61F72"/>
    <w:rsid w:val="00E623D5"/>
    <w:rsid w:val="00E63601"/>
    <w:rsid w:val="00E64AF7"/>
    <w:rsid w:val="00E64B02"/>
    <w:rsid w:val="00E651B4"/>
    <w:rsid w:val="00E66A06"/>
    <w:rsid w:val="00E671E0"/>
    <w:rsid w:val="00E71552"/>
    <w:rsid w:val="00E71A5B"/>
    <w:rsid w:val="00E72660"/>
    <w:rsid w:val="00E73473"/>
    <w:rsid w:val="00E74D06"/>
    <w:rsid w:val="00E759A0"/>
    <w:rsid w:val="00E75C3F"/>
    <w:rsid w:val="00E77784"/>
    <w:rsid w:val="00E815F9"/>
    <w:rsid w:val="00E81A27"/>
    <w:rsid w:val="00E81B85"/>
    <w:rsid w:val="00E81CBB"/>
    <w:rsid w:val="00E8466D"/>
    <w:rsid w:val="00E87608"/>
    <w:rsid w:val="00E92C8C"/>
    <w:rsid w:val="00E92FC8"/>
    <w:rsid w:val="00E9313C"/>
    <w:rsid w:val="00E944F7"/>
    <w:rsid w:val="00E9459D"/>
    <w:rsid w:val="00E94DB4"/>
    <w:rsid w:val="00E9557E"/>
    <w:rsid w:val="00E96C88"/>
    <w:rsid w:val="00E972D8"/>
    <w:rsid w:val="00EA0310"/>
    <w:rsid w:val="00EA0B86"/>
    <w:rsid w:val="00EA1941"/>
    <w:rsid w:val="00EA2475"/>
    <w:rsid w:val="00EA62D6"/>
    <w:rsid w:val="00EB03B5"/>
    <w:rsid w:val="00EB06CB"/>
    <w:rsid w:val="00EB0DF0"/>
    <w:rsid w:val="00EB18C8"/>
    <w:rsid w:val="00EB4ACC"/>
    <w:rsid w:val="00EB55B5"/>
    <w:rsid w:val="00EB694B"/>
    <w:rsid w:val="00EB707A"/>
    <w:rsid w:val="00EB72AC"/>
    <w:rsid w:val="00EC073F"/>
    <w:rsid w:val="00EC0BC1"/>
    <w:rsid w:val="00EC24D6"/>
    <w:rsid w:val="00EC3158"/>
    <w:rsid w:val="00EC5483"/>
    <w:rsid w:val="00EC636F"/>
    <w:rsid w:val="00ED0E5B"/>
    <w:rsid w:val="00ED2D4C"/>
    <w:rsid w:val="00ED3681"/>
    <w:rsid w:val="00ED3798"/>
    <w:rsid w:val="00ED4133"/>
    <w:rsid w:val="00ED44CC"/>
    <w:rsid w:val="00ED4AFA"/>
    <w:rsid w:val="00ED4C27"/>
    <w:rsid w:val="00ED4E47"/>
    <w:rsid w:val="00ED58CF"/>
    <w:rsid w:val="00ED6634"/>
    <w:rsid w:val="00ED7968"/>
    <w:rsid w:val="00EE1C44"/>
    <w:rsid w:val="00EE1F9A"/>
    <w:rsid w:val="00EE2EB9"/>
    <w:rsid w:val="00EE3837"/>
    <w:rsid w:val="00EE3CA0"/>
    <w:rsid w:val="00EE3E2F"/>
    <w:rsid w:val="00EE4B3A"/>
    <w:rsid w:val="00EE6488"/>
    <w:rsid w:val="00EF0946"/>
    <w:rsid w:val="00EF3928"/>
    <w:rsid w:val="00EF3E4C"/>
    <w:rsid w:val="00EF5B03"/>
    <w:rsid w:val="00EF72C7"/>
    <w:rsid w:val="00EF7750"/>
    <w:rsid w:val="00EF7971"/>
    <w:rsid w:val="00F009A2"/>
    <w:rsid w:val="00F00D2D"/>
    <w:rsid w:val="00F01982"/>
    <w:rsid w:val="00F01F51"/>
    <w:rsid w:val="00F01F96"/>
    <w:rsid w:val="00F021FA"/>
    <w:rsid w:val="00F05839"/>
    <w:rsid w:val="00F07AD5"/>
    <w:rsid w:val="00F10120"/>
    <w:rsid w:val="00F10B9B"/>
    <w:rsid w:val="00F10E13"/>
    <w:rsid w:val="00F113F8"/>
    <w:rsid w:val="00F12E6E"/>
    <w:rsid w:val="00F13627"/>
    <w:rsid w:val="00F140E1"/>
    <w:rsid w:val="00F14F8D"/>
    <w:rsid w:val="00F15E3F"/>
    <w:rsid w:val="00F17E61"/>
    <w:rsid w:val="00F20D74"/>
    <w:rsid w:val="00F218CB"/>
    <w:rsid w:val="00F221DA"/>
    <w:rsid w:val="00F22F1D"/>
    <w:rsid w:val="00F23F7C"/>
    <w:rsid w:val="00F2417B"/>
    <w:rsid w:val="00F247C2"/>
    <w:rsid w:val="00F25541"/>
    <w:rsid w:val="00F256C1"/>
    <w:rsid w:val="00F260EC"/>
    <w:rsid w:val="00F262E5"/>
    <w:rsid w:val="00F26F12"/>
    <w:rsid w:val="00F27899"/>
    <w:rsid w:val="00F32C2A"/>
    <w:rsid w:val="00F33465"/>
    <w:rsid w:val="00F347E5"/>
    <w:rsid w:val="00F35073"/>
    <w:rsid w:val="00F353AB"/>
    <w:rsid w:val="00F35FFF"/>
    <w:rsid w:val="00F379A8"/>
    <w:rsid w:val="00F40C78"/>
    <w:rsid w:val="00F41A70"/>
    <w:rsid w:val="00F42708"/>
    <w:rsid w:val="00F44408"/>
    <w:rsid w:val="00F44645"/>
    <w:rsid w:val="00F466A5"/>
    <w:rsid w:val="00F50C8A"/>
    <w:rsid w:val="00F510E5"/>
    <w:rsid w:val="00F521EF"/>
    <w:rsid w:val="00F52419"/>
    <w:rsid w:val="00F52F80"/>
    <w:rsid w:val="00F5633F"/>
    <w:rsid w:val="00F5735F"/>
    <w:rsid w:val="00F57911"/>
    <w:rsid w:val="00F57BBF"/>
    <w:rsid w:val="00F60A56"/>
    <w:rsid w:val="00F60B92"/>
    <w:rsid w:val="00F60F11"/>
    <w:rsid w:val="00F62527"/>
    <w:rsid w:val="00F62719"/>
    <w:rsid w:val="00F62E97"/>
    <w:rsid w:val="00F64209"/>
    <w:rsid w:val="00F64DDE"/>
    <w:rsid w:val="00F6597E"/>
    <w:rsid w:val="00F67C0B"/>
    <w:rsid w:val="00F67EA7"/>
    <w:rsid w:val="00F701DE"/>
    <w:rsid w:val="00F70625"/>
    <w:rsid w:val="00F709FC"/>
    <w:rsid w:val="00F742A8"/>
    <w:rsid w:val="00F74A53"/>
    <w:rsid w:val="00F80DFD"/>
    <w:rsid w:val="00F818C7"/>
    <w:rsid w:val="00F81DED"/>
    <w:rsid w:val="00F83132"/>
    <w:rsid w:val="00F8514E"/>
    <w:rsid w:val="00F8591E"/>
    <w:rsid w:val="00F85DCF"/>
    <w:rsid w:val="00F862D6"/>
    <w:rsid w:val="00F86450"/>
    <w:rsid w:val="00F86702"/>
    <w:rsid w:val="00F87872"/>
    <w:rsid w:val="00F87BCC"/>
    <w:rsid w:val="00F90789"/>
    <w:rsid w:val="00F9106B"/>
    <w:rsid w:val="00F932A1"/>
    <w:rsid w:val="00F93BF5"/>
    <w:rsid w:val="00F942D8"/>
    <w:rsid w:val="00F949A0"/>
    <w:rsid w:val="00F9565E"/>
    <w:rsid w:val="00F9637C"/>
    <w:rsid w:val="00F97824"/>
    <w:rsid w:val="00FA07A6"/>
    <w:rsid w:val="00FA0B7B"/>
    <w:rsid w:val="00FA160A"/>
    <w:rsid w:val="00FA1A5F"/>
    <w:rsid w:val="00FA2234"/>
    <w:rsid w:val="00FA24E4"/>
    <w:rsid w:val="00FA49C0"/>
    <w:rsid w:val="00FA4F1F"/>
    <w:rsid w:val="00FA6CD6"/>
    <w:rsid w:val="00FA6E73"/>
    <w:rsid w:val="00FB1195"/>
    <w:rsid w:val="00FB146C"/>
    <w:rsid w:val="00FB1FF8"/>
    <w:rsid w:val="00FB23C3"/>
    <w:rsid w:val="00FB260A"/>
    <w:rsid w:val="00FB31D4"/>
    <w:rsid w:val="00FB347C"/>
    <w:rsid w:val="00FB4F73"/>
    <w:rsid w:val="00FB5001"/>
    <w:rsid w:val="00FB58DC"/>
    <w:rsid w:val="00FB5D81"/>
    <w:rsid w:val="00FB630A"/>
    <w:rsid w:val="00FB6818"/>
    <w:rsid w:val="00FB7578"/>
    <w:rsid w:val="00FB7BE5"/>
    <w:rsid w:val="00FC183B"/>
    <w:rsid w:val="00FC1BCE"/>
    <w:rsid w:val="00FC39B6"/>
    <w:rsid w:val="00FC3F34"/>
    <w:rsid w:val="00FC5822"/>
    <w:rsid w:val="00FC587F"/>
    <w:rsid w:val="00FC7FC1"/>
    <w:rsid w:val="00FD1A1D"/>
    <w:rsid w:val="00FD232F"/>
    <w:rsid w:val="00FD3A34"/>
    <w:rsid w:val="00FD5B20"/>
    <w:rsid w:val="00FD6A7A"/>
    <w:rsid w:val="00FE1DA2"/>
    <w:rsid w:val="00FE2338"/>
    <w:rsid w:val="00FE2C64"/>
    <w:rsid w:val="00FE4358"/>
    <w:rsid w:val="00FE6ABB"/>
    <w:rsid w:val="00FE7D9B"/>
    <w:rsid w:val="00FF14D2"/>
    <w:rsid w:val="00FF1531"/>
    <w:rsid w:val="00FF15EE"/>
    <w:rsid w:val="00FF190C"/>
    <w:rsid w:val="00FF2208"/>
    <w:rsid w:val="00FF2792"/>
    <w:rsid w:val="00FF3088"/>
    <w:rsid w:val="00FF38D2"/>
    <w:rsid w:val="00FF48DC"/>
    <w:rsid w:val="00FF66BE"/>
    <w:rsid w:val="00FF6829"/>
    <w:rsid w:val="00FF77C7"/>
    <w:rsid w:val="358FDF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345A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BE6"/>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D53E10"/>
    <w:pPr>
      <w:keepNext/>
      <w:numPr>
        <w:ilvl w:val="1"/>
        <w:numId w:val="3"/>
      </w:numPr>
      <w:spacing w:after="120"/>
      <w:outlineLvl w:val="1"/>
    </w:pPr>
    <w:rPr>
      <w:b/>
      <w:snapToGrid/>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7175D4"/>
    <w:pPr>
      <w:keepNext/>
      <w:numPr>
        <w:ilvl w:val="2"/>
        <w:numId w:val="3"/>
      </w:numPr>
      <w:tabs>
        <w:tab w:val="left" w:pos="2160"/>
        <w:tab w:val="num" w:pos="2880"/>
      </w:tabs>
      <w:spacing w:after="120"/>
      <w:ind w:left="288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Heading 6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82EAB"/>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0367F"/>
    <w:pPr>
      <w:tabs>
        <w:tab w:val="center" w:pos="4680"/>
        <w:tab w:val="right" w:pos="9360"/>
      </w:tabs>
    </w:pPr>
    <w:rPr>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B4ABA"/>
    <w:pPr>
      <w:ind w:left="720"/>
      <w:contextualSpacing/>
    </w:pPr>
  </w:style>
  <w:style w:type="table" w:styleId="TableGrid">
    <w:name w:val="Table Grid"/>
    <w:basedOn w:val="TableNormal"/>
    <w:rsid w:val="00C8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0FF2"/>
    <w:rPr>
      <w:sz w:val="16"/>
      <w:szCs w:val="16"/>
    </w:rPr>
  </w:style>
  <w:style w:type="paragraph" w:styleId="CommentText">
    <w:name w:val="annotation text"/>
    <w:basedOn w:val="Normal"/>
    <w:link w:val="CommentTextChar"/>
    <w:uiPriority w:val="99"/>
    <w:rsid w:val="00D20FF2"/>
    <w:rPr>
      <w:sz w:val="20"/>
    </w:rPr>
  </w:style>
  <w:style w:type="character" w:customStyle="1" w:styleId="CommentTextChar">
    <w:name w:val="Comment Text Char"/>
    <w:basedOn w:val="DefaultParagraphFont"/>
    <w:link w:val="CommentText"/>
    <w:uiPriority w:val="99"/>
    <w:rsid w:val="00D20FF2"/>
    <w:rPr>
      <w:snapToGrid w:val="0"/>
      <w:kern w:val="28"/>
    </w:rPr>
  </w:style>
  <w:style w:type="paragraph" w:styleId="CommentSubject">
    <w:name w:val="annotation subject"/>
    <w:basedOn w:val="CommentText"/>
    <w:next w:val="CommentText"/>
    <w:link w:val="CommentSubjectChar"/>
    <w:rsid w:val="00D20FF2"/>
    <w:rPr>
      <w:b/>
      <w:bCs/>
    </w:rPr>
  </w:style>
  <w:style w:type="character" w:customStyle="1" w:styleId="CommentSubjectChar">
    <w:name w:val="Comment Subject Char"/>
    <w:basedOn w:val="CommentTextChar"/>
    <w:link w:val="CommentSubject"/>
    <w:rsid w:val="00D20FF2"/>
    <w:rPr>
      <w:b/>
      <w:bCs/>
      <w:snapToGrid w:val="0"/>
      <w:kern w:val="28"/>
    </w:rPr>
  </w:style>
  <w:style w:type="character" w:customStyle="1" w:styleId="ParaNumChar">
    <w:name w:val="ParaNum Char"/>
    <w:link w:val="ParaNum"/>
    <w:locked/>
    <w:rsid w:val="00747E63"/>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747E6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127B5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D53E10"/>
    <w:rPr>
      <w:b/>
      <w:kern w:val="28"/>
      <w:sz w:val="22"/>
    </w:rPr>
  </w:style>
  <w:style w:type="paragraph" w:styleId="Revision">
    <w:name w:val="Revision"/>
    <w:hidden/>
    <w:uiPriority w:val="99"/>
    <w:semiHidden/>
    <w:rsid w:val="00D31C28"/>
    <w:rPr>
      <w:snapToGrid w:val="0"/>
      <w:kern w:val="28"/>
      <w:sz w:val="22"/>
    </w:rPr>
  </w:style>
  <w:style w:type="character" w:customStyle="1" w:styleId="FootnoteTextChar2Char3Char1">
    <w:name w:val="Footnote Text Char2 Char3 Char1"/>
    <w:aliases w:val="Footnote Text Char Char6 Char Char1,Footnote Text Char6 Char Char Char Char1,Footnote Text Char Char6 Char Char1 Char1 Char1,Footnote Text Char4 Char2 Char Char Char Char Char1,fn Char,ALTS FOOTNOT Char"/>
    <w:basedOn w:val="DefaultParagraphFont"/>
    <w:rsid w:val="006B3708"/>
    <w:rPr>
      <w:sz w:val="20"/>
      <w:szCs w:val="20"/>
    </w:rPr>
  </w:style>
  <w:style w:type="paragraph" w:styleId="NormalWeb">
    <w:name w:val="Normal (Web)"/>
    <w:basedOn w:val="Normal"/>
    <w:uiPriority w:val="99"/>
    <w:rsid w:val="006B3708"/>
    <w:pPr>
      <w:widowControl/>
      <w:spacing w:before="100" w:beforeAutospacing="1" w:after="100" w:afterAutospacing="1"/>
    </w:pPr>
    <w:rPr>
      <w:kern w:val="0"/>
      <w:sz w:val="24"/>
      <w:szCs w:val="24"/>
    </w:rPr>
  </w:style>
  <w:style w:type="paragraph" w:customStyle="1" w:styleId="psection-1">
    <w:name w:val="psection-1"/>
    <w:basedOn w:val="Normal"/>
    <w:rsid w:val="006B3708"/>
    <w:pPr>
      <w:widowControl/>
      <w:spacing w:before="100" w:beforeAutospacing="1" w:after="100" w:afterAutospacing="1"/>
    </w:pPr>
    <w:rPr>
      <w:snapToGrid/>
      <w:kern w:val="0"/>
      <w:sz w:val="24"/>
      <w:szCs w:val="24"/>
    </w:rPr>
  </w:style>
  <w:style w:type="character" w:customStyle="1" w:styleId="enumxml">
    <w:name w:val="enumxml"/>
    <w:basedOn w:val="DefaultParagraphFont"/>
    <w:rsid w:val="006B3708"/>
  </w:style>
  <w:style w:type="character" w:customStyle="1" w:styleId="apple-converted-space">
    <w:name w:val="apple-converted-space"/>
    <w:basedOn w:val="DefaultParagraphFont"/>
    <w:rsid w:val="006B3708"/>
  </w:style>
  <w:style w:type="paragraph" w:customStyle="1" w:styleId="psection-2">
    <w:name w:val="psection-2"/>
    <w:basedOn w:val="Normal"/>
    <w:rsid w:val="006B3708"/>
    <w:pPr>
      <w:widowControl/>
      <w:spacing w:before="100" w:beforeAutospacing="1" w:after="100" w:afterAutospacing="1"/>
    </w:pPr>
    <w:rPr>
      <w:snapToGrid/>
      <w:kern w:val="0"/>
      <w:sz w:val="24"/>
      <w:szCs w:val="24"/>
    </w:rPr>
  </w:style>
  <w:style w:type="character" w:customStyle="1" w:styleId="et03">
    <w:name w:val="et03"/>
    <w:basedOn w:val="DefaultParagraphFont"/>
    <w:rsid w:val="006B3708"/>
  </w:style>
  <w:style w:type="paragraph" w:customStyle="1" w:styleId="psection-3">
    <w:name w:val="psection-3"/>
    <w:basedOn w:val="Normal"/>
    <w:rsid w:val="006B3708"/>
    <w:pPr>
      <w:widowControl/>
      <w:spacing w:before="100" w:beforeAutospacing="1" w:after="100" w:afterAutospacing="1"/>
    </w:pPr>
    <w:rPr>
      <w:snapToGrid/>
      <w:kern w:val="0"/>
      <w:sz w:val="24"/>
      <w:szCs w:val="24"/>
    </w:rPr>
  </w:style>
  <w:style w:type="character" w:styleId="Emphasis">
    <w:name w:val="Emphasis"/>
    <w:basedOn w:val="DefaultParagraphFont"/>
    <w:qFormat/>
    <w:rsid w:val="006B3708"/>
    <w:rPr>
      <w:i/>
      <w:iCs/>
    </w:rPr>
  </w:style>
  <w:style w:type="character" w:customStyle="1" w:styleId="cohovertext">
    <w:name w:val="co_hovertext"/>
    <w:basedOn w:val="DefaultParagraphFont"/>
    <w:rsid w:val="00682EAB"/>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F045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EC3158"/>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HeaderChar">
    <w:name w:val="Header Char"/>
    <w:basedOn w:val="DefaultParagraphFont"/>
    <w:link w:val="Header"/>
    <w:rsid w:val="00C0367F"/>
    <w:rPr>
      <w:b/>
      <w:snapToGrid w:val="0"/>
      <w:kern w:val="28"/>
      <w:sz w:val="22"/>
      <w:szCs w:val="22"/>
    </w:rPr>
  </w:style>
  <w:style w:type="character" w:styleId="FollowedHyperlink">
    <w:name w:val="FollowedHyperlink"/>
    <w:basedOn w:val="DefaultParagraphFont"/>
    <w:rsid w:val="008C15B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BE6"/>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1 Char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 Char1,Heading 2 Char1 Char Char,Heading 2 Char Char1 Char Char,Heading 2 Char Char2,Heading 2 Char1 Char,Heading 2 Char Char3 Char,Heading 2 Char1 Char Char Char,Heading 2 Char2"/>
    <w:basedOn w:val="Normal"/>
    <w:next w:val="ParaNum"/>
    <w:link w:val="Heading2Char"/>
    <w:autoRedefine/>
    <w:qFormat/>
    <w:rsid w:val="00D53E10"/>
    <w:pPr>
      <w:keepNext/>
      <w:numPr>
        <w:ilvl w:val="1"/>
        <w:numId w:val="3"/>
      </w:numPr>
      <w:spacing w:after="120"/>
      <w:outlineLvl w:val="1"/>
    </w:pPr>
    <w:rPr>
      <w:b/>
      <w:snapToGrid/>
    </w:rPr>
  </w:style>
  <w:style w:type="paragraph" w:styleId="Heading3">
    <w:name w:val="heading 3"/>
    <w:aliases w:val="3 Char,Titre 3 Char,1 Char,31 Char,Titre 31 Char,?? 3 Char,3,Titre 3,1,31,Titre 31,?? 3,Heading 3 Char1 Char Char,Heading 3 Char Char Char Char,Heading 3 Char2 Char1 Char Char,Heading 3 Char Char Char Char Char,Heading 3 Char1"/>
    <w:basedOn w:val="Normal"/>
    <w:next w:val="ParaNum"/>
    <w:qFormat/>
    <w:rsid w:val="007175D4"/>
    <w:pPr>
      <w:keepNext/>
      <w:numPr>
        <w:ilvl w:val="2"/>
        <w:numId w:val="3"/>
      </w:numPr>
      <w:tabs>
        <w:tab w:val="left" w:pos="2160"/>
        <w:tab w:val="num" w:pos="2880"/>
      </w:tabs>
      <w:spacing w:after="120"/>
      <w:ind w:left="2880"/>
      <w:outlineLvl w:val="2"/>
    </w:pPr>
    <w:rPr>
      <w:b/>
    </w:rPr>
  </w:style>
  <w:style w:type="paragraph" w:styleId="Heading4">
    <w:name w:val="heading 4"/>
    <w:aliases w:val="Heading 4 Char1 Char,Heading 4 Char2 Char Char1,Heading 4 Char Char1 Char Char1,Heading 4 Char1 Char Char Char Char1,Heading 4 Char Char Char Char Char Char1,Heading 4 Char1 Char1 Char Char1,Heading 4 Char Char Char1 Char Char1,Heading 4 Char"/>
    <w:basedOn w:val="Normal"/>
    <w:next w:val="ParaNum"/>
    <w:qFormat/>
    <w:rsid w:val="00C426B1"/>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Heading 5 Char Char Char Char1"/>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eading 6 Char2,Heading 6 Char1 Char,Heading 6 Char Char Char,Heading 6 Char Char1,Heading 6 Char1,Heading 6 Char Char,h6,Heading 6 Char"/>
    <w:basedOn w:val="Normal"/>
    <w:next w:val="ParaNum"/>
    <w:qFormat/>
    <w:rsid w:val="00036039"/>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Heading 9 Char"/>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82EAB"/>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2 Char3,Footnote Text Char Char6 Char,Footnote Text Char6 Char Char Char,Footnote Text Char Char6 Char Char1 Char1,Footnote Text Char4 Char2 Char Char Char Char,Footnote Text Char6 Char,fn,ALTS FOOTNOT"/>
    <w:link w:val="FootnoteTextChar1"/>
    <w:rsid w:val="000E3D42"/>
    <w:pPr>
      <w:spacing w:after="120"/>
    </w:pPr>
  </w:style>
  <w:style w:type="character" w:styleId="FootnoteReference">
    <w:name w:val="footnote reference"/>
    <w:aliases w:val="Style 124,Appel note de bas de p,Style 12,(NECG) Footnote Reference,o,fr,Style 3,Style 17,FR,Style 13,Footnote Reference/,Style 6,Style 4,Style 7,Footnote Reference1"/>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rsid w:val="00C0367F"/>
    <w:pPr>
      <w:tabs>
        <w:tab w:val="center" w:pos="4680"/>
        <w:tab w:val="right" w:pos="9360"/>
      </w:tabs>
    </w:pPr>
    <w:rPr>
      <w:b/>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paragraph" w:styleId="ListParagraph">
    <w:name w:val="List Paragraph"/>
    <w:basedOn w:val="Normal"/>
    <w:uiPriority w:val="34"/>
    <w:qFormat/>
    <w:rsid w:val="004B4ABA"/>
    <w:pPr>
      <w:ind w:left="720"/>
      <w:contextualSpacing/>
    </w:pPr>
  </w:style>
  <w:style w:type="table" w:styleId="TableGrid">
    <w:name w:val="Table Grid"/>
    <w:basedOn w:val="TableNormal"/>
    <w:rsid w:val="00C80A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D20FF2"/>
    <w:rPr>
      <w:sz w:val="16"/>
      <w:szCs w:val="16"/>
    </w:rPr>
  </w:style>
  <w:style w:type="paragraph" w:styleId="CommentText">
    <w:name w:val="annotation text"/>
    <w:basedOn w:val="Normal"/>
    <w:link w:val="CommentTextChar"/>
    <w:uiPriority w:val="99"/>
    <w:rsid w:val="00D20FF2"/>
    <w:rPr>
      <w:sz w:val="20"/>
    </w:rPr>
  </w:style>
  <w:style w:type="character" w:customStyle="1" w:styleId="CommentTextChar">
    <w:name w:val="Comment Text Char"/>
    <w:basedOn w:val="DefaultParagraphFont"/>
    <w:link w:val="CommentText"/>
    <w:uiPriority w:val="99"/>
    <w:rsid w:val="00D20FF2"/>
    <w:rPr>
      <w:snapToGrid w:val="0"/>
      <w:kern w:val="28"/>
    </w:rPr>
  </w:style>
  <w:style w:type="paragraph" w:styleId="CommentSubject">
    <w:name w:val="annotation subject"/>
    <w:basedOn w:val="CommentText"/>
    <w:next w:val="CommentText"/>
    <w:link w:val="CommentSubjectChar"/>
    <w:rsid w:val="00D20FF2"/>
    <w:rPr>
      <w:b/>
      <w:bCs/>
    </w:rPr>
  </w:style>
  <w:style w:type="character" w:customStyle="1" w:styleId="CommentSubjectChar">
    <w:name w:val="Comment Subject Char"/>
    <w:basedOn w:val="CommentTextChar"/>
    <w:link w:val="CommentSubject"/>
    <w:rsid w:val="00D20FF2"/>
    <w:rPr>
      <w:b/>
      <w:bCs/>
      <w:snapToGrid w:val="0"/>
      <w:kern w:val="28"/>
    </w:rPr>
  </w:style>
  <w:style w:type="character" w:customStyle="1" w:styleId="ParaNumChar">
    <w:name w:val="ParaNum Char"/>
    <w:link w:val="ParaNum"/>
    <w:locked/>
    <w:rsid w:val="00747E63"/>
    <w:rPr>
      <w:snapToGrid w:val="0"/>
      <w:kern w:val="28"/>
      <w:sz w:val="22"/>
    </w:rPr>
  </w:style>
  <w:style w:type="character" w:customStyle="1" w:styleId="FootnoteTextChar1">
    <w:name w:val="Footnote Text Char1"/>
    <w:aliases w:val="Footnote Text Char Char,Footnote Text Char2 Char3 Char,Footnote Text Char Char6 Char Char,Footnote Text Char6 Char Char Char Char,Footnote Text Char Char6 Char Char1 Char1 Char,Footnote Text Char4 Char2 Char Char Char Char Char"/>
    <w:link w:val="FootnoteText"/>
    <w:locked/>
    <w:rsid w:val="00747E63"/>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basedOn w:val="DefaultParagraphFont"/>
    <w:link w:val="Heading1"/>
    <w:rsid w:val="00127B5E"/>
    <w:rPr>
      <w:rFonts w:ascii="Times New Roman Bold" w:hAnsi="Times New Roman Bold"/>
      <w:b/>
      <w:caps/>
      <w:snapToGrid w:val="0"/>
      <w:kern w:val="28"/>
      <w:sz w:val="22"/>
    </w:rPr>
  </w:style>
  <w:style w:type="character" w:customStyle="1" w:styleId="Heading2Char">
    <w:name w:val="Heading 2 Char"/>
    <w:aliases w:val="h2 Char Char,UNDERRUBRIK 1-2 Char Char,Heading 2 Char Char1 Char,Heading 2 Char1 Char Char Char1,Heading 2 Char Char1 Char Char Char,Heading 2 Char Char2 Char,Heading 2 Char1 Char Char1,Heading 2 Char Char3 Char Char,Heading 2 Char2 Char"/>
    <w:basedOn w:val="DefaultParagraphFont"/>
    <w:link w:val="Heading2"/>
    <w:rsid w:val="00D53E10"/>
    <w:rPr>
      <w:b/>
      <w:kern w:val="28"/>
      <w:sz w:val="22"/>
    </w:rPr>
  </w:style>
  <w:style w:type="paragraph" w:styleId="Revision">
    <w:name w:val="Revision"/>
    <w:hidden/>
    <w:uiPriority w:val="99"/>
    <w:semiHidden/>
    <w:rsid w:val="00D31C28"/>
    <w:rPr>
      <w:snapToGrid w:val="0"/>
      <w:kern w:val="28"/>
      <w:sz w:val="22"/>
    </w:rPr>
  </w:style>
  <w:style w:type="character" w:customStyle="1" w:styleId="FootnoteTextChar2Char3Char1">
    <w:name w:val="Footnote Text Char2 Char3 Char1"/>
    <w:aliases w:val="Footnote Text Char Char6 Char Char1,Footnote Text Char6 Char Char Char Char1,Footnote Text Char Char6 Char Char1 Char1 Char1,Footnote Text Char4 Char2 Char Char Char Char Char1,fn Char,ALTS FOOTNOT Char"/>
    <w:basedOn w:val="DefaultParagraphFont"/>
    <w:rsid w:val="006B3708"/>
    <w:rPr>
      <w:sz w:val="20"/>
      <w:szCs w:val="20"/>
    </w:rPr>
  </w:style>
  <w:style w:type="paragraph" w:styleId="NormalWeb">
    <w:name w:val="Normal (Web)"/>
    <w:basedOn w:val="Normal"/>
    <w:uiPriority w:val="99"/>
    <w:rsid w:val="006B3708"/>
    <w:pPr>
      <w:widowControl/>
      <w:spacing w:before="100" w:beforeAutospacing="1" w:after="100" w:afterAutospacing="1"/>
    </w:pPr>
    <w:rPr>
      <w:kern w:val="0"/>
      <w:sz w:val="24"/>
      <w:szCs w:val="24"/>
    </w:rPr>
  </w:style>
  <w:style w:type="paragraph" w:customStyle="1" w:styleId="psection-1">
    <w:name w:val="psection-1"/>
    <w:basedOn w:val="Normal"/>
    <w:rsid w:val="006B3708"/>
    <w:pPr>
      <w:widowControl/>
      <w:spacing w:before="100" w:beforeAutospacing="1" w:after="100" w:afterAutospacing="1"/>
    </w:pPr>
    <w:rPr>
      <w:snapToGrid/>
      <w:kern w:val="0"/>
      <w:sz w:val="24"/>
      <w:szCs w:val="24"/>
    </w:rPr>
  </w:style>
  <w:style w:type="character" w:customStyle="1" w:styleId="enumxml">
    <w:name w:val="enumxml"/>
    <w:basedOn w:val="DefaultParagraphFont"/>
    <w:rsid w:val="006B3708"/>
  </w:style>
  <w:style w:type="character" w:customStyle="1" w:styleId="apple-converted-space">
    <w:name w:val="apple-converted-space"/>
    <w:basedOn w:val="DefaultParagraphFont"/>
    <w:rsid w:val="006B3708"/>
  </w:style>
  <w:style w:type="paragraph" w:customStyle="1" w:styleId="psection-2">
    <w:name w:val="psection-2"/>
    <w:basedOn w:val="Normal"/>
    <w:rsid w:val="006B3708"/>
    <w:pPr>
      <w:widowControl/>
      <w:spacing w:before="100" w:beforeAutospacing="1" w:after="100" w:afterAutospacing="1"/>
    </w:pPr>
    <w:rPr>
      <w:snapToGrid/>
      <w:kern w:val="0"/>
      <w:sz w:val="24"/>
      <w:szCs w:val="24"/>
    </w:rPr>
  </w:style>
  <w:style w:type="character" w:customStyle="1" w:styleId="et03">
    <w:name w:val="et03"/>
    <w:basedOn w:val="DefaultParagraphFont"/>
    <w:rsid w:val="006B3708"/>
  </w:style>
  <w:style w:type="paragraph" w:customStyle="1" w:styleId="psection-3">
    <w:name w:val="psection-3"/>
    <w:basedOn w:val="Normal"/>
    <w:rsid w:val="006B3708"/>
    <w:pPr>
      <w:widowControl/>
      <w:spacing w:before="100" w:beforeAutospacing="1" w:after="100" w:afterAutospacing="1"/>
    </w:pPr>
    <w:rPr>
      <w:snapToGrid/>
      <w:kern w:val="0"/>
      <w:sz w:val="24"/>
      <w:szCs w:val="24"/>
    </w:rPr>
  </w:style>
  <w:style w:type="character" w:styleId="Emphasis">
    <w:name w:val="Emphasis"/>
    <w:basedOn w:val="DefaultParagraphFont"/>
    <w:qFormat/>
    <w:rsid w:val="006B3708"/>
    <w:rPr>
      <w:i/>
      <w:iCs/>
    </w:rPr>
  </w:style>
  <w:style w:type="character" w:customStyle="1" w:styleId="cohovertext">
    <w:name w:val="co_hovertext"/>
    <w:basedOn w:val="DefaultParagraphFont"/>
    <w:rsid w:val="00682EAB"/>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rsid w:val="008F0453"/>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EC3158"/>
    <w:pPr>
      <w:keepLines/>
      <w:widowControl/>
      <w:numPr>
        <w:numId w:val="0"/>
      </w:numPr>
      <w:tabs>
        <w:tab w:val="left" w:pos="720"/>
      </w:tabs>
      <w:suppressAutoHyphens w:val="0"/>
      <w:spacing w:before="240" w:after="0" w:line="259" w:lineRule="auto"/>
      <w:outlineLvl w:val="9"/>
    </w:pPr>
    <w:rPr>
      <w:rFonts w:asciiTheme="majorHAnsi" w:eastAsiaTheme="majorEastAsia" w:hAnsiTheme="majorHAnsi" w:cstheme="majorBidi"/>
      <w:b w:val="0"/>
      <w:caps w:val="0"/>
      <w:snapToGrid/>
      <w:color w:val="2E74B5" w:themeColor="accent1" w:themeShade="BF"/>
      <w:kern w:val="0"/>
      <w:sz w:val="32"/>
      <w:szCs w:val="32"/>
    </w:rPr>
  </w:style>
  <w:style w:type="character" w:customStyle="1" w:styleId="HeaderChar">
    <w:name w:val="Header Char"/>
    <w:basedOn w:val="DefaultParagraphFont"/>
    <w:link w:val="Header"/>
    <w:rsid w:val="00C0367F"/>
    <w:rPr>
      <w:b/>
      <w:snapToGrid w:val="0"/>
      <w:kern w:val="28"/>
      <w:sz w:val="22"/>
      <w:szCs w:val="22"/>
    </w:rPr>
  </w:style>
  <w:style w:type="character" w:styleId="FollowedHyperlink">
    <w:name w:val="FollowedHyperlink"/>
    <w:basedOn w:val="DefaultParagraphFont"/>
    <w:rsid w:val="008C15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370859">
      <w:bodyDiv w:val="1"/>
      <w:marLeft w:val="0"/>
      <w:marRight w:val="0"/>
      <w:marTop w:val="0"/>
      <w:marBottom w:val="0"/>
      <w:divBdr>
        <w:top w:val="none" w:sz="0" w:space="0" w:color="auto"/>
        <w:left w:val="none" w:sz="0" w:space="0" w:color="auto"/>
        <w:bottom w:val="none" w:sz="0" w:space="0" w:color="auto"/>
        <w:right w:val="none" w:sz="0" w:space="0" w:color="auto"/>
      </w:divBdr>
    </w:div>
    <w:div w:id="462968430">
      <w:bodyDiv w:val="1"/>
      <w:marLeft w:val="0"/>
      <w:marRight w:val="0"/>
      <w:marTop w:val="0"/>
      <w:marBottom w:val="0"/>
      <w:divBdr>
        <w:top w:val="none" w:sz="0" w:space="0" w:color="auto"/>
        <w:left w:val="none" w:sz="0" w:space="0" w:color="auto"/>
        <w:bottom w:val="none" w:sz="0" w:space="0" w:color="auto"/>
        <w:right w:val="none" w:sz="0" w:space="0" w:color="auto"/>
      </w:divBdr>
      <w:divsChild>
        <w:div w:id="1264531854">
          <w:marLeft w:val="0"/>
          <w:marRight w:val="0"/>
          <w:marTop w:val="240"/>
          <w:marBottom w:val="0"/>
          <w:divBdr>
            <w:top w:val="none" w:sz="0" w:space="0" w:color="auto"/>
            <w:left w:val="none" w:sz="0" w:space="0" w:color="auto"/>
            <w:bottom w:val="none" w:sz="0" w:space="0" w:color="auto"/>
            <w:right w:val="none" w:sz="0" w:space="0" w:color="auto"/>
          </w:divBdr>
          <w:divsChild>
            <w:div w:id="1258060273">
              <w:marLeft w:val="0"/>
              <w:marRight w:val="0"/>
              <w:marTop w:val="0"/>
              <w:marBottom w:val="0"/>
              <w:divBdr>
                <w:top w:val="none" w:sz="0" w:space="0" w:color="auto"/>
                <w:left w:val="none" w:sz="0" w:space="0" w:color="auto"/>
                <w:bottom w:val="none" w:sz="0" w:space="0" w:color="auto"/>
                <w:right w:val="none" w:sz="0" w:space="0" w:color="auto"/>
              </w:divBdr>
              <w:divsChild>
                <w:div w:id="17361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47585">
          <w:marLeft w:val="0"/>
          <w:marRight w:val="0"/>
          <w:marTop w:val="240"/>
          <w:marBottom w:val="0"/>
          <w:divBdr>
            <w:top w:val="none" w:sz="0" w:space="0" w:color="auto"/>
            <w:left w:val="none" w:sz="0" w:space="0" w:color="auto"/>
            <w:bottom w:val="none" w:sz="0" w:space="0" w:color="auto"/>
            <w:right w:val="none" w:sz="0" w:space="0" w:color="auto"/>
          </w:divBdr>
          <w:divsChild>
            <w:div w:id="322398383">
              <w:marLeft w:val="0"/>
              <w:marRight w:val="0"/>
              <w:marTop w:val="0"/>
              <w:marBottom w:val="0"/>
              <w:divBdr>
                <w:top w:val="none" w:sz="0" w:space="0" w:color="auto"/>
                <w:left w:val="none" w:sz="0" w:space="0" w:color="auto"/>
                <w:bottom w:val="none" w:sz="0" w:space="0" w:color="auto"/>
                <w:right w:val="none" w:sz="0" w:space="0" w:color="auto"/>
              </w:divBdr>
              <w:divsChild>
                <w:div w:id="160379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2450">
          <w:marLeft w:val="0"/>
          <w:marRight w:val="0"/>
          <w:marTop w:val="240"/>
          <w:marBottom w:val="0"/>
          <w:divBdr>
            <w:top w:val="none" w:sz="0" w:space="0" w:color="auto"/>
            <w:left w:val="none" w:sz="0" w:space="0" w:color="auto"/>
            <w:bottom w:val="none" w:sz="0" w:space="0" w:color="auto"/>
            <w:right w:val="none" w:sz="0" w:space="0" w:color="auto"/>
          </w:divBdr>
          <w:divsChild>
            <w:div w:id="1648778496">
              <w:marLeft w:val="0"/>
              <w:marRight w:val="0"/>
              <w:marTop w:val="0"/>
              <w:marBottom w:val="0"/>
              <w:divBdr>
                <w:top w:val="none" w:sz="0" w:space="0" w:color="auto"/>
                <w:left w:val="none" w:sz="0" w:space="0" w:color="auto"/>
                <w:bottom w:val="none" w:sz="0" w:space="0" w:color="auto"/>
                <w:right w:val="none" w:sz="0" w:space="0" w:color="auto"/>
              </w:divBdr>
              <w:divsChild>
                <w:div w:id="192973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426257">
      <w:bodyDiv w:val="1"/>
      <w:marLeft w:val="0"/>
      <w:marRight w:val="0"/>
      <w:marTop w:val="0"/>
      <w:marBottom w:val="0"/>
      <w:divBdr>
        <w:top w:val="none" w:sz="0" w:space="0" w:color="auto"/>
        <w:left w:val="none" w:sz="0" w:space="0" w:color="auto"/>
        <w:bottom w:val="none" w:sz="0" w:space="0" w:color="auto"/>
        <w:right w:val="none" w:sz="0" w:space="0" w:color="auto"/>
      </w:divBdr>
      <w:divsChild>
        <w:div w:id="219100825">
          <w:marLeft w:val="0"/>
          <w:marRight w:val="0"/>
          <w:marTop w:val="240"/>
          <w:marBottom w:val="0"/>
          <w:divBdr>
            <w:top w:val="none" w:sz="0" w:space="0" w:color="auto"/>
            <w:left w:val="none" w:sz="0" w:space="0" w:color="auto"/>
            <w:bottom w:val="none" w:sz="0" w:space="0" w:color="auto"/>
            <w:right w:val="none" w:sz="0" w:space="0" w:color="auto"/>
          </w:divBdr>
          <w:divsChild>
            <w:div w:id="1940603976">
              <w:marLeft w:val="0"/>
              <w:marRight w:val="0"/>
              <w:marTop w:val="0"/>
              <w:marBottom w:val="0"/>
              <w:divBdr>
                <w:top w:val="none" w:sz="0" w:space="0" w:color="auto"/>
                <w:left w:val="none" w:sz="0" w:space="0" w:color="auto"/>
                <w:bottom w:val="none" w:sz="0" w:space="0" w:color="auto"/>
                <w:right w:val="none" w:sz="0" w:space="0" w:color="auto"/>
              </w:divBdr>
              <w:divsChild>
                <w:div w:id="169145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654336">
          <w:marLeft w:val="0"/>
          <w:marRight w:val="0"/>
          <w:marTop w:val="240"/>
          <w:marBottom w:val="0"/>
          <w:divBdr>
            <w:top w:val="none" w:sz="0" w:space="0" w:color="auto"/>
            <w:left w:val="none" w:sz="0" w:space="0" w:color="auto"/>
            <w:bottom w:val="none" w:sz="0" w:space="0" w:color="auto"/>
            <w:right w:val="none" w:sz="0" w:space="0" w:color="auto"/>
          </w:divBdr>
          <w:divsChild>
            <w:div w:id="779757402">
              <w:marLeft w:val="0"/>
              <w:marRight w:val="0"/>
              <w:marTop w:val="0"/>
              <w:marBottom w:val="0"/>
              <w:divBdr>
                <w:top w:val="none" w:sz="0" w:space="0" w:color="auto"/>
                <w:left w:val="none" w:sz="0" w:space="0" w:color="auto"/>
                <w:bottom w:val="none" w:sz="0" w:space="0" w:color="auto"/>
                <w:right w:val="none" w:sz="0" w:space="0" w:color="auto"/>
              </w:divBdr>
              <w:divsChild>
                <w:div w:id="8218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37418">
      <w:bodyDiv w:val="1"/>
      <w:marLeft w:val="0"/>
      <w:marRight w:val="0"/>
      <w:marTop w:val="0"/>
      <w:marBottom w:val="0"/>
      <w:divBdr>
        <w:top w:val="none" w:sz="0" w:space="0" w:color="auto"/>
        <w:left w:val="none" w:sz="0" w:space="0" w:color="auto"/>
        <w:bottom w:val="none" w:sz="0" w:space="0" w:color="auto"/>
        <w:right w:val="none" w:sz="0" w:space="0" w:color="auto"/>
      </w:divBdr>
    </w:div>
    <w:div w:id="623345186">
      <w:bodyDiv w:val="1"/>
      <w:marLeft w:val="0"/>
      <w:marRight w:val="0"/>
      <w:marTop w:val="0"/>
      <w:marBottom w:val="0"/>
      <w:divBdr>
        <w:top w:val="none" w:sz="0" w:space="0" w:color="auto"/>
        <w:left w:val="none" w:sz="0" w:space="0" w:color="auto"/>
        <w:bottom w:val="none" w:sz="0" w:space="0" w:color="auto"/>
        <w:right w:val="none" w:sz="0" w:space="0" w:color="auto"/>
      </w:divBdr>
      <w:divsChild>
        <w:div w:id="1941405236">
          <w:marLeft w:val="0"/>
          <w:marRight w:val="0"/>
          <w:marTop w:val="0"/>
          <w:marBottom w:val="0"/>
          <w:divBdr>
            <w:top w:val="none" w:sz="0" w:space="0" w:color="auto"/>
            <w:left w:val="none" w:sz="0" w:space="0" w:color="auto"/>
            <w:bottom w:val="none" w:sz="0" w:space="0" w:color="auto"/>
            <w:right w:val="none" w:sz="0" w:space="0" w:color="auto"/>
          </w:divBdr>
        </w:div>
        <w:div w:id="1191532947">
          <w:marLeft w:val="0"/>
          <w:marRight w:val="0"/>
          <w:marTop w:val="0"/>
          <w:marBottom w:val="0"/>
          <w:divBdr>
            <w:top w:val="none" w:sz="0" w:space="0" w:color="auto"/>
            <w:left w:val="none" w:sz="0" w:space="0" w:color="auto"/>
            <w:bottom w:val="none" w:sz="0" w:space="0" w:color="auto"/>
            <w:right w:val="none" w:sz="0" w:space="0" w:color="auto"/>
          </w:divBdr>
        </w:div>
        <w:div w:id="2124568928">
          <w:marLeft w:val="0"/>
          <w:marRight w:val="0"/>
          <w:marTop w:val="0"/>
          <w:marBottom w:val="0"/>
          <w:divBdr>
            <w:top w:val="none" w:sz="0" w:space="0" w:color="auto"/>
            <w:left w:val="none" w:sz="0" w:space="0" w:color="auto"/>
            <w:bottom w:val="none" w:sz="0" w:space="0" w:color="auto"/>
            <w:right w:val="none" w:sz="0" w:space="0" w:color="auto"/>
          </w:divBdr>
        </w:div>
        <w:div w:id="1798334104">
          <w:marLeft w:val="0"/>
          <w:marRight w:val="0"/>
          <w:marTop w:val="0"/>
          <w:marBottom w:val="0"/>
          <w:divBdr>
            <w:top w:val="none" w:sz="0" w:space="0" w:color="auto"/>
            <w:left w:val="none" w:sz="0" w:space="0" w:color="auto"/>
            <w:bottom w:val="none" w:sz="0" w:space="0" w:color="auto"/>
            <w:right w:val="none" w:sz="0" w:space="0" w:color="auto"/>
          </w:divBdr>
        </w:div>
        <w:div w:id="1913616674">
          <w:marLeft w:val="0"/>
          <w:marRight w:val="0"/>
          <w:marTop w:val="0"/>
          <w:marBottom w:val="0"/>
          <w:divBdr>
            <w:top w:val="none" w:sz="0" w:space="0" w:color="auto"/>
            <w:left w:val="none" w:sz="0" w:space="0" w:color="auto"/>
            <w:bottom w:val="none" w:sz="0" w:space="0" w:color="auto"/>
            <w:right w:val="none" w:sz="0" w:space="0" w:color="auto"/>
          </w:divBdr>
        </w:div>
        <w:div w:id="1153372429">
          <w:marLeft w:val="0"/>
          <w:marRight w:val="0"/>
          <w:marTop w:val="0"/>
          <w:marBottom w:val="0"/>
          <w:divBdr>
            <w:top w:val="none" w:sz="0" w:space="0" w:color="auto"/>
            <w:left w:val="none" w:sz="0" w:space="0" w:color="auto"/>
            <w:bottom w:val="none" w:sz="0" w:space="0" w:color="auto"/>
            <w:right w:val="none" w:sz="0" w:space="0" w:color="auto"/>
          </w:divBdr>
        </w:div>
        <w:div w:id="814761673">
          <w:marLeft w:val="0"/>
          <w:marRight w:val="0"/>
          <w:marTop w:val="0"/>
          <w:marBottom w:val="0"/>
          <w:divBdr>
            <w:top w:val="none" w:sz="0" w:space="0" w:color="auto"/>
            <w:left w:val="none" w:sz="0" w:space="0" w:color="auto"/>
            <w:bottom w:val="none" w:sz="0" w:space="0" w:color="auto"/>
            <w:right w:val="none" w:sz="0" w:space="0" w:color="auto"/>
          </w:divBdr>
        </w:div>
        <w:div w:id="811218822">
          <w:marLeft w:val="0"/>
          <w:marRight w:val="0"/>
          <w:marTop w:val="0"/>
          <w:marBottom w:val="0"/>
          <w:divBdr>
            <w:top w:val="none" w:sz="0" w:space="0" w:color="auto"/>
            <w:left w:val="none" w:sz="0" w:space="0" w:color="auto"/>
            <w:bottom w:val="none" w:sz="0" w:space="0" w:color="auto"/>
            <w:right w:val="none" w:sz="0" w:space="0" w:color="auto"/>
          </w:divBdr>
        </w:div>
        <w:div w:id="541986607">
          <w:marLeft w:val="0"/>
          <w:marRight w:val="0"/>
          <w:marTop w:val="0"/>
          <w:marBottom w:val="0"/>
          <w:divBdr>
            <w:top w:val="none" w:sz="0" w:space="0" w:color="auto"/>
            <w:left w:val="none" w:sz="0" w:space="0" w:color="auto"/>
            <w:bottom w:val="none" w:sz="0" w:space="0" w:color="auto"/>
            <w:right w:val="none" w:sz="0" w:space="0" w:color="auto"/>
          </w:divBdr>
        </w:div>
        <w:div w:id="298531426">
          <w:marLeft w:val="0"/>
          <w:marRight w:val="0"/>
          <w:marTop w:val="0"/>
          <w:marBottom w:val="0"/>
          <w:divBdr>
            <w:top w:val="none" w:sz="0" w:space="0" w:color="auto"/>
            <w:left w:val="none" w:sz="0" w:space="0" w:color="auto"/>
            <w:bottom w:val="none" w:sz="0" w:space="0" w:color="auto"/>
            <w:right w:val="none" w:sz="0" w:space="0" w:color="auto"/>
          </w:divBdr>
        </w:div>
        <w:div w:id="1480263820">
          <w:marLeft w:val="0"/>
          <w:marRight w:val="0"/>
          <w:marTop w:val="0"/>
          <w:marBottom w:val="0"/>
          <w:divBdr>
            <w:top w:val="none" w:sz="0" w:space="0" w:color="auto"/>
            <w:left w:val="none" w:sz="0" w:space="0" w:color="auto"/>
            <w:bottom w:val="none" w:sz="0" w:space="0" w:color="auto"/>
            <w:right w:val="none" w:sz="0" w:space="0" w:color="auto"/>
          </w:divBdr>
        </w:div>
        <w:div w:id="1927035481">
          <w:marLeft w:val="0"/>
          <w:marRight w:val="0"/>
          <w:marTop w:val="0"/>
          <w:marBottom w:val="0"/>
          <w:divBdr>
            <w:top w:val="none" w:sz="0" w:space="0" w:color="auto"/>
            <w:left w:val="none" w:sz="0" w:space="0" w:color="auto"/>
            <w:bottom w:val="none" w:sz="0" w:space="0" w:color="auto"/>
            <w:right w:val="none" w:sz="0" w:space="0" w:color="auto"/>
          </w:divBdr>
        </w:div>
        <w:div w:id="100103645">
          <w:marLeft w:val="0"/>
          <w:marRight w:val="0"/>
          <w:marTop w:val="0"/>
          <w:marBottom w:val="0"/>
          <w:divBdr>
            <w:top w:val="none" w:sz="0" w:space="0" w:color="auto"/>
            <w:left w:val="none" w:sz="0" w:space="0" w:color="auto"/>
            <w:bottom w:val="none" w:sz="0" w:space="0" w:color="auto"/>
            <w:right w:val="none" w:sz="0" w:space="0" w:color="auto"/>
          </w:divBdr>
        </w:div>
        <w:div w:id="1272321295">
          <w:marLeft w:val="0"/>
          <w:marRight w:val="0"/>
          <w:marTop w:val="0"/>
          <w:marBottom w:val="0"/>
          <w:divBdr>
            <w:top w:val="none" w:sz="0" w:space="0" w:color="auto"/>
            <w:left w:val="none" w:sz="0" w:space="0" w:color="auto"/>
            <w:bottom w:val="none" w:sz="0" w:space="0" w:color="auto"/>
            <w:right w:val="none" w:sz="0" w:space="0" w:color="auto"/>
          </w:divBdr>
        </w:div>
        <w:div w:id="2102526529">
          <w:marLeft w:val="0"/>
          <w:marRight w:val="0"/>
          <w:marTop w:val="0"/>
          <w:marBottom w:val="0"/>
          <w:divBdr>
            <w:top w:val="none" w:sz="0" w:space="0" w:color="auto"/>
            <w:left w:val="none" w:sz="0" w:space="0" w:color="auto"/>
            <w:bottom w:val="none" w:sz="0" w:space="0" w:color="auto"/>
            <w:right w:val="none" w:sz="0" w:space="0" w:color="auto"/>
          </w:divBdr>
        </w:div>
        <w:div w:id="194658858">
          <w:marLeft w:val="0"/>
          <w:marRight w:val="0"/>
          <w:marTop w:val="0"/>
          <w:marBottom w:val="0"/>
          <w:divBdr>
            <w:top w:val="none" w:sz="0" w:space="0" w:color="auto"/>
            <w:left w:val="none" w:sz="0" w:space="0" w:color="auto"/>
            <w:bottom w:val="none" w:sz="0" w:space="0" w:color="auto"/>
            <w:right w:val="none" w:sz="0" w:space="0" w:color="auto"/>
          </w:divBdr>
        </w:div>
        <w:div w:id="1490319535">
          <w:marLeft w:val="0"/>
          <w:marRight w:val="0"/>
          <w:marTop w:val="0"/>
          <w:marBottom w:val="0"/>
          <w:divBdr>
            <w:top w:val="none" w:sz="0" w:space="0" w:color="auto"/>
            <w:left w:val="none" w:sz="0" w:space="0" w:color="auto"/>
            <w:bottom w:val="none" w:sz="0" w:space="0" w:color="auto"/>
            <w:right w:val="none" w:sz="0" w:space="0" w:color="auto"/>
          </w:divBdr>
        </w:div>
        <w:div w:id="281110406">
          <w:marLeft w:val="0"/>
          <w:marRight w:val="0"/>
          <w:marTop w:val="0"/>
          <w:marBottom w:val="0"/>
          <w:divBdr>
            <w:top w:val="none" w:sz="0" w:space="0" w:color="auto"/>
            <w:left w:val="none" w:sz="0" w:space="0" w:color="auto"/>
            <w:bottom w:val="none" w:sz="0" w:space="0" w:color="auto"/>
            <w:right w:val="none" w:sz="0" w:space="0" w:color="auto"/>
          </w:divBdr>
        </w:div>
      </w:divsChild>
    </w:div>
    <w:div w:id="647976130">
      <w:bodyDiv w:val="1"/>
      <w:marLeft w:val="0"/>
      <w:marRight w:val="0"/>
      <w:marTop w:val="0"/>
      <w:marBottom w:val="0"/>
      <w:divBdr>
        <w:top w:val="none" w:sz="0" w:space="0" w:color="auto"/>
        <w:left w:val="none" w:sz="0" w:space="0" w:color="auto"/>
        <w:bottom w:val="none" w:sz="0" w:space="0" w:color="auto"/>
        <w:right w:val="none" w:sz="0" w:space="0" w:color="auto"/>
      </w:divBdr>
    </w:div>
    <w:div w:id="748576604">
      <w:bodyDiv w:val="1"/>
      <w:marLeft w:val="0"/>
      <w:marRight w:val="0"/>
      <w:marTop w:val="0"/>
      <w:marBottom w:val="0"/>
      <w:divBdr>
        <w:top w:val="none" w:sz="0" w:space="0" w:color="auto"/>
        <w:left w:val="none" w:sz="0" w:space="0" w:color="auto"/>
        <w:bottom w:val="none" w:sz="0" w:space="0" w:color="auto"/>
        <w:right w:val="none" w:sz="0" w:space="0" w:color="auto"/>
      </w:divBdr>
    </w:div>
    <w:div w:id="799761761">
      <w:bodyDiv w:val="1"/>
      <w:marLeft w:val="0"/>
      <w:marRight w:val="0"/>
      <w:marTop w:val="0"/>
      <w:marBottom w:val="0"/>
      <w:divBdr>
        <w:top w:val="none" w:sz="0" w:space="0" w:color="auto"/>
        <w:left w:val="none" w:sz="0" w:space="0" w:color="auto"/>
        <w:bottom w:val="none" w:sz="0" w:space="0" w:color="auto"/>
        <w:right w:val="none" w:sz="0" w:space="0" w:color="auto"/>
      </w:divBdr>
    </w:div>
    <w:div w:id="901865972">
      <w:bodyDiv w:val="1"/>
      <w:marLeft w:val="0"/>
      <w:marRight w:val="0"/>
      <w:marTop w:val="0"/>
      <w:marBottom w:val="0"/>
      <w:divBdr>
        <w:top w:val="none" w:sz="0" w:space="0" w:color="auto"/>
        <w:left w:val="none" w:sz="0" w:space="0" w:color="auto"/>
        <w:bottom w:val="none" w:sz="0" w:space="0" w:color="auto"/>
        <w:right w:val="none" w:sz="0" w:space="0" w:color="auto"/>
      </w:divBdr>
    </w:div>
    <w:div w:id="1544977434">
      <w:bodyDiv w:val="1"/>
      <w:marLeft w:val="0"/>
      <w:marRight w:val="0"/>
      <w:marTop w:val="0"/>
      <w:marBottom w:val="0"/>
      <w:divBdr>
        <w:top w:val="none" w:sz="0" w:space="0" w:color="auto"/>
        <w:left w:val="none" w:sz="0" w:space="0" w:color="auto"/>
        <w:bottom w:val="none" w:sz="0" w:space="0" w:color="auto"/>
        <w:right w:val="none" w:sz="0" w:space="0" w:color="auto"/>
      </w:divBdr>
      <w:divsChild>
        <w:div w:id="1397239675">
          <w:marLeft w:val="0"/>
          <w:marRight w:val="0"/>
          <w:marTop w:val="240"/>
          <w:marBottom w:val="0"/>
          <w:divBdr>
            <w:top w:val="none" w:sz="0" w:space="0" w:color="auto"/>
            <w:left w:val="none" w:sz="0" w:space="0" w:color="auto"/>
            <w:bottom w:val="none" w:sz="0" w:space="0" w:color="auto"/>
            <w:right w:val="none" w:sz="0" w:space="0" w:color="auto"/>
          </w:divBdr>
          <w:divsChild>
            <w:div w:id="128474564">
              <w:marLeft w:val="0"/>
              <w:marRight w:val="0"/>
              <w:marTop w:val="0"/>
              <w:marBottom w:val="0"/>
              <w:divBdr>
                <w:top w:val="none" w:sz="0" w:space="0" w:color="auto"/>
                <w:left w:val="none" w:sz="0" w:space="0" w:color="auto"/>
                <w:bottom w:val="none" w:sz="0" w:space="0" w:color="auto"/>
                <w:right w:val="none" w:sz="0" w:space="0" w:color="auto"/>
              </w:divBdr>
              <w:divsChild>
                <w:div w:id="73061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961666">
          <w:marLeft w:val="0"/>
          <w:marRight w:val="0"/>
          <w:marTop w:val="240"/>
          <w:marBottom w:val="0"/>
          <w:divBdr>
            <w:top w:val="none" w:sz="0" w:space="0" w:color="auto"/>
            <w:left w:val="none" w:sz="0" w:space="0" w:color="auto"/>
            <w:bottom w:val="none" w:sz="0" w:space="0" w:color="auto"/>
            <w:right w:val="none" w:sz="0" w:space="0" w:color="auto"/>
          </w:divBdr>
          <w:divsChild>
            <w:div w:id="1668288554">
              <w:marLeft w:val="0"/>
              <w:marRight w:val="0"/>
              <w:marTop w:val="0"/>
              <w:marBottom w:val="0"/>
              <w:divBdr>
                <w:top w:val="none" w:sz="0" w:space="0" w:color="auto"/>
                <w:left w:val="none" w:sz="0" w:space="0" w:color="auto"/>
                <w:bottom w:val="none" w:sz="0" w:space="0" w:color="auto"/>
                <w:right w:val="none" w:sz="0" w:space="0" w:color="auto"/>
              </w:divBdr>
              <w:divsChild>
                <w:div w:id="46500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8432">
          <w:marLeft w:val="0"/>
          <w:marRight w:val="0"/>
          <w:marTop w:val="240"/>
          <w:marBottom w:val="0"/>
          <w:divBdr>
            <w:top w:val="none" w:sz="0" w:space="0" w:color="auto"/>
            <w:left w:val="none" w:sz="0" w:space="0" w:color="auto"/>
            <w:bottom w:val="none" w:sz="0" w:space="0" w:color="auto"/>
            <w:right w:val="none" w:sz="0" w:space="0" w:color="auto"/>
          </w:divBdr>
          <w:divsChild>
            <w:div w:id="2021547563">
              <w:marLeft w:val="0"/>
              <w:marRight w:val="0"/>
              <w:marTop w:val="0"/>
              <w:marBottom w:val="0"/>
              <w:divBdr>
                <w:top w:val="none" w:sz="0" w:space="0" w:color="auto"/>
                <w:left w:val="none" w:sz="0" w:space="0" w:color="auto"/>
                <w:bottom w:val="none" w:sz="0" w:space="0" w:color="auto"/>
                <w:right w:val="none" w:sz="0" w:space="0" w:color="auto"/>
              </w:divBdr>
              <w:divsChild>
                <w:div w:id="49303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85152">
      <w:bodyDiv w:val="1"/>
      <w:marLeft w:val="0"/>
      <w:marRight w:val="0"/>
      <w:marTop w:val="0"/>
      <w:marBottom w:val="0"/>
      <w:divBdr>
        <w:top w:val="none" w:sz="0" w:space="0" w:color="auto"/>
        <w:left w:val="none" w:sz="0" w:space="0" w:color="auto"/>
        <w:bottom w:val="none" w:sz="0" w:space="0" w:color="auto"/>
        <w:right w:val="none" w:sz="0" w:space="0" w:color="auto"/>
      </w:divBdr>
    </w:div>
    <w:div w:id="203202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Transitionlicensing@fcc.gov" TargetMode="External"/><Relationship Id="rId13" Type="http://schemas.openxmlformats.org/officeDocument/2006/relationships/hyperlink" Target="mailto:IATransitionlicensing@fcc.gov" TargetMode="External"/><Relationship Id="rId18" Type="http://schemas.openxmlformats.org/officeDocument/2006/relationships/hyperlink" Target="mailto:Shaun.Maher@fcc.gov" TargetMode="External"/><Relationship Id="rId26" Type="http://schemas.openxmlformats.org/officeDocument/2006/relationships/hyperlink" Target="mailto:IATransitionlicensing@fcc.gov" TargetMode="External"/><Relationship Id="rId3" Type="http://schemas.microsoft.com/office/2007/relationships/stylesWithEffects" Target="stylesWithEffects.xml"/><Relationship Id="rId21" Type="http://schemas.openxmlformats.org/officeDocument/2006/relationships/hyperlink" Target="mailto:Pamela.Gallant@fcc.gov"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oresPilot@fcc.gov" TargetMode="External"/><Relationship Id="rId17" Type="http://schemas.openxmlformats.org/officeDocument/2006/relationships/hyperlink" Target="mailto:IATransitionlicensing@fcc.gov" TargetMode="External"/><Relationship Id="rId25" Type="http://schemas.openxmlformats.org/officeDocument/2006/relationships/hyperlink" Target="https://enterpriseefiling.fcc.gov/dataentry/login.html"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oresPilot@fcc.gov" TargetMode="External"/><Relationship Id="rId20" Type="http://schemas.openxmlformats.org/officeDocument/2006/relationships/hyperlink" Target="mailto:Hossein.Hashemzadah@fcc.gov"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apps.fcc.gov/cores/html/Register_New_Account.htm" TargetMode="External"/><Relationship Id="rId24" Type="http://schemas.openxmlformats.org/officeDocument/2006/relationships/hyperlink" Target="http://www.fcc.gov/auctions/1000"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pps.fcc.gov/cores/html/Register_New_Account.htm" TargetMode="External"/><Relationship Id="rId23" Type="http://schemas.openxmlformats.org/officeDocument/2006/relationships/hyperlink" Target="mailto:Evan.Morris@fcc.gov" TargetMode="External"/><Relationship Id="rId28" Type="http://schemas.openxmlformats.org/officeDocument/2006/relationships/header" Target="header2.xml"/><Relationship Id="rId10" Type="http://schemas.openxmlformats.org/officeDocument/2006/relationships/hyperlink" Target="https://apps.fcc.gov/cores" TargetMode="External"/><Relationship Id="rId19" Type="http://schemas.openxmlformats.org/officeDocument/2006/relationships/hyperlink" Target="mailto:Kevin.Harding@fcc.gov"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IATransitionlicensing@fcc.gov" TargetMode="External"/><Relationship Id="rId14" Type="http://schemas.openxmlformats.org/officeDocument/2006/relationships/hyperlink" Target="https://apps.fcc.gov/cores" TargetMode="External"/><Relationship Id="rId22" Type="http://schemas.openxmlformats.org/officeDocument/2006/relationships/hyperlink" Target="mailto:Raphael.Sznajder@fcc.gov" TargetMode="External"/><Relationship Id="rId27" Type="http://schemas.openxmlformats.org/officeDocument/2006/relationships/header" Target="header1.xml"/><Relationship Id="rId30"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hyperlink" Target="http://www.fcc.gov/" TargetMode="External"/><Relationship Id="rId2" Type="http://schemas.openxmlformats.org/officeDocument/2006/relationships/hyperlink" Target="http://www.fcc.gov/"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12057</Words>
  <Characters>67275</Characters>
  <Application>Microsoft Office Word</Application>
  <DocSecurity>0</DocSecurity>
  <Lines>974</Lines>
  <Paragraphs>286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79472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2017-01-27T17:44:00Z</cp:lastPrinted>
  <dcterms:created xsi:type="dcterms:W3CDTF">2017-01-27T18:01:00Z</dcterms:created>
  <dcterms:modified xsi:type="dcterms:W3CDTF">2017-01-27T18:01:00Z</dcterms:modified>
  <cp:category> </cp:category>
  <cp:contentStatus> </cp:contentStatus>
</cp:coreProperties>
</file>