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E8B" w:rsidRDefault="00F91E8B" w:rsidP="00F91E8B">
      <w:pPr>
        <w:jc w:val="right"/>
        <w:rPr>
          <w:b/>
          <w:szCs w:val="22"/>
        </w:rPr>
      </w:pPr>
      <w:bookmarkStart w:id="0" w:name="_GoBack"/>
      <w:bookmarkEnd w:id="0"/>
      <w:r>
        <w:rPr>
          <w:b/>
          <w:szCs w:val="22"/>
        </w:rPr>
        <w:t>DA 17-</w:t>
      </w:r>
      <w:r w:rsidR="006D3D3E">
        <w:rPr>
          <w:b/>
          <w:szCs w:val="22"/>
        </w:rPr>
        <w:t>1078</w:t>
      </w:r>
    </w:p>
    <w:p w:rsidR="00F91E8B" w:rsidRDefault="008C0855" w:rsidP="00F91E8B">
      <w:pPr>
        <w:spacing w:before="60"/>
        <w:jc w:val="right"/>
        <w:rPr>
          <w:b/>
          <w:szCs w:val="22"/>
        </w:rPr>
      </w:pPr>
      <w:r>
        <w:rPr>
          <w:b/>
          <w:szCs w:val="22"/>
        </w:rPr>
        <w:t>November</w:t>
      </w:r>
      <w:r w:rsidR="00F91E8B">
        <w:rPr>
          <w:b/>
          <w:szCs w:val="22"/>
        </w:rPr>
        <w:t xml:space="preserve"> </w:t>
      </w:r>
      <w:r w:rsidR="00136F7D">
        <w:rPr>
          <w:b/>
          <w:szCs w:val="22"/>
        </w:rPr>
        <w:t>3</w:t>
      </w:r>
      <w:r w:rsidR="00F91E8B">
        <w:rPr>
          <w:b/>
          <w:szCs w:val="22"/>
        </w:rPr>
        <w:t>, 2017</w:t>
      </w:r>
    </w:p>
    <w:p w:rsidR="00F91E8B" w:rsidRDefault="00F91E8B" w:rsidP="00F91E8B">
      <w:pPr>
        <w:jc w:val="center"/>
        <w:rPr>
          <w:szCs w:val="22"/>
        </w:rPr>
      </w:pPr>
    </w:p>
    <w:p w:rsidR="00F91E8B" w:rsidRDefault="00F91E8B" w:rsidP="00F91E8B">
      <w:pPr>
        <w:jc w:val="center"/>
        <w:rPr>
          <w:szCs w:val="22"/>
        </w:rPr>
      </w:pPr>
    </w:p>
    <w:p w:rsidR="00EF24BF" w:rsidRDefault="00F91E8B" w:rsidP="00EF24BF">
      <w:pPr>
        <w:jc w:val="center"/>
        <w:rPr>
          <w:b/>
          <w:szCs w:val="22"/>
        </w:rPr>
      </w:pPr>
      <w:r>
        <w:rPr>
          <w:b/>
          <w:szCs w:val="22"/>
        </w:rPr>
        <w:t xml:space="preserve">WIRELINE COMPETITION BUREAU </w:t>
      </w:r>
      <w:r w:rsidR="00014ED0">
        <w:rPr>
          <w:b/>
          <w:szCs w:val="22"/>
        </w:rPr>
        <w:t xml:space="preserve">SEEKS </w:t>
      </w:r>
      <w:r>
        <w:rPr>
          <w:b/>
          <w:szCs w:val="22"/>
        </w:rPr>
        <w:t>COMMENT IN CONNECTION</w:t>
      </w:r>
    </w:p>
    <w:p w:rsidR="00F91E8B" w:rsidRDefault="00F91E8B" w:rsidP="00EF24BF">
      <w:pPr>
        <w:spacing w:after="240"/>
        <w:jc w:val="center"/>
        <w:rPr>
          <w:b/>
          <w:i/>
          <w:szCs w:val="22"/>
        </w:rPr>
      </w:pPr>
      <w:r>
        <w:rPr>
          <w:b/>
          <w:szCs w:val="22"/>
        </w:rPr>
        <w:t xml:space="preserve"> </w:t>
      </w:r>
      <w:r w:rsidR="00EF24BF">
        <w:rPr>
          <w:b/>
          <w:szCs w:val="22"/>
        </w:rPr>
        <w:t xml:space="preserve">WITH COURT </w:t>
      </w:r>
      <w:r>
        <w:rPr>
          <w:b/>
          <w:szCs w:val="22"/>
        </w:rPr>
        <w:t xml:space="preserve">REMAND OF </w:t>
      </w:r>
      <w:r>
        <w:rPr>
          <w:b/>
          <w:i/>
          <w:szCs w:val="22"/>
        </w:rPr>
        <w:t>TARIFF INVESTIGATION ORDER</w:t>
      </w:r>
    </w:p>
    <w:p w:rsidR="00F91E8B" w:rsidRDefault="00F91E8B" w:rsidP="00F91E8B">
      <w:pPr>
        <w:spacing w:after="240"/>
        <w:jc w:val="center"/>
        <w:rPr>
          <w:b/>
          <w:szCs w:val="22"/>
        </w:rPr>
      </w:pPr>
      <w:r>
        <w:rPr>
          <w:b/>
          <w:szCs w:val="22"/>
        </w:rPr>
        <w:t>WC Docket No. 15-247</w:t>
      </w:r>
    </w:p>
    <w:p w:rsidR="00F91E8B" w:rsidRDefault="00F91E8B" w:rsidP="00F91E8B">
      <w:pPr>
        <w:rPr>
          <w:b/>
          <w:szCs w:val="22"/>
        </w:rPr>
      </w:pPr>
      <w:r>
        <w:rPr>
          <w:b/>
          <w:szCs w:val="22"/>
        </w:rPr>
        <w:t xml:space="preserve">Comment Date:  </w:t>
      </w:r>
      <w:r w:rsidR="00B935AD">
        <w:rPr>
          <w:b/>
          <w:szCs w:val="22"/>
        </w:rPr>
        <w:t xml:space="preserve">December </w:t>
      </w:r>
      <w:r w:rsidR="00F11366">
        <w:rPr>
          <w:b/>
          <w:szCs w:val="22"/>
        </w:rPr>
        <w:t>4</w:t>
      </w:r>
      <w:r>
        <w:rPr>
          <w:b/>
          <w:szCs w:val="22"/>
        </w:rPr>
        <w:t>, 2017</w:t>
      </w:r>
    </w:p>
    <w:p w:rsidR="00F91E8B" w:rsidRDefault="00F91E8B" w:rsidP="00F91E8B">
      <w:pPr>
        <w:rPr>
          <w:b/>
          <w:szCs w:val="22"/>
        </w:rPr>
      </w:pPr>
      <w:r>
        <w:rPr>
          <w:b/>
          <w:szCs w:val="22"/>
        </w:rPr>
        <w:t xml:space="preserve">Reply Comment Date:  </w:t>
      </w:r>
      <w:r w:rsidR="00B27192">
        <w:rPr>
          <w:b/>
          <w:szCs w:val="22"/>
        </w:rPr>
        <w:t>Dec</w:t>
      </w:r>
      <w:r>
        <w:rPr>
          <w:b/>
          <w:szCs w:val="22"/>
        </w:rPr>
        <w:t xml:space="preserve">ember </w:t>
      </w:r>
      <w:r w:rsidR="000A0745">
        <w:rPr>
          <w:b/>
          <w:szCs w:val="22"/>
        </w:rPr>
        <w:t>19</w:t>
      </w:r>
      <w:r>
        <w:rPr>
          <w:b/>
          <w:szCs w:val="22"/>
        </w:rPr>
        <w:t>, 2017</w:t>
      </w:r>
    </w:p>
    <w:p w:rsidR="00F91E8B" w:rsidRDefault="00F91E8B" w:rsidP="00F91E8B">
      <w:pPr>
        <w:rPr>
          <w:szCs w:val="22"/>
        </w:rPr>
      </w:pPr>
    </w:p>
    <w:p w:rsidR="00FE38F4" w:rsidRDefault="00B27192" w:rsidP="000A7DDD">
      <w:pPr>
        <w:ind w:firstLine="720"/>
        <w:rPr>
          <w:szCs w:val="22"/>
        </w:rPr>
      </w:pPr>
      <w:r>
        <w:rPr>
          <w:szCs w:val="22"/>
        </w:rPr>
        <w:t xml:space="preserve">In this Public Notice, </w:t>
      </w:r>
      <w:r w:rsidR="00965AE5">
        <w:rPr>
          <w:szCs w:val="22"/>
        </w:rPr>
        <w:t xml:space="preserve">the Wireline Competition Bureau invites parties to file comments </w:t>
      </w:r>
      <w:r>
        <w:rPr>
          <w:szCs w:val="22"/>
        </w:rPr>
        <w:t xml:space="preserve"> in connection with the remand by the </w:t>
      </w:r>
      <w:r w:rsidRPr="00B27192">
        <w:rPr>
          <w:szCs w:val="22"/>
        </w:rPr>
        <w:t xml:space="preserve">United States Court of Appeals for the District of Columbia Circuit </w:t>
      </w:r>
      <w:r>
        <w:rPr>
          <w:szCs w:val="22"/>
        </w:rPr>
        <w:t xml:space="preserve">of the Commission’s </w:t>
      </w:r>
      <w:r w:rsidRPr="00B27192">
        <w:rPr>
          <w:i/>
          <w:szCs w:val="22"/>
        </w:rPr>
        <w:t>Tariff Investigation Order</w:t>
      </w:r>
      <w:r w:rsidR="00C2306B">
        <w:rPr>
          <w:i/>
          <w:szCs w:val="22"/>
        </w:rPr>
        <w:t xml:space="preserve"> (Order)</w:t>
      </w:r>
      <w:r>
        <w:rPr>
          <w:szCs w:val="22"/>
        </w:rPr>
        <w:t>.</w:t>
      </w:r>
      <w:r w:rsidR="000A7DDD">
        <w:rPr>
          <w:rStyle w:val="FootnoteReference"/>
          <w:szCs w:val="22"/>
        </w:rPr>
        <w:footnoteReference w:id="2"/>
      </w:r>
      <w:r>
        <w:rPr>
          <w:szCs w:val="22"/>
        </w:rPr>
        <w:t xml:space="preserve">  </w:t>
      </w:r>
      <w:r w:rsidR="00B935AD">
        <w:rPr>
          <w:szCs w:val="22"/>
        </w:rPr>
        <w:t xml:space="preserve">In the </w:t>
      </w:r>
      <w:r w:rsidR="00B935AD">
        <w:rPr>
          <w:i/>
          <w:szCs w:val="22"/>
        </w:rPr>
        <w:t>Order</w:t>
      </w:r>
      <w:r w:rsidR="00F91E8B">
        <w:rPr>
          <w:szCs w:val="22"/>
        </w:rPr>
        <w:t xml:space="preserve">, the Commission </w:t>
      </w:r>
      <w:r w:rsidR="008F633E">
        <w:rPr>
          <w:szCs w:val="22"/>
        </w:rPr>
        <w:t>f</w:t>
      </w:r>
      <w:r w:rsidR="00B935AD">
        <w:rPr>
          <w:szCs w:val="22"/>
        </w:rPr>
        <w:t>ound</w:t>
      </w:r>
      <w:r w:rsidR="008F633E">
        <w:rPr>
          <w:szCs w:val="22"/>
        </w:rPr>
        <w:t xml:space="preserve"> </w:t>
      </w:r>
      <w:r w:rsidR="00F91E8B">
        <w:rPr>
          <w:szCs w:val="22"/>
        </w:rPr>
        <w:t xml:space="preserve">that certain provisions in tariffed pricing plans for business data services (BDS) offered by </w:t>
      </w:r>
      <w:r w:rsidR="00F91E8B" w:rsidRPr="004B403C">
        <w:rPr>
          <w:szCs w:val="22"/>
        </w:rPr>
        <w:t xml:space="preserve">AT&amp;T, CenturyLink, </w:t>
      </w:r>
      <w:r w:rsidR="000E3A17">
        <w:rPr>
          <w:szCs w:val="22"/>
        </w:rPr>
        <w:t xml:space="preserve">Frontier </w:t>
      </w:r>
      <w:r w:rsidR="00F91E8B" w:rsidRPr="004B403C">
        <w:rPr>
          <w:szCs w:val="22"/>
        </w:rPr>
        <w:t xml:space="preserve">and </w:t>
      </w:r>
      <w:r w:rsidR="000E3A17">
        <w:rPr>
          <w:szCs w:val="22"/>
        </w:rPr>
        <w:t>Verizon</w:t>
      </w:r>
      <w:r w:rsidR="00F91E8B">
        <w:rPr>
          <w:szCs w:val="22"/>
        </w:rPr>
        <w:t xml:space="preserve"> were unlawful</w:t>
      </w:r>
      <w:r w:rsidR="00F91E8B" w:rsidRPr="004B403C">
        <w:rPr>
          <w:szCs w:val="22"/>
        </w:rPr>
        <w:t>.</w:t>
      </w:r>
      <w:r w:rsidR="00F91E8B" w:rsidRPr="004B403C">
        <w:rPr>
          <w:rStyle w:val="FootnoteReference"/>
          <w:szCs w:val="22"/>
        </w:rPr>
        <w:footnoteReference w:id="3"/>
      </w:r>
      <w:r w:rsidR="00F91E8B">
        <w:rPr>
          <w:i/>
          <w:szCs w:val="22"/>
        </w:rPr>
        <w:t xml:space="preserve">  </w:t>
      </w:r>
      <w:r w:rsidR="00F91E8B">
        <w:rPr>
          <w:szCs w:val="22"/>
        </w:rPr>
        <w:t xml:space="preserve">AT&amp;T sought </w:t>
      </w:r>
      <w:r w:rsidR="009471EB">
        <w:rPr>
          <w:szCs w:val="22"/>
        </w:rPr>
        <w:t xml:space="preserve">court </w:t>
      </w:r>
      <w:r w:rsidR="00F91E8B">
        <w:rPr>
          <w:szCs w:val="22"/>
        </w:rPr>
        <w:t xml:space="preserve">review of the </w:t>
      </w:r>
      <w:r w:rsidR="00F91E8B" w:rsidRPr="007627EB">
        <w:rPr>
          <w:i/>
          <w:szCs w:val="22"/>
        </w:rPr>
        <w:t>Order</w:t>
      </w:r>
      <w:r w:rsidR="00F91E8B">
        <w:rPr>
          <w:szCs w:val="22"/>
        </w:rPr>
        <w:t xml:space="preserve"> </w:t>
      </w:r>
      <w:r w:rsidR="005D0FF6">
        <w:rPr>
          <w:szCs w:val="22"/>
        </w:rPr>
        <w:t xml:space="preserve">and asserts that </w:t>
      </w:r>
      <w:r w:rsidR="00622876">
        <w:rPr>
          <w:szCs w:val="22"/>
        </w:rPr>
        <w:t xml:space="preserve">the </w:t>
      </w:r>
      <w:r w:rsidR="00622876" w:rsidRPr="00622876">
        <w:rPr>
          <w:i/>
          <w:szCs w:val="22"/>
        </w:rPr>
        <w:t>Order</w:t>
      </w:r>
      <w:r w:rsidR="00CD75BA">
        <w:rPr>
          <w:szCs w:val="22"/>
        </w:rPr>
        <w:t xml:space="preserve"> </w:t>
      </w:r>
      <w:r w:rsidR="005D0FF6">
        <w:rPr>
          <w:szCs w:val="22"/>
        </w:rPr>
        <w:t xml:space="preserve">is contrary to </w:t>
      </w:r>
      <w:r w:rsidR="00E866D1">
        <w:rPr>
          <w:szCs w:val="22"/>
        </w:rPr>
        <w:t xml:space="preserve">the </w:t>
      </w:r>
      <w:r w:rsidR="005D0FF6">
        <w:rPr>
          <w:szCs w:val="22"/>
        </w:rPr>
        <w:t>D.C. Circuit</w:t>
      </w:r>
      <w:r w:rsidR="00713B49">
        <w:rPr>
          <w:szCs w:val="22"/>
        </w:rPr>
        <w:t xml:space="preserve">’s decision in </w:t>
      </w:r>
      <w:r w:rsidR="00713B49" w:rsidRPr="00F56785">
        <w:rPr>
          <w:i/>
          <w:szCs w:val="22"/>
        </w:rPr>
        <w:t>BellSouth v. FCC</w:t>
      </w:r>
      <w:r w:rsidR="005D0FF6">
        <w:rPr>
          <w:szCs w:val="22"/>
        </w:rPr>
        <w:t xml:space="preserve"> </w:t>
      </w:r>
      <w:r w:rsidR="006415B8">
        <w:rPr>
          <w:szCs w:val="22"/>
        </w:rPr>
        <w:t>that</w:t>
      </w:r>
      <w:r w:rsidR="00713B49">
        <w:rPr>
          <w:szCs w:val="22"/>
        </w:rPr>
        <w:t xml:space="preserve"> </w:t>
      </w:r>
      <w:r w:rsidR="005D0FF6">
        <w:rPr>
          <w:szCs w:val="22"/>
        </w:rPr>
        <w:t>vacated an earlier Commission order finding that certain other BDS tariff terms were unlawful</w:t>
      </w:r>
      <w:r w:rsidR="009471EB">
        <w:rPr>
          <w:szCs w:val="22"/>
        </w:rPr>
        <w:t>.</w:t>
      </w:r>
      <w:r w:rsidR="00F91E8B">
        <w:rPr>
          <w:rStyle w:val="FootnoteReference"/>
          <w:szCs w:val="22"/>
        </w:rPr>
        <w:footnoteReference w:id="4"/>
      </w:r>
      <w:r w:rsidR="00F91E8B">
        <w:rPr>
          <w:szCs w:val="22"/>
        </w:rPr>
        <w:t xml:space="preserve">  </w:t>
      </w:r>
    </w:p>
    <w:p w:rsidR="00FE38F4" w:rsidRDefault="00FE38F4" w:rsidP="000A7DDD">
      <w:pPr>
        <w:ind w:firstLine="720"/>
        <w:rPr>
          <w:szCs w:val="22"/>
        </w:rPr>
      </w:pPr>
    </w:p>
    <w:p w:rsidR="00965AE5" w:rsidRDefault="00B935AD" w:rsidP="004C0D40">
      <w:pPr>
        <w:ind w:firstLine="720"/>
        <w:rPr>
          <w:szCs w:val="22"/>
        </w:rPr>
      </w:pPr>
      <w:r>
        <w:rPr>
          <w:szCs w:val="22"/>
        </w:rPr>
        <w:t xml:space="preserve">The </w:t>
      </w:r>
      <w:r w:rsidR="00F91E8B">
        <w:rPr>
          <w:szCs w:val="22"/>
        </w:rPr>
        <w:t xml:space="preserve">Commission filed a Motion for Voluntary Remand with the </w:t>
      </w:r>
      <w:r w:rsidR="00F92F55">
        <w:rPr>
          <w:szCs w:val="22"/>
        </w:rPr>
        <w:t>court</w:t>
      </w:r>
      <w:r w:rsidR="00713B49">
        <w:rPr>
          <w:szCs w:val="22"/>
        </w:rPr>
        <w:t>,</w:t>
      </w:r>
      <w:r w:rsidR="00743BF0">
        <w:rPr>
          <w:szCs w:val="22"/>
        </w:rPr>
        <w:t xml:space="preserve"> </w:t>
      </w:r>
      <w:r>
        <w:rPr>
          <w:szCs w:val="22"/>
        </w:rPr>
        <w:t xml:space="preserve">acknowledging </w:t>
      </w:r>
      <w:r w:rsidR="00F91E8B">
        <w:rPr>
          <w:szCs w:val="22"/>
        </w:rPr>
        <w:t xml:space="preserve">that the </w:t>
      </w:r>
      <w:r w:rsidR="00F91E8B" w:rsidRPr="000F6865">
        <w:rPr>
          <w:i/>
          <w:szCs w:val="22"/>
        </w:rPr>
        <w:t>Order</w:t>
      </w:r>
      <w:r w:rsidR="00F91E8B" w:rsidRPr="000F6865">
        <w:rPr>
          <w:szCs w:val="22"/>
        </w:rPr>
        <w:t xml:space="preserve"> </w:t>
      </w:r>
      <w:r w:rsidR="00F91E8B">
        <w:rPr>
          <w:szCs w:val="22"/>
        </w:rPr>
        <w:t>d</w:t>
      </w:r>
      <w:r>
        <w:rPr>
          <w:szCs w:val="22"/>
        </w:rPr>
        <w:t>oes</w:t>
      </w:r>
      <w:r w:rsidR="00F91E8B">
        <w:rPr>
          <w:szCs w:val="22"/>
        </w:rPr>
        <w:t xml:space="preserve"> not address </w:t>
      </w:r>
      <w:r w:rsidR="009709E5">
        <w:rPr>
          <w:szCs w:val="22"/>
        </w:rPr>
        <w:t xml:space="preserve">the </w:t>
      </w:r>
      <w:r w:rsidR="00F91E8B">
        <w:rPr>
          <w:i/>
          <w:szCs w:val="22"/>
        </w:rPr>
        <w:t>BellSouth v. FCC</w:t>
      </w:r>
      <w:r w:rsidR="009709E5">
        <w:rPr>
          <w:i/>
          <w:szCs w:val="22"/>
        </w:rPr>
        <w:t xml:space="preserve"> </w:t>
      </w:r>
      <w:r w:rsidR="00713B49">
        <w:rPr>
          <w:szCs w:val="22"/>
        </w:rPr>
        <w:t>decision</w:t>
      </w:r>
      <w:r w:rsidR="00F91E8B">
        <w:rPr>
          <w:szCs w:val="22"/>
        </w:rPr>
        <w:t>.</w:t>
      </w:r>
      <w:r w:rsidR="00743BF0" w:rsidRPr="00743BF0">
        <w:rPr>
          <w:sz w:val="20"/>
          <w:szCs w:val="22"/>
          <w:vertAlign w:val="superscript"/>
        </w:rPr>
        <w:t xml:space="preserve"> </w:t>
      </w:r>
      <w:r w:rsidR="00743BF0" w:rsidRPr="00743BF0">
        <w:rPr>
          <w:szCs w:val="22"/>
          <w:vertAlign w:val="superscript"/>
        </w:rPr>
        <w:footnoteReference w:id="5"/>
      </w:r>
      <w:r w:rsidR="004725DF">
        <w:rPr>
          <w:szCs w:val="22"/>
        </w:rPr>
        <w:t xml:space="preserve">  </w:t>
      </w:r>
      <w:r w:rsidR="004C0D40">
        <w:rPr>
          <w:szCs w:val="22"/>
        </w:rPr>
        <w:t xml:space="preserve">The Commission also explained that </w:t>
      </w:r>
      <w:r w:rsidR="00545B3F">
        <w:rPr>
          <w:szCs w:val="22"/>
        </w:rPr>
        <w:t xml:space="preserve">because </w:t>
      </w:r>
      <w:r w:rsidR="004C0D40">
        <w:rPr>
          <w:szCs w:val="22"/>
        </w:rPr>
        <w:t>“</w:t>
      </w:r>
      <w:r w:rsidR="004C0D40" w:rsidRPr="004C0D40">
        <w:rPr>
          <w:szCs w:val="22"/>
        </w:rPr>
        <w:t>the composition of the Commission has changed since the agency</w:t>
      </w:r>
      <w:r w:rsidR="004C0D40">
        <w:rPr>
          <w:szCs w:val="22"/>
        </w:rPr>
        <w:t xml:space="preserve"> </w:t>
      </w:r>
      <w:r w:rsidR="004C0D40" w:rsidRPr="004C0D40">
        <w:rPr>
          <w:szCs w:val="22"/>
        </w:rPr>
        <w:t xml:space="preserve">issued the </w:t>
      </w:r>
      <w:r w:rsidR="004C0D40" w:rsidRPr="004C0D40">
        <w:rPr>
          <w:i/>
          <w:iCs/>
          <w:szCs w:val="22"/>
        </w:rPr>
        <w:t>Order</w:t>
      </w:r>
      <w:r w:rsidR="004C0D40" w:rsidRPr="004C0D40">
        <w:rPr>
          <w:szCs w:val="22"/>
        </w:rPr>
        <w:t>,</w:t>
      </w:r>
      <w:r w:rsidR="00545B3F">
        <w:rPr>
          <w:szCs w:val="22"/>
        </w:rPr>
        <w:t>” “</w:t>
      </w:r>
      <w:r w:rsidR="004C0D40" w:rsidRPr="004C0D40">
        <w:rPr>
          <w:szCs w:val="22"/>
        </w:rPr>
        <w:t>a majority of the current Commission dissented from the</w:t>
      </w:r>
      <w:r w:rsidR="004C0D40">
        <w:rPr>
          <w:szCs w:val="22"/>
        </w:rPr>
        <w:t xml:space="preserve"> </w:t>
      </w:r>
      <w:r w:rsidR="004C0D40" w:rsidRPr="004C0D40">
        <w:rPr>
          <w:i/>
          <w:iCs/>
          <w:szCs w:val="22"/>
        </w:rPr>
        <w:t>Order</w:t>
      </w:r>
      <w:r w:rsidR="004C0D40">
        <w:rPr>
          <w:iCs/>
          <w:szCs w:val="22"/>
        </w:rPr>
        <w:t xml:space="preserve">,” and remand would </w:t>
      </w:r>
      <w:r w:rsidR="00545B3F">
        <w:rPr>
          <w:iCs/>
          <w:szCs w:val="22"/>
        </w:rPr>
        <w:t xml:space="preserve">therefore </w:t>
      </w:r>
      <w:r w:rsidR="004C0D40">
        <w:rPr>
          <w:iCs/>
          <w:szCs w:val="22"/>
        </w:rPr>
        <w:t xml:space="preserve">allow the Commission to </w:t>
      </w:r>
      <w:r w:rsidR="004C0D40" w:rsidRPr="004C0D40">
        <w:rPr>
          <w:szCs w:val="22"/>
        </w:rPr>
        <w:t>reconsider its determination</w:t>
      </w:r>
      <w:r w:rsidR="004C0D40">
        <w:rPr>
          <w:szCs w:val="22"/>
        </w:rPr>
        <w:t xml:space="preserve"> “</w:t>
      </w:r>
      <w:r w:rsidR="004C0D40" w:rsidRPr="004C0D40">
        <w:rPr>
          <w:szCs w:val="22"/>
        </w:rPr>
        <w:t xml:space="preserve">separate and apart from </w:t>
      </w:r>
      <w:r w:rsidR="004C0D40" w:rsidRPr="004C0D40">
        <w:rPr>
          <w:i/>
          <w:iCs/>
          <w:szCs w:val="22"/>
        </w:rPr>
        <w:t>Bell</w:t>
      </w:r>
      <w:r w:rsidR="00FF6124">
        <w:rPr>
          <w:i/>
          <w:iCs/>
          <w:szCs w:val="22"/>
        </w:rPr>
        <w:t>[S]</w:t>
      </w:r>
      <w:r w:rsidR="004C0D40" w:rsidRPr="004C0D40">
        <w:rPr>
          <w:i/>
          <w:iCs/>
          <w:szCs w:val="22"/>
        </w:rPr>
        <w:t>outh.</w:t>
      </w:r>
      <w:r w:rsidR="004C0D40">
        <w:rPr>
          <w:szCs w:val="22"/>
        </w:rPr>
        <w:t>”</w:t>
      </w:r>
      <w:r w:rsidR="004C0D40">
        <w:rPr>
          <w:rStyle w:val="FootnoteReference"/>
          <w:szCs w:val="22"/>
        </w:rPr>
        <w:footnoteReference w:id="6"/>
      </w:r>
      <w:r w:rsidR="004C0D40">
        <w:rPr>
          <w:szCs w:val="22"/>
        </w:rPr>
        <w:t xml:space="preserve">  </w:t>
      </w:r>
      <w:r w:rsidR="00567F11">
        <w:rPr>
          <w:szCs w:val="22"/>
        </w:rPr>
        <w:t xml:space="preserve">Sprint and INCOMPAS opposed the </w:t>
      </w:r>
      <w:r w:rsidR="00713B49">
        <w:rPr>
          <w:szCs w:val="22"/>
        </w:rPr>
        <w:t xml:space="preserve">Commission’s </w:t>
      </w:r>
      <w:r w:rsidR="00567F11">
        <w:rPr>
          <w:szCs w:val="22"/>
        </w:rPr>
        <w:t>motion</w:t>
      </w:r>
      <w:r w:rsidR="006423F0">
        <w:rPr>
          <w:szCs w:val="22"/>
        </w:rPr>
        <w:t>,</w:t>
      </w:r>
      <w:r w:rsidR="00567F11">
        <w:rPr>
          <w:szCs w:val="22"/>
        </w:rPr>
        <w:t xml:space="preserve"> </w:t>
      </w:r>
      <w:r w:rsidR="006052C0">
        <w:rPr>
          <w:szCs w:val="22"/>
        </w:rPr>
        <w:t xml:space="preserve">asserting </w:t>
      </w:r>
      <w:r w:rsidR="00567F11">
        <w:rPr>
          <w:szCs w:val="22"/>
        </w:rPr>
        <w:t>that</w:t>
      </w:r>
      <w:r w:rsidR="00713B49">
        <w:rPr>
          <w:szCs w:val="22"/>
        </w:rPr>
        <w:t xml:space="preserve"> the</w:t>
      </w:r>
      <w:r w:rsidR="00567F11">
        <w:rPr>
          <w:szCs w:val="22"/>
        </w:rPr>
        <w:t xml:space="preserve"> </w:t>
      </w:r>
      <w:r w:rsidR="00567F11">
        <w:rPr>
          <w:i/>
          <w:szCs w:val="22"/>
        </w:rPr>
        <w:t xml:space="preserve">BellSouth </w:t>
      </w:r>
      <w:r w:rsidR="00713B49">
        <w:rPr>
          <w:szCs w:val="22"/>
        </w:rPr>
        <w:t xml:space="preserve">decision </w:t>
      </w:r>
      <w:r w:rsidR="006052C0">
        <w:rPr>
          <w:szCs w:val="22"/>
        </w:rPr>
        <w:t>i</w:t>
      </w:r>
      <w:r w:rsidR="00567F11">
        <w:rPr>
          <w:szCs w:val="22"/>
        </w:rPr>
        <w:t xml:space="preserve">s not relevant </w:t>
      </w:r>
      <w:r w:rsidR="006052C0">
        <w:rPr>
          <w:szCs w:val="22"/>
        </w:rPr>
        <w:t xml:space="preserve">to the Commission’s analysis in the </w:t>
      </w:r>
      <w:r w:rsidR="006052C0">
        <w:rPr>
          <w:i/>
          <w:szCs w:val="22"/>
        </w:rPr>
        <w:t>Order.</w:t>
      </w:r>
      <w:r w:rsidR="006052C0" w:rsidRPr="000E73E3">
        <w:rPr>
          <w:rStyle w:val="FootnoteReference"/>
          <w:szCs w:val="22"/>
        </w:rPr>
        <w:footnoteReference w:id="7"/>
      </w:r>
      <w:r w:rsidR="006052C0">
        <w:rPr>
          <w:i/>
          <w:szCs w:val="22"/>
        </w:rPr>
        <w:t xml:space="preserve"> </w:t>
      </w:r>
      <w:r w:rsidR="00567F11">
        <w:rPr>
          <w:szCs w:val="22"/>
        </w:rPr>
        <w:t xml:space="preserve"> </w:t>
      </w:r>
      <w:r>
        <w:rPr>
          <w:szCs w:val="22"/>
        </w:rPr>
        <w:t>T</w:t>
      </w:r>
      <w:r w:rsidR="00F91E8B">
        <w:rPr>
          <w:szCs w:val="22"/>
        </w:rPr>
        <w:t xml:space="preserve">he D.C. Circuit granted the Commission’s motion and remanded the </w:t>
      </w:r>
      <w:r w:rsidR="00F91E8B" w:rsidRPr="007627EB">
        <w:rPr>
          <w:i/>
          <w:szCs w:val="22"/>
        </w:rPr>
        <w:t>Order</w:t>
      </w:r>
      <w:r w:rsidR="00F91E8B">
        <w:rPr>
          <w:i/>
          <w:szCs w:val="22"/>
        </w:rPr>
        <w:t xml:space="preserve"> </w:t>
      </w:r>
      <w:r w:rsidR="00F91E8B">
        <w:rPr>
          <w:szCs w:val="22"/>
        </w:rPr>
        <w:t>to the Commission for further proceedings.</w:t>
      </w:r>
      <w:r w:rsidR="00F91E8B">
        <w:rPr>
          <w:rStyle w:val="FootnoteReference"/>
          <w:szCs w:val="22"/>
        </w:rPr>
        <w:footnoteReference w:id="8"/>
      </w:r>
      <w:r w:rsidR="00F91E8B">
        <w:rPr>
          <w:szCs w:val="22"/>
        </w:rPr>
        <w:t xml:space="preserve">  </w:t>
      </w:r>
    </w:p>
    <w:p w:rsidR="00965AE5" w:rsidRDefault="00965AE5" w:rsidP="000A7DDD">
      <w:pPr>
        <w:ind w:firstLine="720"/>
        <w:rPr>
          <w:szCs w:val="22"/>
        </w:rPr>
      </w:pPr>
    </w:p>
    <w:p w:rsidR="000A7DDD" w:rsidRDefault="00965AE5" w:rsidP="000A7DDD">
      <w:pPr>
        <w:ind w:firstLine="720"/>
        <w:rPr>
          <w:szCs w:val="22"/>
        </w:rPr>
      </w:pPr>
      <w:r>
        <w:rPr>
          <w:szCs w:val="22"/>
        </w:rPr>
        <w:lastRenderedPageBreak/>
        <w:t>Accordingly, i</w:t>
      </w:r>
      <w:r w:rsidR="00F91E8B">
        <w:rPr>
          <w:szCs w:val="22"/>
        </w:rPr>
        <w:t xml:space="preserve">n this Public Notice, </w:t>
      </w:r>
      <w:r w:rsidR="00B935AD">
        <w:rPr>
          <w:szCs w:val="22"/>
        </w:rPr>
        <w:t xml:space="preserve">we </w:t>
      </w:r>
      <w:r w:rsidR="00F91E8B">
        <w:rPr>
          <w:szCs w:val="22"/>
        </w:rPr>
        <w:t xml:space="preserve">seek comment </w:t>
      </w:r>
      <w:r>
        <w:rPr>
          <w:szCs w:val="22"/>
        </w:rPr>
        <w:t>on the issues raised by the D.C. Circuit’s Remand Order.  Specifically, we ask parties to</w:t>
      </w:r>
      <w:r w:rsidR="0051650A">
        <w:rPr>
          <w:szCs w:val="22"/>
        </w:rPr>
        <w:t xml:space="preserve"> address</w:t>
      </w:r>
      <w:r w:rsidR="00923695">
        <w:rPr>
          <w:szCs w:val="22"/>
        </w:rPr>
        <w:t xml:space="preserve"> </w:t>
      </w:r>
      <w:r w:rsidR="00E77B0F">
        <w:rPr>
          <w:szCs w:val="22"/>
        </w:rPr>
        <w:t xml:space="preserve">issues </w:t>
      </w:r>
      <w:r w:rsidR="000A7DDD">
        <w:rPr>
          <w:szCs w:val="22"/>
        </w:rPr>
        <w:t xml:space="preserve">that will permit the Commission </w:t>
      </w:r>
      <w:r w:rsidR="000A7DDD" w:rsidRPr="000A7DDD">
        <w:rPr>
          <w:szCs w:val="22"/>
        </w:rPr>
        <w:t xml:space="preserve">“to consider the extent to which the reasoning in the </w:t>
      </w:r>
      <w:r w:rsidR="000A7DDD" w:rsidRPr="000A7DDD">
        <w:rPr>
          <w:i/>
          <w:szCs w:val="22"/>
        </w:rPr>
        <w:t xml:space="preserve">Order </w:t>
      </w:r>
      <w:r w:rsidR="000A7DDD" w:rsidRPr="000A7DDD">
        <w:rPr>
          <w:szCs w:val="22"/>
        </w:rPr>
        <w:t xml:space="preserve">is compatible with the </w:t>
      </w:r>
      <w:bookmarkStart w:id="4" w:name="_Hlk496542927"/>
      <w:r w:rsidR="000A7DDD" w:rsidRPr="000A7DDD">
        <w:rPr>
          <w:i/>
          <w:szCs w:val="22"/>
        </w:rPr>
        <w:t>Bell</w:t>
      </w:r>
      <w:r w:rsidR="000A7DDD">
        <w:rPr>
          <w:i/>
          <w:szCs w:val="22"/>
        </w:rPr>
        <w:t>[S]</w:t>
      </w:r>
      <w:r w:rsidR="000A7DDD" w:rsidRPr="000A7DDD">
        <w:rPr>
          <w:i/>
          <w:szCs w:val="22"/>
        </w:rPr>
        <w:t>outh</w:t>
      </w:r>
      <w:bookmarkEnd w:id="4"/>
      <w:r w:rsidR="000A7DDD" w:rsidRPr="000A7DDD">
        <w:rPr>
          <w:szCs w:val="22"/>
        </w:rPr>
        <w:t xml:space="preserve"> decision . . . or to otherwise reconsider its determination”</w:t>
      </w:r>
      <w:r w:rsidR="00B935AD">
        <w:rPr>
          <w:szCs w:val="22"/>
        </w:rPr>
        <w:t xml:space="preserve"> that the tariff provisions in question were unlawful.</w:t>
      </w:r>
      <w:r w:rsidR="000A7DDD" w:rsidRPr="000A7DDD">
        <w:rPr>
          <w:szCs w:val="22"/>
          <w:vertAlign w:val="superscript"/>
        </w:rPr>
        <w:footnoteReference w:id="9"/>
      </w:r>
    </w:p>
    <w:p w:rsidR="00F91E8B" w:rsidRDefault="00F91E8B" w:rsidP="00F91E8B">
      <w:pPr>
        <w:ind w:firstLine="720"/>
        <w:rPr>
          <w:szCs w:val="22"/>
        </w:rPr>
      </w:pPr>
    </w:p>
    <w:p w:rsidR="00F91E8B" w:rsidRDefault="00F91E8B" w:rsidP="00F91E8B">
      <w:pPr>
        <w:ind w:firstLine="720"/>
        <w:contextualSpacing/>
        <w:rPr>
          <w:rFonts w:eastAsia="Calibri"/>
          <w:color w:val="000000"/>
          <w:szCs w:val="22"/>
        </w:rPr>
      </w:pPr>
      <w:r>
        <w:rPr>
          <w:rFonts w:eastAsia="Calibri"/>
          <w:color w:val="000000"/>
          <w:szCs w:val="22"/>
        </w:rPr>
        <w:t xml:space="preserve">Pursuant to sections 1.415 and 1.419 of the Commission’s rules, 47 CFR §§ 1.415, 1.419, interested parties may file comments on or before the dates indicated above.  Comments may be filed using the Commission’s Electronic Comment Filing System (ECFS).  </w:t>
      </w:r>
      <w:r>
        <w:rPr>
          <w:rFonts w:eastAsia="Calibri"/>
          <w:i/>
          <w:color w:val="000000"/>
          <w:szCs w:val="22"/>
        </w:rPr>
        <w:t>See</w:t>
      </w:r>
      <w:r>
        <w:rPr>
          <w:rFonts w:eastAsia="Calibri"/>
          <w:color w:val="000000"/>
          <w:szCs w:val="22"/>
        </w:rPr>
        <w:t xml:space="preserve"> </w:t>
      </w:r>
      <w:r>
        <w:rPr>
          <w:rFonts w:eastAsia="Calibri"/>
          <w:i/>
          <w:color w:val="000000"/>
          <w:szCs w:val="22"/>
        </w:rPr>
        <w:t>Electronic Filing of Documents in Rulemaking Proceedings</w:t>
      </w:r>
      <w:r>
        <w:rPr>
          <w:rFonts w:eastAsia="Calibri"/>
          <w:color w:val="000000"/>
          <w:szCs w:val="22"/>
        </w:rPr>
        <w:t>, 63 FR 24121 (1998).</w:t>
      </w:r>
    </w:p>
    <w:p w:rsidR="00F91E8B" w:rsidRDefault="00F91E8B" w:rsidP="00F91E8B">
      <w:pPr>
        <w:contextualSpacing/>
        <w:rPr>
          <w:rFonts w:eastAsia="Calibri"/>
          <w:szCs w:val="22"/>
        </w:rPr>
      </w:pPr>
    </w:p>
    <w:p w:rsidR="00F91E8B" w:rsidRDefault="00F91E8B" w:rsidP="00F91E8B">
      <w:pPr>
        <w:numPr>
          <w:ilvl w:val="0"/>
          <w:numId w:val="8"/>
        </w:numPr>
        <w:contextualSpacing/>
        <w:rPr>
          <w:rFonts w:eastAsia="Calibri"/>
          <w:szCs w:val="22"/>
        </w:rPr>
      </w:pPr>
      <w:r>
        <w:rPr>
          <w:rFonts w:eastAsia="Calibri"/>
          <w:szCs w:val="22"/>
        </w:rPr>
        <w:t xml:space="preserve">Electronic Filers: Comments may be filed electronically using the Internet by accessing the ECFS: </w:t>
      </w:r>
      <w:r>
        <w:rPr>
          <w:rFonts w:eastAsia="Calibri"/>
          <w:szCs w:val="22"/>
          <w:u w:val="single"/>
        </w:rPr>
        <w:t>http://fjallfoss.fcc.gov/ecfs2/</w:t>
      </w:r>
      <w:r>
        <w:rPr>
          <w:rFonts w:eastAsia="Calibri"/>
          <w:szCs w:val="22"/>
        </w:rPr>
        <w:t>.</w:t>
      </w:r>
    </w:p>
    <w:p w:rsidR="00F91E8B" w:rsidRDefault="00F91E8B" w:rsidP="00F91E8B">
      <w:pPr>
        <w:contextualSpacing/>
        <w:rPr>
          <w:rFonts w:eastAsia="Calibri"/>
          <w:szCs w:val="22"/>
        </w:rPr>
      </w:pPr>
    </w:p>
    <w:p w:rsidR="00F91E8B" w:rsidRDefault="00F91E8B" w:rsidP="00F91E8B">
      <w:pPr>
        <w:numPr>
          <w:ilvl w:val="0"/>
          <w:numId w:val="8"/>
        </w:numPr>
        <w:contextualSpacing/>
        <w:rPr>
          <w:rFonts w:eastAsia="Calibri"/>
          <w:szCs w:val="22"/>
        </w:rPr>
      </w:pPr>
      <w:r>
        <w:rPr>
          <w:rFonts w:eastAsia="Calibri"/>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F91E8B" w:rsidRDefault="00F91E8B" w:rsidP="00F91E8B">
      <w:pPr>
        <w:contextualSpacing/>
        <w:rPr>
          <w:rFonts w:eastAsia="Calibri"/>
          <w:szCs w:val="22"/>
        </w:rPr>
      </w:pPr>
    </w:p>
    <w:p w:rsidR="00F91E8B" w:rsidRDefault="00F91E8B" w:rsidP="00F91E8B">
      <w:pPr>
        <w:ind w:firstLine="720"/>
        <w:contextualSpacing/>
        <w:rPr>
          <w:rFonts w:eastAsia="Calibri"/>
          <w:szCs w:val="22"/>
        </w:rPr>
      </w:pPr>
      <w:r>
        <w:rPr>
          <w:rFonts w:eastAsia="Calibri"/>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F91E8B" w:rsidRDefault="00F91E8B" w:rsidP="00F91E8B">
      <w:pPr>
        <w:contextualSpacing/>
        <w:rPr>
          <w:rFonts w:eastAsia="Calibri"/>
          <w:szCs w:val="22"/>
        </w:rPr>
      </w:pPr>
    </w:p>
    <w:p w:rsidR="00F91E8B" w:rsidRDefault="00F91E8B" w:rsidP="00F91E8B">
      <w:pPr>
        <w:numPr>
          <w:ilvl w:val="0"/>
          <w:numId w:val="9"/>
        </w:numPr>
        <w:ind w:left="720"/>
        <w:contextualSpacing/>
        <w:rPr>
          <w:rFonts w:eastAsia="Calibri"/>
          <w:szCs w:val="22"/>
        </w:rPr>
      </w:pPr>
      <w:r>
        <w:rPr>
          <w:rFonts w:eastAsia="Calibri"/>
          <w:szCs w:val="22"/>
        </w:rPr>
        <w:t xml:space="preserve">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w:t>
      </w:r>
      <w:r>
        <w:rPr>
          <w:rFonts w:eastAsia="Calibri"/>
          <w:szCs w:val="22"/>
          <w:u w:val="single"/>
        </w:rPr>
        <w:t>before</w:t>
      </w:r>
      <w:r>
        <w:rPr>
          <w:rFonts w:eastAsia="Calibri"/>
          <w:szCs w:val="22"/>
        </w:rPr>
        <w:t xml:space="preserve"> entering the building.</w:t>
      </w:r>
    </w:p>
    <w:p w:rsidR="00F91E8B" w:rsidRDefault="00F91E8B" w:rsidP="00F91E8B">
      <w:pPr>
        <w:contextualSpacing/>
        <w:rPr>
          <w:rFonts w:eastAsia="Calibri"/>
          <w:szCs w:val="22"/>
        </w:rPr>
      </w:pPr>
    </w:p>
    <w:p w:rsidR="00F91E8B" w:rsidRDefault="00F91E8B" w:rsidP="00F91E8B">
      <w:pPr>
        <w:numPr>
          <w:ilvl w:val="0"/>
          <w:numId w:val="9"/>
        </w:numPr>
        <w:ind w:left="720"/>
        <w:contextualSpacing/>
        <w:rPr>
          <w:rFonts w:eastAsia="Calibri"/>
          <w:szCs w:val="22"/>
        </w:rPr>
      </w:pPr>
      <w:r>
        <w:rPr>
          <w:rFonts w:eastAsia="Calibri"/>
          <w:szCs w:val="22"/>
        </w:rPr>
        <w:t>Commercial overnight mail (other than U.S. Postal Service Express Mail and Priority Mail) must be sent to 9050 Junction Drive, Annapolis Junction, Annapolis, MD 20701.</w:t>
      </w:r>
    </w:p>
    <w:p w:rsidR="00F91E8B" w:rsidRDefault="00F91E8B" w:rsidP="00F91E8B">
      <w:pPr>
        <w:contextualSpacing/>
        <w:rPr>
          <w:rFonts w:eastAsia="Calibri"/>
          <w:szCs w:val="22"/>
        </w:rPr>
      </w:pPr>
    </w:p>
    <w:p w:rsidR="00F91E8B" w:rsidRDefault="00F91E8B" w:rsidP="00F91E8B">
      <w:pPr>
        <w:numPr>
          <w:ilvl w:val="0"/>
          <w:numId w:val="9"/>
        </w:numPr>
        <w:ind w:left="720"/>
        <w:contextualSpacing/>
        <w:rPr>
          <w:rFonts w:eastAsia="Calibri"/>
          <w:szCs w:val="22"/>
        </w:rPr>
      </w:pPr>
      <w:r>
        <w:rPr>
          <w:rFonts w:eastAsia="Calibri"/>
          <w:szCs w:val="22"/>
        </w:rPr>
        <w:t>U.S. Postal Service first-class, Express, and Priority mail must be addressed to 445 12th Street, SW, Washington D.C. 20554.</w:t>
      </w:r>
    </w:p>
    <w:p w:rsidR="00F91E8B" w:rsidRDefault="00F91E8B" w:rsidP="00F91E8B">
      <w:pPr>
        <w:contextualSpacing/>
        <w:rPr>
          <w:rFonts w:eastAsia="Calibri"/>
          <w:szCs w:val="22"/>
        </w:rPr>
      </w:pPr>
    </w:p>
    <w:p w:rsidR="00F91E8B" w:rsidRDefault="00F91E8B" w:rsidP="00F91E8B">
      <w:pPr>
        <w:ind w:firstLine="720"/>
        <w:contextualSpacing/>
        <w:rPr>
          <w:rFonts w:eastAsia="Calibri"/>
          <w:szCs w:val="22"/>
        </w:rPr>
      </w:pPr>
      <w:r>
        <w:rPr>
          <w:rFonts w:eastAsia="Calibri"/>
          <w:szCs w:val="22"/>
        </w:rPr>
        <w:t>People with Disabilities: To request materials in accessible formats for people with disabilities</w:t>
      </w:r>
    </w:p>
    <w:p w:rsidR="00F91E8B" w:rsidRDefault="00F91E8B" w:rsidP="00F91E8B">
      <w:pPr>
        <w:contextualSpacing/>
        <w:rPr>
          <w:rFonts w:eastAsia="Calibri"/>
          <w:szCs w:val="22"/>
        </w:rPr>
      </w:pPr>
      <w:r>
        <w:rPr>
          <w:rFonts w:eastAsia="Calibri"/>
          <w:szCs w:val="22"/>
        </w:rPr>
        <w:t>(Braille, large print, electronic files, audio format), send an e-mail to fcc504@fcc.gov or call the Consumer &amp; Governmental Affairs Bureau at (202) 418-0530 (voice) or (202) 418-0432 (tty).</w:t>
      </w:r>
    </w:p>
    <w:p w:rsidR="00F91E8B" w:rsidRDefault="00F91E8B" w:rsidP="00F91E8B">
      <w:pPr>
        <w:contextualSpacing/>
        <w:rPr>
          <w:rFonts w:eastAsia="Calibri"/>
          <w:szCs w:val="22"/>
        </w:rPr>
      </w:pPr>
    </w:p>
    <w:p w:rsidR="00F91E8B" w:rsidRDefault="00F91E8B" w:rsidP="00F91E8B">
      <w:pPr>
        <w:ind w:firstLine="720"/>
        <w:rPr>
          <w:szCs w:val="22"/>
        </w:rPr>
      </w:pPr>
      <w:r>
        <w:rPr>
          <w:szCs w:val="22"/>
        </w:rPr>
        <w:t xml:space="preserve">This proceeding shall be treated as a “permit-but-disclose” proceeding in accordance with the Commission’s </w:t>
      </w:r>
      <w:r>
        <w:rPr>
          <w:i/>
          <w:iCs/>
          <w:szCs w:val="22"/>
        </w:rPr>
        <w:t xml:space="preserve">ex parte </w:t>
      </w:r>
      <w:r>
        <w:rPr>
          <w:szCs w:val="22"/>
        </w:rPr>
        <w:t>rules.</w:t>
      </w:r>
      <w:r>
        <w:rPr>
          <w:szCs w:val="22"/>
          <w:vertAlign w:val="superscript"/>
        </w:rPr>
        <w:footnoteReference w:id="10"/>
      </w:r>
      <w:r>
        <w:rPr>
          <w:szCs w:val="22"/>
        </w:rPr>
        <w:t xml:space="preserve">  Persons making </w:t>
      </w:r>
      <w:r>
        <w:rPr>
          <w:i/>
          <w:szCs w:val="22"/>
        </w:rPr>
        <w:t xml:space="preserve">ex parte </w:t>
      </w:r>
      <w:r>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szCs w:val="22"/>
        </w:rPr>
        <w:t xml:space="preserve">ex parte </w:t>
      </w:r>
      <w:r>
        <w:rPr>
          <w:szCs w:val="22"/>
        </w:rPr>
        <w:t xml:space="preserve">presentations are reminded that memoranda summarizing the presentation must (1) list all persons attending or otherwise participating in the meeting at which the </w:t>
      </w:r>
      <w:r>
        <w:rPr>
          <w:i/>
          <w:iCs/>
          <w:szCs w:val="22"/>
        </w:rPr>
        <w:t xml:space="preserve">ex parte </w:t>
      </w:r>
      <w:r>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szCs w:val="22"/>
        </w:rPr>
        <w:t xml:space="preserve">ex parte </w:t>
      </w:r>
      <w:r>
        <w:rPr>
          <w:szCs w:val="22"/>
        </w:rPr>
        <w:t xml:space="preserve">meetings are deemed to be written </w:t>
      </w:r>
      <w:r>
        <w:rPr>
          <w:i/>
          <w:iCs/>
          <w:szCs w:val="22"/>
        </w:rPr>
        <w:t>ex parte</w:t>
      </w:r>
      <w:r>
        <w:rPr>
          <w:szCs w:val="22"/>
        </w:rPr>
        <w:t xml:space="preserve"> presentations and must be filed consistent with rule 1.1206(b).  In proceedings governed by rule 1.49(f) or for which the Commission has made available a method of electronic filing, written </w:t>
      </w:r>
      <w:r>
        <w:rPr>
          <w:i/>
          <w:iCs/>
          <w:szCs w:val="22"/>
        </w:rPr>
        <w:t xml:space="preserve">ex parte </w:t>
      </w:r>
      <w:r>
        <w:rPr>
          <w:szCs w:val="22"/>
        </w:rPr>
        <w:t xml:space="preserve">presentations and memoranda summarizing oral </w:t>
      </w:r>
      <w:r>
        <w:rPr>
          <w:i/>
          <w:iCs/>
          <w:szCs w:val="22"/>
        </w:rPr>
        <w:t xml:space="preserve">ex parte </w:t>
      </w:r>
      <w:r>
        <w:rPr>
          <w:szCs w:val="22"/>
        </w:rPr>
        <w:t>presentations, and all attachments thereto, must be filed through the electronic comment filing system available for that proceeding, and must be filed in their native format (</w:t>
      </w:r>
      <w:r>
        <w:rPr>
          <w:i/>
          <w:iCs/>
          <w:szCs w:val="22"/>
        </w:rPr>
        <w:t>e.g.</w:t>
      </w:r>
      <w:r>
        <w:rPr>
          <w:szCs w:val="22"/>
        </w:rPr>
        <w:t xml:space="preserve">, .doc, .xml, .ppt, searchable .pdf).  Participants in this proceeding should familiarize themselves with the Commission’s </w:t>
      </w:r>
      <w:r>
        <w:rPr>
          <w:i/>
          <w:iCs/>
          <w:szCs w:val="22"/>
        </w:rPr>
        <w:t xml:space="preserve">ex parte </w:t>
      </w:r>
      <w:r>
        <w:rPr>
          <w:szCs w:val="22"/>
        </w:rPr>
        <w:t>rules.</w:t>
      </w:r>
    </w:p>
    <w:p w:rsidR="00F91E8B" w:rsidRDefault="00F91E8B" w:rsidP="00F91E8B">
      <w:pPr>
        <w:rPr>
          <w:szCs w:val="22"/>
        </w:rPr>
      </w:pPr>
    </w:p>
    <w:p w:rsidR="00F91E8B" w:rsidRDefault="00F91E8B" w:rsidP="00F91E8B">
      <w:pPr>
        <w:ind w:firstLine="720"/>
        <w:contextualSpacing/>
        <w:rPr>
          <w:rFonts w:eastAsia="Calibri"/>
          <w:szCs w:val="22"/>
        </w:rPr>
      </w:pPr>
      <w:r>
        <w:rPr>
          <w:szCs w:val="22"/>
        </w:rPr>
        <w:t>For further information, please contact Marv Sacks, Pricing Policy Division, Wireline Competition Bureau at (202)</w:t>
      </w:r>
      <w:r w:rsidR="00C157FF">
        <w:rPr>
          <w:szCs w:val="22"/>
        </w:rPr>
        <w:t xml:space="preserve"> 418-2017</w:t>
      </w:r>
      <w:r>
        <w:rPr>
          <w:szCs w:val="22"/>
        </w:rPr>
        <w:t xml:space="preserve"> or via email at marvin.sacks@fcc.gov. </w:t>
      </w:r>
      <w:r>
        <w:rPr>
          <w:rFonts w:eastAsia="Calibri"/>
          <w:szCs w:val="22"/>
        </w:rPr>
        <w:t xml:space="preserve"> </w:t>
      </w:r>
    </w:p>
    <w:p w:rsidR="00F91E8B" w:rsidRDefault="00F91E8B" w:rsidP="00F91E8B">
      <w:pPr>
        <w:contextualSpacing/>
        <w:rPr>
          <w:rFonts w:eastAsia="Calibri"/>
          <w:szCs w:val="22"/>
        </w:rPr>
      </w:pPr>
    </w:p>
    <w:p w:rsidR="00F91E8B" w:rsidRDefault="00F91E8B" w:rsidP="00F91E8B">
      <w:pPr>
        <w:contextualSpacing/>
        <w:jc w:val="center"/>
        <w:rPr>
          <w:rFonts w:eastAsia="Calibri"/>
          <w:b/>
          <w:szCs w:val="22"/>
        </w:rPr>
      </w:pPr>
      <w:r>
        <w:rPr>
          <w:rFonts w:eastAsia="Calibri"/>
          <w:b/>
          <w:szCs w:val="22"/>
        </w:rPr>
        <w:t>- FCC -</w:t>
      </w:r>
    </w:p>
    <w:p w:rsidR="00D47505" w:rsidRDefault="00D47505" w:rsidP="00D47505">
      <w:pPr>
        <w:jc w:val="center"/>
        <w:rPr>
          <w:sz w:val="24"/>
        </w:rPr>
      </w:pPr>
    </w:p>
    <w:p w:rsidR="006A1F49" w:rsidRDefault="006A1F49" w:rsidP="00D47505">
      <w:pPr>
        <w:spacing w:before="120" w:after="240"/>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B3F" w:rsidRDefault="00545B3F">
      <w:pPr>
        <w:spacing w:line="20" w:lineRule="exact"/>
      </w:pPr>
    </w:p>
  </w:endnote>
  <w:endnote w:type="continuationSeparator" w:id="0">
    <w:p w:rsidR="00545B3F" w:rsidRDefault="00545B3F">
      <w:r>
        <w:t xml:space="preserve"> </w:t>
      </w:r>
    </w:p>
  </w:endnote>
  <w:endnote w:type="continuationNotice" w:id="1">
    <w:p w:rsidR="00545B3F" w:rsidRDefault="00545B3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433126">
      <w:rPr>
        <w:noProof/>
      </w:rPr>
      <w:t>3</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B3F" w:rsidRDefault="00545B3F">
      <w:r>
        <w:separator/>
      </w:r>
    </w:p>
  </w:footnote>
  <w:footnote w:type="continuationSeparator" w:id="0">
    <w:p w:rsidR="00545B3F" w:rsidRDefault="00545B3F" w:rsidP="00C721AC">
      <w:pPr>
        <w:spacing w:before="120"/>
        <w:rPr>
          <w:sz w:val="20"/>
        </w:rPr>
      </w:pPr>
      <w:r>
        <w:rPr>
          <w:sz w:val="20"/>
        </w:rPr>
        <w:t xml:space="preserve">(Continued from previous page)  </w:t>
      </w:r>
      <w:r>
        <w:rPr>
          <w:sz w:val="20"/>
        </w:rPr>
        <w:separator/>
      </w:r>
    </w:p>
  </w:footnote>
  <w:footnote w:type="continuationNotice" w:id="1">
    <w:p w:rsidR="00545B3F" w:rsidRDefault="00545B3F" w:rsidP="00C721AC">
      <w:pPr>
        <w:jc w:val="right"/>
        <w:rPr>
          <w:sz w:val="20"/>
        </w:rPr>
      </w:pPr>
      <w:r>
        <w:rPr>
          <w:sz w:val="20"/>
        </w:rPr>
        <w:t>(continued….)</w:t>
      </w:r>
    </w:p>
  </w:footnote>
  <w:footnote w:id="2">
    <w:p w:rsidR="000A7DDD" w:rsidRPr="00C2306B" w:rsidRDefault="000A7DDD">
      <w:pPr>
        <w:pStyle w:val="FootnoteText"/>
        <w:rPr>
          <w:i/>
        </w:rPr>
      </w:pPr>
      <w:r>
        <w:rPr>
          <w:rStyle w:val="FootnoteReference"/>
        </w:rPr>
        <w:footnoteRef/>
      </w:r>
      <w:r>
        <w:t xml:space="preserve"> </w:t>
      </w:r>
      <w:r w:rsidR="00A06C70">
        <w:rPr>
          <w:i/>
        </w:rPr>
        <w:t xml:space="preserve">See </w:t>
      </w:r>
      <w:r w:rsidRPr="000A7DDD">
        <w:rPr>
          <w:i/>
        </w:rPr>
        <w:t xml:space="preserve">Business Data Services in an Internet Protocol Environment et al., </w:t>
      </w:r>
      <w:bookmarkStart w:id="1" w:name="_Hlk496532271"/>
      <w:r w:rsidRPr="000A7DDD">
        <w:t>WC Docket No. 15-247 et al., Tariff Investigation Order</w:t>
      </w:r>
      <w:r w:rsidRPr="000A7DDD">
        <w:rPr>
          <w:i/>
        </w:rPr>
        <w:t xml:space="preserve"> </w:t>
      </w:r>
      <w:r w:rsidRPr="000A7DDD">
        <w:t>and Further Notice of Proposed Rulemaking, 31 FCC Rcd 4723, 4761-90, paras. 86-158 (2016)</w:t>
      </w:r>
      <w:r w:rsidR="00C2306B">
        <w:t xml:space="preserve"> </w:t>
      </w:r>
      <w:r w:rsidR="00C2306B" w:rsidRPr="00C2306B">
        <w:t>(</w:t>
      </w:r>
      <w:r w:rsidR="00C2306B" w:rsidRPr="00C2306B">
        <w:rPr>
          <w:i/>
        </w:rPr>
        <w:t>Tariff Investigation Order or Order</w:t>
      </w:r>
      <w:r w:rsidR="00C2306B">
        <w:t>)</w:t>
      </w:r>
      <w:r>
        <w:t xml:space="preserve">, </w:t>
      </w:r>
      <w:r>
        <w:rPr>
          <w:i/>
        </w:rPr>
        <w:t xml:space="preserve">remanded </w:t>
      </w:r>
      <w:r w:rsidR="00C55699">
        <w:rPr>
          <w:i/>
        </w:rPr>
        <w:t>sub nom.</w:t>
      </w:r>
      <w:r>
        <w:t xml:space="preserve"> </w:t>
      </w:r>
      <w:bookmarkStart w:id="2" w:name="_Hlk496616305"/>
      <w:bookmarkStart w:id="3" w:name="_Hlk496606374"/>
      <w:r>
        <w:rPr>
          <w:i/>
        </w:rPr>
        <w:t>AT&amp;T</w:t>
      </w:r>
      <w:r w:rsidR="008F633E">
        <w:rPr>
          <w:i/>
        </w:rPr>
        <w:t>,</w:t>
      </w:r>
      <w:r>
        <w:rPr>
          <w:i/>
        </w:rPr>
        <w:t xml:space="preserve"> Inc. </w:t>
      </w:r>
      <w:r w:rsidR="008F633E">
        <w:rPr>
          <w:i/>
        </w:rPr>
        <w:t>v. FCC</w:t>
      </w:r>
      <w:bookmarkEnd w:id="2"/>
      <w:r w:rsidR="008F633E">
        <w:t>, No</w:t>
      </w:r>
      <w:r w:rsidR="00AD5445">
        <w:t>s</w:t>
      </w:r>
      <w:r w:rsidR="008F633E">
        <w:t xml:space="preserve">. 16-1145, </w:t>
      </w:r>
      <w:r w:rsidR="00AD5445">
        <w:t>16-1166, 16-1177</w:t>
      </w:r>
      <w:r w:rsidR="00C2306B">
        <w:t xml:space="preserve">, </w:t>
      </w:r>
      <w:r w:rsidR="008F633E">
        <w:t>(D.C. Cir. Aug. 29, 2017)</w:t>
      </w:r>
      <w:bookmarkEnd w:id="1"/>
      <w:bookmarkEnd w:id="3"/>
      <w:r w:rsidR="00C2306B">
        <w:t xml:space="preserve"> </w:t>
      </w:r>
      <w:r w:rsidR="00A06C70">
        <w:t>(</w:t>
      </w:r>
      <w:r w:rsidR="00C2306B">
        <w:rPr>
          <w:i/>
        </w:rPr>
        <w:t>Remand Order</w:t>
      </w:r>
      <w:r w:rsidR="00A06C70">
        <w:t>)</w:t>
      </w:r>
      <w:r w:rsidR="00C2306B">
        <w:t>.</w:t>
      </w:r>
    </w:p>
  </w:footnote>
  <w:footnote w:id="3">
    <w:p w:rsidR="00F91E8B" w:rsidRPr="008F633E" w:rsidRDefault="00F91E8B" w:rsidP="00F91E8B">
      <w:pPr>
        <w:pStyle w:val="FootnoteText"/>
        <w:rPr>
          <w:i/>
        </w:rPr>
      </w:pPr>
      <w:r>
        <w:rPr>
          <w:rStyle w:val="FootnoteReference"/>
        </w:rPr>
        <w:footnoteRef/>
      </w:r>
      <w:r>
        <w:t xml:space="preserve"> </w:t>
      </w:r>
      <w:r w:rsidR="00EA3022">
        <w:rPr>
          <w:i/>
        </w:rPr>
        <w:t>See generally Order.</w:t>
      </w:r>
    </w:p>
  </w:footnote>
  <w:footnote w:id="4">
    <w:p w:rsidR="00F91E8B" w:rsidRDefault="00F91E8B" w:rsidP="00F91E8B">
      <w:pPr>
        <w:pStyle w:val="FootnoteText"/>
      </w:pPr>
      <w:r>
        <w:rPr>
          <w:rStyle w:val="FootnoteReference"/>
        </w:rPr>
        <w:footnoteRef/>
      </w:r>
      <w:r>
        <w:t xml:space="preserve"> </w:t>
      </w:r>
      <w:r w:rsidR="008F633E" w:rsidRPr="00C2306B">
        <w:t>Pet. for Rev.,</w:t>
      </w:r>
      <w:r w:rsidR="008F633E">
        <w:rPr>
          <w:i/>
        </w:rPr>
        <w:t xml:space="preserve"> </w:t>
      </w:r>
      <w:r w:rsidR="00F65451" w:rsidRPr="00F65451">
        <w:rPr>
          <w:i/>
        </w:rPr>
        <w:t>AT&amp;T, Inc. v. FCC</w:t>
      </w:r>
      <w:r w:rsidR="00F65451">
        <w:t xml:space="preserve">, </w:t>
      </w:r>
      <w:r w:rsidR="008F633E">
        <w:t>No. 16-1145 (</w:t>
      </w:r>
      <w:r w:rsidR="00F65451">
        <w:t xml:space="preserve">D.C. Cir. </w:t>
      </w:r>
      <w:r w:rsidR="008F633E">
        <w:t>May 11, 201</w:t>
      </w:r>
      <w:r w:rsidR="00AD5445">
        <w:t>6)</w:t>
      </w:r>
      <w:r w:rsidR="005D0FF6">
        <w:t xml:space="preserve">; </w:t>
      </w:r>
      <w:r w:rsidR="00743BF0">
        <w:t xml:space="preserve">Nonbinding </w:t>
      </w:r>
      <w:r w:rsidR="00FE38F4">
        <w:t>Statement of Issues</w:t>
      </w:r>
      <w:r w:rsidR="00743BF0">
        <w:t xml:space="preserve"> to be Raised</w:t>
      </w:r>
      <w:r w:rsidR="00FE38F4">
        <w:t xml:space="preserve">, </w:t>
      </w:r>
      <w:r w:rsidR="00D806F5" w:rsidRPr="00F65451">
        <w:rPr>
          <w:i/>
        </w:rPr>
        <w:t>AT&amp;T, Inc. v. FCC</w:t>
      </w:r>
      <w:r w:rsidR="00D806F5">
        <w:t xml:space="preserve">, </w:t>
      </w:r>
      <w:r w:rsidR="00FE38F4">
        <w:t>No. 16-1166</w:t>
      </w:r>
      <w:r w:rsidR="00E057AB">
        <w:t xml:space="preserve"> (</w:t>
      </w:r>
      <w:r w:rsidR="00D806F5">
        <w:t xml:space="preserve">D.C. Cir. </w:t>
      </w:r>
      <w:r w:rsidR="00E057AB">
        <w:t xml:space="preserve">July 7, 2016) </w:t>
      </w:r>
      <w:r w:rsidR="00E057AB" w:rsidRPr="00E057AB">
        <w:t xml:space="preserve">(citing </w:t>
      </w:r>
      <w:r w:rsidR="00E057AB" w:rsidRPr="00E057AB">
        <w:rPr>
          <w:i/>
        </w:rPr>
        <w:t>BellSouth v. FCC</w:t>
      </w:r>
      <w:r w:rsidR="00E057AB" w:rsidRPr="00E057AB">
        <w:t>, 469 F.3d 1052 (D.C. Cir. 2006)</w:t>
      </w:r>
      <w:r w:rsidR="00713B49">
        <w:t>)</w:t>
      </w:r>
      <w:r w:rsidR="00AD5445">
        <w:t>.</w:t>
      </w:r>
      <w:r w:rsidR="0007615C">
        <w:t xml:space="preserve">  </w:t>
      </w:r>
      <w:r w:rsidR="00C8108E">
        <w:t>Century</w:t>
      </w:r>
      <w:r w:rsidR="00C8108E" w:rsidRPr="00C8108E">
        <w:t xml:space="preserve">Link intervened in the proceeding in support of </w:t>
      </w:r>
      <w:r w:rsidR="00C8108E">
        <w:t>AT&amp;T’s petition</w:t>
      </w:r>
      <w:r w:rsidR="00C8108E" w:rsidRPr="00C8108E">
        <w:t>.</w:t>
      </w:r>
    </w:p>
  </w:footnote>
  <w:footnote w:id="5">
    <w:p w:rsidR="00743BF0" w:rsidRDefault="00743BF0" w:rsidP="00743BF0">
      <w:pPr>
        <w:pStyle w:val="FootnoteText"/>
      </w:pPr>
      <w:r>
        <w:rPr>
          <w:rStyle w:val="FootnoteReference"/>
        </w:rPr>
        <w:footnoteRef/>
      </w:r>
      <w:r>
        <w:t xml:space="preserve"> </w:t>
      </w:r>
      <w:r w:rsidRPr="00FB6D04">
        <w:t>Mo</w:t>
      </w:r>
      <w:r>
        <w:t>t. f</w:t>
      </w:r>
      <w:r w:rsidRPr="00FB6D04">
        <w:t>or Vol</w:t>
      </w:r>
      <w:r>
        <w:t xml:space="preserve">. </w:t>
      </w:r>
      <w:r w:rsidRPr="00FB6D04">
        <w:t>Remand</w:t>
      </w:r>
      <w:r>
        <w:t xml:space="preserve">, </w:t>
      </w:r>
      <w:r w:rsidRPr="006709F6">
        <w:rPr>
          <w:i/>
        </w:rPr>
        <w:t>AT&amp;T, Inc. v. FCC</w:t>
      </w:r>
      <w:r w:rsidRPr="006709F6">
        <w:t xml:space="preserve">, </w:t>
      </w:r>
      <w:r w:rsidRPr="00AD5445">
        <w:t>No. 16-1166</w:t>
      </w:r>
      <w:r>
        <w:t>, at 3 (D.C. Cir. June 13, 2017) (</w:t>
      </w:r>
      <w:r w:rsidR="00892321">
        <w:t xml:space="preserve">FCC </w:t>
      </w:r>
      <w:r>
        <w:t xml:space="preserve">Motion). </w:t>
      </w:r>
    </w:p>
  </w:footnote>
  <w:footnote w:id="6">
    <w:p w:rsidR="004C0D40" w:rsidRDefault="004C0D40">
      <w:pPr>
        <w:pStyle w:val="FootnoteText"/>
      </w:pPr>
      <w:r>
        <w:rPr>
          <w:rStyle w:val="FootnoteReference"/>
        </w:rPr>
        <w:footnoteRef/>
      </w:r>
      <w:r>
        <w:t xml:space="preserve"> Repl. to Opp.</w:t>
      </w:r>
      <w:r w:rsidRPr="004C0D40">
        <w:t xml:space="preserve">, </w:t>
      </w:r>
      <w:r w:rsidRPr="004C0D40">
        <w:rPr>
          <w:i/>
        </w:rPr>
        <w:t>AT&amp;T, Inc. v. FCC</w:t>
      </w:r>
      <w:r w:rsidRPr="004C0D40">
        <w:t xml:space="preserve">, No. 16-1166, at 3 (D.C. Cir. June </w:t>
      </w:r>
      <w:r>
        <w:t>30</w:t>
      </w:r>
      <w:r w:rsidRPr="004C0D40">
        <w:t>, 2017)</w:t>
      </w:r>
      <w:r w:rsidR="006423F0">
        <w:t xml:space="preserve"> (FCC Reply)</w:t>
      </w:r>
      <w:r w:rsidRPr="004C0D40">
        <w:t>.</w:t>
      </w:r>
    </w:p>
  </w:footnote>
  <w:footnote w:id="7">
    <w:p w:rsidR="006052C0" w:rsidRDefault="006052C0">
      <w:pPr>
        <w:pStyle w:val="FootnoteText"/>
      </w:pPr>
      <w:r>
        <w:rPr>
          <w:rStyle w:val="FootnoteReference"/>
        </w:rPr>
        <w:footnoteRef/>
      </w:r>
      <w:r>
        <w:t xml:space="preserve"> Intervenors’ Opp. to the FCC Mot. For Vol. Remand, </w:t>
      </w:r>
      <w:r w:rsidR="00482D21" w:rsidRPr="00482D21">
        <w:rPr>
          <w:i/>
        </w:rPr>
        <w:t>AT&amp;T, Inc. v. FCC</w:t>
      </w:r>
      <w:r w:rsidR="00482D21" w:rsidRPr="00482D21">
        <w:t xml:space="preserve">, </w:t>
      </w:r>
      <w:r>
        <w:t>Nos. 16-1166, 16-1145, 16-1177 (</w:t>
      </w:r>
      <w:r w:rsidR="00D806F5">
        <w:t xml:space="preserve">D.C. Cir. </w:t>
      </w:r>
      <w:r>
        <w:t>June 23, 2017).</w:t>
      </w:r>
      <w:r w:rsidR="00C8108E">
        <w:t xml:space="preserve">  </w:t>
      </w:r>
    </w:p>
  </w:footnote>
  <w:footnote w:id="8">
    <w:p w:rsidR="00F91E8B" w:rsidRPr="00C2306B" w:rsidRDefault="00F91E8B" w:rsidP="00F91E8B">
      <w:pPr>
        <w:pStyle w:val="FootnoteText"/>
        <w:rPr>
          <w:i/>
        </w:rPr>
      </w:pPr>
      <w:r>
        <w:rPr>
          <w:rStyle w:val="FootnoteReference"/>
        </w:rPr>
        <w:footnoteRef/>
      </w:r>
      <w:r>
        <w:t xml:space="preserve"> </w:t>
      </w:r>
      <w:r w:rsidR="000551D0">
        <w:rPr>
          <w:i/>
        </w:rPr>
        <w:t xml:space="preserve">See </w:t>
      </w:r>
      <w:r w:rsidR="00C2306B" w:rsidRPr="00A06C70">
        <w:rPr>
          <w:i/>
        </w:rPr>
        <w:t>Remand Order</w:t>
      </w:r>
      <w:r w:rsidR="00A06C70">
        <w:rPr>
          <w:i/>
        </w:rPr>
        <w:t xml:space="preserve">. </w:t>
      </w:r>
      <w:r w:rsidR="00C2306B" w:rsidRPr="00C2306B">
        <w:t xml:space="preserve"> </w:t>
      </w:r>
      <w:r w:rsidR="00C2306B">
        <w:rPr>
          <w:i/>
        </w:rPr>
        <w:t xml:space="preserve"> </w:t>
      </w:r>
    </w:p>
  </w:footnote>
  <w:footnote w:id="9">
    <w:p w:rsidR="000A7DDD" w:rsidRDefault="000A7DDD" w:rsidP="006423F0">
      <w:pPr>
        <w:pStyle w:val="FootnoteText"/>
      </w:pPr>
      <w:r>
        <w:rPr>
          <w:rStyle w:val="FootnoteReference"/>
        </w:rPr>
        <w:footnoteRef/>
      </w:r>
      <w:r>
        <w:t xml:space="preserve"> </w:t>
      </w:r>
      <w:r w:rsidR="00892321">
        <w:rPr>
          <w:i/>
        </w:rPr>
        <w:t xml:space="preserve">See </w:t>
      </w:r>
      <w:r w:rsidR="00892321">
        <w:t xml:space="preserve">FCC </w:t>
      </w:r>
      <w:r>
        <w:t>Motio</w:t>
      </w:r>
      <w:r w:rsidR="0007615C">
        <w:t>n at 3</w:t>
      </w:r>
      <w:r w:rsidR="0007615C" w:rsidRPr="0007615C">
        <w:rPr>
          <w:snapToGrid w:val="0"/>
          <w:kern w:val="28"/>
          <w:sz w:val="22"/>
        </w:rPr>
        <w:t xml:space="preserve"> </w:t>
      </w:r>
      <w:r w:rsidR="0007615C" w:rsidRPr="0007615C">
        <w:t>(“</w:t>
      </w:r>
      <w:r w:rsidR="00B935AD">
        <w:t>B</w:t>
      </w:r>
      <w:r w:rsidR="0007615C" w:rsidRPr="0007615C">
        <w:t xml:space="preserve">ecause that </w:t>
      </w:r>
      <w:r w:rsidR="005557FB">
        <w:t>[</w:t>
      </w:r>
      <w:r w:rsidR="005557FB">
        <w:rPr>
          <w:i/>
        </w:rPr>
        <w:t>BellS</w:t>
      </w:r>
      <w:r w:rsidR="0007615C" w:rsidRPr="0007615C">
        <w:rPr>
          <w:i/>
        </w:rPr>
        <w:t>outh</w:t>
      </w:r>
      <w:r w:rsidR="0007615C">
        <w:t xml:space="preserve">] </w:t>
      </w:r>
      <w:r w:rsidR="0007615C" w:rsidRPr="0007615C">
        <w:t xml:space="preserve">case, like the </w:t>
      </w:r>
      <w:r w:rsidR="0007615C" w:rsidRPr="0007615C">
        <w:rPr>
          <w:i/>
        </w:rPr>
        <w:t xml:space="preserve">Order </w:t>
      </w:r>
      <w:r w:rsidR="0007615C" w:rsidRPr="0007615C">
        <w:t xml:space="preserve">on review, addresses the lawfulness of BDS tariff terms, the Commission believes that it would be appropriate to consider the extent to which the reasoning in the </w:t>
      </w:r>
      <w:r w:rsidR="0007615C" w:rsidRPr="0007615C">
        <w:rPr>
          <w:i/>
        </w:rPr>
        <w:t xml:space="preserve">Order </w:t>
      </w:r>
      <w:r w:rsidR="0007615C" w:rsidRPr="0007615C">
        <w:t xml:space="preserve">is compatible with the </w:t>
      </w:r>
      <w:r w:rsidR="0007615C" w:rsidRPr="0007615C">
        <w:rPr>
          <w:i/>
        </w:rPr>
        <w:t>Bell</w:t>
      </w:r>
      <w:r w:rsidR="005557FB">
        <w:rPr>
          <w:i/>
        </w:rPr>
        <w:t>[S]</w:t>
      </w:r>
      <w:r w:rsidR="0007615C" w:rsidRPr="0007615C">
        <w:rPr>
          <w:i/>
        </w:rPr>
        <w:t xml:space="preserve">outh </w:t>
      </w:r>
      <w:r w:rsidR="0007615C" w:rsidRPr="0007615C">
        <w:t>decision.”)</w:t>
      </w:r>
      <w:r w:rsidR="006423F0">
        <w:t>; FCC Reply at 3 (seeking “</w:t>
      </w:r>
      <w:r w:rsidR="006423F0" w:rsidRPr="006423F0">
        <w:t xml:space="preserve">to revisit this </w:t>
      </w:r>
      <w:r w:rsidR="006423F0" w:rsidRPr="006423F0">
        <w:rPr>
          <w:i/>
          <w:iCs/>
        </w:rPr>
        <w:t>Order</w:t>
      </w:r>
      <w:r w:rsidR="006423F0" w:rsidRPr="006423F0">
        <w:t xml:space="preserve">, in light of </w:t>
      </w:r>
      <w:r w:rsidR="006423F0" w:rsidRPr="006423F0">
        <w:rPr>
          <w:i/>
          <w:iCs/>
        </w:rPr>
        <w:t>Bell</w:t>
      </w:r>
      <w:r w:rsidR="00ED433A">
        <w:rPr>
          <w:i/>
          <w:iCs/>
        </w:rPr>
        <w:t>[S]</w:t>
      </w:r>
      <w:r w:rsidR="006423F0" w:rsidRPr="006423F0">
        <w:rPr>
          <w:i/>
          <w:iCs/>
        </w:rPr>
        <w:t xml:space="preserve">outh </w:t>
      </w:r>
      <w:r w:rsidR="006423F0" w:rsidRPr="006423F0">
        <w:t>or otherwise</w:t>
      </w:r>
      <w:r w:rsidR="006423F0">
        <w:rPr>
          <w:iCs/>
        </w:rPr>
        <w:t>”</w:t>
      </w:r>
      <w:r w:rsidR="006423F0">
        <w:t>)</w:t>
      </w:r>
      <w:r w:rsidR="00661154">
        <w:t>.</w:t>
      </w:r>
      <w:r w:rsidR="005557FB">
        <w:rPr>
          <w:snapToGrid w:val="0"/>
          <w:kern w:val="28"/>
          <w:sz w:val="22"/>
        </w:rPr>
        <w:t xml:space="preserve">  </w:t>
      </w:r>
      <w:r w:rsidR="005557FB" w:rsidRPr="005557FB">
        <w:t xml:space="preserve">The Commission has sought comment on court remands of other orders released by the Commission.  </w:t>
      </w:r>
      <w:r w:rsidR="005557FB" w:rsidRPr="005557FB">
        <w:rPr>
          <w:i/>
        </w:rPr>
        <w:t>See</w:t>
      </w:r>
      <w:r w:rsidR="009B33D2">
        <w:rPr>
          <w:i/>
        </w:rPr>
        <w:t>, e.g.,</w:t>
      </w:r>
      <w:r w:rsidR="005557FB" w:rsidRPr="005557FB">
        <w:rPr>
          <w:i/>
        </w:rPr>
        <w:t xml:space="preserve"> Wireline Competition Bureau Seeks Comment on Remands of Verizon 6 MSA Forbearance Order and Qwest 4 MSA Forbearance Order</w:t>
      </w:r>
      <w:r w:rsidR="005557FB" w:rsidRPr="005557FB">
        <w:t xml:space="preserve">, WC Docket Nos. 06-172, 07-97, Public Notice, 24 FCC Rcd 10881 (2009); </w:t>
      </w:r>
      <w:r w:rsidR="005557FB" w:rsidRPr="005557FB">
        <w:rPr>
          <w:i/>
        </w:rPr>
        <w:t>Comments Requested in Connection with Court Remand of August 1998 Advanced Services Order,</w:t>
      </w:r>
      <w:r w:rsidR="005557FB" w:rsidRPr="005557FB">
        <w:t xml:space="preserve"> CC Docket No. 98-11 et al., Public Notice, 14 FCC Rcd 15340 (1999).</w:t>
      </w:r>
    </w:p>
  </w:footnote>
  <w:footnote w:id="10">
    <w:p w:rsidR="00F91E8B" w:rsidRPr="001C4B50" w:rsidRDefault="00F91E8B" w:rsidP="00F91E8B">
      <w:pPr>
        <w:pStyle w:val="FootnoteText"/>
        <w:rPr>
          <w:i/>
          <w:iCs/>
        </w:rPr>
      </w:pPr>
      <w:r w:rsidRPr="001C4B50">
        <w:rPr>
          <w:rStyle w:val="FootnoteReference"/>
        </w:rPr>
        <w:footnoteRef/>
      </w:r>
      <w:r w:rsidRPr="001C4B50">
        <w:t xml:space="preserve"> 47 CFR §§ 1.1200 </w:t>
      </w:r>
      <w:r w:rsidRPr="001C4B50">
        <w:rPr>
          <w:i/>
          <w:iCs/>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AF" w:rsidRDefault="00BA20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AF" w:rsidRDefault="00BA20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66015E5E" wp14:editId="5D8E1C6E">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66015E5E"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2FE59176" wp14:editId="150A2C1E">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424B42FB" wp14:editId="5C5566FB">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74B8D841"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535C962E" wp14:editId="21FA4B3D">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5" w:name="_Hlt233824"/>
                          <w:r w:rsidR="007F413A">
                            <w:rPr>
                              <w:rFonts w:ascii="Arial" w:hAnsi="Arial"/>
                              <w:b/>
                              <w:sz w:val="16"/>
                            </w:rPr>
                            <w:fldChar w:fldCharType="begin"/>
                          </w:r>
                          <w:r w:rsidR="008E3597">
                            <w:rPr>
                              <w:rFonts w:ascii="Arial" w:hAnsi="Arial"/>
                              <w:b/>
                              <w:sz w:val="16"/>
                            </w:rPr>
                            <w:instrText>HYPERLINK "https://www.fcc.gov/"</w:instrText>
                          </w:r>
                          <w:r w:rsidR="008E3597">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5"/>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6" w:name="_Hlt233824"/>
                    <w:r w:rsidR="007F413A">
                      <w:rPr>
                        <w:rFonts w:ascii="Arial" w:hAnsi="Arial"/>
                        <w:b/>
                        <w:sz w:val="16"/>
                      </w:rPr>
                      <w:fldChar w:fldCharType="begin"/>
                    </w:r>
                    <w:r w:rsidR="008E3597">
                      <w:rPr>
                        <w:rFonts w:ascii="Arial" w:hAnsi="Arial"/>
                        <w:b/>
                        <w:sz w:val="16"/>
                      </w:rPr>
                      <w:instrText>HYPERLINK "https://www.fcc.gov/"</w:instrText>
                    </w:r>
                    <w:r w:rsidR="008E3597">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6"/>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CCE5AC5"/>
    <w:multiLevelType w:val="hybridMultilevel"/>
    <w:tmpl w:val="E9CA87EE"/>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B3F"/>
    <w:rsid w:val="00004A40"/>
    <w:rsid w:val="00014ED0"/>
    <w:rsid w:val="00036039"/>
    <w:rsid w:val="00037F90"/>
    <w:rsid w:val="000551D0"/>
    <w:rsid w:val="0007615C"/>
    <w:rsid w:val="000875BF"/>
    <w:rsid w:val="00096D8C"/>
    <w:rsid w:val="000A0745"/>
    <w:rsid w:val="000A7DDD"/>
    <w:rsid w:val="000C0B65"/>
    <w:rsid w:val="000E05FE"/>
    <w:rsid w:val="000E3A17"/>
    <w:rsid w:val="000E3D42"/>
    <w:rsid w:val="000E73E3"/>
    <w:rsid w:val="00106AF1"/>
    <w:rsid w:val="00122BD5"/>
    <w:rsid w:val="00124D59"/>
    <w:rsid w:val="00133F79"/>
    <w:rsid w:val="00136F7D"/>
    <w:rsid w:val="00194A66"/>
    <w:rsid w:val="00196664"/>
    <w:rsid w:val="001B5C8B"/>
    <w:rsid w:val="001D6BCF"/>
    <w:rsid w:val="001E01CA"/>
    <w:rsid w:val="0022609B"/>
    <w:rsid w:val="00275CF5"/>
    <w:rsid w:val="0028301F"/>
    <w:rsid w:val="00285017"/>
    <w:rsid w:val="002A2D2E"/>
    <w:rsid w:val="002B086B"/>
    <w:rsid w:val="002C00E8"/>
    <w:rsid w:val="00343749"/>
    <w:rsid w:val="003660ED"/>
    <w:rsid w:val="003A64E4"/>
    <w:rsid w:val="003B0550"/>
    <w:rsid w:val="003B694F"/>
    <w:rsid w:val="003F171C"/>
    <w:rsid w:val="00412FC5"/>
    <w:rsid w:val="00422276"/>
    <w:rsid w:val="004242F1"/>
    <w:rsid w:val="00433126"/>
    <w:rsid w:val="00445A00"/>
    <w:rsid w:val="00451B0F"/>
    <w:rsid w:val="0045728A"/>
    <w:rsid w:val="004725DF"/>
    <w:rsid w:val="00477D5B"/>
    <w:rsid w:val="00482D21"/>
    <w:rsid w:val="00484DF3"/>
    <w:rsid w:val="00494691"/>
    <w:rsid w:val="004C0D40"/>
    <w:rsid w:val="004C2EE3"/>
    <w:rsid w:val="004E4A22"/>
    <w:rsid w:val="00511968"/>
    <w:rsid w:val="0051650A"/>
    <w:rsid w:val="00545B3F"/>
    <w:rsid w:val="00550B9D"/>
    <w:rsid w:val="005557FB"/>
    <w:rsid w:val="0055614C"/>
    <w:rsid w:val="00567F11"/>
    <w:rsid w:val="005738DA"/>
    <w:rsid w:val="005D0FF6"/>
    <w:rsid w:val="005E14C2"/>
    <w:rsid w:val="006052C0"/>
    <w:rsid w:val="00607BA5"/>
    <w:rsid w:val="0061180A"/>
    <w:rsid w:val="00622876"/>
    <w:rsid w:val="00625862"/>
    <w:rsid w:val="00626EB6"/>
    <w:rsid w:val="006415B8"/>
    <w:rsid w:val="00641C91"/>
    <w:rsid w:val="006423F0"/>
    <w:rsid w:val="00655D03"/>
    <w:rsid w:val="006566C6"/>
    <w:rsid w:val="00661154"/>
    <w:rsid w:val="00661F63"/>
    <w:rsid w:val="006709F6"/>
    <w:rsid w:val="00683388"/>
    <w:rsid w:val="00683F84"/>
    <w:rsid w:val="006A1F49"/>
    <w:rsid w:val="006A6A81"/>
    <w:rsid w:val="006B1456"/>
    <w:rsid w:val="006D3D3E"/>
    <w:rsid w:val="006F7393"/>
    <w:rsid w:val="0070224F"/>
    <w:rsid w:val="007115F7"/>
    <w:rsid w:val="00713B49"/>
    <w:rsid w:val="00735419"/>
    <w:rsid w:val="00743BF0"/>
    <w:rsid w:val="00770021"/>
    <w:rsid w:val="00782FA3"/>
    <w:rsid w:val="00785689"/>
    <w:rsid w:val="0079754B"/>
    <w:rsid w:val="007A1E6D"/>
    <w:rsid w:val="007B0EB2"/>
    <w:rsid w:val="007D2E75"/>
    <w:rsid w:val="007F413A"/>
    <w:rsid w:val="00810B6F"/>
    <w:rsid w:val="00822CE0"/>
    <w:rsid w:val="00841AB1"/>
    <w:rsid w:val="00892321"/>
    <w:rsid w:val="008B006E"/>
    <w:rsid w:val="008C0855"/>
    <w:rsid w:val="008C68F1"/>
    <w:rsid w:val="008E3597"/>
    <w:rsid w:val="008E549D"/>
    <w:rsid w:val="008F633E"/>
    <w:rsid w:val="0091365D"/>
    <w:rsid w:val="00921803"/>
    <w:rsid w:val="00923695"/>
    <w:rsid w:val="00926503"/>
    <w:rsid w:val="009471EB"/>
    <w:rsid w:val="00965AE5"/>
    <w:rsid w:val="009709E5"/>
    <w:rsid w:val="009726D8"/>
    <w:rsid w:val="009B33D2"/>
    <w:rsid w:val="009F76DB"/>
    <w:rsid w:val="00A06C70"/>
    <w:rsid w:val="00A32C3B"/>
    <w:rsid w:val="00A45F4F"/>
    <w:rsid w:val="00A600A9"/>
    <w:rsid w:val="00AA55B7"/>
    <w:rsid w:val="00AA5B9E"/>
    <w:rsid w:val="00AB2407"/>
    <w:rsid w:val="00AB53DF"/>
    <w:rsid w:val="00AC424B"/>
    <w:rsid w:val="00AD5445"/>
    <w:rsid w:val="00AF46DC"/>
    <w:rsid w:val="00B07E5C"/>
    <w:rsid w:val="00B20363"/>
    <w:rsid w:val="00B27192"/>
    <w:rsid w:val="00B338A9"/>
    <w:rsid w:val="00B60E4A"/>
    <w:rsid w:val="00B679AB"/>
    <w:rsid w:val="00B76DB8"/>
    <w:rsid w:val="00B811F7"/>
    <w:rsid w:val="00B935AD"/>
    <w:rsid w:val="00BA20AF"/>
    <w:rsid w:val="00BA5DC6"/>
    <w:rsid w:val="00BA6196"/>
    <w:rsid w:val="00BC6D8C"/>
    <w:rsid w:val="00BF1B3B"/>
    <w:rsid w:val="00BF3BB6"/>
    <w:rsid w:val="00C157FF"/>
    <w:rsid w:val="00C2306B"/>
    <w:rsid w:val="00C31A8E"/>
    <w:rsid w:val="00C34006"/>
    <w:rsid w:val="00C41D6E"/>
    <w:rsid w:val="00C426B1"/>
    <w:rsid w:val="00C55699"/>
    <w:rsid w:val="00C66160"/>
    <w:rsid w:val="00C721AC"/>
    <w:rsid w:val="00C8108E"/>
    <w:rsid w:val="00C90D6A"/>
    <w:rsid w:val="00CA247E"/>
    <w:rsid w:val="00CC72B6"/>
    <w:rsid w:val="00CC776F"/>
    <w:rsid w:val="00CD75BA"/>
    <w:rsid w:val="00D0218D"/>
    <w:rsid w:val="00D25FB5"/>
    <w:rsid w:val="00D332C6"/>
    <w:rsid w:val="00D44223"/>
    <w:rsid w:val="00D47505"/>
    <w:rsid w:val="00D806F5"/>
    <w:rsid w:val="00DA2529"/>
    <w:rsid w:val="00DA71C6"/>
    <w:rsid w:val="00DB130A"/>
    <w:rsid w:val="00DB2EBB"/>
    <w:rsid w:val="00DC10A1"/>
    <w:rsid w:val="00DC655F"/>
    <w:rsid w:val="00DD0B59"/>
    <w:rsid w:val="00DD7EBD"/>
    <w:rsid w:val="00DE4C8D"/>
    <w:rsid w:val="00DF0810"/>
    <w:rsid w:val="00DF62B6"/>
    <w:rsid w:val="00E057AB"/>
    <w:rsid w:val="00E07225"/>
    <w:rsid w:val="00E355B9"/>
    <w:rsid w:val="00E377BF"/>
    <w:rsid w:val="00E51528"/>
    <w:rsid w:val="00E5409F"/>
    <w:rsid w:val="00E77B0F"/>
    <w:rsid w:val="00E83DC2"/>
    <w:rsid w:val="00E866D1"/>
    <w:rsid w:val="00EA3022"/>
    <w:rsid w:val="00EB4ACC"/>
    <w:rsid w:val="00EC2F48"/>
    <w:rsid w:val="00ED433A"/>
    <w:rsid w:val="00EE3739"/>
    <w:rsid w:val="00EE6488"/>
    <w:rsid w:val="00EF24BF"/>
    <w:rsid w:val="00F021FA"/>
    <w:rsid w:val="00F11366"/>
    <w:rsid w:val="00F5579B"/>
    <w:rsid w:val="00F56785"/>
    <w:rsid w:val="00F62E97"/>
    <w:rsid w:val="00F64209"/>
    <w:rsid w:val="00F65451"/>
    <w:rsid w:val="00F8591E"/>
    <w:rsid w:val="00F91E8B"/>
    <w:rsid w:val="00F92F55"/>
    <w:rsid w:val="00F93BF5"/>
    <w:rsid w:val="00FE2C64"/>
    <w:rsid w:val="00FE38F4"/>
    <w:rsid w:val="00FF404F"/>
    <w:rsid w:val="00FF5EBB"/>
    <w:rsid w:val="00FF6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fn"/>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Style 20,callou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rsid w:val="00B338A9"/>
    <w:rPr>
      <w:snapToGrid w:val="0"/>
      <w:kern w:val="28"/>
      <w:sz w:val="22"/>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rsid w:val="00F91E8B"/>
  </w:style>
  <w:style w:type="character" w:styleId="CommentReference">
    <w:name w:val="annotation reference"/>
    <w:basedOn w:val="DefaultParagraphFont"/>
    <w:rsid w:val="00DA71C6"/>
    <w:rPr>
      <w:sz w:val="16"/>
      <w:szCs w:val="16"/>
    </w:rPr>
  </w:style>
  <w:style w:type="paragraph" w:styleId="CommentText">
    <w:name w:val="annotation text"/>
    <w:basedOn w:val="Normal"/>
    <w:link w:val="CommentTextChar"/>
    <w:rsid w:val="00DA71C6"/>
    <w:rPr>
      <w:sz w:val="20"/>
    </w:rPr>
  </w:style>
  <w:style w:type="character" w:customStyle="1" w:styleId="CommentTextChar">
    <w:name w:val="Comment Text Char"/>
    <w:basedOn w:val="DefaultParagraphFont"/>
    <w:link w:val="CommentText"/>
    <w:rsid w:val="00DA71C6"/>
    <w:rPr>
      <w:snapToGrid w:val="0"/>
      <w:kern w:val="28"/>
    </w:rPr>
  </w:style>
  <w:style w:type="paragraph" w:styleId="CommentSubject">
    <w:name w:val="annotation subject"/>
    <w:basedOn w:val="CommentText"/>
    <w:next w:val="CommentText"/>
    <w:link w:val="CommentSubjectChar"/>
    <w:rsid w:val="00DA71C6"/>
    <w:rPr>
      <w:b/>
      <w:bCs/>
    </w:rPr>
  </w:style>
  <w:style w:type="character" w:customStyle="1" w:styleId="CommentSubjectChar">
    <w:name w:val="Comment Subject Char"/>
    <w:basedOn w:val="CommentTextChar"/>
    <w:link w:val="CommentSubject"/>
    <w:rsid w:val="00DA71C6"/>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fn"/>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Style 20,callou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rsid w:val="00B338A9"/>
    <w:rPr>
      <w:snapToGrid w:val="0"/>
      <w:kern w:val="28"/>
      <w:sz w:val="22"/>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rsid w:val="00F91E8B"/>
  </w:style>
  <w:style w:type="character" w:styleId="CommentReference">
    <w:name w:val="annotation reference"/>
    <w:basedOn w:val="DefaultParagraphFont"/>
    <w:rsid w:val="00DA71C6"/>
    <w:rPr>
      <w:sz w:val="16"/>
      <w:szCs w:val="16"/>
    </w:rPr>
  </w:style>
  <w:style w:type="paragraph" w:styleId="CommentText">
    <w:name w:val="annotation text"/>
    <w:basedOn w:val="Normal"/>
    <w:link w:val="CommentTextChar"/>
    <w:rsid w:val="00DA71C6"/>
    <w:rPr>
      <w:sz w:val="20"/>
    </w:rPr>
  </w:style>
  <w:style w:type="character" w:customStyle="1" w:styleId="CommentTextChar">
    <w:name w:val="Comment Text Char"/>
    <w:basedOn w:val="DefaultParagraphFont"/>
    <w:link w:val="CommentText"/>
    <w:rsid w:val="00DA71C6"/>
    <w:rPr>
      <w:snapToGrid w:val="0"/>
      <w:kern w:val="28"/>
    </w:rPr>
  </w:style>
  <w:style w:type="paragraph" w:styleId="CommentSubject">
    <w:name w:val="annotation subject"/>
    <w:basedOn w:val="CommentText"/>
    <w:next w:val="CommentText"/>
    <w:link w:val="CommentSubjectChar"/>
    <w:rsid w:val="00DA71C6"/>
    <w:rPr>
      <w:b/>
      <w:bCs/>
    </w:rPr>
  </w:style>
  <w:style w:type="character" w:customStyle="1" w:styleId="CommentSubjectChar">
    <w:name w:val="Comment Subject Char"/>
    <w:basedOn w:val="CommentTextChar"/>
    <w:link w:val="CommentSubject"/>
    <w:rsid w:val="00DA71C6"/>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5060</Characters>
  <Application>Microsoft Office Word</Application>
  <DocSecurity>0</DocSecurity>
  <Lines>88</Lines>
  <Paragraphs>22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5973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2017-11-02T17:15:00Z</cp:lastPrinted>
  <dcterms:created xsi:type="dcterms:W3CDTF">2017-11-03T14:22:00Z</dcterms:created>
  <dcterms:modified xsi:type="dcterms:W3CDTF">2017-11-03T14:22:00Z</dcterms:modified>
  <cp:category> </cp:category>
  <cp:contentStatus> </cp:contentStatus>
</cp:coreProperties>
</file>