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A57015" w14:textId="2FF54AE5" w:rsidR="00204CE3" w:rsidRDefault="004B395A" w:rsidP="004B395A">
      <w:pPr>
        <w:jc w:val="right"/>
        <w:rPr>
          <w:sz w:val="22"/>
          <w:szCs w:val="22"/>
        </w:rPr>
      </w:pPr>
      <w:bookmarkStart w:id="0" w:name="_GoBack"/>
      <w:bookmarkEnd w:id="0"/>
      <w:r>
        <w:rPr>
          <w:sz w:val="22"/>
          <w:szCs w:val="22"/>
        </w:rPr>
        <w:t>DA 17-</w:t>
      </w:r>
      <w:r w:rsidR="00C34A86">
        <w:rPr>
          <w:sz w:val="22"/>
          <w:szCs w:val="22"/>
        </w:rPr>
        <w:t>1083</w:t>
      </w:r>
    </w:p>
    <w:p w14:paraId="24C9B35E" w14:textId="77777777" w:rsidR="004B395A" w:rsidRDefault="004B395A" w:rsidP="004B395A">
      <w:pPr>
        <w:jc w:val="right"/>
        <w:rPr>
          <w:sz w:val="22"/>
          <w:szCs w:val="22"/>
        </w:rPr>
      </w:pPr>
    </w:p>
    <w:p w14:paraId="79451E3B" w14:textId="40AD69F2" w:rsidR="004B395A" w:rsidRDefault="009113E2" w:rsidP="004B395A">
      <w:pPr>
        <w:rPr>
          <w:sz w:val="22"/>
          <w:szCs w:val="22"/>
        </w:rPr>
      </w:pPr>
      <w:r>
        <w:rPr>
          <w:sz w:val="22"/>
          <w:szCs w:val="22"/>
        </w:rPr>
        <w:t xml:space="preserve">Kent </w:t>
      </w:r>
      <w:r w:rsidR="00B73E52">
        <w:rPr>
          <w:sz w:val="22"/>
          <w:szCs w:val="22"/>
        </w:rPr>
        <w:t>D. Bressie</w:t>
      </w:r>
    </w:p>
    <w:p w14:paraId="6B4ABAE8" w14:textId="30A4239F" w:rsidR="00B73E52" w:rsidRDefault="00B73E52" w:rsidP="004B395A">
      <w:pPr>
        <w:rPr>
          <w:sz w:val="22"/>
          <w:szCs w:val="22"/>
        </w:rPr>
      </w:pPr>
      <w:r>
        <w:rPr>
          <w:sz w:val="22"/>
          <w:szCs w:val="22"/>
        </w:rPr>
        <w:t>Harris, Wiltshire &amp; Grannis LLP</w:t>
      </w:r>
    </w:p>
    <w:p w14:paraId="23F76730" w14:textId="49923A52" w:rsidR="00B73E52" w:rsidRDefault="00B73E52" w:rsidP="004B395A">
      <w:pPr>
        <w:rPr>
          <w:sz w:val="22"/>
          <w:szCs w:val="22"/>
        </w:rPr>
      </w:pPr>
      <w:r>
        <w:rPr>
          <w:sz w:val="22"/>
          <w:szCs w:val="22"/>
        </w:rPr>
        <w:t>1919 M Street, NW, Suite 800</w:t>
      </w:r>
    </w:p>
    <w:p w14:paraId="1142025A" w14:textId="204B66C7" w:rsidR="00B73E52" w:rsidRPr="00B73E52" w:rsidRDefault="00B73E52" w:rsidP="004B395A">
      <w:pPr>
        <w:rPr>
          <w:sz w:val="22"/>
          <w:szCs w:val="22"/>
        </w:rPr>
      </w:pPr>
      <w:r>
        <w:rPr>
          <w:sz w:val="22"/>
          <w:szCs w:val="22"/>
        </w:rPr>
        <w:t>Washington, DC 20036</w:t>
      </w:r>
    </w:p>
    <w:p w14:paraId="6BA5B2FE" w14:textId="77777777" w:rsidR="004B395A" w:rsidRDefault="004B395A" w:rsidP="004B395A">
      <w:pPr>
        <w:rPr>
          <w:sz w:val="22"/>
          <w:szCs w:val="22"/>
        </w:rPr>
      </w:pPr>
    </w:p>
    <w:p w14:paraId="4ED0BA53" w14:textId="77777777" w:rsidR="004B395A" w:rsidRDefault="004B395A" w:rsidP="004B395A">
      <w:pPr>
        <w:rPr>
          <w:b/>
          <w:sz w:val="22"/>
          <w:szCs w:val="22"/>
        </w:rPr>
      </w:pPr>
      <w:r>
        <w:rPr>
          <w:b/>
          <w:sz w:val="22"/>
          <w:szCs w:val="22"/>
        </w:rPr>
        <w:t>RE:  Request for Waiver of Interim and Final Geographic Construction Benchmarks for Lower 700 MHz Band A and B Bl</w:t>
      </w:r>
      <w:r w:rsidR="00381B9B">
        <w:rPr>
          <w:b/>
          <w:sz w:val="22"/>
          <w:szCs w:val="22"/>
        </w:rPr>
        <w:t>ock Licenses WQJQ800 and WQOU67</w:t>
      </w:r>
      <w:r>
        <w:rPr>
          <w:b/>
          <w:sz w:val="22"/>
          <w:szCs w:val="22"/>
        </w:rPr>
        <w:t>4 in American Samoa</w:t>
      </w:r>
    </w:p>
    <w:p w14:paraId="3888EC54" w14:textId="77777777" w:rsidR="004B395A" w:rsidRDefault="004B395A" w:rsidP="004B395A">
      <w:pPr>
        <w:rPr>
          <w:b/>
          <w:sz w:val="22"/>
          <w:szCs w:val="22"/>
        </w:rPr>
      </w:pPr>
    </w:p>
    <w:p w14:paraId="77DF14C0" w14:textId="71D9384B" w:rsidR="004B395A" w:rsidRDefault="004B395A" w:rsidP="004B395A">
      <w:pPr>
        <w:rPr>
          <w:sz w:val="22"/>
          <w:szCs w:val="22"/>
        </w:rPr>
      </w:pPr>
      <w:r>
        <w:rPr>
          <w:sz w:val="22"/>
          <w:szCs w:val="22"/>
        </w:rPr>
        <w:t xml:space="preserve">Dear Mr. </w:t>
      </w:r>
      <w:r w:rsidR="00B73E52">
        <w:rPr>
          <w:sz w:val="22"/>
          <w:szCs w:val="22"/>
        </w:rPr>
        <w:t>Bressie</w:t>
      </w:r>
      <w:r>
        <w:rPr>
          <w:sz w:val="22"/>
          <w:szCs w:val="22"/>
        </w:rPr>
        <w:t>:</w:t>
      </w:r>
    </w:p>
    <w:p w14:paraId="442BF978" w14:textId="77777777" w:rsidR="004B395A" w:rsidRDefault="004B395A" w:rsidP="004B395A">
      <w:pPr>
        <w:rPr>
          <w:sz w:val="22"/>
          <w:szCs w:val="22"/>
        </w:rPr>
      </w:pPr>
    </w:p>
    <w:p w14:paraId="660E43D6" w14:textId="10CCFCB6" w:rsidR="004B395A" w:rsidRDefault="004B395A" w:rsidP="004B395A">
      <w:pPr>
        <w:rPr>
          <w:sz w:val="22"/>
          <w:szCs w:val="22"/>
        </w:rPr>
      </w:pPr>
      <w:r>
        <w:rPr>
          <w:sz w:val="22"/>
          <w:szCs w:val="22"/>
        </w:rPr>
        <w:tab/>
        <w:t>This letter addresses the above referenced requests for waiver of the interim and final construction requirements filed by AST Telecom, LLC d/b/a Bluesky (Bluesky)</w:t>
      </w:r>
      <w:r w:rsidR="00381B9B">
        <w:rPr>
          <w:sz w:val="22"/>
          <w:szCs w:val="22"/>
        </w:rPr>
        <w:t xml:space="preserve"> with respect to two of its licenses in American Samoa</w:t>
      </w:r>
      <w:r>
        <w:rPr>
          <w:sz w:val="22"/>
          <w:szCs w:val="22"/>
        </w:rPr>
        <w:t>.</w:t>
      </w:r>
      <w:r w:rsidR="00381B9B">
        <w:rPr>
          <w:rStyle w:val="FootnoteReference"/>
          <w:sz w:val="22"/>
          <w:szCs w:val="22"/>
        </w:rPr>
        <w:footnoteReference w:id="1"/>
      </w:r>
      <w:r w:rsidR="00381B9B">
        <w:rPr>
          <w:sz w:val="22"/>
          <w:szCs w:val="22"/>
        </w:rPr>
        <w:t xml:space="preserve">  For the reasons </w:t>
      </w:r>
      <w:r w:rsidR="005B7DC1">
        <w:rPr>
          <w:sz w:val="22"/>
          <w:szCs w:val="22"/>
        </w:rPr>
        <w:t>and to the extent described</w:t>
      </w:r>
      <w:r w:rsidR="00381B9B">
        <w:rPr>
          <w:sz w:val="22"/>
          <w:szCs w:val="22"/>
        </w:rPr>
        <w:t xml:space="preserve"> below,</w:t>
      </w:r>
      <w:r w:rsidR="000823CE">
        <w:rPr>
          <w:sz w:val="22"/>
          <w:szCs w:val="22"/>
        </w:rPr>
        <w:t xml:space="preserve"> we</w:t>
      </w:r>
      <w:r w:rsidR="00381B9B">
        <w:rPr>
          <w:sz w:val="22"/>
          <w:szCs w:val="22"/>
        </w:rPr>
        <w:t xml:space="preserve"> hereby </w:t>
      </w:r>
      <w:r w:rsidR="00314925">
        <w:rPr>
          <w:sz w:val="22"/>
          <w:szCs w:val="22"/>
        </w:rPr>
        <w:t>(1)</w:t>
      </w:r>
      <w:r w:rsidR="00350160">
        <w:rPr>
          <w:sz w:val="22"/>
          <w:szCs w:val="22"/>
        </w:rPr>
        <w:t xml:space="preserve"> grant Bluesky’s request for </w:t>
      </w:r>
      <w:r w:rsidR="00314925">
        <w:rPr>
          <w:sz w:val="22"/>
          <w:szCs w:val="22"/>
        </w:rPr>
        <w:t>waiver of the interim construction benchmark, and (2) den</w:t>
      </w:r>
      <w:r w:rsidR="000823CE">
        <w:rPr>
          <w:sz w:val="22"/>
          <w:szCs w:val="22"/>
        </w:rPr>
        <w:t>y</w:t>
      </w:r>
      <w:r w:rsidR="00314925">
        <w:rPr>
          <w:sz w:val="22"/>
          <w:szCs w:val="22"/>
        </w:rPr>
        <w:t xml:space="preserve"> Blu</w:t>
      </w:r>
      <w:r w:rsidR="00350160">
        <w:rPr>
          <w:sz w:val="22"/>
          <w:szCs w:val="22"/>
        </w:rPr>
        <w:t xml:space="preserve">esky’s request for </w:t>
      </w:r>
      <w:r w:rsidR="00314925">
        <w:rPr>
          <w:sz w:val="22"/>
          <w:szCs w:val="22"/>
        </w:rPr>
        <w:t xml:space="preserve">waiver of the final construction benchmark.  We find that grant of a </w:t>
      </w:r>
      <w:r w:rsidR="00320C96">
        <w:rPr>
          <w:sz w:val="22"/>
          <w:szCs w:val="22"/>
        </w:rPr>
        <w:t xml:space="preserve">temporary </w:t>
      </w:r>
      <w:r w:rsidR="00314925">
        <w:rPr>
          <w:sz w:val="22"/>
          <w:szCs w:val="22"/>
        </w:rPr>
        <w:t>waiver of Section 27.14(g)(1)</w:t>
      </w:r>
      <w:r w:rsidR="00320C96">
        <w:rPr>
          <w:sz w:val="22"/>
          <w:szCs w:val="22"/>
        </w:rPr>
        <w:t>’s</w:t>
      </w:r>
      <w:r w:rsidR="00314925">
        <w:rPr>
          <w:sz w:val="22"/>
          <w:szCs w:val="22"/>
        </w:rPr>
        <w:t xml:space="preserve"> interim construction deadline will serve the</w:t>
      </w:r>
      <w:r w:rsidR="00730E2A">
        <w:rPr>
          <w:sz w:val="22"/>
          <w:szCs w:val="22"/>
        </w:rPr>
        <w:t xml:space="preserve"> underlying</w:t>
      </w:r>
      <w:r w:rsidR="00314925">
        <w:rPr>
          <w:sz w:val="22"/>
          <w:szCs w:val="22"/>
        </w:rPr>
        <w:t xml:space="preserve"> </w:t>
      </w:r>
      <w:r w:rsidR="00730E2A">
        <w:rPr>
          <w:sz w:val="22"/>
          <w:szCs w:val="22"/>
        </w:rPr>
        <w:t>purpose of the Commission’s rules</w:t>
      </w:r>
      <w:r w:rsidR="00314925">
        <w:rPr>
          <w:sz w:val="22"/>
          <w:szCs w:val="22"/>
        </w:rPr>
        <w:t xml:space="preserve"> by facilitating deployment of advanced wireless services to the citizens of American Samoa.  However, </w:t>
      </w:r>
      <w:r w:rsidR="00730E2A">
        <w:rPr>
          <w:sz w:val="22"/>
          <w:szCs w:val="22"/>
        </w:rPr>
        <w:t xml:space="preserve">for the reasons stated below, </w:t>
      </w:r>
      <w:r w:rsidR="00314925">
        <w:rPr>
          <w:sz w:val="22"/>
          <w:szCs w:val="22"/>
        </w:rPr>
        <w:t>we find that the record before us</w:t>
      </w:r>
      <w:r w:rsidR="00730E2A">
        <w:rPr>
          <w:sz w:val="22"/>
          <w:szCs w:val="22"/>
        </w:rPr>
        <w:t xml:space="preserve"> does not support Bluesky’s request for waiver of the final construction requirement and that the public interest is best served by strict application of Section 27.14(g)(2) of the Commission’s rules.</w:t>
      </w:r>
    </w:p>
    <w:p w14:paraId="4C4D6160" w14:textId="77777777" w:rsidR="00730E2A" w:rsidRDefault="00730E2A" w:rsidP="004B395A">
      <w:pPr>
        <w:rPr>
          <w:sz w:val="22"/>
          <w:szCs w:val="22"/>
        </w:rPr>
      </w:pPr>
    </w:p>
    <w:p w14:paraId="4F9D8AA6" w14:textId="77777777" w:rsidR="00A0686B" w:rsidRPr="00A0686B" w:rsidRDefault="00A0686B" w:rsidP="004B395A">
      <w:pPr>
        <w:rPr>
          <w:b/>
          <w:sz w:val="22"/>
          <w:szCs w:val="22"/>
        </w:rPr>
      </w:pPr>
      <w:r>
        <w:rPr>
          <w:b/>
          <w:sz w:val="22"/>
          <w:szCs w:val="22"/>
        </w:rPr>
        <w:t>I.</w:t>
      </w:r>
      <w:r>
        <w:rPr>
          <w:b/>
          <w:sz w:val="22"/>
          <w:szCs w:val="22"/>
        </w:rPr>
        <w:tab/>
        <w:t>BACKGROUND</w:t>
      </w:r>
    </w:p>
    <w:p w14:paraId="69DCD5EC" w14:textId="77777777" w:rsidR="00A0686B" w:rsidRDefault="00A0686B" w:rsidP="004B395A">
      <w:pPr>
        <w:rPr>
          <w:sz w:val="22"/>
          <w:szCs w:val="22"/>
        </w:rPr>
      </w:pPr>
    </w:p>
    <w:p w14:paraId="5807B3D9" w14:textId="434BC67D" w:rsidR="00730E2A" w:rsidRDefault="006B10B6" w:rsidP="00A0686B">
      <w:pPr>
        <w:ind w:firstLine="720"/>
        <w:rPr>
          <w:sz w:val="22"/>
          <w:szCs w:val="22"/>
        </w:rPr>
      </w:pPr>
      <w:r w:rsidRPr="006B10B6">
        <w:rPr>
          <w:sz w:val="22"/>
          <w:szCs w:val="22"/>
        </w:rPr>
        <w:t xml:space="preserve">In the </w:t>
      </w:r>
      <w:r w:rsidRPr="006B10B6">
        <w:rPr>
          <w:i/>
          <w:sz w:val="22"/>
          <w:szCs w:val="22"/>
        </w:rPr>
        <w:t>700 MHz Second Report and Order</w:t>
      </w:r>
      <w:r w:rsidRPr="006B10B6">
        <w:rPr>
          <w:sz w:val="22"/>
          <w:szCs w:val="22"/>
        </w:rPr>
        <w:t>,</w:t>
      </w:r>
      <w:r w:rsidRPr="006B10B6">
        <w:rPr>
          <w:i/>
          <w:sz w:val="22"/>
          <w:szCs w:val="22"/>
        </w:rPr>
        <w:t xml:space="preserve"> </w:t>
      </w:r>
      <w:r w:rsidRPr="006B10B6">
        <w:rPr>
          <w:sz w:val="22"/>
          <w:szCs w:val="22"/>
        </w:rPr>
        <w:t>the Commission adopted interim and end-of-license term construction benchmarks for certain 700 MHz band licensees.</w:t>
      </w:r>
      <w:r w:rsidRPr="006B10B6">
        <w:rPr>
          <w:sz w:val="22"/>
          <w:szCs w:val="22"/>
          <w:vertAlign w:val="superscript"/>
        </w:rPr>
        <w:footnoteReference w:id="2"/>
      </w:r>
      <w:r w:rsidRPr="006B10B6">
        <w:rPr>
          <w:sz w:val="22"/>
          <w:szCs w:val="22"/>
        </w:rPr>
        <w:t xml:space="preserve">  The Commission</w:t>
      </w:r>
      <w:r w:rsidR="001C39AB">
        <w:rPr>
          <w:sz w:val="22"/>
          <w:szCs w:val="22"/>
        </w:rPr>
        <w:t>’s</w:t>
      </w:r>
      <w:r w:rsidRPr="006B10B6">
        <w:rPr>
          <w:sz w:val="22"/>
          <w:szCs w:val="22"/>
        </w:rPr>
        <w:t xml:space="preserve"> </w:t>
      </w:r>
      <w:r w:rsidR="00552C09">
        <w:rPr>
          <w:sz w:val="22"/>
          <w:szCs w:val="22"/>
        </w:rPr>
        <w:t>rules for</w:t>
      </w:r>
      <w:r w:rsidRPr="006B10B6">
        <w:rPr>
          <w:sz w:val="22"/>
          <w:szCs w:val="22"/>
        </w:rPr>
        <w:t xml:space="preserve"> </w:t>
      </w:r>
      <w:r w:rsidR="00F31379">
        <w:rPr>
          <w:sz w:val="22"/>
          <w:szCs w:val="22"/>
        </w:rPr>
        <w:t xml:space="preserve">the </w:t>
      </w:r>
      <w:r w:rsidRPr="006B10B6">
        <w:rPr>
          <w:sz w:val="22"/>
          <w:szCs w:val="22"/>
        </w:rPr>
        <w:t>Lower 700 MHz band A and B Block</w:t>
      </w:r>
      <w:r w:rsidR="00552C09">
        <w:rPr>
          <w:sz w:val="22"/>
          <w:szCs w:val="22"/>
        </w:rPr>
        <w:t xml:space="preserve"> </w:t>
      </w:r>
      <w:r w:rsidR="005B7DC1">
        <w:rPr>
          <w:sz w:val="22"/>
          <w:szCs w:val="22"/>
        </w:rPr>
        <w:t>require</w:t>
      </w:r>
      <w:r w:rsidRPr="006B10B6">
        <w:rPr>
          <w:sz w:val="22"/>
          <w:szCs w:val="22"/>
        </w:rPr>
        <w:t xml:space="preserve"> licensees to provide signal coverage and offer service over at least 35 percent of </w:t>
      </w:r>
      <w:r w:rsidR="00FF42DC">
        <w:rPr>
          <w:sz w:val="22"/>
          <w:szCs w:val="22"/>
        </w:rPr>
        <w:t>the geographic area of their license</w:t>
      </w:r>
      <w:r w:rsidR="005B7DC1">
        <w:rPr>
          <w:sz w:val="22"/>
          <w:szCs w:val="22"/>
        </w:rPr>
        <w:t xml:space="preserve"> at the interim construction deadline</w:t>
      </w:r>
      <w:r w:rsidRPr="006B10B6">
        <w:rPr>
          <w:sz w:val="22"/>
          <w:szCs w:val="22"/>
        </w:rPr>
        <w:t>,</w:t>
      </w:r>
      <w:r w:rsidRPr="006B10B6">
        <w:rPr>
          <w:sz w:val="22"/>
          <w:szCs w:val="22"/>
          <w:vertAlign w:val="superscript"/>
        </w:rPr>
        <w:footnoteReference w:id="3"/>
      </w:r>
      <w:r w:rsidRPr="006B10B6">
        <w:rPr>
          <w:sz w:val="22"/>
          <w:szCs w:val="22"/>
        </w:rPr>
        <w:t xml:space="preserve"> and to provide signal coverage and offer service over at least 70 percent of </w:t>
      </w:r>
      <w:r w:rsidR="00FF42DC">
        <w:rPr>
          <w:sz w:val="22"/>
          <w:szCs w:val="22"/>
        </w:rPr>
        <w:t>the geographic</w:t>
      </w:r>
      <w:r w:rsidRPr="006B10B6">
        <w:rPr>
          <w:sz w:val="22"/>
          <w:szCs w:val="22"/>
        </w:rPr>
        <w:t xml:space="preserve"> area</w:t>
      </w:r>
      <w:r w:rsidR="00FF42DC">
        <w:rPr>
          <w:sz w:val="22"/>
          <w:szCs w:val="22"/>
        </w:rPr>
        <w:t xml:space="preserve"> of the </w:t>
      </w:r>
      <w:r w:rsidR="001E6E4E">
        <w:rPr>
          <w:sz w:val="22"/>
          <w:szCs w:val="22"/>
        </w:rPr>
        <w:t>license</w:t>
      </w:r>
      <w:r w:rsidRPr="006B10B6">
        <w:rPr>
          <w:sz w:val="22"/>
          <w:szCs w:val="22"/>
        </w:rPr>
        <w:t xml:space="preserve"> by the </w:t>
      </w:r>
      <w:r w:rsidR="005B7DC1">
        <w:rPr>
          <w:sz w:val="22"/>
          <w:szCs w:val="22"/>
        </w:rPr>
        <w:t>final construction deadline</w:t>
      </w:r>
      <w:r w:rsidR="00552C09">
        <w:rPr>
          <w:sz w:val="22"/>
          <w:szCs w:val="22"/>
        </w:rPr>
        <w:t>.</w:t>
      </w:r>
      <w:r w:rsidRPr="006B10B6">
        <w:rPr>
          <w:sz w:val="22"/>
          <w:szCs w:val="22"/>
          <w:vertAlign w:val="superscript"/>
        </w:rPr>
        <w:footnoteReference w:id="4"/>
      </w:r>
      <w:r w:rsidRPr="006B10B6">
        <w:rPr>
          <w:sz w:val="22"/>
          <w:szCs w:val="22"/>
        </w:rPr>
        <w:t xml:space="preserve">  Section 27.14(g)(1) provides that if a licensee does not satisfy the </w:t>
      </w:r>
      <w:r w:rsidR="005B7DC1">
        <w:rPr>
          <w:sz w:val="22"/>
          <w:szCs w:val="22"/>
        </w:rPr>
        <w:t>interim construction benchmark</w:t>
      </w:r>
      <w:r w:rsidRPr="006B10B6">
        <w:rPr>
          <w:sz w:val="22"/>
          <w:szCs w:val="22"/>
        </w:rPr>
        <w:t xml:space="preserve">, its license term will be reduced by two years, thereby requiring it to meet the </w:t>
      </w:r>
      <w:r w:rsidR="005B7DC1">
        <w:rPr>
          <w:sz w:val="22"/>
          <w:szCs w:val="22"/>
        </w:rPr>
        <w:t>final construction benchmark</w:t>
      </w:r>
      <w:r w:rsidRPr="006B10B6">
        <w:rPr>
          <w:sz w:val="22"/>
          <w:szCs w:val="22"/>
        </w:rPr>
        <w:t xml:space="preserve"> two years sooner.</w:t>
      </w:r>
      <w:r w:rsidRPr="006B10B6">
        <w:rPr>
          <w:sz w:val="22"/>
          <w:szCs w:val="22"/>
          <w:vertAlign w:val="superscript"/>
        </w:rPr>
        <w:footnoteReference w:id="5"/>
      </w:r>
      <w:r w:rsidRPr="006B10B6">
        <w:rPr>
          <w:sz w:val="22"/>
          <w:szCs w:val="22"/>
        </w:rPr>
        <w:t xml:space="preserve">  Further, if a licensee does not meet its </w:t>
      </w:r>
      <w:r w:rsidR="005B7DC1">
        <w:rPr>
          <w:sz w:val="22"/>
          <w:szCs w:val="22"/>
        </w:rPr>
        <w:t>final construction benchmark</w:t>
      </w:r>
      <w:r w:rsidRPr="006B10B6">
        <w:rPr>
          <w:sz w:val="22"/>
          <w:szCs w:val="22"/>
        </w:rPr>
        <w:t xml:space="preserve">, it will be subject to a “keep-what-you-serve” rule, whereby its “authorization </w:t>
      </w:r>
      <w:r w:rsidRPr="006B10B6">
        <w:rPr>
          <w:sz w:val="22"/>
          <w:szCs w:val="22"/>
        </w:rPr>
        <w:lastRenderedPageBreak/>
        <w:t>will terminate automatically without Commission action for those geographic portions of its license in which the licensee is not providing service, and those unserved areas will become available for reassignment by the Commission.”</w:t>
      </w:r>
      <w:r w:rsidRPr="006B10B6">
        <w:rPr>
          <w:sz w:val="22"/>
          <w:szCs w:val="22"/>
          <w:vertAlign w:val="superscript"/>
        </w:rPr>
        <w:footnoteReference w:id="6"/>
      </w:r>
    </w:p>
    <w:p w14:paraId="3A8B6200" w14:textId="77777777" w:rsidR="00152C02" w:rsidRDefault="00152C02" w:rsidP="004B395A">
      <w:pPr>
        <w:rPr>
          <w:sz w:val="22"/>
          <w:szCs w:val="22"/>
        </w:rPr>
      </w:pPr>
    </w:p>
    <w:p w14:paraId="103B6F7F" w14:textId="093CCD57" w:rsidR="00152C02" w:rsidRDefault="00152C02" w:rsidP="004B395A">
      <w:pPr>
        <w:rPr>
          <w:sz w:val="22"/>
          <w:szCs w:val="22"/>
        </w:rPr>
      </w:pPr>
      <w:r>
        <w:rPr>
          <w:sz w:val="22"/>
          <w:szCs w:val="22"/>
        </w:rPr>
        <w:tab/>
      </w:r>
      <w:r w:rsidR="00110409">
        <w:rPr>
          <w:sz w:val="22"/>
          <w:szCs w:val="22"/>
        </w:rPr>
        <w:t xml:space="preserve">Bluesky holds </w:t>
      </w:r>
      <w:r w:rsidR="00BE0BEE">
        <w:rPr>
          <w:sz w:val="22"/>
          <w:szCs w:val="22"/>
        </w:rPr>
        <w:t>the</w:t>
      </w:r>
      <w:r w:rsidR="00110409">
        <w:rPr>
          <w:sz w:val="22"/>
          <w:szCs w:val="22"/>
        </w:rPr>
        <w:t xml:space="preserve"> Lower 700 MHz</w:t>
      </w:r>
      <w:r w:rsidR="00BE0BEE">
        <w:rPr>
          <w:sz w:val="22"/>
          <w:szCs w:val="22"/>
        </w:rPr>
        <w:t xml:space="preserve"> A and B Block licenses in American Samoa, which are coextensive and cover the area of the American Samoa territory.  Bluesky acquired the A Block license – WQJQ800 – at auction in 2008,</w:t>
      </w:r>
      <w:r w:rsidR="00BE0BEE">
        <w:rPr>
          <w:rStyle w:val="FootnoteReference"/>
          <w:sz w:val="22"/>
          <w:szCs w:val="22"/>
        </w:rPr>
        <w:footnoteReference w:id="7"/>
      </w:r>
      <w:r w:rsidR="00BE0BEE">
        <w:rPr>
          <w:sz w:val="22"/>
          <w:szCs w:val="22"/>
        </w:rPr>
        <w:t xml:space="preserve"> and the B Block license – WQOU674 – through assignment from Club 42CM Limited Partnership, which was consummated on January 25, 2017.</w:t>
      </w:r>
      <w:r w:rsidR="00922151">
        <w:rPr>
          <w:rStyle w:val="FootnoteReference"/>
          <w:sz w:val="22"/>
          <w:szCs w:val="22"/>
        </w:rPr>
        <w:footnoteReference w:id="8"/>
      </w:r>
      <w:r w:rsidR="00552C09">
        <w:rPr>
          <w:sz w:val="22"/>
          <w:szCs w:val="22"/>
        </w:rPr>
        <w:t xml:space="preserve">  </w:t>
      </w:r>
      <w:r w:rsidR="00F4383A">
        <w:rPr>
          <w:sz w:val="22"/>
          <w:szCs w:val="22"/>
        </w:rPr>
        <w:t xml:space="preserve">Following the extensions granted by the Commission in the </w:t>
      </w:r>
      <w:r w:rsidR="00F4383A" w:rsidRPr="00F4383A">
        <w:rPr>
          <w:i/>
          <w:sz w:val="22"/>
          <w:szCs w:val="22"/>
        </w:rPr>
        <w:t>Interoperability Order</w:t>
      </w:r>
      <w:r w:rsidR="00F4383A">
        <w:rPr>
          <w:sz w:val="22"/>
          <w:szCs w:val="22"/>
        </w:rPr>
        <w:t>, b</w:t>
      </w:r>
      <w:r w:rsidR="00F4383A" w:rsidRPr="00F4383A">
        <w:rPr>
          <w:sz w:val="22"/>
          <w:szCs w:val="22"/>
        </w:rPr>
        <w:t>oth</w:t>
      </w:r>
      <w:r w:rsidR="00F4383A">
        <w:rPr>
          <w:sz w:val="22"/>
          <w:szCs w:val="22"/>
        </w:rPr>
        <w:t xml:space="preserve"> licenses had an interim construction deadline of December 13, 2016.</w:t>
      </w:r>
      <w:r w:rsidR="004306A0">
        <w:rPr>
          <w:rStyle w:val="FootnoteReference"/>
          <w:sz w:val="22"/>
          <w:szCs w:val="22"/>
        </w:rPr>
        <w:footnoteReference w:id="9"/>
      </w:r>
      <w:r w:rsidR="00F4383A">
        <w:rPr>
          <w:sz w:val="22"/>
          <w:szCs w:val="22"/>
        </w:rPr>
        <w:t xml:space="preserve">  </w:t>
      </w:r>
      <w:r w:rsidR="00552C09">
        <w:rPr>
          <w:sz w:val="22"/>
          <w:szCs w:val="22"/>
        </w:rPr>
        <w:t>The A Block license ha</w:t>
      </w:r>
      <w:r w:rsidR="004306A0">
        <w:rPr>
          <w:sz w:val="22"/>
          <w:szCs w:val="22"/>
        </w:rPr>
        <w:t>s</w:t>
      </w:r>
      <w:r w:rsidR="00552C09">
        <w:rPr>
          <w:sz w:val="22"/>
          <w:szCs w:val="22"/>
        </w:rPr>
        <w:t xml:space="preserve"> a final construction deadline of June 13, 2019</w:t>
      </w:r>
      <w:r w:rsidR="00F4383A">
        <w:rPr>
          <w:sz w:val="22"/>
          <w:szCs w:val="22"/>
        </w:rPr>
        <w:t xml:space="preserve"> and</w:t>
      </w:r>
      <w:r w:rsidR="00552C09">
        <w:rPr>
          <w:sz w:val="22"/>
          <w:szCs w:val="22"/>
        </w:rPr>
        <w:t xml:space="preserve"> the B Block license ha</w:t>
      </w:r>
      <w:r w:rsidR="004306A0">
        <w:rPr>
          <w:sz w:val="22"/>
          <w:szCs w:val="22"/>
        </w:rPr>
        <w:t>s</w:t>
      </w:r>
      <w:r w:rsidR="00552C09">
        <w:rPr>
          <w:sz w:val="22"/>
          <w:szCs w:val="22"/>
        </w:rPr>
        <w:t xml:space="preserve"> </w:t>
      </w:r>
      <w:r w:rsidR="00F4383A">
        <w:rPr>
          <w:sz w:val="22"/>
          <w:szCs w:val="22"/>
        </w:rPr>
        <w:t>a final construction deadline of February 3, 2022.</w:t>
      </w:r>
      <w:r w:rsidR="00C85FA6">
        <w:rPr>
          <w:rStyle w:val="FootnoteReference"/>
          <w:sz w:val="22"/>
          <w:szCs w:val="22"/>
        </w:rPr>
        <w:footnoteReference w:id="10"/>
      </w:r>
      <w:r w:rsidR="00F4383A">
        <w:rPr>
          <w:sz w:val="22"/>
          <w:szCs w:val="22"/>
        </w:rPr>
        <w:t xml:space="preserve">  </w:t>
      </w:r>
    </w:p>
    <w:p w14:paraId="53311847" w14:textId="77777777" w:rsidR="00FB4A0F" w:rsidRDefault="00FB4A0F" w:rsidP="004B395A">
      <w:pPr>
        <w:rPr>
          <w:sz w:val="22"/>
          <w:szCs w:val="22"/>
        </w:rPr>
      </w:pPr>
    </w:p>
    <w:p w14:paraId="1D7D3E07" w14:textId="33A74716" w:rsidR="00FB4A0F" w:rsidRDefault="00FB4A0F" w:rsidP="004B395A">
      <w:pPr>
        <w:rPr>
          <w:sz w:val="22"/>
          <w:szCs w:val="22"/>
        </w:rPr>
      </w:pPr>
      <w:r>
        <w:rPr>
          <w:sz w:val="22"/>
          <w:szCs w:val="22"/>
        </w:rPr>
        <w:tab/>
        <w:t xml:space="preserve">Prior to the December 13, 2016 interim construction deadline, Bluesky filed requests for extension of time until January 27, 2017 to meet the interim construction requirements for both licenses, </w:t>
      </w:r>
      <w:r w:rsidR="001E3CA0">
        <w:rPr>
          <w:sz w:val="22"/>
          <w:szCs w:val="22"/>
        </w:rPr>
        <w:t xml:space="preserve">citing a delay in shipment from its equipment manufacturer, </w:t>
      </w:r>
      <w:r>
        <w:rPr>
          <w:sz w:val="22"/>
          <w:szCs w:val="22"/>
        </w:rPr>
        <w:t xml:space="preserve">which the </w:t>
      </w:r>
      <w:r w:rsidR="00380244">
        <w:rPr>
          <w:sz w:val="22"/>
          <w:szCs w:val="22"/>
        </w:rPr>
        <w:t xml:space="preserve">Mobility </w:t>
      </w:r>
      <w:r>
        <w:rPr>
          <w:sz w:val="22"/>
          <w:szCs w:val="22"/>
        </w:rPr>
        <w:t>Division</w:t>
      </w:r>
      <w:r w:rsidR="00380244">
        <w:rPr>
          <w:sz w:val="22"/>
          <w:szCs w:val="22"/>
        </w:rPr>
        <w:t xml:space="preserve"> (Division)</w:t>
      </w:r>
      <w:r>
        <w:rPr>
          <w:sz w:val="22"/>
          <w:szCs w:val="22"/>
        </w:rPr>
        <w:t xml:space="preserve"> </w:t>
      </w:r>
      <w:r w:rsidR="00B73E52">
        <w:rPr>
          <w:sz w:val="22"/>
          <w:szCs w:val="22"/>
        </w:rPr>
        <w:t>of the Wireless Telecommunications Bureau (Bureau)</w:t>
      </w:r>
      <w:r w:rsidR="00712C64">
        <w:rPr>
          <w:sz w:val="22"/>
          <w:szCs w:val="22"/>
        </w:rPr>
        <w:t xml:space="preserve"> </w:t>
      </w:r>
      <w:r>
        <w:rPr>
          <w:sz w:val="22"/>
          <w:szCs w:val="22"/>
        </w:rPr>
        <w:t>granted on December 14, 2016.</w:t>
      </w:r>
      <w:r>
        <w:rPr>
          <w:rStyle w:val="FootnoteReference"/>
          <w:sz w:val="22"/>
          <w:szCs w:val="22"/>
        </w:rPr>
        <w:footnoteReference w:id="11"/>
      </w:r>
      <w:r w:rsidR="004D41A4">
        <w:rPr>
          <w:sz w:val="22"/>
          <w:szCs w:val="22"/>
        </w:rPr>
        <w:t xml:space="preserve">  Bluesky filed timely construction notifications for both licenses, claiming to meet the 35 percent geographic coverage requirement.</w:t>
      </w:r>
      <w:r w:rsidR="004306A0">
        <w:rPr>
          <w:rStyle w:val="FootnoteReference"/>
          <w:sz w:val="22"/>
          <w:szCs w:val="22"/>
        </w:rPr>
        <w:footnoteReference w:id="12"/>
      </w:r>
      <w:r w:rsidR="004D41A4">
        <w:rPr>
          <w:sz w:val="22"/>
          <w:szCs w:val="22"/>
        </w:rPr>
        <w:t xml:space="preserve">  However, on February 7, 2017, the </w:t>
      </w:r>
      <w:r w:rsidR="00F1513C">
        <w:rPr>
          <w:sz w:val="22"/>
          <w:szCs w:val="22"/>
        </w:rPr>
        <w:t>Division</w:t>
      </w:r>
      <w:r w:rsidR="004D41A4">
        <w:rPr>
          <w:sz w:val="22"/>
          <w:szCs w:val="22"/>
        </w:rPr>
        <w:t xml:space="preserve"> </w:t>
      </w:r>
      <w:r w:rsidR="000203A0">
        <w:rPr>
          <w:sz w:val="22"/>
          <w:szCs w:val="22"/>
        </w:rPr>
        <w:t>sent letters returning</w:t>
      </w:r>
      <w:r w:rsidR="004D41A4">
        <w:rPr>
          <w:sz w:val="22"/>
          <w:szCs w:val="22"/>
        </w:rPr>
        <w:t xml:space="preserve"> the construction notifications</w:t>
      </w:r>
      <w:r w:rsidR="000203A0">
        <w:rPr>
          <w:sz w:val="22"/>
          <w:szCs w:val="22"/>
        </w:rPr>
        <w:t xml:space="preserve"> (Return Letters)</w:t>
      </w:r>
      <w:r w:rsidR="004D41A4">
        <w:rPr>
          <w:sz w:val="22"/>
          <w:szCs w:val="22"/>
        </w:rPr>
        <w:t>, citing two deficiencies that resulted in Bluesky overestimating the level of coverage it provided in American Samoa.</w:t>
      </w:r>
      <w:r w:rsidR="00764B1E">
        <w:rPr>
          <w:rStyle w:val="FootnoteReference"/>
          <w:sz w:val="22"/>
          <w:szCs w:val="22"/>
        </w:rPr>
        <w:footnoteReference w:id="13"/>
      </w:r>
      <w:r w:rsidR="004D41A4">
        <w:rPr>
          <w:sz w:val="22"/>
          <w:szCs w:val="22"/>
        </w:rPr>
        <w:t xml:space="preserve">  First,</w:t>
      </w:r>
      <w:r w:rsidR="00F1513C" w:rsidRPr="00F1513C">
        <w:rPr>
          <w:sz w:val="22"/>
          <w:szCs w:val="22"/>
        </w:rPr>
        <w:t xml:space="preserve"> </w:t>
      </w:r>
      <w:r w:rsidR="00F1513C">
        <w:rPr>
          <w:sz w:val="22"/>
          <w:szCs w:val="22"/>
        </w:rPr>
        <w:t xml:space="preserve">because </w:t>
      </w:r>
      <w:r w:rsidR="005A64E8">
        <w:rPr>
          <w:sz w:val="22"/>
          <w:szCs w:val="22"/>
        </w:rPr>
        <w:t xml:space="preserve">Bluesky </w:t>
      </w:r>
      <w:r w:rsidR="00F1513C">
        <w:rPr>
          <w:sz w:val="22"/>
          <w:szCs w:val="22"/>
        </w:rPr>
        <w:t xml:space="preserve">did not use the market </w:t>
      </w:r>
      <w:r w:rsidR="00F1513C" w:rsidRPr="00FF3F5B">
        <w:rPr>
          <w:sz w:val="22"/>
          <w:szCs w:val="22"/>
        </w:rPr>
        <w:t>boundary maps specified by the Commission, the filings underrepresented the size of the market area</w:t>
      </w:r>
      <w:r w:rsidR="004D41A4" w:rsidRPr="00FF3F5B">
        <w:rPr>
          <w:sz w:val="22"/>
          <w:szCs w:val="22"/>
        </w:rPr>
        <w:t>.</w:t>
      </w:r>
      <w:r w:rsidR="004D41A4" w:rsidRPr="00FF3F5B">
        <w:rPr>
          <w:rStyle w:val="FootnoteReference"/>
          <w:sz w:val="22"/>
          <w:szCs w:val="22"/>
        </w:rPr>
        <w:footnoteReference w:id="14"/>
      </w:r>
      <w:r w:rsidR="004D41A4" w:rsidRPr="00FF3F5B">
        <w:rPr>
          <w:sz w:val="22"/>
          <w:szCs w:val="22"/>
        </w:rPr>
        <w:t xml:space="preserve">  Second, </w:t>
      </w:r>
      <w:r w:rsidR="00F1513C" w:rsidRPr="00FF3F5B">
        <w:rPr>
          <w:sz w:val="22"/>
          <w:szCs w:val="22"/>
        </w:rPr>
        <w:t xml:space="preserve">because </w:t>
      </w:r>
      <w:r w:rsidR="005A64E8">
        <w:rPr>
          <w:sz w:val="22"/>
          <w:szCs w:val="22"/>
        </w:rPr>
        <w:t>Bluesky</w:t>
      </w:r>
      <w:r w:rsidR="005A64E8" w:rsidRPr="00FF3F5B">
        <w:rPr>
          <w:sz w:val="22"/>
          <w:szCs w:val="22"/>
        </w:rPr>
        <w:t xml:space="preserve"> </w:t>
      </w:r>
      <w:r w:rsidR="00F1513C" w:rsidRPr="00FF3F5B">
        <w:rPr>
          <w:sz w:val="22"/>
          <w:szCs w:val="22"/>
        </w:rPr>
        <w:t xml:space="preserve">relied on a signal level that </w:t>
      </w:r>
      <w:r w:rsidR="00FF3F5B" w:rsidRPr="00FF3F5B">
        <w:rPr>
          <w:sz w:val="22"/>
          <w:szCs w:val="22"/>
        </w:rPr>
        <w:t xml:space="preserve">was below </w:t>
      </w:r>
      <w:r w:rsidR="00F1513C" w:rsidRPr="00FF3F5B">
        <w:rPr>
          <w:sz w:val="22"/>
          <w:szCs w:val="22"/>
        </w:rPr>
        <w:t>accepted industry standards for an LTE system, the filings overestimated Bluesky’s geographic coverage in the market area</w:t>
      </w:r>
      <w:r w:rsidR="004D41A4" w:rsidRPr="00FF3F5B">
        <w:rPr>
          <w:sz w:val="22"/>
          <w:szCs w:val="22"/>
        </w:rPr>
        <w:t>.</w:t>
      </w:r>
      <w:r w:rsidR="00F1513C" w:rsidRPr="00FF3F5B">
        <w:rPr>
          <w:rStyle w:val="FootnoteReference"/>
          <w:sz w:val="22"/>
          <w:szCs w:val="22"/>
        </w:rPr>
        <w:footnoteReference w:id="15"/>
      </w:r>
    </w:p>
    <w:p w14:paraId="68C14B09" w14:textId="77777777" w:rsidR="00F1513C" w:rsidRDefault="00F1513C" w:rsidP="004B395A">
      <w:pPr>
        <w:rPr>
          <w:sz w:val="22"/>
          <w:szCs w:val="22"/>
        </w:rPr>
      </w:pPr>
    </w:p>
    <w:p w14:paraId="5A6896D2" w14:textId="246E2170" w:rsidR="00F1513C" w:rsidRDefault="00F1513C" w:rsidP="004B395A">
      <w:pPr>
        <w:rPr>
          <w:sz w:val="22"/>
          <w:szCs w:val="22"/>
        </w:rPr>
      </w:pPr>
      <w:r>
        <w:rPr>
          <w:sz w:val="22"/>
          <w:szCs w:val="22"/>
        </w:rPr>
        <w:tab/>
      </w:r>
      <w:r w:rsidR="00D13A7A" w:rsidRPr="00D13A7A">
        <w:rPr>
          <w:i/>
          <w:sz w:val="22"/>
          <w:szCs w:val="22"/>
        </w:rPr>
        <w:t>Waiver Request</w:t>
      </w:r>
      <w:r w:rsidR="00D13A7A">
        <w:rPr>
          <w:sz w:val="22"/>
          <w:szCs w:val="22"/>
        </w:rPr>
        <w:t xml:space="preserve">.  </w:t>
      </w:r>
      <w:r>
        <w:rPr>
          <w:sz w:val="22"/>
          <w:szCs w:val="22"/>
        </w:rPr>
        <w:t>On April 10, 201</w:t>
      </w:r>
      <w:r w:rsidR="00EF2DC0">
        <w:rPr>
          <w:sz w:val="22"/>
          <w:szCs w:val="22"/>
        </w:rPr>
        <w:t>7</w:t>
      </w:r>
      <w:r>
        <w:rPr>
          <w:sz w:val="22"/>
          <w:szCs w:val="22"/>
        </w:rPr>
        <w:t xml:space="preserve">, Bluesky filed an amended construction </w:t>
      </w:r>
      <w:r w:rsidR="00EF2DC0">
        <w:rPr>
          <w:sz w:val="22"/>
          <w:szCs w:val="22"/>
        </w:rPr>
        <w:t>notification for both licenses, claiming to satisfy the 35 percent geographic coverage requirement</w:t>
      </w:r>
      <w:r w:rsidR="003A71B2">
        <w:rPr>
          <w:sz w:val="22"/>
          <w:szCs w:val="22"/>
        </w:rPr>
        <w:t xml:space="preserve"> as of that date</w:t>
      </w:r>
      <w:r w:rsidR="00EF2DC0">
        <w:rPr>
          <w:sz w:val="22"/>
          <w:szCs w:val="22"/>
        </w:rPr>
        <w:t xml:space="preserve"> and seeking </w:t>
      </w:r>
      <w:r w:rsidR="00EF2DC0">
        <w:rPr>
          <w:sz w:val="22"/>
          <w:szCs w:val="22"/>
        </w:rPr>
        <w:lastRenderedPageBreak/>
        <w:t xml:space="preserve">waiver of Section 27.14(g) of the Commission’s rules.  Specifically, Bluesky stated that, after correcting the deficiencies pointed out by the </w:t>
      </w:r>
      <w:r w:rsidR="003A71B2">
        <w:rPr>
          <w:sz w:val="22"/>
          <w:szCs w:val="22"/>
        </w:rPr>
        <w:t>Return Letters</w:t>
      </w:r>
      <w:r w:rsidR="00EF2DC0">
        <w:rPr>
          <w:sz w:val="22"/>
          <w:szCs w:val="22"/>
        </w:rPr>
        <w:t>, it provided coverage to 45 percent of the geographic area of the license by March 6, 2017.</w:t>
      </w:r>
      <w:r w:rsidR="00CE5733">
        <w:rPr>
          <w:rStyle w:val="FootnoteReference"/>
          <w:sz w:val="22"/>
          <w:szCs w:val="22"/>
        </w:rPr>
        <w:footnoteReference w:id="16"/>
      </w:r>
      <w:r w:rsidR="00EF2DC0">
        <w:rPr>
          <w:sz w:val="22"/>
          <w:szCs w:val="22"/>
        </w:rPr>
        <w:t xml:space="preserve">  Bluesky’s waiver request </w:t>
      </w:r>
      <w:r w:rsidR="00771DE2">
        <w:rPr>
          <w:sz w:val="22"/>
          <w:szCs w:val="22"/>
        </w:rPr>
        <w:t>sought three alternat</w:t>
      </w:r>
      <w:r w:rsidR="003A71B2">
        <w:rPr>
          <w:sz w:val="22"/>
          <w:szCs w:val="22"/>
        </w:rPr>
        <w:t>ive</w:t>
      </w:r>
      <w:r w:rsidR="00771DE2">
        <w:rPr>
          <w:sz w:val="22"/>
          <w:szCs w:val="22"/>
        </w:rPr>
        <w:t xml:space="preserve"> forms of relief with respect to the interim construction </w:t>
      </w:r>
      <w:r w:rsidR="003A71B2">
        <w:rPr>
          <w:sz w:val="22"/>
          <w:szCs w:val="22"/>
        </w:rPr>
        <w:t>benchmark</w:t>
      </w:r>
      <w:r w:rsidR="00771DE2">
        <w:rPr>
          <w:sz w:val="22"/>
          <w:szCs w:val="22"/>
        </w:rPr>
        <w:t xml:space="preserve">, asking the </w:t>
      </w:r>
      <w:r w:rsidR="005A3E76">
        <w:rPr>
          <w:sz w:val="22"/>
          <w:szCs w:val="22"/>
        </w:rPr>
        <w:t>Bureau</w:t>
      </w:r>
      <w:r w:rsidR="00771DE2">
        <w:rPr>
          <w:sz w:val="22"/>
          <w:szCs w:val="22"/>
        </w:rPr>
        <w:t xml:space="preserve"> to either:  (1) accept the December construction notifications as “substantial compliance” with the interim </w:t>
      </w:r>
      <w:r w:rsidR="003A71B2">
        <w:rPr>
          <w:sz w:val="22"/>
          <w:szCs w:val="22"/>
        </w:rPr>
        <w:t>benchmark</w:t>
      </w:r>
      <w:r w:rsidR="00771DE2">
        <w:rPr>
          <w:sz w:val="22"/>
          <w:szCs w:val="22"/>
        </w:rPr>
        <w:t xml:space="preserve">; (2) waive Section 27.14(g)(1) to replace the interim </w:t>
      </w:r>
      <w:r w:rsidR="001E3CA0">
        <w:rPr>
          <w:sz w:val="22"/>
          <w:szCs w:val="22"/>
        </w:rPr>
        <w:t xml:space="preserve">35 percent </w:t>
      </w:r>
      <w:r w:rsidR="00771DE2">
        <w:rPr>
          <w:sz w:val="22"/>
          <w:szCs w:val="22"/>
        </w:rPr>
        <w:t xml:space="preserve">geographic coverage requirement with a population-based </w:t>
      </w:r>
      <w:r w:rsidR="003A71B2">
        <w:rPr>
          <w:sz w:val="22"/>
          <w:szCs w:val="22"/>
        </w:rPr>
        <w:t>benchmark</w:t>
      </w:r>
      <w:r w:rsidR="00771DE2">
        <w:rPr>
          <w:sz w:val="22"/>
          <w:szCs w:val="22"/>
        </w:rPr>
        <w:t xml:space="preserve"> and accept the December construction notifications pursuant to that standard; or (3)</w:t>
      </w:r>
      <w:r w:rsidR="005A64E8">
        <w:rPr>
          <w:sz w:val="22"/>
          <w:szCs w:val="22"/>
        </w:rPr>
        <w:t xml:space="preserve"> grant a short </w:t>
      </w:r>
      <w:r w:rsidR="00771DE2">
        <w:rPr>
          <w:sz w:val="22"/>
          <w:szCs w:val="22"/>
        </w:rPr>
        <w:t>waive</w:t>
      </w:r>
      <w:r w:rsidR="005A64E8">
        <w:rPr>
          <w:sz w:val="22"/>
          <w:szCs w:val="22"/>
        </w:rPr>
        <w:t>r of</w:t>
      </w:r>
      <w:r w:rsidR="00771DE2">
        <w:rPr>
          <w:sz w:val="22"/>
          <w:szCs w:val="22"/>
        </w:rPr>
        <w:t xml:space="preserve"> Section 27.14(g)(1)</w:t>
      </w:r>
      <w:r w:rsidR="00712C64">
        <w:rPr>
          <w:sz w:val="22"/>
          <w:szCs w:val="22"/>
        </w:rPr>
        <w:t>’s</w:t>
      </w:r>
      <w:r w:rsidR="00771DE2">
        <w:rPr>
          <w:sz w:val="22"/>
          <w:szCs w:val="22"/>
        </w:rPr>
        <w:t xml:space="preserve"> interim construction deadline until March 6, 2017, and accept the amended construction notifications as demonstrating compliance as of that date.</w:t>
      </w:r>
      <w:r w:rsidR="00CE5733">
        <w:rPr>
          <w:rStyle w:val="FootnoteReference"/>
          <w:sz w:val="22"/>
          <w:szCs w:val="22"/>
        </w:rPr>
        <w:footnoteReference w:id="17"/>
      </w:r>
      <w:r w:rsidR="00771DE2">
        <w:rPr>
          <w:sz w:val="22"/>
          <w:szCs w:val="22"/>
        </w:rPr>
        <w:t xml:space="preserve">  Regarding the final construction </w:t>
      </w:r>
      <w:r w:rsidR="003A71B2">
        <w:rPr>
          <w:sz w:val="22"/>
          <w:szCs w:val="22"/>
        </w:rPr>
        <w:t>benchmark</w:t>
      </w:r>
      <w:r w:rsidR="00771DE2">
        <w:rPr>
          <w:sz w:val="22"/>
          <w:szCs w:val="22"/>
        </w:rPr>
        <w:t>, Bluesky’s request seeks a waiver of 27.14(g)(2) to replace the final geographic coverage requirement with a 70 percent population-based benchmark.</w:t>
      </w:r>
      <w:r w:rsidR="00CE5733">
        <w:rPr>
          <w:rStyle w:val="FootnoteReference"/>
          <w:sz w:val="22"/>
          <w:szCs w:val="22"/>
        </w:rPr>
        <w:footnoteReference w:id="18"/>
      </w:r>
    </w:p>
    <w:p w14:paraId="796EEE79" w14:textId="77777777" w:rsidR="00CE5733" w:rsidRDefault="00CE5733" w:rsidP="004B395A">
      <w:pPr>
        <w:rPr>
          <w:sz w:val="22"/>
          <w:szCs w:val="22"/>
        </w:rPr>
      </w:pPr>
    </w:p>
    <w:p w14:paraId="2FBF7F49" w14:textId="77777777" w:rsidR="00CE5733" w:rsidRDefault="00CE5733" w:rsidP="004B395A">
      <w:pPr>
        <w:rPr>
          <w:sz w:val="22"/>
          <w:szCs w:val="22"/>
        </w:rPr>
      </w:pPr>
      <w:r>
        <w:rPr>
          <w:sz w:val="22"/>
          <w:szCs w:val="22"/>
        </w:rPr>
        <w:tab/>
      </w:r>
      <w:r w:rsidR="00350C74">
        <w:rPr>
          <w:sz w:val="22"/>
          <w:szCs w:val="22"/>
        </w:rPr>
        <w:t xml:space="preserve">In support of its request that the </w:t>
      </w:r>
      <w:r w:rsidR="003A71B2">
        <w:rPr>
          <w:sz w:val="22"/>
          <w:szCs w:val="22"/>
        </w:rPr>
        <w:t>Bureau</w:t>
      </w:r>
      <w:r w:rsidR="00350C74">
        <w:rPr>
          <w:sz w:val="22"/>
          <w:szCs w:val="22"/>
        </w:rPr>
        <w:t xml:space="preserve"> accept the December 2016 </w:t>
      </w:r>
      <w:r w:rsidR="000203A0">
        <w:rPr>
          <w:sz w:val="22"/>
          <w:szCs w:val="22"/>
        </w:rPr>
        <w:t xml:space="preserve">construction notifications, Bluesky argues that the filings demonstrate “substantial compliance” with the interim construction </w:t>
      </w:r>
      <w:r w:rsidR="003A71B2">
        <w:rPr>
          <w:sz w:val="22"/>
          <w:szCs w:val="22"/>
        </w:rPr>
        <w:t>benchmark</w:t>
      </w:r>
      <w:r w:rsidR="000203A0">
        <w:rPr>
          <w:sz w:val="22"/>
          <w:szCs w:val="22"/>
        </w:rPr>
        <w:t xml:space="preserve"> because “the deficiencies identified in the Return Letters are either immaterial to the experience of wireless consumers on American Samoa or reasonable in light of the specifications provided to Bluesky by its equipment manufacturer.”</w:t>
      </w:r>
      <w:r w:rsidR="000203A0">
        <w:rPr>
          <w:rStyle w:val="FootnoteReference"/>
          <w:sz w:val="22"/>
          <w:szCs w:val="22"/>
        </w:rPr>
        <w:footnoteReference w:id="19"/>
      </w:r>
      <w:r w:rsidR="000203A0">
        <w:rPr>
          <w:sz w:val="22"/>
          <w:szCs w:val="22"/>
        </w:rPr>
        <w:t xml:space="preserve">  Bluesky argues that prior to receiving the Return Letters, it made every effort to timely comply with the interim construction </w:t>
      </w:r>
      <w:r w:rsidR="003A71B2">
        <w:rPr>
          <w:sz w:val="22"/>
          <w:szCs w:val="22"/>
        </w:rPr>
        <w:t>benchmark</w:t>
      </w:r>
      <w:r w:rsidR="000203A0">
        <w:rPr>
          <w:sz w:val="22"/>
          <w:szCs w:val="22"/>
        </w:rPr>
        <w:t xml:space="preserve"> and believed that it did, in fact, comply as of the deadline.  Further, after receiving the Return Letters, Bluesky states that it “worked tirelessly to achieve compliance with the interim benchmark using a coverage estimate that conformed to the expectations conveyed in the Return Letters,” and achieved that compliance on March 6, 2017, expanding its coverage to nearly 45 percent geographic coverage of the license area.</w:t>
      </w:r>
      <w:r w:rsidR="001E3CA0">
        <w:rPr>
          <w:rStyle w:val="FootnoteReference"/>
          <w:sz w:val="22"/>
          <w:szCs w:val="22"/>
        </w:rPr>
        <w:footnoteReference w:id="20"/>
      </w:r>
    </w:p>
    <w:p w14:paraId="6082D993" w14:textId="77777777" w:rsidR="001E3CA0" w:rsidRDefault="001E3CA0" w:rsidP="004B395A">
      <w:pPr>
        <w:rPr>
          <w:sz w:val="22"/>
          <w:szCs w:val="22"/>
        </w:rPr>
      </w:pPr>
    </w:p>
    <w:p w14:paraId="16E1D63D" w14:textId="5FF837A1" w:rsidR="001E3CA0" w:rsidRDefault="001E3CA0" w:rsidP="004B395A">
      <w:pPr>
        <w:rPr>
          <w:sz w:val="22"/>
          <w:szCs w:val="22"/>
        </w:rPr>
      </w:pPr>
      <w:r>
        <w:rPr>
          <w:sz w:val="22"/>
          <w:szCs w:val="22"/>
        </w:rPr>
        <w:tab/>
        <w:t xml:space="preserve">In the alternative, Bluesky </w:t>
      </w:r>
      <w:r w:rsidR="003A71B2">
        <w:rPr>
          <w:sz w:val="22"/>
          <w:szCs w:val="22"/>
        </w:rPr>
        <w:t>asks the Bureau to waive</w:t>
      </w:r>
      <w:r>
        <w:rPr>
          <w:sz w:val="22"/>
          <w:szCs w:val="22"/>
        </w:rPr>
        <w:t xml:space="preserve"> Section 27.14(g)(1) to replace the interim 35 percent geographic coverage requirement with a population-based </w:t>
      </w:r>
      <w:r w:rsidR="003A71B2">
        <w:rPr>
          <w:sz w:val="22"/>
          <w:szCs w:val="22"/>
        </w:rPr>
        <w:t xml:space="preserve">benchmark, and </w:t>
      </w:r>
      <w:r>
        <w:rPr>
          <w:sz w:val="22"/>
          <w:szCs w:val="22"/>
        </w:rPr>
        <w:t>accept the construction notifications, as amended, which demonstrate that Bluesky provided service to more than 47 percent of the population as of the December 2016 deadline.</w:t>
      </w:r>
      <w:r>
        <w:rPr>
          <w:rStyle w:val="FootnoteReference"/>
          <w:sz w:val="22"/>
          <w:szCs w:val="22"/>
        </w:rPr>
        <w:footnoteReference w:id="21"/>
      </w:r>
      <w:r>
        <w:rPr>
          <w:sz w:val="22"/>
          <w:szCs w:val="22"/>
        </w:rPr>
        <w:t xml:space="preserve">  Bluesky argues that </w:t>
      </w:r>
      <w:r w:rsidR="00697C38">
        <w:rPr>
          <w:sz w:val="22"/>
          <w:szCs w:val="22"/>
        </w:rPr>
        <w:t>its ability to serve nearly half of the population in its license area by the December 13, 2016 interim construction deadline despite the unique market conditions in American Samoa “demonstrates sufficient progress to meet the purpose of t</w:t>
      </w:r>
      <w:r w:rsidR="00AD795A">
        <w:rPr>
          <w:sz w:val="22"/>
          <w:szCs w:val="22"/>
        </w:rPr>
        <w:t>he interim buildout requirement</w:t>
      </w:r>
      <w:r w:rsidR="00697C38">
        <w:rPr>
          <w:sz w:val="22"/>
          <w:szCs w:val="22"/>
        </w:rPr>
        <w:t>.</w:t>
      </w:r>
      <w:r w:rsidR="00AD795A">
        <w:rPr>
          <w:sz w:val="22"/>
          <w:szCs w:val="22"/>
        </w:rPr>
        <w:t>”</w:t>
      </w:r>
      <w:r w:rsidR="00697C38">
        <w:rPr>
          <w:rStyle w:val="FootnoteReference"/>
          <w:sz w:val="22"/>
          <w:szCs w:val="22"/>
        </w:rPr>
        <w:footnoteReference w:id="22"/>
      </w:r>
      <w:r w:rsidR="00AD795A">
        <w:rPr>
          <w:sz w:val="22"/>
          <w:szCs w:val="22"/>
        </w:rPr>
        <w:t xml:space="preserve">  Bluesky therefore asks that the Bureau grant the waiver and accept the interim construction notifications as filed pursuant to a population-based benchmark.</w:t>
      </w:r>
      <w:r w:rsidR="00AD795A">
        <w:rPr>
          <w:rStyle w:val="FootnoteReference"/>
          <w:sz w:val="22"/>
          <w:szCs w:val="22"/>
        </w:rPr>
        <w:footnoteReference w:id="23"/>
      </w:r>
    </w:p>
    <w:p w14:paraId="70E4A2F8" w14:textId="77777777" w:rsidR="007E65A8" w:rsidRDefault="007E65A8" w:rsidP="004B395A">
      <w:pPr>
        <w:rPr>
          <w:sz w:val="22"/>
          <w:szCs w:val="22"/>
        </w:rPr>
      </w:pPr>
    </w:p>
    <w:p w14:paraId="0E4D08DF" w14:textId="2B38F59B" w:rsidR="007E65A8" w:rsidRDefault="007E65A8" w:rsidP="004B395A">
      <w:pPr>
        <w:rPr>
          <w:sz w:val="22"/>
          <w:szCs w:val="22"/>
        </w:rPr>
      </w:pPr>
      <w:r>
        <w:rPr>
          <w:sz w:val="22"/>
          <w:szCs w:val="22"/>
        </w:rPr>
        <w:tab/>
      </w:r>
      <w:r w:rsidR="00642D34">
        <w:rPr>
          <w:sz w:val="22"/>
          <w:szCs w:val="22"/>
        </w:rPr>
        <w:t xml:space="preserve">If the </w:t>
      </w:r>
      <w:r w:rsidR="005A3E76">
        <w:rPr>
          <w:sz w:val="22"/>
          <w:szCs w:val="22"/>
        </w:rPr>
        <w:t xml:space="preserve">Bureau declines to </w:t>
      </w:r>
      <w:r w:rsidR="00642D34">
        <w:rPr>
          <w:sz w:val="22"/>
          <w:szCs w:val="22"/>
        </w:rPr>
        <w:t xml:space="preserve">apply a population-based interim construction </w:t>
      </w:r>
      <w:r w:rsidR="00350160">
        <w:rPr>
          <w:sz w:val="22"/>
          <w:szCs w:val="22"/>
        </w:rPr>
        <w:t>benchmark</w:t>
      </w:r>
      <w:r w:rsidR="00642D34">
        <w:rPr>
          <w:sz w:val="22"/>
          <w:szCs w:val="22"/>
        </w:rPr>
        <w:t xml:space="preserve">, Bluesky asks </w:t>
      </w:r>
      <w:r w:rsidR="005A3E76">
        <w:rPr>
          <w:sz w:val="22"/>
          <w:szCs w:val="22"/>
        </w:rPr>
        <w:t xml:space="preserve">that we </w:t>
      </w:r>
      <w:r w:rsidR="005A64E8">
        <w:rPr>
          <w:sz w:val="22"/>
          <w:szCs w:val="22"/>
        </w:rPr>
        <w:t xml:space="preserve">grant a short </w:t>
      </w:r>
      <w:r w:rsidR="005A3E76">
        <w:rPr>
          <w:sz w:val="22"/>
          <w:szCs w:val="22"/>
        </w:rPr>
        <w:t>waive</w:t>
      </w:r>
      <w:r w:rsidR="005A64E8">
        <w:rPr>
          <w:sz w:val="22"/>
          <w:szCs w:val="22"/>
        </w:rPr>
        <w:t>r of</w:t>
      </w:r>
      <w:r w:rsidR="005A3E76">
        <w:rPr>
          <w:sz w:val="22"/>
          <w:szCs w:val="22"/>
        </w:rPr>
        <w:t xml:space="preserve"> Section 27.14(g)(1)</w:t>
      </w:r>
      <w:r w:rsidR="00712C64">
        <w:rPr>
          <w:sz w:val="22"/>
          <w:szCs w:val="22"/>
        </w:rPr>
        <w:t>’s interim construction</w:t>
      </w:r>
      <w:r w:rsidR="00642D34">
        <w:rPr>
          <w:sz w:val="22"/>
          <w:szCs w:val="22"/>
        </w:rPr>
        <w:t xml:space="preserve"> deadline until March 6, 2017,</w:t>
      </w:r>
      <w:r w:rsidR="00642D34" w:rsidRPr="00642D34">
        <w:rPr>
          <w:sz w:val="22"/>
          <w:szCs w:val="22"/>
        </w:rPr>
        <w:t xml:space="preserve"> </w:t>
      </w:r>
      <w:r w:rsidR="00642D34">
        <w:rPr>
          <w:sz w:val="22"/>
          <w:szCs w:val="22"/>
        </w:rPr>
        <w:t>and accept the amended construction notifications as demonstrating compliance as of that date.</w:t>
      </w:r>
      <w:r w:rsidR="00642D34">
        <w:rPr>
          <w:rStyle w:val="FootnoteReference"/>
          <w:sz w:val="22"/>
          <w:szCs w:val="22"/>
        </w:rPr>
        <w:footnoteReference w:id="24"/>
      </w:r>
      <w:r w:rsidR="00642D34">
        <w:rPr>
          <w:sz w:val="22"/>
          <w:szCs w:val="22"/>
        </w:rPr>
        <w:t xml:space="preserve">  Bluesky </w:t>
      </w:r>
      <w:r w:rsidR="005A3E76">
        <w:rPr>
          <w:sz w:val="22"/>
          <w:szCs w:val="22"/>
        </w:rPr>
        <w:t>states</w:t>
      </w:r>
      <w:r w:rsidR="00642D34">
        <w:rPr>
          <w:sz w:val="22"/>
          <w:szCs w:val="22"/>
        </w:rPr>
        <w:t xml:space="preserve"> that it “undertook extraordinary efforts to achieve full compliance” with the construction requirement upon receipt of the Return Letters.</w:t>
      </w:r>
      <w:r w:rsidR="00D1351A">
        <w:rPr>
          <w:rStyle w:val="FootnoteReference"/>
          <w:sz w:val="22"/>
          <w:szCs w:val="22"/>
        </w:rPr>
        <w:footnoteReference w:id="25"/>
      </w:r>
      <w:r w:rsidR="00642D34">
        <w:rPr>
          <w:sz w:val="22"/>
          <w:szCs w:val="22"/>
        </w:rPr>
        <w:t xml:space="preserve">  After receiving the delayed equipment from its supplier on February 15, 2017, “Bluesky’s engineering and construction teams worked seven days a week, from pre-dawn hours to the late night, to in</w:t>
      </w:r>
      <w:r w:rsidR="00D1351A">
        <w:rPr>
          <w:sz w:val="22"/>
          <w:szCs w:val="22"/>
        </w:rPr>
        <w:t>stall as many sites as possible</w:t>
      </w:r>
      <w:r w:rsidR="00642D34">
        <w:rPr>
          <w:sz w:val="22"/>
          <w:szCs w:val="22"/>
        </w:rPr>
        <w:t>.”</w:t>
      </w:r>
      <w:r w:rsidR="00D1351A">
        <w:rPr>
          <w:rStyle w:val="FootnoteReference"/>
          <w:sz w:val="22"/>
          <w:szCs w:val="22"/>
        </w:rPr>
        <w:footnoteReference w:id="26"/>
      </w:r>
      <w:r w:rsidR="00642D34">
        <w:rPr>
          <w:sz w:val="22"/>
          <w:szCs w:val="22"/>
        </w:rPr>
        <w:t xml:space="preserve">  Waiving the rules to provide an extension until March 6, 2017 </w:t>
      </w:r>
      <w:r w:rsidR="00D1351A">
        <w:rPr>
          <w:sz w:val="22"/>
          <w:szCs w:val="22"/>
        </w:rPr>
        <w:t>would support</w:t>
      </w:r>
      <w:r w:rsidR="00642D34">
        <w:rPr>
          <w:sz w:val="22"/>
          <w:szCs w:val="22"/>
        </w:rPr>
        <w:t xml:space="preserve"> the underlying purpose of the Commission’s rules</w:t>
      </w:r>
      <w:r w:rsidR="00D1351A">
        <w:rPr>
          <w:sz w:val="22"/>
          <w:szCs w:val="22"/>
        </w:rPr>
        <w:t xml:space="preserve"> and serve the public interest</w:t>
      </w:r>
      <w:r w:rsidR="00642D34">
        <w:rPr>
          <w:sz w:val="22"/>
          <w:szCs w:val="22"/>
        </w:rPr>
        <w:t xml:space="preserve">, Bluesky argues, because rather than speculating or squatting on its Lower 700 MHz spectrum holdings, Bluesky acquired spectrum vital to its LTE </w:t>
      </w:r>
      <w:r w:rsidR="00712C64">
        <w:rPr>
          <w:sz w:val="22"/>
          <w:szCs w:val="22"/>
        </w:rPr>
        <w:t>network</w:t>
      </w:r>
      <w:r w:rsidR="00642D34">
        <w:rPr>
          <w:sz w:val="22"/>
          <w:szCs w:val="22"/>
        </w:rPr>
        <w:t xml:space="preserve"> on the secondary market and “put it to use in record time.”</w:t>
      </w:r>
      <w:r w:rsidR="00D1351A">
        <w:rPr>
          <w:rStyle w:val="FootnoteReference"/>
          <w:sz w:val="22"/>
          <w:szCs w:val="22"/>
        </w:rPr>
        <w:footnoteReference w:id="27"/>
      </w:r>
      <w:r w:rsidR="00D1351A">
        <w:rPr>
          <w:sz w:val="22"/>
          <w:szCs w:val="22"/>
        </w:rPr>
        <w:t xml:space="preserve">  Moreover, Bluesky </w:t>
      </w:r>
      <w:r w:rsidR="005A3E76">
        <w:rPr>
          <w:sz w:val="22"/>
          <w:szCs w:val="22"/>
        </w:rPr>
        <w:t>states</w:t>
      </w:r>
      <w:r w:rsidR="00D1351A">
        <w:rPr>
          <w:sz w:val="22"/>
          <w:szCs w:val="22"/>
        </w:rPr>
        <w:t xml:space="preserve"> that it “genuinely believed, and had a good faith basis for believing, that it was in compliance with the interim requirements, and made extraordinary efforts to address the perceived failures of its initial filing,” expanding coverage to nearly 45 percent of the geographic area and more than 90 percent of the population of the license area by March 6, 2017.</w:t>
      </w:r>
      <w:r w:rsidR="00D1351A">
        <w:rPr>
          <w:rStyle w:val="FootnoteReference"/>
          <w:sz w:val="22"/>
          <w:szCs w:val="22"/>
        </w:rPr>
        <w:footnoteReference w:id="28"/>
      </w:r>
    </w:p>
    <w:p w14:paraId="3C5A0165" w14:textId="77777777" w:rsidR="00D1351A" w:rsidRDefault="00D1351A" w:rsidP="004B395A">
      <w:pPr>
        <w:rPr>
          <w:sz w:val="22"/>
          <w:szCs w:val="22"/>
        </w:rPr>
      </w:pPr>
    </w:p>
    <w:p w14:paraId="63F443E0" w14:textId="1EFDF6DB" w:rsidR="00D1351A" w:rsidRDefault="00D1351A" w:rsidP="004B395A">
      <w:pPr>
        <w:rPr>
          <w:sz w:val="22"/>
          <w:szCs w:val="22"/>
        </w:rPr>
      </w:pPr>
      <w:r>
        <w:rPr>
          <w:sz w:val="22"/>
          <w:szCs w:val="22"/>
        </w:rPr>
        <w:tab/>
        <w:t xml:space="preserve">Finally, </w:t>
      </w:r>
      <w:r w:rsidR="0044117A">
        <w:rPr>
          <w:sz w:val="22"/>
          <w:szCs w:val="22"/>
        </w:rPr>
        <w:t xml:space="preserve">Bluesky </w:t>
      </w:r>
      <w:r w:rsidR="0078140F">
        <w:rPr>
          <w:sz w:val="22"/>
          <w:szCs w:val="22"/>
        </w:rPr>
        <w:t>seeks a waiver of</w:t>
      </w:r>
      <w:r w:rsidR="00B174BC">
        <w:rPr>
          <w:sz w:val="22"/>
          <w:szCs w:val="22"/>
        </w:rPr>
        <w:t xml:space="preserve"> </w:t>
      </w:r>
      <w:r w:rsidR="0044117A">
        <w:rPr>
          <w:sz w:val="22"/>
          <w:szCs w:val="22"/>
        </w:rPr>
        <w:t xml:space="preserve">the final 70 percent geographic coverage requirement </w:t>
      </w:r>
      <w:r w:rsidR="0078140F">
        <w:rPr>
          <w:sz w:val="22"/>
          <w:szCs w:val="22"/>
        </w:rPr>
        <w:t xml:space="preserve">in favor of </w:t>
      </w:r>
      <w:r w:rsidR="0044117A">
        <w:rPr>
          <w:sz w:val="22"/>
          <w:szCs w:val="22"/>
        </w:rPr>
        <w:t xml:space="preserve">a 70 percent population-based </w:t>
      </w:r>
      <w:r w:rsidR="009B5A2B">
        <w:rPr>
          <w:sz w:val="22"/>
          <w:szCs w:val="22"/>
        </w:rPr>
        <w:t>benchmark</w:t>
      </w:r>
      <w:r w:rsidR="0078140F">
        <w:rPr>
          <w:sz w:val="22"/>
          <w:szCs w:val="22"/>
        </w:rPr>
        <w:t xml:space="preserve">, arguing that </w:t>
      </w:r>
      <w:r w:rsidR="00697C38" w:rsidRPr="00697C38">
        <w:rPr>
          <w:sz w:val="22"/>
          <w:szCs w:val="22"/>
        </w:rPr>
        <w:t>“the geographic, demographic, environmental, and economic conditions in American Samoa create a uniquely challenging environment in which to build a mobile broadband network – and make compliance with the Commission’s geographic cover</w:t>
      </w:r>
      <w:r w:rsidR="00697C38">
        <w:rPr>
          <w:sz w:val="22"/>
          <w:szCs w:val="22"/>
        </w:rPr>
        <w:t>age benchmarks impracticable.”</w:t>
      </w:r>
      <w:r w:rsidR="0044117A">
        <w:rPr>
          <w:rStyle w:val="FootnoteReference"/>
          <w:sz w:val="22"/>
          <w:szCs w:val="22"/>
        </w:rPr>
        <w:footnoteReference w:id="29"/>
      </w:r>
      <w:r w:rsidR="0078140F">
        <w:rPr>
          <w:sz w:val="22"/>
          <w:szCs w:val="22"/>
        </w:rPr>
        <w:t xml:space="preserve">  Bluesky points out that large parts of the market area are “entirely uninhabited or sparsely inhabited, and unserved by basic infrastructure including roads, electricity, and backhaul.”</w:t>
      </w:r>
      <w:r w:rsidR="0078140F">
        <w:rPr>
          <w:rStyle w:val="FootnoteReference"/>
          <w:sz w:val="22"/>
          <w:szCs w:val="22"/>
        </w:rPr>
        <w:footnoteReference w:id="30"/>
      </w:r>
      <w:r w:rsidR="0078140F">
        <w:rPr>
          <w:sz w:val="22"/>
          <w:szCs w:val="22"/>
        </w:rPr>
        <w:t xml:space="preserve">  In addition to difficulty caused by lack of regular flights or shipping routes between the islands, Bluesky states that the inability of signal to penetrate the mountainous terrain reduces its ability to expand coverage to the island of Manu’a, which accounts for 28 percent of the territory’s total land area.</w:t>
      </w:r>
      <w:r w:rsidR="0078140F">
        <w:rPr>
          <w:rStyle w:val="FootnoteReference"/>
          <w:sz w:val="22"/>
          <w:szCs w:val="22"/>
        </w:rPr>
        <w:footnoteReference w:id="31"/>
      </w:r>
      <w:r w:rsidR="0078140F">
        <w:rPr>
          <w:sz w:val="22"/>
          <w:szCs w:val="22"/>
        </w:rPr>
        <w:t xml:space="preserve">  In light of these circumstances, Bluesky contends that application of a geographic coverage requirement and the Commission’s “keep-what-you-serve” regime would undermine the purpose of the rules, as it would limit Bluesky’s ability</w:t>
      </w:r>
      <w:r w:rsidR="00712C64">
        <w:rPr>
          <w:sz w:val="22"/>
          <w:szCs w:val="22"/>
        </w:rPr>
        <w:t xml:space="preserve"> to</w:t>
      </w:r>
      <w:r w:rsidR="0078140F">
        <w:rPr>
          <w:sz w:val="22"/>
          <w:szCs w:val="22"/>
        </w:rPr>
        <w:t xml:space="preserve"> expand service in the market area in the future.</w:t>
      </w:r>
      <w:r w:rsidR="0078140F">
        <w:rPr>
          <w:rStyle w:val="FootnoteReference"/>
          <w:sz w:val="22"/>
          <w:szCs w:val="22"/>
        </w:rPr>
        <w:footnoteReference w:id="32"/>
      </w:r>
      <w:r w:rsidR="0078140F">
        <w:rPr>
          <w:sz w:val="22"/>
          <w:szCs w:val="22"/>
        </w:rPr>
        <w:t xml:space="preserve">  For the same reasons, Bluesky argues that application of the rules would be inequitable, unduly burdensome, and contrary to the public interest, as it would “put Bluesky through the onerous and unnecessary process of having to reapply” for the portions of the license area returned to the Commission’s inventory for relicensing.</w:t>
      </w:r>
      <w:r w:rsidR="0078140F">
        <w:rPr>
          <w:rStyle w:val="FootnoteReference"/>
          <w:sz w:val="22"/>
          <w:szCs w:val="22"/>
        </w:rPr>
        <w:footnoteReference w:id="33"/>
      </w:r>
    </w:p>
    <w:p w14:paraId="2CDCCD74" w14:textId="77777777" w:rsidR="0044117A" w:rsidRDefault="0044117A" w:rsidP="004B395A">
      <w:pPr>
        <w:rPr>
          <w:sz w:val="22"/>
          <w:szCs w:val="22"/>
        </w:rPr>
      </w:pPr>
    </w:p>
    <w:p w14:paraId="2DC2B641" w14:textId="77777777" w:rsidR="00D13A7A" w:rsidRPr="00D13A7A" w:rsidRDefault="00D13A7A" w:rsidP="004B395A">
      <w:pPr>
        <w:rPr>
          <w:b/>
          <w:i/>
          <w:sz w:val="22"/>
          <w:szCs w:val="22"/>
        </w:rPr>
      </w:pPr>
      <w:r w:rsidRPr="00D13A7A">
        <w:rPr>
          <w:b/>
          <w:sz w:val="22"/>
          <w:szCs w:val="22"/>
        </w:rPr>
        <w:t>II.</w:t>
      </w:r>
      <w:r w:rsidRPr="00D13A7A">
        <w:rPr>
          <w:b/>
          <w:sz w:val="22"/>
          <w:szCs w:val="22"/>
        </w:rPr>
        <w:tab/>
        <w:t>DISCUSSION</w:t>
      </w:r>
    </w:p>
    <w:p w14:paraId="21D6B0A9" w14:textId="77777777" w:rsidR="00D13A7A" w:rsidRDefault="00D13A7A" w:rsidP="004B395A">
      <w:pPr>
        <w:rPr>
          <w:sz w:val="22"/>
          <w:szCs w:val="22"/>
        </w:rPr>
      </w:pPr>
    </w:p>
    <w:p w14:paraId="4443FD17" w14:textId="618C9D80" w:rsidR="00A0686B" w:rsidRDefault="00D13A7A" w:rsidP="00D13A7A">
      <w:pPr>
        <w:ind w:firstLine="720"/>
        <w:rPr>
          <w:sz w:val="22"/>
          <w:szCs w:val="22"/>
        </w:rPr>
      </w:pPr>
      <w:r w:rsidRPr="00D13A7A">
        <w:rPr>
          <w:i/>
          <w:sz w:val="22"/>
          <w:szCs w:val="22"/>
        </w:rPr>
        <w:t>Waiver Standard.</w:t>
      </w:r>
      <w:r>
        <w:rPr>
          <w:sz w:val="22"/>
          <w:szCs w:val="22"/>
        </w:rPr>
        <w:t xml:space="preserve">  </w:t>
      </w:r>
      <w:r w:rsidR="0044117A" w:rsidRPr="0044117A">
        <w:rPr>
          <w:sz w:val="22"/>
          <w:szCs w:val="22"/>
        </w:rPr>
        <w:t>Requests to waive Commission rules must “meet a high hurdle at the starting gate.”</w:t>
      </w:r>
      <w:r w:rsidR="0044117A" w:rsidRPr="0044117A">
        <w:rPr>
          <w:sz w:val="22"/>
          <w:szCs w:val="22"/>
          <w:vertAlign w:val="superscript"/>
        </w:rPr>
        <w:footnoteReference w:id="34"/>
      </w:r>
      <w:r w:rsidR="0044117A" w:rsidRPr="0044117A">
        <w:rPr>
          <w:sz w:val="22"/>
          <w:szCs w:val="22"/>
        </w:rPr>
        <w:t xml:space="preserve">  In determining whether that standard is met, we must evaluate each case based on the specific circumstances it presents.  It is well-established that the Commission may waive a rule where the particular facts make strict compliance inconsistent with the public interest,</w:t>
      </w:r>
      <w:r w:rsidR="0044117A" w:rsidRPr="0044117A">
        <w:rPr>
          <w:sz w:val="22"/>
          <w:szCs w:val="22"/>
          <w:vertAlign w:val="superscript"/>
        </w:rPr>
        <w:footnoteReference w:id="35"/>
      </w:r>
      <w:r w:rsidR="0044117A" w:rsidRPr="0044117A">
        <w:rPr>
          <w:sz w:val="22"/>
          <w:szCs w:val="22"/>
        </w:rPr>
        <w:t xml:space="preserve"> and it may take into account unique considerations of hardship, equity, or more effective implementation of overall policy on an individual basis.</w:t>
      </w:r>
      <w:r w:rsidR="0044117A" w:rsidRPr="0044117A">
        <w:rPr>
          <w:sz w:val="22"/>
          <w:szCs w:val="22"/>
          <w:vertAlign w:val="superscript"/>
        </w:rPr>
        <w:footnoteReference w:id="36"/>
      </w:r>
      <w:r w:rsidR="0044117A" w:rsidRPr="0044117A">
        <w:rPr>
          <w:sz w:val="22"/>
          <w:szCs w:val="22"/>
        </w:rPr>
        <w:t xml:space="preserve">  The Commission may grant a waiver pursuant to </w:t>
      </w:r>
      <w:r w:rsidR="005A3E76">
        <w:rPr>
          <w:sz w:val="22"/>
          <w:szCs w:val="22"/>
        </w:rPr>
        <w:t>S</w:t>
      </w:r>
      <w:r w:rsidR="0044117A" w:rsidRPr="0044117A">
        <w:rPr>
          <w:sz w:val="22"/>
          <w:szCs w:val="22"/>
        </w:rPr>
        <w:t>ection 1.925(b)(3) of the Commission’s rules when: (i) the</w:t>
      </w:r>
      <w:r w:rsidR="00BC0C1B">
        <w:rPr>
          <w:sz w:val="22"/>
          <w:szCs w:val="22"/>
        </w:rPr>
        <w:t xml:space="preserve"> underlying purpose of the rule</w:t>
      </w:r>
      <w:r w:rsidR="0044117A" w:rsidRPr="0044117A">
        <w:rPr>
          <w:sz w:val="22"/>
          <w:szCs w:val="22"/>
        </w:rPr>
        <w:t>(s) would not be served or would be frustrated by application to the instant case, and a grant of the requested waiver would be in the public interest; or (ii) in view of the unique or unusual factual circumstances of the instant case, application of the rule(s) would be inequitable, unduly burdensome, or contrary to the public interest, or the applicant has no reasonable alternative.</w:t>
      </w:r>
      <w:r w:rsidR="0044117A" w:rsidRPr="0044117A">
        <w:rPr>
          <w:sz w:val="22"/>
          <w:szCs w:val="22"/>
          <w:vertAlign w:val="superscript"/>
        </w:rPr>
        <w:footnoteReference w:id="37"/>
      </w:r>
    </w:p>
    <w:p w14:paraId="7F512FF2" w14:textId="77777777" w:rsidR="00A0686B" w:rsidRDefault="00A0686B" w:rsidP="004B395A">
      <w:pPr>
        <w:rPr>
          <w:sz w:val="22"/>
          <w:szCs w:val="22"/>
        </w:rPr>
      </w:pPr>
    </w:p>
    <w:p w14:paraId="68A959E3" w14:textId="2A66D9A4" w:rsidR="00D13A7A" w:rsidRPr="009F6D57" w:rsidRDefault="00D13A7A" w:rsidP="00A0686B">
      <w:pPr>
        <w:ind w:firstLine="720"/>
        <w:rPr>
          <w:sz w:val="22"/>
          <w:szCs w:val="22"/>
        </w:rPr>
      </w:pPr>
      <w:r w:rsidRPr="00D13A7A">
        <w:rPr>
          <w:i/>
          <w:sz w:val="22"/>
          <w:szCs w:val="22"/>
        </w:rPr>
        <w:t xml:space="preserve">Interim </w:t>
      </w:r>
      <w:r w:rsidR="008F1184">
        <w:rPr>
          <w:i/>
          <w:sz w:val="22"/>
          <w:szCs w:val="22"/>
        </w:rPr>
        <w:t>Benchmark</w:t>
      </w:r>
      <w:r w:rsidRPr="00D13A7A">
        <w:rPr>
          <w:i/>
          <w:sz w:val="22"/>
          <w:szCs w:val="22"/>
        </w:rPr>
        <w:t>.</w:t>
      </w:r>
      <w:r>
        <w:rPr>
          <w:sz w:val="22"/>
          <w:szCs w:val="22"/>
        </w:rPr>
        <w:t xml:space="preserve">  </w:t>
      </w:r>
      <w:r w:rsidR="0044117A" w:rsidRPr="0044117A">
        <w:rPr>
          <w:sz w:val="22"/>
          <w:szCs w:val="22"/>
        </w:rPr>
        <w:t>We have carefully reviewed the record before us and find that</w:t>
      </w:r>
      <w:r w:rsidR="00692419" w:rsidRPr="00692419">
        <w:t xml:space="preserve"> </w:t>
      </w:r>
      <w:r w:rsidR="00692419" w:rsidRPr="00692419">
        <w:rPr>
          <w:sz w:val="22"/>
          <w:szCs w:val="22"/>
        </w:rPr>
        <w:t>the underlying purpose of Section 27.14(g) —“to better promote access to spectrum and the provision of service, especially in rural areas”</w:t>
      </w:r>
      <w:r w:rsidR="00692419" w:rsidRPr="00692419">
        <w:rPr>
          <w:sz w:val="22"/>
          <w:szCs w:val="22"/>
          <w:vertAlign w:val="superscript"/>
        </w:rPr>
        <w:footnoteReference w:id="38"/>
      </w:r>
      <w:r w:rsidR="00692419" w:rsidRPr="00692419">
        <w:rPr>
          <w:sz w:val="22"/>
          <w:szCs w:val="22"/>
        </w:rPr>
        <w:t>— would be frustrated by</w:t>
      </w:r>
      <w:r w:rsidR="00A0686B">
        <w:rPr>
          <w:sz w:val="22"/>
          <w:szCs w:val="22"/>
        </w:rPr>
        <w:t xml:space="preserve"> strict</w:t>
      </w:r>
      <w:r w:rsidR="00692419" w:rsidRPr="00692419">
        <w:rPr>
          <w:sz w:val="22"/>
          <w:szCs w:val="22"/>
        </w:rPr>
        <w:t xml:space="preserve"> application of the rule here</w:t>
      </w:r>
      <w:r w:rsidR="00ED68B5">
        <w:rPr>
          <w:sz w:val="22"/>
          <w:szCs w:val="22"/>
        </w:rPr>
        <w:t>,</w:t>
      </w:r>
      <w:r w:rsidR="00692419" w:rsidRPr="00692419">
        <w:rPr>
          <w:sz w:val="22"/>
          <w:szCs w:val="22"/>
        </w:rPr>
        <w:t xml:space="preserve"> and tha</w:t>
      </w:r>
      <w:r w:rsidR="00A0686B">
        <w:rPr>
          <w:sz w:val="22"/>
          <w:szCs w:val="22"/>
        </w:rPr>
        <w:t>t grant of the requested waiver</w:t>
      </w:r>
      <w:r w:rsidR="00692419" w:rsidRPr="00692419">
        <w:rPr>
          <w:sz w:val="22"/>
          <w:szCs w:val="22"/>
        </w:rPr>
        <w:t xml:space="preserve"> </w:t>
      </w:r>
      <w:r w:rsidR="00A0686B">
        <w:rPr>
          <w:sz w:val="22"/>
          <w:szCs w:val="22"/>
        </w:rPr>
        <w:t xml:space="preserve">to provide </w:t>
      </w:r>
      <w:r w:rsidR="00785850">
        <w:rPr>
          <w:sz w:val="22"/>
          <w:szCs w:val="22"/>
        </w:rPr>
        <w:t>additional</w:t>
      </w:r>
      <w:r w:rsidR="00FF6227">
        <w:rPr>
          <w:sz w:val="22"/>
          <w:szCs w:val="22"/>
        </w:rPr>
        <w:t xml:space="preserve"> time </w:t>
      </w:r>
      <w:r w:rsidR="00DE2BF7">
        <w:rPr>
          <w:sz w:val="22"/>
          <w:szCs w:val="22"/>
        </w:rPr>
        <w:t xml:space="preserve">for Bluesky </w:t>
      </w:r>
      <w:r w:rsidR="00FF6227">
        <w:rPr>
          <w:sz w:val="22"/>
          <w:szCs w:val="22"/>
        </w:rPr>
        <w:t>to meet</w:t>
      </w:r>
      <w:r w:rsidR="00A0686B">
        <w:rPr>
          <w:sz w:val="22"/>
          <w:szCs w:val="22"/>
        </w:rPr>
        <w:t xml:space="preserve"> </w:t>
      </w:r>
      <w:r w:rsidR="00DE2BF7">
        <w:rPr>
          <w:sz w:val="22"/>
          <w:szCs w:val="22"/>
        </w:rPr>
        <w:t xml:space="preserve">its </w:t>
      </w:r>
      <w:r w:rsidR="00A0686B">
        <w:rPr>
          <w:sz w:val="22"/>
          <w:szCs w:val="22"/>
        </w:rPr>
        <w:t xml:space="preserve">interim construction </w:t>
      </w:r>
      <w:r w:rsidR="00FF6227" w:rsidRPr="009F6D57">
        <w:rPr>
          <w:sz w:val="22"/>
          <w:szCs w:val="22"/>
        </w:rPr>
        <w:t>requirements</w:t>
      </w:r>
      <w:r w:rsidR="00692419" w:rsidRPr="009F6D57">
        <w:rPr>
          <w:sz w:val="22"/>
          <w:szCs w:val="22"/>
        </w:rPr>
        <w:t xml:space="preserve"> will serve the public interest.  </w:t>
      </w:r>
    </w:p>
    <w:p w14:paraId="43EA46C9" w14:textId="77777777" w:rsidR="00C5220B" w:rsidRPr="008B7C0E" w:rsidRDefault="00C5220B" w:rsidP="00A0686B">
      <w:pPr>
        <w:ind w:firstLine="720"/>
        <w:rPr>
          <w:sz w:val="22"/>
          <w:szCs w:val="22"/>
        </w:rPr>
      </w:pPr>
    </w:p>
    <w:p w14:paraId="614D8310" w14:textId="6787C726" w:rsidR="00273E74" w:rsidRPr="009F6D57" w:rsidRDefault="0076453F" w:rsidP="009D2C9E">
      <w:pPr>
        <w:ind w:firstLine="720"/>
        <w:rPr>
          <w:sz w:val="22"/>
          <w:szCs w:val="22"/>
        </w:rPr>
      </w:pPr>
      <w:r w:rsidRPr="0018577E">
        <w:rPr>
          <w:sz w:val="22"/>
          <w:szCs w:val="22"/>
        </w:rPr>
        <w:t>W</w:t>
      </w:r>
      <w:r w:rsidR="00C5220B" w:rsidRPr="0018577E">
        <w:rPr>
          <w:sz w:val="22"/>
          <w:szCs w:val="22"/>
        </w:rPr>
        <w:t xml:space="preserve">e find that the totality of the factors involved in the instant case show that strict application of the December 13, 2016 deadline would undermine the purpose of Section 27.14(g)(1).  </w:t>
      </w:r>
      <w:r w:rsidR="009D2C9E" w:rsidRPr="009F6D57">
        <w:rPr>
          <w:sz w:val="22"/>
          <w:szCs w:val="22"/>
        </w:rPr>
        <w:t xml:space="preserve">The record reflects that Bluesky intended to meet the interim construction </w:t>
      </w:r>
      <w:r w:rsidR="000C326F" w:rsidRPr="009F6D57">
        <w:rPr>
          <w:sz w:val="22"/>
          <w:szCs w:val="22"/>
        </w:rPr>
        <w:t>benchmark</w:t>
      </w:r>
      <w:r w:rsidR="009D2C9E" w:rsidRPr="009F6D57">
        <w:rPr>
          <w:sz w:val="22"/>
          <w:szCs w:val="22"/>
        </w:rPr>
        <w:t xml:space="preserve">, and believed in good faith that it did meet the requirement as of the deadline.  Bluesky’s </w:t>
      </w:r>
      <w:r w:rsidR="00FF3F5B" w:rsidRPr="009F6D57">
        <w:rPr>
          <w:sz w:val="22"/>
          <w:szCs w:val="22"/>
        </w:rPr>
        <w:t xml:space="preserve">intent to </w:t>
      </w:r>
      <w:r w:rsidR="009639F5" w:rsidRPr="009F6D57">
        <w:rPr>
          <w:sz w:val="22"/>
          <w:szCs w:val="22"/>
        </w:rPr>
        <w:t>construct as required</w:t>
      </w:r>
      <w:r w:rsidR="009D2C9E" w:rsidRPr="009F6D57">
        <w:rPr>
          <w:sz w:val="22"/>
          <w:szCs w:val="22"/>
        </w:rPr>
        <w:t xml:space="preserve"> is demonstrated by its efforts to achieve the 35 percent geographic coverage requirement, despite delays in shipment from its equipment manufacturer that disrupted its otherwise timely construction schedule.</w:t>
      </w:r>
      <w:r w:rsidR="000C326F" w:rsidRPr="009F6D57">
        <w:rPr>
          <w:rStyle w:val="FootnoteReference"/>
          <w:sz w:val="22"/>
          <w:szCs w:val="22"/>
        </w:rPr>
        <w:footnoteReference w:id="39"/>
      </w:r>
      <w:r w:rsidR="009D2C9E" w:rsidRPr="009F6D57">
        <w:rPr>
          <w:sz w:val="22"/>
          <w:szCs w:val="22"/>
        </w:rPr>
        <w:t xml:space="preserve">  Upon receiving a partial delivery the day before the interim deadline, Bluesky completed installation of the equipment overnight and filed timely construction notifications shortly thereafter.</w:t>
      </w:r>
      <w:r w:rsidR="000C326F" w:rsidRPr="009F6D57">
        <w:rPr>
          <w:rStyle w:val="FootnoteReference"/>
          <w:sz w:val="22"/>
          <w:szCs w:val="22"/>
        </w:rPr>
        <w:footnoteReference w:id="40"/>
      </w:r>
      <w:r w:rsidR="009D2C9E" w:rsidRPr="009F6D57">
        <w:rPr>
          <w:sz w:val="22"/>
          <w:szCs w:val="22"/>
        </w:rPr>
        <w:t xml:space="preserve">  </w:t>
      </w:r>
      <w:r w:rsidR="008F1E26" w:rsidRPr="009F6D57">
        <w:rPr>
          <w:sz w:val="22"/>
          <w:szCs w:val="22"/>
        </w:rPr>
        <w:t xml:space="preserve">Relying on </w:t>
      </w:r>
      <w:r w:rsidR="002F3CCF" w:rsidRPr="009F6D57">
        <w:rPr>
          <w:sz w:val="22"/>
          <w:szCs w:val="22"/>
        </w:rPr>
        <w:t>signal strength</w:t>
      </w:r>
      <w:r w:rsidR="008F1E26" w:rsidRPr="009F6D57">
        <w:rPr>
          <w:sz w:val="22"/>
          <w:szCs w:val="22"/>
        </w:rPr>
        <w:t xml:space="preserve"> level</w:t>
      </w:r>
      <w:r w:rsidR="002F3CCF" w:rsidRPr="009F6D57">
        <w:rPr>
          <w:sz w:val="22"/>
          <w:szCs w:val="22"/>
        </w:rPr>
        <w:t>s provided by its equipment manuf</w:t>
      </w:r>
      <w:r w:rsidR="002F3CCF" w:rsidRPr="008B7C0E">
        <w:rPr>
          <w:sz w:val="22"/>
          <w:szCs w:val="22"/>
        </w:rPr>
        <w:t>acturer when calculating its coverage at the interim construction deadline</w:t>
      </w:r>
      <w:r w:rsidR="000F71BA" w:rsidRPr="0018577E">
        <w:rPr>
          <w:sz w:val="22"/>
          <w:szCs w:val="22"/>
        </w:rPr>
        <w:t>, Bluesky believed in good faith that it was in full compliance with the Commission’</w:t>
      </w:r>
      <w:r w:rsidR="000C326F" w:rsidRPr="009F6D57">
        <w:rPr>
          <w:sz w:val="22"/>
          <w:szCs w:val="22"/>
        </w:rPr>
        <w:t>s requirements.</w:t>
      </w:r>
      <w:r w:rsidR="000C326F" w:rsidRPr="009F6D57">
        <w:rPr>
          <w:rStyle w:val="FootnoteReference"/>
          <w:sz w:val="22"/>
          <w:szCs w:val="22"/>
        </w:rPr>
        <w:footnoteReference w:id="41"/>
      </w:r>
      <w:r w:rsidR="000C326F" w:rsidRPr="009F6D57">
        <w:rPr>
          <w:sz w:val="22"/>
          <w:szCs w:val="22"/>
        </w:rPr>
        <w:t xml:space="preserve">  </w:t>
      </w:r>
      <w:r w:rsidR="000F71BA" w:rsidRPr="009F6D57">
        <w:rPr>
          <w:sz w:val="22"/>
          <w:szCs w:val="22"/>
        </w:rPr>
        <w:t>U</w:t>
      </w:r>
      <w:r w:rsidR="002F3CCF" w:rsidRPr="009F6D57">
        <w:rPr>
          <w:sz w:val="22"/>
          <w:szCs w:val="22"/>
        </w:rPr>
        <w:t xml:space="preserve">pon receipt of the Return Letters, Bluesky immediately began work to come into compliance using an appropriate calculation methodology and worked diligently to expand its coverage to </w:t>
      </w:r>
      <w:r w:rsidR="000F71BA" w:rsidRPr="009F6D57">
        <w:rPr>
          <w:sz w:val="22"/>
          <w:szCs w:val="22"/>
        </w:rPr>
        <w:t>nearly 45 percent of the geography in less than a month.</w:t>
      </w:r>
      <w:r w:rsidR="000C326F" w:rsidRPr="009F6D57">
        <w:rPr>
          <w:rStyle w:val="FootnoteReference"/>
          <w:sz w:val="22"/>
          <w:szCs w:val="22"/>
        </w:rPr>
        <w:footnoteReference w:id="42"/>
      </w:r>
      <w:r w:rsidR="000F71BA" w:rsidRPr="009F6D57">
        <w:rPr>
          <w:sz w:val="22"/>
          <w:szCs w:val="22"/>
        </w:rPr>
        <w:t xml:space="preserve">  </w:t>
      </w:r>
    </w:p>
    <w:p w14:paraId="5D4CF6B0" w14:textId="77777777" w:rsidR="000F71BA" w:rsidRDefault="000F71BA" w:rsidP="009F6D57">
      <w:pPr>
        <w:rPr>
          <w:sz w:val="22"/>
          <w:szCs w:val="22"/>
        </w:rPr>
      </w:pPr>
    </w:p>
    <w:p w14:paraId="6CA0A0D7" w14:textId="17882916" w:rsidR="00EB3599" w:rsidRDefault="00AC5FB0" w:rsidP="009D2C9E">
      <w:pPr>
        <w:ind w:firstLine="720"/>
        <w:rPr>
          <w:sz w:val="22"/>
          <w:szCs w:val="22"/>
        </w:rPr>
      </w:pPr>
      <w:r>
        <w:rPr>
          <w:sz w:val="22"/>
          <w:szCs w:val="22"/>
        </w:rPr>
        <w:t xml:space="preserve">Bluesky’s efforts to comply with the Commission’s performance rules </w:t>
      </w:r>
      <w:r w:rsidR="00B73E52">
        <w:rPr>
          <w:sz w:val="22"/>
          <w:szCs w:val="22"/>
        </w:rPr>
        <w:t xml:space="preserve">are </w:t>
      </w:r>
      <w:r>
        <w:rPr>
          <w:sz w:val="22"/>
          <w:szCs w:val="22"/>
        </w:rPr>
        <w:t xml:space="preserve">noteworthy in light of the difficulties associated with constructing this market.  </w:t>
      </w:r>
      <w:r w:rsidR="00EB3599" w:rsidRPr="00EB3599">
        <w:rPr>
          <w:sz w:val="22"/>
          <w:szCs w:val="22"/>
        </w:rPr>
        <w:t xml:space="preserve">American Samoa is a remote, unincorporated territory of the United States, with </w:t>
      </w:r>
      <w:r w:rsidR="00F80FAC">
        <w:rPr>
          <w:sz w:val="22"/>
          <w:szCs w:val="22"/>
        </w:rPr>
        <w:t>limited flights to the mainland and no regular flights or shipping routes between the islands</w:t>
      </w:r>
      <w:r w:rsidR="00EB3599" w:rsidRPr="00EB3599">
        <w:rPr>
          <w:sz w:val="22"/>
          <w:szCs w:val="22"/>
        </w:rPr>
        <w:t>.</w:t>
      </w:r>
      <w:r w:rsidR="00D94D0B" w:rsidRPr="00EB3599">
        <w:rPr>
          <w:sz w:val="22"/>
          <w:szCs w:val="22"/>
          <w:vertAlign w:val="superscript"/>
        </w:rPr>
        <w:footnoteReference w:id="43"/>
      </w:r>
      <w:r w:rsidR="00EB3599" w:rsidRPr="00EB3599">
        <w:rPr>
          <w:sz w:val="22"/>
          <w:szCs w:val="22"/>
        </w:rPr>
        <w:t xml:space="preserve"> </w:t>
      </w:r>
      <w:r w:rsidR="00EB3599">
        <w:rPr>
          <w:sz w:val="22"/>
          <w:szCs w:val="22"/>
        </w:rPr>
        <w:t xml:space="preserve"> </w:t>
      </w:r>
      <w:r w:rsidR="00EB3599" w:rsidRPr="00EB3599">
        <w:rPr>
          <w:sz w:val="22"/>
          <w:szCs w:val="22"/>
        </w:rPr>
        <w:t>The bulk of resources must be ordered months</w:t>
      </w:r>
      <w:r w:rsidR="00EB3599">
        <w:rPr>
          <w:sz w:val="22"/>
          <w:szCs w:val="22"/>
        </w:rPr>
        <w:t xml:space="preserve"> in advance</w:t>
      </w:r>
      <w:r w:rsidR="00EB3599" w:rsidRPr="00EB3599">
        <w:rPr>
          <w:sz w:val="22"/>
          <w:szCs w:val="22"/>
        </w:rPr>
        <w:t xml:space="preserve"> and skilled telecommunications personnel </w:t>
      </w:r>
      <w:r w:rsidR="007703A9">
        <w:rPr>
          <w:sz w:val="22"/>
          <w:szCs w:val="22"/>
        </w:rPr>
        <w:t>capable of constructing</w:t>
      </w:r>
      <w:r w:rsidR="00EB3599" w:rsidRPr="00EB3599">
        <w:rPr>
          <w:sz w:val="22"/>
          <w:szCs w:val="22"/>
        </w:rPr>
        <w:t xml:space="preserve"> wireless facilities</w:t>
      </w:r>
      <w:r w:rsidR="007703A9">
        <w:rPr>
          <w:sz w:val="22"/>
          <w:szCs w:val="22"/>
        </w:rPr>
        <w:t xml:space="preserve"> usually must be brought in from the mainland</w:t>
      </w:r>
      <w:r w:rsidR="00EB3599" w:rsidRPr="00EB3599">
        <w:rPr>
          <w:sz w:val="22"/>
          <w:szCs w:val="22"/>
        </w:rPr>
        <w:t>.</w:t>
      </w:r>
      <w:r w:rsidR="00EB3599" w:rsidRPr="00EB3599">
        <w:rPr>
          <w:sz w:val="22"/>
          <w:szCs w:val="22"/>
          <w:vertAlign w:val="superscript"/>
        </w:rPr>
        <w:footnoteReference w:id="44"/>
      </w:r>
      <w:r w:rsidR="00EB3599" w:rsidRPr="00EB3599">
        <w:rPr>
          <w:sz w:val="22"/>
          <w:szCs w:val="22"/>
        </w:rPr>
        <w:t xml:space="preserve">  Further, </w:t>
      </w:r>
      <w:r w:rsidR="00D94D0B">
        <w:rPr>
          <w:sz w:val="22"/>
          <w:szCs w:val="22"/>
        </w:rPr>
        <w:t>w</w:t>
      </w:r>
      <w:r w:rsidR="00D94D0B" w:rsidRPr="00EB3599">
        <w:rPr>
          <w:sz w:val="22"/>
          <w:szCs w:val="22"/>
        </w:rPr>
        <w:t xml:space="preserve">hile 98 percent of the territory’s population resides on </w:t>
      </w:r>
      <w:r w:rsidR="00D94D0B">
        <w:rPr>
          <w:sz w:val="22"/>
          <w:szCs w:val="22"/>
        </w:rPr>
        <w:t xml:space="preserve">the largest island of </w:t>
      </w:r>
      <w:r w:rsidR="00D94D0B" w:rsidRPr="00EB3599">
        <w:rPr>
          <w:sz w:val="22"/>
          <w:szCs w:val="22"/>
        </w:rPr>
        <w:t>Tutuila, and the nearby Aunu’u, those islands account for only 72 percent of American Samoa by land area.</w:t>
      </w:r>
      <w:r w:rsidR="00D94D0B" w:rsidRPr="00EB3599">
        <w:rPr>
          <w:sz w:val="22"/>
          <w:szCs w:val="22"/>
          <w:vertAlign w:val="superscript"/>
        </w:rPr>
        <w:footnoteReference w:id="45"/>
      </w:r>
      <w:r w:rsidR="00D94D0B" w:rsidRPr="00EB3599">
        <w:rPr>
          <w:sz w:val="22"/>
          <w:szCs w:val="22"/>
        </w:rPr>
        <w:t xml:space="preserve">  </w:t>
      </w:r>
      <w:r w:rsidR="00EB3599" w:rsidRPr="00EB3599">
        <w:rPr>
          <w:sz w:val="22"/>
          <w:szCs w:val="22"/>
        </w:rPr>
        <w:t>American Samoa’s volcanic islands, which in some areas lack electricity and basic infrastructure,</w:t>
      </w:r>
      <w:r w:rsidR="00EB3599" w:rsidRPr="00EB3599">
        <w:rPr>
          <w:sz w:val="22"/>
          <w:szCs w:val="22"/>
          <w:vertAlign w:val="superscript"/>
        </w:rPr>
        <w:footnoteReference w:id="46"/>
      </w:r>
      <w:r w:rsidR="00EB3599" w:rsidRPr="00EB3599">
        <w:rPr>
          <w:sz w:val="22"/>
          <w:szCs w:val="22"/>
        </w:rPr>
        <w:t xml:space="preserve"> are extremely rug</w:t>
      </w:r>
      <w:r w:rsidR="007703A9">
        <w:rPr>
          <w:sz w:val="22"/>
          <w:szCs w:val="22"/>
        </w:rPr>
        <w:t xml:space="preserve">ged, </w:t>
      </w:r>
      <w:r w:rsidR="00EB3599" w:rsidRPr="00EB3599">
        <w:rPr>
          <w:sz w:val="22"/>
          <w:szCs w:val="22"/>
        </w:rPr>
        <w:t>steep</w:t>
      </w:r>
      <w:r w:rsidR="007703A9">
        <w:rPr>
          <w:sz w:val="22"/>
          <w:szCs w:val="22"/>
        </w:rPr>
        <w:t>, and largely</w:t>
      </w:r>
      <w:r w:rsidR="00EB3599" w:rsidRPr="00EB3599">
        <w:rPr>
          <w:sz w:val="22"/>
          <w:szCs w:val="22"/>
        </w:rPr>
        <w:t xml:space="preserve"> covered by forest,</w:t>
      </w:r>
      <w:r w:rsidR="00EB3599" w:rsidRPr="00EB3599">
        <w:rPr>
          <w:sz w:val="22"/>
          <w:szCs w:val="22"/>
          <w:vertAlign w:val="superscript"/>
        </w:rPr>
        <w:footnoteReference w:id="47"/>
      </w:r>
      <w:r w:rsidR="00EB3599" w:rsidRPr="00EB3599">
        <w:rPr>
          <w:sz w:val="22"/>
          <w:szCs w:val="22"/>
        </w:rPr>
        <w:t xml:space="preserve"> </w:t>
      </w:r>
      <w:r w:rsidR="00D94D0B">
        <w:rPr>
          <w:sz w:val="22"/>
          <w:szCs w:val="22"/>
        </w:rPr>
        <w:t>causing difficulties</w:t>
      </w:r>
      <w:r w:rsidR="00EB3599" w:rsidRPr="00EB3599">
        <w:rPr>
          <w:sz w:val="22"/>
          <w:szCs w:val="22"/>
        </w:rPr>
        <w:t xml:space="preserve"> in terms of site construction as well as signal propagation.</w:t>
      </w:r>
      <w:r w:rsidR="00F80FAC">
        <w:rPr>
          <w:rStyle w:val="FootnoteReference"/>
          <w:sz w:val="22"/>
          <w:szCs w:val="22"/>
        </w:rPr>
        <w:footnoteReference w:id="48"/>
      </w:r>
      <w:r w:rsidR="00EB3599" w:rsidRPr="00EB3599">
        <w:rPr>
          <w:sz w:val="22"/>
          <w:szCs w:val="22"/>
        </w:rPr>
        <w:t xml:space="preserve">  Moreover, American Samoa experiences a cyclone (hurricane) season for six months out of the year which causes frequent storms that can interfere with deployment and operations</w:t>
      </w:r>
      <w:r w:rsidR="00F80FAC">
        <w:rPr>
          <w:sz w:val="22"/>
          <w:szCs w:val="22"/>
        </w:rPr>
        <w:t>.</w:t>
      </w:r>
      <w:r w:rsidR="00EB3599" w:rsidRPr="00EB3599">
        <w:rPr>
          <w:sz w:val="22"/>
          <w:szCs w:val="22"/>
          <w:vertAlign w:val="superscript"/>
        </w:rPr>
        <w:footnoteReference w:id="49"/>
      </w:r>
    </w:p>
    <w:p w14:paraId="69474F50" w14:textId="77777777" w:rsidR="00D94D0B" w:rsidRDefault="00D94D0B" w:rsidP="009D2C9E">
      <w:pPr>
        <w:ind w:firstLine="720"/>
        <w:rPr>
          <w:sz w:val="22"/>
          <w:szCs w:val="22"/>
        </w:rPr>
      </w:pPr>
    </w:p>
    <w:p w14:paraId="5CC97ACD" w14:textId="2B078B83" w:rsidR="0076453F" w:rsidRPr="00941649" w:rsidRDefault="00EB3599">
      <w:pPr>
        <w:ind w:firstLine="720"/>
        <w:rPr>
          <w:sz w:val="22"/>
          <w:szCs w:val="22"/>
        </w:rPr>
      </w:pPr>
      <w:r>
        <w:rPr>
          <w:sz w:val="22"/>
          <w:szCs w:val="22"/>
        </w:rPr>
        <w:t xml:space="preserve">Despite these conditions, </w:t>
      </w:r>
      <w:r w:rsidR="008D2B3A">
        <w:rPr>
          <w:sz w:val="22"/>
          <w:szCs w:val="22"/>
        </w:rPr>
        <w:t>Bluesky</w:t>
      </w:r>
      <w:r w:rsidR="007703A9">
        <w:rPr>
          <w:sz w:val="22"/>
          <w:szCs w:val="22"/>
        </w:rPr>
        <w:t xml:space="preserve"> has worked diligently to deploy advanced wireless services in American </w:t>
      </w:r>
      <w:r w:rsidR="007703A9" w:rsidRPr="00CD0A17">
        <w:rPr>
          <w:sz w:val="22"/>
          <w:szCs w:val="22"/>
        </w:rPr>
        <w:t>Samoa</w:t>
      </w:r>
      <w:r w:rsidR="009C3249">
        <w:rPr>
          <w:sz w:val="22"/>
          <w:szCs w:val="22"/>
        </w:rPr>
        <w:t xml:space="preserve"> in a timely manner</w:t>
      </w:r>
      <w:r w:rsidR="007703A9" w:rsidRPr="00CD0A17">
        <w:rPr>
          <w:sz w:val="22"/>
          <w:szCs w:val="22"/>
        </w:rPr>
        <w:t xml:space="preserve">.  </w:t>
      </w:r>
      <w:r w:rsidR="008D2B3A" w:rsidRPr="00CD0A17">
        <w:rPr>
          <w:sz w:val="22"/>
          <w:szCs w:val="22"/>
        </w:rPr>
        <w:t>In</w:t>
      </w:r>
      <w:r w:rsidR="008D2B3A">
        <w:rPr>
          <w:sz w:val="22"/>
          <w:szCs w:val="22"/>
        </w:rPr>
        <w:t xml:space="preserve"> light of Bluesky’s ongoing efforts, we are persuaded that it is com</w:t>
      </w:r>
      <w:r>
        <w:rPr>
          <w:sz w:val="22"/>
          <w:szCs w:val="22"/>
        </w:rPr>
        <w:t>mitted to overcoming existing barriers to full deployment of its LTE network.</w:t>
      </w:r>
      <w:r w:rsidR="007703A9">
        <w:rPr>
          <w:sz w:val="22"/>
          <w:szCs w:val="22"/>
        </w:rPr>
        <w:t xml:space="preserve"> </w:t>
      </w:r>
      <w:r w:rsidR="007C68D5">
        <w:rPr>
          <w:sz w:val="22"/>
          <w:szCs w:val="22"/>
        </w:rPr>
        <w:t xml:space="preserve"> </w:t>
      </w:r>
      <w:r w:rsidR="009F6D57">
        <w:rPr>
          <w:sz w:val="22"/>
          <w:szCs w:val="22"/>
        </w:rPr>
        <w:t>G</w:t>
      </w:r>
      <w:r w:rsidR="00DE2BF7">
        <w:rPr>
          <w:sz w:val="22"/>
          <w:szCs w:val="22"/>
        </w:rPr>
        <w:t>iven its efforts</w:t>
      </w:r>
      <w:r w:rsidR="00211995">
        <w:rPr>
          <w:sz w:val="22"/>
          <w:szCs w:val="22"/>
        </w:rPr>
        <w:t xml:space="preserve"> to build its network</w:t>
      </w:r>
      <w:r w:rsidR="00DE2BF7">
        <w:rPr>
          <w:sz w:val="22"/>
          <w:szCs w:val="22"/>
        </w:rPr>
        <w:t xml:space="preserve"> </w:t>
      </w:r>
      <w:r w:rsidR="00CF46E2">
        <w:rPr>
          <w:sz w:val="22"/>
          <w:szCs w:val="22"/>
        </w:rPr>
        <w:t xml:space="preserve">despite </w:t>
      </w:r>
      <w:r w:rsidR="009C517E" w:rsidRPr="00EB3599">
        <w:rPr>
          <w:sz w:val="22"/>
          <w:szCs w:val="22"/>
        </w:rPr>
        <w:t>the difficulty of constru</w:t>
      </w:r>
      <w:r w:rsidR="00CF46E2">
        <w:rPr>
          <w:sz w:val="22"/>
          <w:szCs w:val="22"/>
        </w:rPr>
        <w:t>cting facilities in this area, w</w:t>
      </w:r>
      <w:r w:rsidR="00DE2BF7">
        <w:rPr>
          <w:sz w:val="22"/>
          <w:szCs w:val="22"/>
        </w:rPr>
        <w:t>e find that the public interest is served b</w:t>
      </w:r>
      <w:r w:rsidR="0076453F" w:rsidRPr="0076453F">
        <w:rPr>
          <w:sz w:val="22"/>
          <w:szCs w:val="22"/>
        </w:rPr>
        <w:t xml:space="preserve">y </w:t>
      </w:r>
      <w:r w:rsidR="00CF46E2">
        <w:rPr>
          <w:sz w:val="22"/>
          <w:szCs w:val="22"/>
        </w:rPr>
        <w:t>granting additional time to meet the interim requirements</w:t>
      </w:r>
      <w:r w:rsidR="0076453F" w:rsidRPr="0076453F">
        <w:rPr>
          <w:sz w:val="22"/>
          <w:szCs w:val="22"/>
        </w:rPr>
        <w:t xml:space="preserve"> and maintaining Bluesky’s full license term, </w:t>
      </w:r>
      <w:r w:rsidR="0076453F" w:rsidRPr="00CF46E2">
        <w:rPr>
          <w:sz w:val="22"/>
          <w:szCs w:val="22"/>
        </w:rPr>
        <w:t xml:space="preserve">rather than accelerating the final </w:t>
      </w:r>
      <w:r w:rsidR="0076453F" w:rsidRPr="007A0127">
        <w:rPr>
          <w:sz w:val="22"/>
          <w:szCs w:val="22"/>
        </w:rPr>
        <w:t>construction deadline by two years</w:t>
      </w:r>
      <w:r w:rsidR="00DE2BF7" w:rsidRPr="007A0127">
        <w:rPr>
          <w:sz w:val="22"/>
          <w:szCs w:val="22"/>
        </w:rPr>
        <w:t>.  T</w:t>
      </w:r>
      <w:r w:rsidR="0076453F" w:rsidRPr="007A0127">
        <w:rPr>
          <w:sz w:val="22"/>
          <w:szCs w:val="22"/>
        </w:rPr>
        <w:t xml:space="preserve">he waiver will allow Bluesky to </w:t>
      </w:r>
      <w:r w:rsidR="0076453F" w:rsidRPr="00941649">
        <w:rPr>
          <w:sz w:val="22"/>
          <w:szCs w:val="22"/>
        </w:rPr>
        <w:t>continue expanding its network and building in remote areas that might not otherwise be served</w:t>
      </w:r>
      <w:r w:rsidR="00CF46E2" w:rsidRPr="00941649">
        <w:rPr>
          <w:sz w:val="22"/>
          <w:szCs w:val="22"/>
        </w:rPr>
        <w:t xml:space="preserve">.  </w:t>
      </w:r>
      <w:r w:rsidR="007A0127" w:rsidRPr="00941649">
        <w:rPr>
          <w:sz w:val="22"/>
          <w:szCs w:val="22"/>
        </w:rPr>
        <w:t>Indeed, Bluesky gives examples of at least two wireless sites that, with more time, could be connected to its LTE network and would serve small local populations living on the more remote islands of American Samoa.</w:t>
      </w:r>
      <w:r w:rsidR="007A0127" w:rsidRPr="00941649">
        <w:rPr>
          <w:rStyle w:val="FootnoteReference"/>
          <w:sz w:val="22"/>
          <w:szCs w:val="22"/>
        </w:rPr>
        <w:footnoteReference w:id="50"/>
      </w:r>
      <w:r w:rsidR="007A0127" w:rsidRPr="00941649">
        <w:rPr>
          <w:sz w:val="22"/>
          <w:szCs w:val="22"/>
        </w:rPr>
        <w:t xml:space="preserve">  </w:t>
      </w:r>
      <w:r w:rsidR="00CF46E2" w:rsidRPr="00941649">
        <w:rPr>
          <w:sz w:val="22"/>
          <w:szCs w:val="22"/>
        </w:rPr>
        <w:t xml:space="preserve">Accordingly, in light of </w:t>
      </w:r>
      <w:r w:rsidR="009C3249">
        <w:rPr>
          <w:sz w:val="22"/>
          <w:szCs w:val="22"/>
        </w:rPr>
        <w:t>the discussion</w:t>
      </w:r>
      <w:r w:rsidR="00EE0505">
        <w:rPr>
          <w:sz w:val="22"/>
          <w:szCs w:val="22"/>
        </w:rPr>
        <w:t xml:space="preserve"> herein</w:t>
      </w:r>
      <w:r w:rsidR="009C3249">
        <w:rPr>
          <w:sz w:val="22"/>
          <w:szCs w:val="22"/>
        </w:rPr>
        <w:t xml:space="preserve">, </w:t>
      </w:r>
      <w:r w:rsidR="00CF46E2" w:rsidRPr="00941649">
        <w:rPr>
          <w:sz w:val="22"/>
          <w:szCs w:val="22"/>
        </w:rPr>
        <w:t>Bluesky’s demonstrated intent and efforts to satisfy the interim construction benchmark</w:t>
      </w:r>
      <w:r w:rsidR="009C3249">
        <w:rPr>
          <w:sz w:val="22"/>
          <w:szCs w:val="22"/>
        </w:rPr>
        <w:t>,</w:t>
      </w:r>
      <w:r w:rsidR="00CF46E2" w:rsidRPr="00941649">
        <w:rPr>
          <w:sz w:val="22"/>
          <w:szCs w:val="22"/>
        </w:rPr>
        <w:t xml:space="preserve"> and its good faith belief that it did, in fact, meet the requirement, we find that the underlying purpose of Section 27.14(g)(1) would not be served by strict application of the December 13, 2016 deadline in this case, and that waiver of Section 27.14(g)(1)</w:t>
      </w:r>
      <w:r w:rsidR="007A0127" w:rsidRPr="00941649">
        <w:rPr>
          <w:sz w:val="22"/>
          <w:szCs w:val="22"/>
        </w:rPr>
        <w:t xml:space="preserve"> until March 6, 2017</w:t>
      </w:r>
      <w:r w:rsidR="00CF46E2" w:rsidRPr="00941649">
        <w:rPr>
          <w:sz w:val="22"/>
          <w:szCs w:val="22"/>
        </w:rPr>
        <w:t xml:space="preserve"> is warranted to provide Bluesky </w:t>
      </w:r>
      <w:r w:rsidR="007A0127" w:rsidRPr="00941649">
        <w:rPr>
          <w:sz w:val="22"/>
          <w:szCs w:val="22"/>
        </w:rPr>
        <w:t>additional time to meet its</w:t>
      </w:r>
      <w:r w:rsidR="007C68D5" w:rsidRPr="00941649">
        <w:rPr>
          <w:sz w:val="22"/>
          <w:szCs w:val="22"/>
        </w:rPr>
        <w:t xml:space="preserve"> interim 35 percent geographic coverage requirement</w:t>
      </w:r>
      <w:r w:rsidR="00CF46E2" w:rsidRPr="00941649">
        <w:rPr>
          <w:sz w:val="22"/>
          <w:szCs w:val="22"/>
        </w:rPr>
        <w:t>.</w:t>
      </w:r>
      <w:r w:rsidR="00CF46E2" w:rsidRPr="00941649">
        <w:rPr>
          <w:rStyle w:val="FootnoteReference"/>
          <w:sz w:val="22"/>
          <w:szCs w:val="22"/>
        </w:rPr>
        <w:footnoteReference w:id="51"/>
      </w:r>
    </w:p>
    <w:p w14:paraId="53917541" w14:textId="77777777" w:rsidR="008A6FFD" w:rsidRPr="00941649" w:rsidRDefault="008A6FFD" w:rsidP="007703A9">
      <w:pPr>
        <w:ind w:firstLine="720"/>
        <w:rPr>
          <w:sz w:val="22"/>
          <w:szCs w:val="22"/>
        </w:rPr>
      </w:pPr>
    </w:p>
    <w:p w14:paraId="6FBAAFF6" w14:textId="53EEC016" w:rsidR="001B3C47" w:rsidRPr="001B3C47" w:rsidRDefault="00D42A62" w:rsidP="007703A9">
      <w:pPr>
        <w:ind w:firstLine="720"/>
        <w:rPr>
          <w:sz w:val="22"/>
          <w:szCs w:val="22"/>
        </w:rPr>
      </w:pPr>
      <w:r>
        <w:rPr>
          <w:sz w:val="22"/>
          <w:szCs w:val="22"/>
        </w:rPr>
        <w:t xml:space="preserve">We </w:t>
      </w:r>
      <w:r w:rsidR="00956135">
        <w:rPr>
          <w:sz w:val="22"/>
          <w:szCs w:val="22"/>
        </w:rPr>
        <w:t xml:space="preserve">note that </w:t>
      </w:r>
      <w:r w:rsidR="00320C96">
        <w:rPr>
          <w:sz w:val="22"/>
          <w:szCs w:val="22"/>
        </w:rPr>
        <w:t>our</w:t>
      </w:r>
      <w:r w:rsidR="00956135">
        <w:rPr>
          <w:sz w:val="22"/>
          <w:szCs w:val="22"/>
        </w:rPr>
        <w:t xml:space="preserve"> geographic service areas</w:t>
      </w:r>
      <w:r w:rsidR="00320C96">
        <w:rPr>
          <w:sz w:val="22"/>
          <w:szCs w:val="22"/>
        </w:rPr>
        <w:t>,</w:t>
      </w:r>
      <w:r w:rsidR="00956135">
        <w:rPr>
          <w:sz w:val="22"/>
          <w:szCs w:val="22"/>
        </w:rPr>
        <w:t xml:space="preserve"> </w:t>
      </w:r>
      <w:r w:rsidR="00320C96">
        <w:rPr>
          <w:sz w:val="22"/>
          <w:szCs w:val="22"/>
        </w:rPr>
        <w:t>including those adopted for</w:t>
      </w:r>
      <w:r w:rsidR="00956135">
        <w:rPr>
          <w:sz w:val="22"/>
          <w:szCs w:val="22"/>
        </w:rPr>
        <w:t xml:space="preserve"> the 700 MHz band</w:t>
      </w:r>
      <w:r w:rsidR="00320C96">
        <w:rPr>
          <w:sz w:val="22"/>
          <w:szCs w:val="22"/>
        </w:rPr>
        <w:t>,</w:t>
      </w:r>
      <w:r w:rsidR="00956135">
        <w:rPr>
          <w:sz w:val="22"/>
          <w:szCs w:val="22"/>
        </w:rPr>
        <w:t xml:space="preserve"> are based on county boundaries, </w:t>
      </w:r>
      <w:r w:rsidR="001B7F8B">
        <w:rPr>
          <w:sz w:val="22"/>
          <w:szCs w:val="22"/>
        </w:rPr>
        <w:t>which extend into water pursuant to state and federal law.</w:t>
      </w:r>
      <w:r w:rsidR="008D404C">
        <w:rPr>
          <w:rStyle w:val="FootnoteReference"/>
          <w:sz w:val="22"/>
          <w:szCs w:val="22"/>
        </w:rPr>
        <w:footnoteReference w:id="52"/>
      </w:r>
      <w:r w:rsidR="001B7F8B">
        <w:rPr>
          <w:sz w:val="22"/>
          <w:szCs w:val="22"/>
        </w:rPr>
        <w:t xml:space="preserve">  In American Samoa, county</w:t>
      </w:r>
      <w:r w:rsidR="00320C96">
        <w:rPr>
          <w:sz w:val="22"/>
          <w:szCs w:val="22"/>
        </w:rPr>
        <w:t xml:space="preserve"> (or district)</w:t>
      </w:r>
      <w:r w:rsidR="001B7F8B">
        <w:rPr>
          <w:sz w:val="22"/>
          <w:szCs w:val="22"/>
        </w:rPr>
        <w:t xml:space="preserve"> boundaries extend th</w:t>
      </w:r>
      <w:r w:rsidR="00E50C1D">
        <w:rPr>
          <w:sz w:val="22"/>
          <w:szCs w:val="22"/>
        </w:rPr>
        <w:t>ree nautical miles into the water</w:t>
      </w:r>
      <w:r w:rsidR="001B7F8B">
        <w:rPr>
          <w:sz w:val="22"/>
          <w:szCs w:val="22"/>
        </w:rPr>
        <w:t>,</w:t>
      </w:r>
      <w:r w:rsidR="00170860">
        <w:rPr>
          <w:rStyle w:val="FootnoteReference"/>
          <w:sz w:val="22"/>
          <w:szCs w:val="22"/>
        </w:rPr>
        <w:footnoteReference w:id="53"/>
      </w:r>
      <w:r w:rsidR="001B7F8B">
        <w:rPr>
          <w:sz w:val="22"/>
          <w:szCs w:val="22"/>
        </w:rPr>
        <w:t xml:space="preserve"> and Bluesky’s filing should have reflected those boundaries and included the water area when calculating its geographic coverage requirement.</w:t>
      </w:r>
      <w:r w:rsidR="00170860">
        <w:rPr>
          <w:rStyle w:val="FootnoteReference"/>
          <w:sz w:val="22"/>
          <w:szCs w:val="22"/>
        </w:rPr>
        <w:footnoteReference w:id="54"/>
      </w:r>
      <w:r w:rsidR="001B7F8B">
        <w:rPr>
          <w:sz w:val="22"/>
          <w:szCs w:val="22"/>
        </w:rPr>
        <w:t xml:space="preserve">  </w:t>
      </w:r>
      <w:r w:rsidR="005C6CB4">
        <w:rPr>
          <w:sz w:val="22"/>
          <w:szCs w:val="22"/>
        </w:rPr>
        <w:t xml:space="preserve">However, </w:t>
      </w:r>
      <w:r w:rsidR="009143EA">
        <w:rPr>
          <w:sz w:val="22"/>
          <w:szCs w:val="22"/>
        </w:rPr>
        <w:t>in the public notice that provided licensees with the templates and market</w:t>
      </w:r>
      <w:r w:rsidR="00320C96">
        <w:rPr>
          <w:sz w:val="22"/>
          <w:szCs w:val="22"/>
        </w:rPr>
        <w:t>-</w:t>
      </w:r>
      <w:r w:rsidR="009143EA">
        <w:rPr>
          <w:sz w:val="22"/>
          <w:szCs w:val="22"/>
        </w:rPr>
        <w:t>based boundary files to be used for 700 MHz construction demonstrations</w:t>
      </w:r>
      <w:r w:rsidR="005C6CB4">
        <w:rPr>
          <w:sz w:val="22"/>
          <w:szCs w:val="22"/>
        </w:rPr>
        <w:t xml:space="preserve">, the </w:t>
      </w:r>
      <w:r w:rsidR="005E629D">
        <w:rPr>
          <w:sz w:val="22"/>
          <w:szCs w:val="22"/>
        </w:rPr>
        <w:t>Bureau</w:t>
      </w:r>
      <w:r w:rsidR="005C6CB4">
        <w:rPr>
          <w:sz w:val="22"/>
          <w:szCs w:val="22"/>
        </w:rPr>
        <w:t xml:space="preserve"> inadvertently </w:t>
      </w:r>
      <w:r w:rsidR="009143EA">
        <w:rPr>
          <w:sz w:val="22"/>
          <w:szCs w:val="22"/>
        </w:rPr>
        <w:t>used</w:t>
      </w:r>
      <w:r w:rsidR="005C6CB4">
        <w:rPr>
          <w:sz w:val="22"/>
          <w:szCs w:val="22"/>
        </w:rPr>
        <w:t xml:space="preserve"> shapefiles that reflected the American Samoa market</w:t>
      </w:r>
      <w:r w:rsidR="005E629D">
        <w:rPr>
          <w:sz w:val="22"/>
          <w:szCs w:val="22"/>
        </w:rPr>
        <w:t xml:space="preserve"> area</w:t>
      </w:r>
      <w:r w:rsidR="005C6CB4">
        <w:rPr>
          <w:sz w:val="22"/>
          <w:szCs w:val="22"/>
        </w:rPr>
        <w:t xml:space="preserve"> as being coterminous with the land boundaries of the territory.</w:t>
      </w:r>
      <w:r w:rsidR="00BC7A72">
        <w:rPr>
          <w:rStyle w:val="FootnoteReference"/>
          <w:sz w:val="22"/>
          <w:szCs w:val="22"/>
        </w:rPr>
        <w:footnoteReference w:id="55"/>
      </w:r>
      <w:r w:rsidR="005C6CB4">
        <w:rPr>
          <w:sz w:val="22"/>
          <w:szCs w:val="22"/>
        </w:rPr>
        <w:t xml:space="preserve">  Because Bluesky relied in good faith on the Commission’s guidance regarding the boundaries of its licenses, we </w:t>
      </w:r>
      <w:r w:rsidR="00320C96">
        <w:rPr>
          <w:sz w:val="22"/>
          <w:szCs w:val="22"/>
        </w:rPr>
        <w:t>find</w:t>
      </w:r>
      <w:r w:rsidR="00FB245C">
        <w:rPr>
          <w:sz w:val="22"/>
          <w:szCs w:val="22"/>
        </w:rPr>
        <w:t>,</w:t>
      </w:r>
      <w:r w:rsidR="00FB245C" w:rsidRPr="00FB245C">
        <w:rPr>
          <w:sz w:val="22"/>
          <w:szCs w:val="22"/>
        </w:rPr>
        <w:t xml:space="preserve"> </w:t>
      </w:r>
      <w:r w:rsidR="00FB245C">
        <w:rPr>
          <w:sz w:val="22"/>
          <w:szCs w:val="22"/>
        </w:rPr>
        <w:t xml:space="preserve">on our own motion, that </w:t>
      </w:r>
      <w:r w:rsidR="00320C96">
        <w:rPr>
          <w:sz w:val="22"/>
          <w:szCs w:val="22"/>
        </w:rPr>
        <w:t xml:space="preserve">good cause </w:t>
      </w:r>
      <w:r w:rsidR="00FB245C">
        <w:rPr>
          <w:sz w:val="22"/>
          <w:szCs w:val="22"/>
        </w:rPr>
        <w:t xml:space="preserve">exists </w:t>
      </w:r>
      <w:r w:rsidR="00320C96">
        <w:rPr>
          <w:sz w:val="22"/>
          <w:szCs w:val="22"/>
        </w:rPr>
        <w:t>to accept</w:t>
      </w:r>
      <w:r w:rsidR="006F3C94">
        <w:rPr>
          <w:sz w:val="22"/>
          <w:szCs w:val="22"/>
        </w:rPr>
        <w:t xml:space="preserve"> </w:t>
      </w:r>
      <w:r w:rsidR="00320C96">
        <w:rPr>
          <w:sz w:val="22"/>
          <w:szCs w:val="22"/>
        </w:rPr>
        <w:t>Bluesky</w:t>
      </w:r>
      <w:r w:rsidR="00BC0C1B">
        <w:rPr>
          <w:sz w:val="22"/>
          <w:szCs w:val="22"/>
        </w:rPr>
        <w:t>’s</w:t>
      </w:r>
      <w:r w:rsidR="00320C96">
        <w:rPr>
          <w:sz w:val="22"/>
          <w:szCs w:val="22"/>
        </w:rPr>
        <w:t xml:space="preserve"> </w:t>
      </w:r>
      <w:r w:rsidR="00FB245C">
        <w:rPr>
          <w:sz w:val="22"/>
          <w:szCs w:val="22"/>
        </w:rPr>
        <w:t xml:space="preserve">interim benchmark </w:t>
      </w:r>
      <w:r w:rsidR="00320C96">
        <w:rPr>
          <w:sz w:val="22"/>
          <w:szCs w:val="22"/>
        </w:rPr>
        <w:t xml:space="preserve">construction notifications demonstrating </w:t>
      </w:r>
      <w:r w:rsidR="00FB245C">
        <w:rPr>
          <w:sz w:val="22"/>
          <w:szCs w:val="22"/>
        </w:rPr>
        <w:t xml:space="preserve">at least </w:t>
      </w:r>
      <w:r w:rsidR="00F03853">
        <w:rPr>
          <w:sz w:val="22"/>
          <w:szCs w:val="22"/>
        </w:rPr>
        <w:t xml:space="preserve">35 percent </w:t>
      </w:r>
      <w:r w:rsidR="00320C96">
        <w:rPr>
          <w:sz w:val="22"/>
          <w:szCs w:val="22"/>
        </w:rPr>
        <w:t xml:space="preserve">geographic </w:t>
      </w:r>
      <w:r w:rsidR="00F03853">
        <w:rPr>
          <w:sz w:val="22"/>
          <w:szCs w:val="22"/>
        </w:rPr>
        <w:t xml:space="preserve">coverage of this market as it was defined pursuant to the </w:t>
      </w:r>
      <w:r w:rsidR="00EC5E47">
        <w:rPr>
          <w:i/>
          <w:sz w:val="22"/>
          <w:szCs w:val="22"/>
        </w:rPr>
        <w:t>700 MHz Public Notice</w:t>
      </w:r>
      <w:r w:rsidR="008D404C">
        <w:rPr>
          <w:sz w:val="22"/>
          <w:szCs w:val="22"/>
        </w:rPr>
        <w:t>.</w:t>
      </w:r>
      <w:r w:rsidR="00BC7A72">
        <w:rPr>
          <w:rStyle w:val="FootnoteReference"/>
          <w:sz w:val="22"/>
          <w:szCs w:val="22"/>
        </w:rPr>
        <w:footnoteReference w:id="56"/>
      </w:r>
    </w:p>
    <w:p w14:paraId="67FD72E4" w14:textId="77777777" w:rsidR="00D13A7A" w:rsidRDefault="00D13A7A" w:rsidP="009D2C9E">
      <w:pPr>
        <w:rPr>
          <w:sz w:val="22"/>
          <w:szCs w:val="22"/>
        </w:rPr>
      </w:pPr>
    </w:p>
    <w:p w14:paraId="012D7EDB" w14:textId="77777777" w:rsidR="0044117A" w:rsidRDefault="00D13A7A" w:rsidP="00A0686B">
      <w:pPr>
        <w:ind w:firstLine="720"/>
        <w:rPr>
          <w:sz w:val="22"/>
          <w:szCs w:val="22"/>
        </w:rPr>
      </w:pPr>
      <w:r w:rsidRPr="00D13A7A">
        <w:rPr>
          <w:i/>
          <w:sz w:val="22"/>
          <w:szCs w:val="22"/>
        </w:rPr>
        <w:t xml:space="preserve">Final </w:t>
      </w:r>
      <w:r w:rsidR="008F1184">
        <w:rPr>
          <w:i/>
          <w:sz w:val="22"/>
          <w:szCs w:val="22"/>
        </w:rPr>
        <w:t>Benchmark</w:t>
      </w:r>
      <w:r w:rsidRPr="00D13A7A">
        <w:rPr>
          <w:i/>
          <w:sz w:val="22"/>
          <w:szCs w:val="22"/>
        </w:rPr>
        <w:t>.</w:t>
      </w:r>
      <w:r>
        <w:rPr>
          <w:sz w:val="22"/>
          <w:szCs w:val="22"/>
        </w:rPr>
        <w:t xml:space="preserve">  </w:t>
      </w:r>
      <w:r w:rsidR="00B174BC">
        <w:rPr>
          <w:sz w:val="22"/>
          <w:szCs w:val="22"/>
        </w:rPr>
        <w:t xml:space="preserve">In addition to </w:t>
      </w:r>
      <w:r w:rsidR="00476D94">
        <w:rPr>
          <w:sz w:val="22"/>
          <w:szCs w:val="22"/>
        </w:rPr>
        <w:t>the relief requested</w:t>
      </w:r>
      <w:r w:rsidR="00B174BC">
        <w:rPr>
          <w:sz w:val="22"/>
          <w:szCs w:val="22"/>
        </w:rPr>
        <w:t xml:space="preserve"> with respect to the interim construction requirement, Bluesky seeks a waiver of the final geographic coverage requirement in favor of a population-based requirement.</w:t>
      </w:r>
      <w:r w:rsidR="00F80FAC">
        <w:rPr>
          <w:rStyle w:val="FootnoteReference"/>
          <w:sz w:val="22"/>
          <w:szCs w:val="22"/>
        </w:rPr>
        <w:footnoteReference w:id="57"/>
      </w:r>
      <w:r w:rsidR="00B174BC">
        <w:rPr>
          <w:sz w:val="22"/>
          <w:szCs w:val="22"/>
        </w:rPr>
        <w:t xml:space="preserve">  Upon review of the record, w</w:t>
      </w:r>
      <w:r>
        <w:rPr>
          <w:sz w:val="22"/>
          <w:szCs w:val="22"/>
        </w:rPr>
        <w:t>e</w:t>
      </w:r>
      <w:r w:rsidR="00B174BC">
        <w:rPr>
          <w:sz w:val="22"/>
          <w:szCs w:val="22"/>
        </w:rPr>
        <w:t xml:space="preserve"> find that </w:t>
      </w:r>
      <w:r w:rsidR="007A6B52">
        <w:rPr>
          <w:sz w:val="22"/>
          <w:szCs w:val="22"/>
        </w:rPr>
        <w:t xml:space="preserve">grant of Bluesky’s request for waiver of the final construction requirement would frustrate the underlying purpose of the rule, and that </w:t>
      </w:r>
      <w:r w:rsidR="00B174BC">
        <w:rPr>
          <w:sz w:val="22"/>
          <w:szCs w:val="22"/>
        </w:rPr>
        <w:t xml:space="preserve">strict application of the </w:t>
      </w:r>
      <w:r w:rsidR="00A0686B">
        <w:rPr>
          <w:sz w:val="22"/>
          <w:szCs w:val="22"/>
        </w:rPr>
        <w:t>geographic coverage requirement</w:t>
      </w:r>
      <w:r w:rsidR="007A6B52">
        <w:rPr>
          <w:sz w:val="22"/>
          <w:szCs w:val="22"/>
        </w:rPr>
        <w:t xml:space="preserve"> </w:t>
      </w:r>
      <w:r w:rsidR="00A0686B">
        <w:rPr>
          <w:sz w:val="22"/>
          <w:szCs w:val="22"/>
        </w:rPr>
        <w:t xml:space="preserve">in the instant case </w:t>
      </w:r>
      <w:r w:rsidR="00476D94">
        <w:rPr>
          <w:sz w:val="22"/>
          <w:szCs w:val="22"/>
        </w:rPr>
        <w:t>would</w:t>
      </w:r>
      <w:r w:rsidR="00A0686B">
        <w:rPr>
          <w:sz w:val="22"/>
          <w:szCs w:val="22"/>
        </w:rPr>
        <w:t xml:space="preserve"> not</w:t>
      </w:r>
      <w:r w:rsidR="00476D94">
        <w:rPr>
          <w:sz w:val="22"/>
          <w:szCs w:val="22"/>
        </w:rPr>
        <w:t xml:space="preserve"> be</w:t>
      </w:r>
      <w:r w:rsidR="00A0686B">
        <w:rPr>
          <w:sz w:val="22"/>
          <w:szCs w:val="22"/>
        </w:rPr>
        <w:t xml:space="preserve"> inequitable, unduly burdensome, or contrary to the public interest.</w:t>
      </w:r>
    </w:p>
    <w:p w14:paraId="49684BDC" w14:textId="77777777" w:rsidR="007A6B52" w:rsidRDefault="007A6B52" w:rsidP="00A0686B">
      <w:pPr>
        <w:ind w:firstLine="720"/>
        <w:rPr>
          <w:sz w:val="22"/>
          <w:szCs w:val="22"/>
        </w:rPr>
      </w:pPr>
    </w:p>
    <w:p w14:paraId="41330885" w14:textId="4F6E6EF5" w:rsidR="007A6B52" w:rsidRDefault="00C16ED1" w:rsidP="00A0686B">
      <w:pPr>
        <w:ind w:firstLine="720"/>
        <w:rPr>
          <w:sz w:val="22"/>
          <w:szCs w:val="22"/>
        </w:rPr>
      </w:pPr>
      <w:r>
        <w:rPr>
          <w:sz w:val="22"/>
          <w:szCs w:val="22"/>
        </w:rPr>
        <w:t xml:space="preserve">We disagree with Bluesky’s argument that </w:t>
      </w:r>
      <w:r w:rsidR="00A1565A">
        <w:rPr>
          <w:sz w:val="22"/>
          <w:szCs w:val="22"/>
        </w:rPr>
        <w:t xml:space="preserve">applying a geographic benchmark in this instance would undermine the purpose the Commission’s 700 MHz construction requirements.  </w:t>
      </w:r>
      <w:r w:rsidR="007A6B52">
        <w:rPr>
          <w:sz w:val="22"/>
          <w:szCs w:val="22"/>
        </w:rPr>
        <w:t xml:space="preserve">In establishing a </w:t>
      </w:r>
      <w:r w:rsidR="00C014FC">
        <w:rPr>
          <w:sz w:val="22"/>
          <w:szCs w:val="22"/>
        </w:rPr>
        <w:t xml:space="preserve">geographic coverage requirement for certain 700 MHz bands, </w:t>
      </w:r>
      <w:r w:rsidR="00332166">
        <w:rPr>
          <w:sz w:val="22"/>
          <w:szCs w:val="22"/>
        </w:rPr>
        <w:t>the Commission sought to encourage licensees to deploy networks in rural and remote areas, rather than focusing service on population centers.</w:t>
      </w:r>
      <w:r w:rsidR="00332166">
        <w:rPr>
          <w:rStyle w:val="FootnoteReference"/>
          <w:sz w:val="22"/>
          <w:szCs w:val="22"/>
        </w:rPr>
        <w:footnoteReference w:id="58"/>
      </w:r>
      <w:r w:rsidR="00E81374">
        <w:rPr>
          <w:sz w:val="22"/>
          <w:szCs w:val="22"/>
        </w:rPr>
        <w:t xml:space="preserve">  In the instant case, while Bluesky provides service to more than 90 percent of the population of American Samoa, its service area accounts for only 45 percent of the geographic area of the territory.  </w:t>
      </w:r>
      <w:r w:rsidR="00163298">
        <w:rPr>
          <w:sz w:val="22"/>
          <w:szCs w:val="22"/>
        </w:rPr>
        <w:t xml:space="preserve">By maintaining the 70 percent final geographic coverage requirement, </w:t>
      </w:r>
      <w:r w:rsidR="000A12C8">
        <w:rPr>
          <w:sz w:val="22"/>
          <w:szCs w:val="22"/>
        </w:rPr>
        <w:t xml:space="preserve">Bluesky will have a continued incentive </w:t>
      </w:r>
      <w:r w:rsidR="00163298">
        <w:rPr>
          <w:sz w:val="22"/>
          <w:szCs w:val="22"/>
        </w:rPr>
        <w:t xml:space="preserve">to </w:t>
      </w:r>
      <w:r w:rsidR="000A12C8">
        <w:rPr>
          <w:sz w:val="22"/>
          <w:szCs w:val="22"/>
        </w:rPr>
        <w:t>expand its network and deploy</w:t>
      </w:r>
      <w:r w:rsidR="00163298">
        <w:rPr>
          <w:sz w:val="22"/>
          <w:szCs w:val="22"/>
        </w:rPr>
        <w:t xml:space="preserve"> wireless services to the more remote areas that are home to small </w:t>
      </w:r>
      <w:r w:rsidR="000A12C8">
        <w:rPr>
          <w:sz w:val="22"/>
          <w:szCs w:val="22"/>
        </w:rPr>
        <w:t>communities</w:t>
      </w:r>
      <w:r w:rsidR="00163298">
        <w:rPr>
          <w:sz w:val="22"/>
          <w:szCs w:val="22"/>
        </w:rPr>
        <w:t xml:space="preserve"> of American Samoa</w:t>
      </w:r>
      <w:r w:rsidR="000A12C8">
        <w:rPr>
          <w:sz w:val="22"/>
          <w:szCs w:val="22"/>
        </w:rPr>
        <w:t>ns</w:t>
      </w:r>
      <w:r w:rsidR="00163298">
        <w:rPr>
          <w:sz w:val="22"/>
          <w:szCs w:val="22"/>
        </w:rPr>
        <w:t xml:space="preserve">.  Indeed, </w:t>
      </w:r>
      <w:r w:rsidR="006A7E01">
        <w:rPr>
          <w:sz w:val="22"/>
          <w:szCs w:val="22"/>
        </w:rPr>
        <w:t xml:space="preserve">if we were to grant a waiver to replace the 70 percent geographic coverage requirement with a population-based </w:t>
      </w:r>
      <w:r w:rsidR="000A12C8">
        <w:rPr>
          <w:sz w:val="22"/>
          <w:szCs w:val="22"/>
        </w:rPr>
        <w:t>benchmark</w:t>
      </w:r>
      <w:r w:rsidR="006A7E01">
        <w:rPr>
          <w:sz w:val="22"/>
          <w:szCs w:val="22"/>
        </w:rPr>
        <w:t>, Bluesky would already exceed that benchmark.  Grant of the requested relief would therefore undermine the underlying purpose of Section 27.14(g)(2)</w:t>
      </w:r>
      <w:r w:rsidR="00A112D9">
        <w:rPr>
          <w:sz w:val="22"/>
          <w:szCs w:val="22"/>
        </w:rPr>
        <w:t>.</w:t>
      </w:r>
    </w:p>
    <w:p w14:paraId="5DDAB433" w14:textId="77777777" w:rsidR="00A112D9" w:rsidRDefault="00A112D9" w:rsidP="00A0686B">
      <w:pPr>
        <w:ind w:firstLine="720"/>
        <w:rPr>
          <w:sz w:val="22"/>
          <w:szCs w:val="22"/>
        </w:rPr>
      </w:pPr>
    </w:p>
    <w:p w14:paraId="2A3FF939" w14:textId="45C9A462" w:rsidR="0041656A" w:rsidRPr="000D5A8D" w:rsidRDefault="0041656A" w:rsidP="00A0686B">
      <w:pPr>
        <w:ind w:firstLine="720"/>
        <w:rPr>
          <w:sz w:val="22"/>
          <w:szCs w:val="22"/>
        </w:rPr>
      </w:pPr>
      <w:r>
        <w:rPr>
          <w:sz w:val="22"/>
          <w:szCs w:val="22"/>
        </w:rPr>
        <w:t>We</w:t>
      </w:r>
      <w:r w:rsidR="004722FB">
        <w:rPr>
          <w:sz w:val="22"/>
          <w:szCs w:val="22"/>
        </w:rPr>
        <w:t xml:space="preserve"> also</w:t>
      </w:r>
      <w:r>
        <w:rPr>
          <w:sz w:val="22"/>
          <w:szCs w:val="22"/>
        </w:rPr>
        <w:t xml:space="preserve"> do not find support in the record that it would be inequitable, unduly burdensome, or contrary to the public interest to apply the geographic coverage requirement at Bluesky’s final construction deadline.</w:t>
      </w:r>
      <w:r w:rsidR="004F4CEC">
        <w:rPr>
          <w:sz w:val="22"/>
          <w:szCs w:val="22"/>
        </w:rPr>
        <w:t xml:space="preserve"> </w:t>
      </w:r>
      <w:r w:rsidR="004722FB">
        <w:rPr>
          <w:sz w:val="22"/>
          <w:szCs w:val="22"/>
        </w:rPr>
        <w:t xml:space="preserve"> </w:t>
      </w:r>
      <w:r w:rsidR="004F4CEC">
        <w:rPr>
          <w:sz w:val="22"/>
          <w:szCs w:val="22"/>
        </w:rPr>
        <w:t xml:space="preserve">It is the responsibility of the licensee </w:t>
      </w:r>
      <w:r w:rsidR="004F4CEC" w:rsidRPr="00EB3599">
        <w:rPr>
          <w:sz w:val="22"/>
          <w:szCs w:val="22"/>
        </w:rPr>
        <w:t>to conduct its due diligence to ensure that it can meet its performance obligations as required by the Commission’s rules</w:t>
      </w:r>
      <w:r w:rsidR="004F4CEC">
        <w:rPr>
          <w:sz w:val="22"/>
          <w:szCs w:val="22"/>
        </w:rPr>
        <w:t>.</w:t>
      </w:r>
      <w:r w:rsidR="004F4CEC" w:rsidRPr="00EB3599">
        <w:rPr>
          <w:sz w:val="22"/>
          <w:szCs w:val="22"/>
          <w:vertAlign w:val="superscript"/>
        </w:rPr>
        <w:footnoteReference w:id="59"/>
      </w:r>
      <w:r w:rsidR="004F4CEC">
        <w:rPr>
          <w:sz w:val="22"/>
          <w:szCs w:val="22"/>
        </w:rPr>
        <w:t xml:space="preserve">  </w:t>
      </w:r>
      <w:r w:rsidR="00302122">
        <w:rPr>
          <w:sz w:val="22"/>
          <w:szCs w:val="22"/>
        </w:rPr>
        <w:t>T</w:t>
      </w:r>
      <w:r w:rsidR="004F4CEC">
        <w:rPr>
          <w:sz w:val="22"/>
          <w:szCs w:val="22"/>
        </w:rPr>
        <w:t xml:space="preserve">he Commission established the geographic coverage requirements for 700 MHz licensees with the </w:t>
      </w:r>
      <w:r w:rsidR="00302122">
        <w:rPr>
          <w:sz w:val="22"/>
          <w:szCs w:val="22"/>
        </w:rPr>
        <w:t>goal</w:t>
      </w:r>
      <w:r w:rsidR="004F4CEC">
        <w:rPr>
          <w:sz w:val="22"/>
          <w:szCs w:val="22"/>
        </w:rPr>
        <w:t xml:space="preserve"> of encouraging deployment to remote and </w:t>
      </w:r>
      <w:r w:rsidR="00302122">
        <w:rPr>
          <w:sz w:val="22"/>
          <w:szCs w:val="22"/>
        </w:rPr>
        <w:t>rural</w:t>
      </w:r>
      <w:r w:rsidR="004F4CEC">
        <w:rPr>
          <w:sz w:val="22"/>
          <w:szCs w:val="22"/>
        </w:rPr>
        <w:t xml:space="preserve"> areas</w:t>
      </w:r>
      <w:r w:rsidR="00302122">
        <w:rPr>
          <w:sz w:val="22"/>
          <w:szCs w:val="22"/>
        </w:rPr>
        <w:t xml:space="preserve"> – often the most difficult to serve –</w:t>
      </w:r>
      <w:r w:rsidR="004F4CEC">
        <w:rPr>
          <w:sz w:val="22"/>
          <w:szCs w:val="22"/>
        </w:rPr>
        <w:t xml:space="preserve"> that might otherwise lack adequate access to services.</w:t>
      </w:r>
      <w:r w:rsidR="00302122">
        <w:rPr>
          <w:rStyle w:val="FootnoteReference"/>
          <w:sz w:val="22"/>
          <w:szCs w:val="22"/>
        </w:rPr>
        <w:footnoteReference w:id="60"/>
      </w:r>
      <w:r w:rsidR="004F4CEC">
        <w:rPr>
          <w:sz w:val="22"/>
          <w:szCs w:val="22"/>
        </w:rPr>
        <w:t xml:space="preserve">  </w:t>
      </w:r>
      <w:r w:rsidR="00302122">
        <w:rPr>
          <w:sz w:val="22"/>
          <w:szCs w:val="22"/>
        </w:rPr>
        <w:t>While the Commission recognized certain factors might make construction of wireless facilities more challenging in some areas than others, it</w:t>
      </w:r>
      <w:r w:rsidR="000D5A8D">
        <w:rPr>
          <w:sz w:val="22"/>
          <w:szCs w:val="22"/>
        </w:rPr>
        <w:t xml:space="preserve"> reaffirmed this </w:t>
      </w:r>
      <w:r w:rsidR="00302122">
        <w:rPr>
          <w:sz w:val="22"/>
          <w:szCs w:val="22"/>
        </w:rPr>
        <w:t>goal</w:t>
      </w:r>
      <w:r w:rsidR="000D5A8D">
        <w:rPr>
          <w:sz w:val="22"/>
          <w:szCs w:val="22"/>
        </w:rPr>
        <w:t xml:space="preserve"> on reconsideration of the </w:t>
      </w:r>
      <w:r w:rsidR="000D5A8D">
        <w:rPr>
          <w:i/>
          <w:sz w:val="22"/>
          <w:szCs w:val="22"/>
        </w:rPr>
        <w:t>700 MHz Second Report and Order</w:t>
      </w:r>
      <w:r w:rsidR="000D5A8D">
        <w:rPr>
          <w:sz w:val="22"/>
          <w:szCs w:val="22"/>
        </w:rPr>
        <w:t>, noting that while licensees may seek waivers of the geographic coverage requirement if they believe the circumstances in a particular area warrant relief, such requests “must be well founded and not based solely on grounds of low population density.”</w:t>
      </w:r>
      <w:r w:rsidR="000D5A8D">
        <w:rPr>
          <w:rStyle w:val="FootnoteReference"/>
          <w:sz w:val="22"/>
          <w:szCs w:val="22"/>
        </w:rPr>
        <w:footnoteReference w:id="61"/>
      </w:r>
      <w:r w:rsidR="000D5A8D">
        <w:rPr>
          <w:sz w:val="22"/>
          <w:szCs w:val="22"/>
        </w:rPr>
        <w:t xml:space="preserve">  </w:t>
      </w:r>
      <w:r w:rsidR="00530C1A">
        <w:rPr>
          <w:sz w:val="22"/>
          <w:szCs w:val="22"/>
        </w:rPr>
        <w:t xml:space="preserve">When it acquired the licenses, Bluesky knew or should have known of the Commission’s performance benchmarks for the 700 MHz band and the challenges presented by American Samoa in meeting those obligations.  </w:t>
      </w:r>
      <w:r w:rsidR="00F651D3">
        <w:rPr>
          <w:sz w:val="22"/>
          <w:szCs w:val="22"/>
        </w:rPr>
        <w:t>W</w:t>
      </w:r>
      <w:r w:rsidR="00EC5B0E">
        <w:rPr>
          <w:sz w:val="22"/>
          <w:szCs w:val="22"/>
        </w:rPr>
        <w:t xml:space="preserve">hile we recognize that geographic and environmental conditions associated with this area present difficulties in deploying service, we are not persuaded that such </w:t>
      </w:r>
      <w:r w:rsidR="009F02CF">
        <w:rPr>
          <w:sz w:val="22"/>
          <w:szCs w:val="22"/>
        </w:rPr>
        <w:t>difficulties</w:t>
      </w:r>
      <w:r w:rsidR="00EC5B0E">
        <w:rPr>
          <w:sz w:val="22"/>
          <w:szCs w:val="22"/>
        </w:rPr>
        <w:t xml:space="preserve"> preclude additional construction</w:t>
      </w:r>
      <w:r w:rsidR="009F02CF">
        <w:rPr>
          <w:sz w:val="22"/>
          <w:szCs w:val="22"/>
        </w:rPr>
        <w:t xml:space="preserve"> or outweigh the public interest in providing service to remote areas of American Samoa</w:t>
      </w:r>
      <w:r w:rsidR="00EC5B0E">
        <w:rPr>
          <w:sz w:val="22"/>
          <w:szCs w:val="22"/>
        </w:rPr>
        <w:t xml:space="preserve">. </w:t>
      </w:r>
      <w:r w:rsidR="00530C1A">
        <w:rPr>
          <w:sz w:val="22"/>
          <w:szCs w:val="22"/>
        </w:rPr>
        <w:t xml:space="preserve"> </w:t>
      </w:r>
      <w:r w:rsidR="0005337F">
        <w:rPr>
          <w:sz w:val="22"/>
          <w:szCs w:val="22"/>
        </w:rPr>
        <w:t>Aside from the challenges of serving American Samoa, which it has demonstrated its ability to overcome,</w:t>
      </w:r>
      <w:r w:rsidR="0005337F">
        <w:rPr>
          <w:rStyle w:val="FootnoteReference"/>
          <w:sz w:val="22"/>
          <w:szCs w:val="22"/>
        </w:rPr>
        <w:footnoteReference w:id="62"/>
      </w:r>
      <w:r w:rsidR="0005337F">
        <w:rPr>
          <w:sz w:val="22"/>
          <w:szCs w:val="22"/>
        </w:rPr>
        <w:t xml:space="preserve"> </w:t>
      </w:r>
      <w:r w:rsidR="002E35DA">
        <w:rPr>
          <w:sz w:val="22"/>
          <w:szCs w:val="22"/>
        </w:rPr>
        <w:t xml:space="preserve">Bluesky’s request focuses largely on the </w:t>
      </w:r>
      <w:r w:rsidR="0005337F">
        <w:rPr>
          <w:sz w:val="22"/>
          <w:szCs w:val="22"/>
        </w:rPr>
        <w:t>sparse populations located in the</w:t>
      </w:r>
      <w:r w:rsidR="002E35DA">
        <w:rPr>
          <w:sz w:val="22"/>
          <w:szCs w:val="22"/>
        </w:rPr>
        <w:t xml:space="preserve"> remainin</w:t>
      </w:r>
      <w:r w:rsidR="0005337F">
        <w:rPr>
          <w:sz w:val="22"/>
          <w:szCs w:val="22"/>
        </w:rPr>
        <w:t>g unserved areas in the market, and is therefore unpersuasive as grounds for relief.</w:t>
      </w:r>
    </w:p>
    <w:p w14:paraId="7348BA60" w14:textId="77777777" w:rsidR="0041656A" w:rsidRDefault="0041656A" w:rsidP="00A0686B">
      <w:pPr>
        <w:ind w:firstLine="720"/>
        <w:rPr>
          <w:sz w:val="22"/>
          <w:szCs w:val="22"/>
        </w:rPr>
      </w:pPr>
    </w:p>
    <w:p w14:paraId="4822D755" w14:textId="010380B0" w:rsidR="00A112D9" w:rsidRDefault="00A112D9" w:rsidP="00A0686B">
      <w:pPr>
        <w:ind w:firstLine="720"/>
        <w:rPr>
          <w:sz w:val="22"/>
          <w:szCs w:val="22"/>
        </w:rPr>
      </w:pPr>
      <w:r>
        <w:rPr>
          <w:sz w:val="22"/>
          <w:szCs w:val="22"/>
        </w:rPr>
        <w:t xml:space="preserve">We also disagree with Bluesky’s argument that </w:t>
      </w:r>
      <w:r w:rsidR="0041656A">
        <w:rPr>
          <w:sz w:val="22"/>
          <w:szCs w:val="22"/>
        </w:rPr>
        <w:t xml:space="preserve">potential application of the “keep-what-you-serve” rule as a result of its possible failure to satisfy the final construction </w:t>
      </w:r>
      <w:r w:rsidR="0005337F">
        <w:rPr>
          <w:sz w:val="22"/>
          <w:szCs w:val="22"/>
        </w:rPr>
        <w:t>benchmark</w:t>
      </w:r>
      <w:r w:rsidR="0041656A">
        <w:rPr>
          <w:sz w:val="22"/>
          <w:szCs w:val="22"/>
        </w:rPr>
        <w:t xml:space="preserve"> would </w:t>
      </w:r>
      <w:r w:rsidR="00530C1A">
        <w:rPr>
          <w:sz w:val="22"/>
          <w:szCs w:val="22"/>
        </w:rPr>
        <w:t xml:space="preserve">undermine the underlying goal of </w:t>
      </w:r>
      <w:r w:rsidR="009F02CF">
        <w:rPr>
          <w:sz w:val="22"/>
          <w:szCs w:val="22"/>
        </w:rPr>
        <w:t xml:space="preserve">the 700 MHz construction requirements or would </w:t>
      </w:r>
      <w:r w:rsidR="0041656A">
        <w:rPr>
          <w:sz w:val="22"/>
          <w:szCs w:val="22"/>
        </w:rPr>
        <w:t>be</w:t>
      </w:r>
      <w:r>
        <w:rPr>
          <w:sz w:val="22"/>
          <w:szCs w:val="22"/>
        </w:rPr>
        <w:t xml:space="preserve"> inequitable, unduly burdensome, and contrary to the public interest.  Pursuant to </w:t>
      </w:r>
      <w:r w:rsidR="0041656A">
        <w:rPr>
          <w:sz w:val="22"/>
          <w:szCs w:val="22"/>
        </w:rPr>
        <w:t>Section 27.14(g)(2)</w:t>
      </w:r>
      <w:r>
        <w:rPr>
          <w:sz w:val="22"/>
          <w:szCs w:val="22"/>
        </w:rPr>
        <w:t>, if Bluesky is unable to satisfy the final 70 percen</w:t>
      </w:r>
      <w:r w:rsidR="0041656A">
        <w:rPr>
          <w:sz w:val="22"/>
          <w:szCs w:val="22"/>
        </w:rPr>
        <w:t>t</w:t>
      </w:r>
      <w:r>
        <w:rPr>
          <w:sz w:val="22"/>
          <w:szCs w:val="22"/>
        </w:rPr>
        <w:t xml:space="preserve"> geographic coverage requirement, it will retain its authorization in all of the license areas in which it is providing service as of the final deadline, and the remaining </w:t>
      </w:r>
      <w:r w:rsidR="0005337F">
        <w:rPr>
          <w:sz w:val="22"/>
          <w:szCs w:val="22"/>
        </w:rPr>
        <w:t xml:space="preserve">unserved </w:t>
      </w:r>
      <w:r>
        <w:rPr>
          <w:sz w:val="22"/>
          <w:szCs w:val="22"/>
        </w:rPr>
        <w:t>areas will return to the Commission’s inventory for relicensing.</w:t>
      </w:r>
      <w:r w:rsidR="0041656A">
        <w:rPr>
          <w:rStyle w:val="FootnoteReference"/>
          <w:sz w:val="22"/>
          <w:szCs w:val="22"/>
        </w:rPr>
        <w:footnoteReference w:id="63"/>
      </w:r>
      <w:r>
        <w:rPr>
          <w:sz w:val="22"/>
          <w:szCs w:val="22"/>
        </w:rPr>
        <w:t xml:space="preserve">  The Commission’s </w:t>
      </w:r>
      <w:r w:rsidR="0010009D">
        <w:rPr>
          <w:sz w:val="22"/>
          <w:szCs w:val="22"/>
        </w:rPr>
        <w:t>goal</w:t>
      </w:r>
      <w:r>
        <w:rPr>
          <w:sz w:val="22"/>
          <w:szCs w:val="22"/>
        </w:rPr>
        <w:t xml:space="preserve"> in establishing these rules was to </w:t>
      </w:r>
      <w:r w:rsidR="0010009D">
        <w:rPr>
          <w:sz w:val="22"/>
          <w:szCs w:val="22"/>
        </w:rPr>
        <w:t xml:space="preserve">promote </w:t>
      </w:r>
      <w:r>
        <w:rPr>
          <w:sz w:val="22"/>
          <w:szCs w:val="22"/>
        </w:rPr>
        <w:t>the provision of ser</w:t>
      </w:r>
      <w:r w:rsidR="0010009D">
        <w:rPr>
          <w:sz w:val="22"/>
          <w:szCs w:val="22"/>
        </w:rPr>
        <w:t>vice, especially in rural areas,</w:t>
      </w:r>
      <w:r>
        <w:rPr>
          <w:sz w:val="22"/>
          <w:szCs w:val="22"/>
        </w:rPr>
        <w:t xml:space="preserve"> and</w:t>
      </w:r>
      <w:r w:rsidR="0010009D">
        <w:rPr>
          <w:sz w:val="22"/>
          <w:szCs w:val="22"/>
        </w:rPr>
        <w:t>,</w:t>
      </w:r>
      <w:r>
        <w:rPr>
          <w:sz w:val="22"/>
          <w:szCs w:val="22"/>
        </w:rPr>
        <w:t xml:space="preserve"> where areas remain unserved, to give others</w:t>
      </w:r>
      <w:r w:rsidR="0010009D">
        <w:rPr>
          <w:sz w:val="22"/>
          <w:szCs w:val="22"/>
        </w:rPr>
        <w:t xml:space="preserve"> the</w:t>
      </w:r>
      <w:r>
        <w:rPr>
          <w:sz w:val="22"/>
          <w:szCs w:val="22"/>
        </w:rPr>
        <w:t xml:space="preserve"> “opportunity to acquire spectrum that is not adequately built out and provide services to those who reside in those areas.”</w:t>
      </w:r>
      <w:r>
        <w:rPr>
          <w:rStyle w:val="FootnoteReference"/>
          <w:sz w:val="22"/>
          <w:szCs w:val="22"/>
        </w:rPr>
        <w:footnoteReference w:id="64"/>
      </w:r>
      <w:r w:rsidR="0041656A">
        <w:rPr>
          <w:sz w:val="22"/>
          <w:szCs w:val="22"/>
        </w:rPr>
        <w:t xml:space="preserve">  By its own admission, Bluesky is already providing service to the vast majority of areas that it ultimately intends to serve in American Samoa, citing the </w:t>
      </w:r>
      <w:r w:rsidR="0010009D">
        <w:rPr>
          <w:sz w:val="22"/>
          <w:szCs w:val="22"/>
        </w:rPr>
        <w:t>purported impracticability</w:t>
      </w:r>
      <w:r w:rsidR="0041656A">
        <w:rPr>
          <w:sz w:val="22"/>
          <w:szCs w:val="22"/>
        </w:rPr>
        <w:t xml:space="preserve"> of expanding service further by any appreciable amount.</w:t>
      </w:r>
      <w:r w:rsidR="0041656A">
        <w:rPr>
          <w:rStyle w:val="FootnoteReference"/>
          <w:sz w:val="22"/>
          <w:szCs w:val="22"/>
        </w:rPr>
        <w:footnoteReference w:id="65"/>
      </w:r>
      <w:r w:rsidR="0041656A">
        <w:rPr>
          <w:sz w:val="22"/>
          <w:szCs w:val="22"/>
        </w:rPr>
        <w:t xml:space="preserve"> </w:t>
      </w:r>
      <w:r w:rsidR="00C15F41">
        <w:rPr>
          <w:sz w:val="22"/>
          <w:szCs w:val="22"/>
        </w:rPr>
        <w:t xml:space="preserve"> </w:t>
      </w:r>
      <w:r w:rsidR="009F02CF">
        <w:rPr>
          <w:sz w:val="22"/>
          <w:szCs w:val="22"/>
        </w:rPr>
        <w:t xml:space="preserve">To the extent that Bluesky argues that applying the </w:t>
      </w:r>
      <w:r w:rsidR="009F2598">
        <w:rPr>
          <w:sz w:val="22"/>
          <w:szCs w:val="22"/>
        </w:rPr>
        <w:t>“</w:t>
      </w:r>
      <w:r w:rsidR="009F02CF">
        <w:rPr>
          <w:sz w:val="22"/>
          <w:szCs w:val="22"/>
        </w:rPr>
        <w:t>keep-what-</w:t>
      </w:r>
      <w:r w:rsidR="00C15F41">
        <w:rPr>
          <w:sz w:val="22"/>
          <w:szCs w:val="22"/>
        </w:rPr>
        <w:t>you</w:t>
      </w:r>
      <w:r w:rsidR="005E629D">
        <w:rPr>
          <w:sz w:val="22"/>
          <w:szCs w:val="22"/>
        </w:rPr>
        <w:t>-</w:t>
      </w:r>
      <w:r w:rsidR="00C15F41">
        <w:rPr>
          <w:sz w:val="22"/>
          <w:szCs w:val="22"/>
        </w:rPr>
        <w:t>serve</w:t>
      </w:r>
      <w:r w:rsidR="009F2598">
        <w:rPr>
          <w:sz w:val="22"/>
          <w:szCs w:val="22"/>
        </w:rPr>
        <w:t>”</w:t>
      </w:r>
      <w:r w:rsidR="00C15F41">
        <w:rPr>
          <w:sz w:val="22"/>
          <w:szCs w:val="22"/>
        </w:rPr>
        <w:t xml:space="preserve"> regime would undermine</w:t>
      </w:r>
      <w:r w:rsidR="009F02CF">
        <w:rPr>
          <w:sz w:val="22"/>
          <w:szCs w:val="22"/>
        </w:rPr>
        <w:t xml:space="preserve"> its future ability to expand service in response to developments that reduce barriers to coverage, we</w:t>
      </w:r>
      <w:r w:rsidR="00C15F41">
        <w:rPr>
          <w:sz w:val="22"/>
          <w:szCs w:val="22"/>
        </w:rPr>
        <w:t xml:space="preserve"> find that allowing Bluesky to warehouse unserved areas indefinitel</w:t>
      </w:r>
      <w:r w:rsidR="00C44B51">
        <w:rPr>
          <w:sz w:val="22"/>
          <w:szCs w:val="22"/>
        </w:rPr>
        <w:t>y would undercut</w:t>
      </w:r>
      <w:r w:rsidR="00C15F41">
        <w:rPr>
          <w:sz w:val="22"/>
          <w:szCs w:val="22"/>
        </w:rPr>
        <w:t xml:space="preserve"> the intent of these rules by preventing others from providing coverage more quickly. </w:t>
      </w:r>
      <w:r w:rsidR="0041656A">
        <w:rPr>
          <w:sz w:val="22"/>
          <w:szCs w:val="22"/>
        </w:rPr>
        <w:t xml:space="preserve"> </w:t>
      </w:r>
      <w:r w:rsidR="00C15F41">
        <w:rPr>
          <w:sz w:val="22"/>
          <w:szCs w:val="22"/>
        </w:rPr>
        <w:t>Moreover, Bluesky retains the ability to expand service</w:t>
      </w:r>
      <w:r w:rsidR="00C44B51">
        <w:rPr>
          <w:sz w:val="22"/>
          <w:szCs w:val="22"/>
        </w:rPr>
        <w:t xml:space="preserve"> into unserved areas</w:t>
      </w:r>
      <w:r w:rsidR="00C15F41">
        <w:rPr>
          <w:sz w:val="22"/>
          <w:szCs w:val="22"/>
        </w:rPr>
        <w:t xml:space="preserve"> under the 700 MHz Phase II licensing rules.</w:t>
      </w:r>
      <w:r w:rsidR="00C44B51">
        <w:rPr>
          <w:rStyle w:val="FootnoteReference"/>
          <w:sz w:val="22"/>
          <w:szCs w:val="22"/>
        </w:rPr>
        <w:footnoteReference w:id="66"/>
      </w:r>
      <w:r w:rsidR="00C15F41">
        <w:rPr>
          <w:sz w:val="22"/>
          <w:szCs w:val="22"/>
        </w:rPr>
        <w:t xml:space="preserve">  </w:t>
      </w:r>
      <w:r w:rsidR="008B40F2">
        <w:rPr>
          <w:sz w:val="22"/>
          <w:szCs w:val="22"/>
        </w:rPr>
        <w:t xml:space="preserve">We therefore conclude that </w:t>
      </w:r>
      <w:r w:rsidR="0010009D">
        <w:rPr>
          <w:sz w:val="22"/>
          <w:szCs w:val="22"/>
        </w:rPr>
        <w:t>g</w:t>
      </w:r>
      <w:r w:rsidR="0041656A">
        <w:rPr>
          <w:sz w:val="22"/>
          <w:szCs w:val="22"/>
        </w:rPr>
        <w:t>iving Bluesky the remainder of its license term to continue expanding its network in American Samoa and, in the event that it fails the final construction requirement, returning the remaining unserved areas to the Commission’s inventory for relicensing, serves the exact objectives the Commission had when it set forth stringent performance requirements for the 700 MHz band.</w:t>
      </w:r>
    </w:p>
    <w:p w14:paraId="7BABA56D" w14:textId="77777777" w:rsidR="00CF7D21" w:rsidRDefault="00CF7D21" w:rsidP="00A0686B">
      <w:pPr>
        <w:ind w:firstLine="720"/>
        <w:rPr>
          <w:sz w:val="22"/>
          <w:szCs w:val="22"/>
        </w:rPr>
      </w:pPr>
    </w:p>
    <w:p w14:paraId="02F646BB" w14:textId="77777777" w:rsidR="00CF7D21" w:rsidRDefault="00CF7D21" w:rsidP="00CF7D21">
      <w:pPr>
        <w:rPr>
          <w:b/>
          <w:sz w:val="22"/>
          <w:szCs w:val="22"/>
        </w:rPr>
      </w:pPr>
      <w:r>
        <w:rPr>
          <w:b/>
          <w:sz w:val="22"/>
          <w:szCs w:val="22"/>
        </w:rPr>
        <w:t>III.</w:t>
      </w:r>
      <w:r>
        <w:rPr>
          <w:b/>
          <w:sz w:val="22"/>
          <w:szCs w:val="22"/>
        </w:rPr>
        <w:tab/>
        <w:t>CONCLUSION</w:t>
      </w:r>
    </w:p>
    <w:p w14:paraId="3D04186D" w14:textId="77777777" w:rsidR="00CF7D21" w:rsidRDefault="00CF7D21" w:rsidP="00CF7D21">
      <w:pPr>
        <w:rPr>
          <w:b/>
          <w:sz w:val="22"/>
          <w:szCs w:val="22"/>
        </w:rPr>
      </w:pPr>
    </w:p>
    <w:p w14:paraId="6129D2AF" w14:textId="4F1EDC9B" w:rsidR="00CF7D21" w:rsidRDefault="00CF7D21" w:rsidP="00CF7D21">
      <w:pPr>
        <w:rPr>
          <w:sz w:val="22"/>
          <w:szCs w:val="22"/>
        </w:rPr>
      </w:pPr>
      <w:r>
        <w:rPr>
          <w:b/>
          <w:sz w:val="22"/>
          <w:szCs w:val="22"/>
        </w:rPr>
        <w:tab/>
      </w:r>
      <w:r w:rsidRPr="00941649">
        <w:rPr>
          <w:sz w:val="22"/>
          <w:szCs w:val="22"/>
        </w:rPr>
        <w:t xml:space="preserve">For the reasons stated above, we hereby grant Bluesky’s request </w:t>
      </w:r>
      <w:r w:rsidR="008B40F2" w:rsidRPr="00941649">
        <w:rPr>
          <w:sz w:val="22"/>
          <w:szCs w:val="22"/>
        </w:rPr>
        <w:t xml:space="preserve">to </w:t>
      </w:r>
      <w:r w:rsidRPr="00941649">
        <w:rPr>
          <w:sz w:val="22"/>
          <w:szCs w:val="22"/>
        </w:rPr>
        <w:t>waive</w:t>
      </w:r>
      <w:r w:rsidR="005E629D">
        <w:rPr>
          <w:sz w:val="22"/>
          <w:szCs w:val="22"/>
        </w:rPr>
        <w:t xml:space="preserve"> </w:t>
      </w:r>
      <w:r w:rsidR="009A629B">
        <w:rPr>
          <w:sz w:val="22"/>
          <w:szCs w:val="22"/>
        </w:rPr>
        <w:t xml:space="preserve">the </w:t>
      </w:r>
      <w:r w:rsidRPr="00941649">
        <w:rPr>
          <w:sz w:val="22"/>
          <w:szCs w:val="22"/>
        </w:rPr>
        <w:t>Section 27.14(g)(1) interim construction deadline until March 6, 2017</w:t>
      </w:r>
      <w:r w:rsidR="009F2598">
        <w:rPr>
          <w:sz w:val="22"/>
          <w:szCs w:val="22"/>
        </w:rPr>
        <w:t>,</w:t>
      </w:r>
      <w:r w:rsidRPr="00941649">
        <w:rPr>
          <w:sz w:val="22"/>
          <w:szCs w:val="22"/>
        </w:rPr>
        <w:t xml:space="preserve"> and deny all alternative requests for waiver relief.</w:t>
      </w:r>
    </w:p>
    <w:p w14:paraId="1C846030" w14:textId="77777777" w:rsidR="00CF7D21" w:rsidRDefault="00CF7D21" w:rsidP="00CF7D21">
      <w:pPr>
        <w:rPr>
          <w:sz w:val="22"/>
          <w:szCs w:val="22"/>
        </w:rPr>
      </w:pPr>
    </w:p>
    <w:p w14:paraId="1D6AD866" w14:textId="52729722" w:rsidR="00CF7D21" w:rsidRDefault="00CF7D21" w:rsidP="00CF7D21">
      <w:pPr>
        <w:rPr>
          <w:sz w:val="22"/>
          <w:szCs w:val="22"/>
        </w:rPr>
      </w:pPr>
      <w:r>
        <w:rPr>
          <w:sz w:val="22"/>
          <w:szCs w:val="22"/>
        </w:rPr>
        <w:tab/>
        <w:t>Accord</w:t>
      </w:r>
      <w:r w:rsidR="006D717C">
        <w:rPr>
          <w:sz w:val="22"/>
          <w:szCs w:val="22"/>
        </w:rPr>
        <w:t xml:space="preserve">ingly, IT IS ORDERED that, </w:t>
      </w:r>
      <w:r w:rsidR="006D717C" w:rsidRPr="006D717C">
        <w:rPr>
          <w:sz w:val="22"/>
          <w:szCs w:val="22"/>
        </w:rPr>
        <w:t>pursuant to Section 4(i) of the Communications Act, as amended, 47 U.S.C. § 154(i), and Section</w:t>
      </w:r>
      <w:r w:rsidR="009F2598">
        <w:rPr>
          <w:sz w:val="22"/>
          <w:szCs w:val="22"/>
        </w:rPr>
        <w:t>s 1.3 and</w:t>
      </w:r>
      <w:r w:rsidR="006D717C" w:rsidRPr="006D717C">
        <w:rPr>
          <w:sz w:val="22"/>
          <w:szCs w:val="22"/>
        </w:rPr>
        <w:t xml:space="preserve"> 1.925(b)(3)</w:t>
      </w:r>
      <w:r w:rsidR="006D717C">
        <w:rPr>
          <w:sz w:val="22"/>
          <w:szCs w:val="22"/>
        </w:rPr>
        <w:t>(i)</w:t>
      </w:r>
      <w:r w:rsidR="006D717C" w:rsidRPr="006D717C">
        <w:rPr>
          <w:sz w:val="22"/>
          <w:szCs w:val="22"/>
        </w:rPr>
        <w:t xml:space="preserve"> of the Commission’s rules, 47 CFR </w:t>
      </w:r>
      <w:r w:rsidR="009F2598" w:rsidRPr="006D717C">
        <w:rPr>
          <w:sz w:val="22"/>
          <w:szCs w:val="22"/>
        </w:rPr>
        <w:t>§</w:t>
      </w:r>
      <w:r w:rsidR="006D717C" w:rsidRPr="006D717C">
        <w:rPr>
          <w:sz w:val="22"/>
          <w:szCs w:val="22"/>
        </w:rPr>
        <w:t xml:space="preserve">§ </w:t>
      </w:r>
      <w:r w:rsidR="009F2598">
        <w:rPr>
          <w:sz w:val="22"/>
          <w:szCs w:val="22"/>
        </w:rPr>
        <w:t xml:space="preserve">1.3, </w:t>
      </w:r>
      <w:r w:rsidR="006D717C" w:rsidRPr="006D717C">
        <w:rPr>
          <w:sz w:val="22"/>
          <w:szCs w:val="22"/>
        </w:rPr>
        <w:t>1.925(b)(3)</w:t>
      </w:r>
      <w:r w:rsidR="006D717C">
        <w:rPr>
          <w:sz w:val="22"/>
          <w:szCs w:val="22"/>
        </w:rPr>
        <w:t>(i)</w:t>
      </w:r>
      <w:r w:rsidR="006D717C" w:rsidRPr="006D717C">
        <w:rPr>
          <w:sz w:val="22"/>
          <w:szCs w:val="22"/>
        </w:rPr>
        <w:t>, the request for waiver of Section 27.14(g)</w:t>
      </w:r>
      <w:r w:rsidR="006D717C">
        <w:rPr>
          <w:sz w:val="22"/>
          <w:szCs w:val="22"/>
        </w:rPr>
        <w:t>(1)</w:t>
      </w:r>
      <w:r w:rsidR="006D717C" w:rsidRPr="006D717C">
        <w:rPr>
          <w:sz w:val="22"/>
          <w:szCs w:val="22"/>
        </w:rPr>
        <w:t xml:space="preserve"> of the Commission’s rules, 47 CFR § 27.14(g)</w:t>
      </w:r>
      <w:r w:rsidR="006D717C">
        <w:rPr>
          <w:sz w:val="22"/>
          <w:szCs w:val="22"/>
        </w:rPr>
        <w:t>(1)</w:t>
      </w:r>
      <w:r w:rsidR="006D717C" w:rsidRPr="006D717C">
        <w:rPr>
          <w:sz w:val="22"/>
          <w:szCs w:val="22"/>
        </w:rPr>
        <w:t xml:space="preserve">, filed </w:t>
      </w:r>
      <w:r w:rsidR="006D717C">
        <w:rPr>
          <w:sz w:val="22"/>
          <w:szCs w:val="22"/>
        </w:rPr>
        <w:t>April 10, 2017</w:t>
      </w:r>
      <w:r w:rsidR="006D717C" w:rsidRPr="006D717C">
        <w:rPr>
          <w:sz w:val="22"/>
          <w:szCs w:val="22"/>
        </w:rPr>
        <w:t xml:space="preserve">, by </w:t>
      </w:r>
      <w:r w:rsidR="006D717C">
        <w:rPr>
          <w:sz w:val="22"/>
          <w:szCs w:val="22"/>
        </w:rPr>
        <w:t>AST Telecom, LLC d/b/a Bluesky</w:t>
      </w:r>
      <w:r w:rsidR="006D717C" w:rsidRPr="006D717C">
        <w:rPr>
          <w:sz w:val="22"/>
          <w:szCs w:val="22"/>
        </w:rPr>
        <w:t>, ULS File Nos. 0007595216 and 0007597075,</w:t>
      </w:r>
      <w:r w:rsidR="001F2832">
        <w:rPr>
          <w:sz w:val="22"/>
          <w:szCs w:val="22"/>
        </w:rPr>
        <w:t xml:space="preserve"> is hereby GR</w:t>
      </w:r>
      <w:r w:rsidR="005869FD">
        <w:rPr>
          <w:sz w:val="22"/>
          <w:szCs w:val="22"/>
        </w:rPr>
        <w:t>ANTED to the extent described</w:t>
      </w:r>
      <w:r w:rsidR="001F2832">
        <w:rPr>
          <w:sz w:val="22"/>
          <w:szCs w:val="22"/>
        </w:rPr>
        <w:t xml:space="preserve"> above</w:t>
      </w:r>
      <w:r w:rsidR="0010009D">
        <w:rPr>
          <w:sz w:val="22"/>
          <w:szCs w:val="22"/>
        </w:rPr>
        <w:t>, and the alternative requests for</w:t>
      </w:r>
      <w:r w:rsidR="005869FD">
        <w:rPr>
          <w:sz w:val="22"/>
          <w:szCs w:val="22"/>
        </w:rPr>
        <w:t xml:space="preserve"> relief from the interim construction benchmark are DISMISSED </w:t>
      </w:r>
      <w:r w:rsidR="005869FD" w:rsidRPr="00941649">
        <w:rPr>
          <w:sz w:val="22"/>
          <w:szCs w:val="22"/>
        </w:rPr>
        <w:t>as moot</w:t>
      </w:r>
      <w:r w:rsidR="001F2832">
        <w:rPr>
          <w:sz w:val="22"/>
          <w:szCs w:val="22"/>
        </w:rPr>
        <w:t>.</w:t>
      </w:r>
    </w:p>
    <w:p w14:paraId="26FC750F" w14:textId="77777777" w:rsidR="001F2832" w:rsidRDefault="001F2832" w:rsidP="00CF7D21">
      <w:pPr>
        <w:rPr>
          <w:sz w:val="22"/>
          <w:szCs w:val="22"/>
        </w:rPr>
      </w:pPr>
    </w:p>
    <w:p w14:paraId="3E23762C" w14:textId="77777777" w:rsidR="001F2832" w:rsidRDefault="001F2832" w:rsidP="00CF7D21">
      <w:pPr>
        <w:rPr>
          <w:sz w:val="22"/>
          <w:szCs w:val="22"/>
        </w:rPr>
      </w:pPr>
      <w:r>
        <w:rPr>
          <w:sz w:val="22"/>
          <w:szCs w:val="22"/>
        </w:rPr>
        <w:tab/>
        <w:t xml:space="preserve">And, IT IS FURTHER ORDERED that, </w:t>
      </w:r>
      <w:r w:rsidRPr="006D717C">
        <w:rPr>
          <w:sz w:val="22"/>
          <w:szCs w:val="22"/>
        </w:rPr>
        <w:t>pursuant to Section 4(i) of the Communications Act, as amended, 47 U.S.C. § 154(i), and Section 1.925(b)(3) of the Commission’s rules, 47 CFR § 1.925(b)(3)</w:t>
      </w:r>
      <w:r>
        <w:rPr>
          <w:sz w:val="22"/>
          <w:szCs w:val="22"/>
        </w:rPr>
        <w:t>,</w:t>
      </w:r>
      <w:r w:rsidRPr="006D717C">
        <w:rPr>
          <w:sz w:val="22"/>
          <w:szCs w:val="22"/>
        </w:rPr>
        <w:t xml:space="preserve"> the </w:t>
      </w:r>
      <w:r w:rsidR="005869FD">
        <w:rPr>
          <w:sz w:val="22"/>
          <w:szCs w:val="22"/>
        </w:rPr>
        <w:t>request</w:t>
      </w:r>
      <w:r w:rsidRPr="006D717C">
        <w:rPr>
          <w:sz w:val="22"/>
          <w:szCs w:val="22"/>
        </w:rPr>
        <w:t xml:space="preserve"> for waiver of Section 27.14(g)</w:t>
      </w:r>
      <w:r>
        <w:rPr>
          <w:sz w:val="22"/>
          <w:szCs w:val="22"/>
        </w:rPr>
        <w:t>(2)</w:t>
      </w:r>
      <w:r w:rsidRPr="006D717C">
        <w:rPr>
          <w:sz w:val="22"/>
          <w:szCs w:val="22"/>
        </w:rPr>
        <w:t xml:space="preserve"> of the Commi</w:t>
      </w:r>
      <w:r w:rsidR="005869FD">
        <w:rPr>
          <w:sz w:val="22"/>
          <w:szCs w:val="22"/>
        </w:rPr>
        <w:t>ssion’s rules, 47 CFR § 27.14</w:t>
      </w:r>
      <w:r>
        <w:rPr>
          <w:sz w:val="22"/>
          <w:szCs w:val="22"/>
        </w:rPr>
        <w:t>(2),</w:t>
      </w:r>
      <w:r w:rsidRPr="006D717C">
        <w:rPr>
          <w:sz w:val="22"/>
          <w:szCs w:val="22"/>
        </w:rPr>
        <w:t xml:space="preserve"> filed </w:t>
      </w:r>
      <w:r>
        <w:rPr>
          <w:sz w:val="22"/>
          <w:szCs w:val="22"/>
        </w:rPr>
        <w:t>April 10, 2017</w:t>
      </w:r>
      <w:r w:rsidRPr="006D717C">
        <w:rPr>
          <w:sz w:val="22"/>
          <w:szCs w:val="22"/>
        </w:rPr>
        <w:t xml:space="preserve">, by </w:t>
      </w:r>
      <w:r>
        <w:rPr>
          <w:sz w:val="22"/>
          <w:szCs w:val="22"/>
        </w:rPr>
        <w:t>AST Telecom, LLC d/b/a Bluesky</w:t>
      </w:r>
      <w:r w:rsidRPr="006D717C">
        <w:rPr>
          <w:sz w:val="22"/>
          <w:szCs w:val="22"/>
        </w:rPr>
        <w:t>, ULS File Nos. 0007595216 and 0007597075,</w:t>
      </w:r>
      <w:r>
        <w:rPr>
          <w:sz w:val="22"/>
          <w:szCs w:val="22"/>
        </w:rPr>
        <w:t xml:space="preserve"> </w:t>
      </w:r>
      <w:r w:rsidR="005869FD">
        <w:rPr>
          <w:sz w:val="22"/>
          <w:szCs w:val="22"/>
        </w:rPr>
        <w:t>is</w:t>
      </w:r>
      <w:r>
        <w:rPr>
          <w:sz w:val="22"/>
          <w:szCs w:val="22"/>
        </w:rPr>
        <w:t xml:space="preserve"> hereby DENIED.</w:t>
      </w:r>
    </w:p>
    <w:p w14:paraId="717958E3" w14:textId="77777777" w:rsidR="001F2832" w:rsidRDefault="001F2832" w:rsidP="00CF7D21">
      <w:pPr>
        <w:rPr>
          <w:sz w:val="22"/>
          <w:szCs w:val="22"/>
        </w:rPr>
      </w:pPr>
    </w:p>
    <w:p w14:paraId="5753F3AD" w14:textId="77777777" w:rsidR="001F2832" w:rsidRDefault="001F2832" w:rsidP="00CF7D21">
      <w:pPr>
        <w:rPr>
          <w:sz w:val="22"/>
          <w:szCs w:val="22"/>
        </w:rPr>
      </w:pPr>
      <w:r>
        <w:rPr>
          <w:sz w:val="22"/>
          <w:szCs w:val="22"/>
        </w:rPr>
        <w:tab/>
        <w:t>These actions are taken under delegated authority pursuant to Sections 0.131 and 0.331 of the Commission’s rules, 47 CFR §§ 0.131, 0.331.</w:t>
      </w:r>
    </w:p>
    <w:p w14:paraId="4AB80D63" w14:textId="77777777" w:rsidR="001F2832" w:rsidRDefault="001F2832" w:rsidP="00CF7D21">
      <w:pPr>
        <w:rPr>
          <w:sz w:val="22"/>
          <w:szCs w:val="22"/>
        </w:rPr>
      </w:pPr>
    </w:p>
    <w:p w14:paraId="11E66B21" w14:textId="77777777" w:rsidR="001F2832" w:rsidRDefault="001F2832" w:rsidP="00CF7D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Sincerely,</w:t>
      </w:r>
    </w:p>
    <w:p w14:paraId="4FA8947F" w14:textId="5BD4A4A5" w:rsidR="001F2832" w:rsidRDefault="001F2832" w:rsidP="00CF7D21">
      <w:pPr>
        <w:rPr>
          <w:sz w:val="22"/>
          <w:szCs w:val="22"/>
        </w:rPr>
      </w:pPr>
    </w:p>
    <w:p w14:paraId="07BD2310" w14:textId="1E0385E2" w:rsidR="00C44B51" w:rsidRDefault="00C44B51" w:rsidP="00CF7D21">
      <w:pPr>
        <w:rPr>
          <w:sz w:val="22"/>
          <w:szCs w:val="22"/>
        </w:rPr>
      </w:pPr>
    </w:p>
    <w:p w14:paraId="0834007B" w14:textId="1A9245D5" w:rsidR="00C44B51" w:rsidRDefault="00C44B51" w:rsidP="00CF7D21">
      <w:pPr>
        <w:rPr>
          <w:sz w:val="22"/>
          <w:szCs w:val="22"/>
        </w:rPr>
      </w:pPr>
    </w:p>
    <w:p w14:paraId="788DB000" w14:textId="77777777" w:rsidR="00C44B51" w:rsidRDefault="00C44B51" w:rsidP="00CF7D21">
      <w:pPr>
        <w:rPr>
          <w:sz w:val="22"/>
          <w:szCs w:val="22"/>
        </w:rPr>
      </w:pPr>
    </w:p>
    <w:p w14:paraId="1155BF3B" w14:textId="77777777" w:rsidR="001F2832" w:rsidRDefault="001F2832" w:rsidP="00CF7D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Roger S. Noel</w:t>
      </w:r>
    </w:p>
    <w:p w14:paraId="2195EDE9" w14:textId="77777777" w:rsidR="001F2832" w:rsidRDefault="001F2832" w:rsidP="00CF7D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Chief, Mobility Division</w:t>
      </w:r>
    </w:p>
    <w:p w14:paraId="0FD4D552" w14:textId="77777777" w:rsidR="001F2832" w:rsidRPr="00CF7D21" w:rsidRDefault="001F2832" w:rsidP="00CF7D21">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Wireless Telecommunications Bureau</w:t>
      </w:r>
    </w:p>
    <w:sectPr w:rsidR="001F2832" w:rsidRPr="00CF7D21">
      <w:headerReference w:type="even" r:id="rId7"/>
      <w:headerReference w:type="default" r:id="rId8"/>
      <w:footerReference w:type="even" r:id="rId9"/>
      <w:footerReference w:type="default" r:id="rId10"/>
      <w:headerReference w:type="first" r:id="rId11"/>
      <w:footerReference w:type="first" r:id="rId12"/>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CBADF" w14:textId="77777777" w:rsidR="00273E74" w:rsidRDefault="00273E74">
      <w:r>
        <w:separator/>
      </w:r>
    </w:p>
  </w:endnote>
  <w:endnote w:type="continuationSeparator" w:id="0">
    <w:p w14:paraId="2E08D044" w14:textId="77777777" w:rsidR="00273E74" w:rsidRDefault="0027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6128B" w14:textId="77777777" w:rsidR="0060525D" w:rsidRDefault="00605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2F0C7" w14:textId="48ADD432" w:rsidR="00273E74" w:rsidRDefault="00273E74">
    <w:pPr>
      <w:pStyle w:val="Footer"/>
      <w:jc w:val="center"/>
    </w:pPr>
  </w:p>
  <w:p w14:paraId="620BFEF9" w14:textId="77777777" w:rsidR="00273E74" w:rsidRDefault="00273E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FEFD5" w14:textId="77777777" w:rsidR="0060525D" w:rsidRDefault="00605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F7697" w14:textId="77777777" w:rsidR="00273E74" w:rsidRDefault="00273E74">
      <w:r>
        <w:separator/>
      </w:r>
    </w:p>
  </w:footnote>
  <w:footnote w:type="continuationSeparator" w:id="0">
    <w:p w14:paraId="2165D288" w14:textId="77777777" w:rsidR="00273E74" w:rsidRDefault="00273E74">
      <w:r>
        <w:continuationSeparator/>
      </w:r>
    </w:p>
  </w:footnote>
  <w:footnote w:id="1">
    <w:p w14:paraId="1B505E46" w14:textId="77777777" w:rsidR="00273E74" w:rsidRDefault="00273E74" w:rsidP="00922151">
      <w:pPr>
        <w:pStyle w:val="FootnoteText"/>
      </w:pPr>
      <w:r>
        <w:rPr>
          <w:rStyle w:val="FootnoteReference"/>
        </w:rPr>
        <w:footnoteRef/>
      </w:r>
      <w:r>
        <w:t xml:space="preserve"> AST Telecom, LLC d/b/a Bluesky, </w:t>
      </w:r>
      <w:r w:rsidRPr="00381B9B">
        <w:t>Request for Waiver of Interim and Final Geographic Construction Benchmarks for Lower 700 MHz Band A and B Bl</w:t>
      </w:r>
      <w:r>
        <w:t>ock Licenses WQJQ800 and WQOU67</w:t>
      </w:r>
      <w:r w:rsidRPr="00381B9B">
        <w:t>4 in American Samoa</w:t>
      </w:r>
      <w:r>
        <w:t xml:space="preserve">, ULS File Nos. </w:t>
      </w:r>
      <w:r w:rsidRPr="00381B9B">
        <w:t>0007595216</w:t>
      </w:r>
      <w:r>
        <w:t xml:space="preserve"> and </w:t>
      </w:r>
      <w:r w:rsidRPr="00381B9B">
        <w:t>0007597075</w:t>
      </w:r>
      <w:r>
        <w:t xml:space="preserve"> (filed Apr. 10, 2017) (Bluesky Waiver Request).</w:t>
      </w:r>
    </w:p>
  </w:footnote>
  <w:footnote w:id="2">
    <w:p w14:paraId="753D5807" w14:textId="77777777" w:rsidR="00273E74" w:rsidRPr="00E463A4" w:rsidRDefault="00273E74" w:rsidP="00922151">
      <w:pPr>
        <w:pStyle w:val="FootnoteText"/>
      </w:pPr>
      <w:r w:rsidRPr="00E463A4">
        <w:rPr>
          <w:rStyle w:val="FootnoteReference"/>
        </w:rPr>
        <w:footnoteRef/>
      </w:r>
      <w:r w:rsidRPr="00E463A4">
        <w:t xml:space="preserve"> </w:t>
      </w:r>
      <w:r w:rsidRPr="00E463A4">
        <w:rPr>
          <w:i/>
        </w:rPr>
        <w:t>See Service Rules for 698-746, 747-762, and 777-792 MHz Bands</w:t>
      </w:r>
      <w:r w:rsidRPr="00E463A4">
        <w:t>, Second Report and Order, 22 FCC Rcd 15289 (2007) (</w:t>
      </w:r>
      <w:r w:rsidRPr="00E463A4">
        <w:rPr>
          <w:i/>
        </w:rPr>
        <w:t>700 MHz Second Report and Order</w:t>
      </w:r>
      <w:r w:rsidRPr="00E463A4">
        <w:t>).</w:t>
      </w:r>
    </w:p>
  </w:footnote>
  <w:footnote w:id="3">
    <w:p w14:paraId="4D66F203" w14:textId="77777777" w:rsidR="00273E74" w:rsidRPr="00E463A4" w:rsidRDefault="00273E74" w:rsidP="00922151">
      <w:pPr>
        <w:pStyle w:val="FootnoteText"/>
      </w:pPr>
      <w:r w:rsidRPr="00E463A4">
        <w:rPr>
          <w:rStyle w:val="FootnoteReference"/>
        </w:rPr>
        <w:footnoteRef/>
      </w:r>
      <w:r w:rsidRPr="00E463A4">
        <w:t xml:space="preserve"> </w:t>
      </w:r>
      <w:r>
        <w:rPr>
          <w:i/>
        </w:rPr>
        <w:t xml:space="preserve">See </w:t>
      </w:r>
      <w:r w:rsidRPr="00E463A4">
        <w:t>47 CFR § 27.14(g).</w:t>
      </w:r>
      <w:r>
        <w:t xml:space="preserve">  For most A and B Block licenses, the interim construction deadline was originally June 13, 2013, but was later extended for all A and B Block licenses – including those auctioned in 2011 – to December 13, 2016.  </w:t>
      </w:r>
      <w:r w:rsidRPr="00E463A4">
        <w:rPr>
          <w:i/>
        </w:rPr>
        <w:t xml:space="preserve">See </w:t>
      </w:r>
      <w:r w:rsidRPr="00E463A4">
        <w:rPr>
          <w:i/>
          <w:iCs/>
        </w:rPr>
        <w:t>Promoting Interoperability in the 700 MHz Commercial Spectrum</w:t>
      </w:r>
      <w:r w:rsidRPr="00E463A4">
        <w:t>, Report and Order and Order of Proposed Modification</w:t>
      </w:r>
      <w:r w:rsidRPr="00712C64">
        <w:rPr>
          <w:iCs/>
        </w:rPr>
        <w:t>,</w:t>
      </w:r>
      <w:r w:rsidRPr="00E463A4">
        <w:rPr>
          <w:i/>
          <w:iCs/>
        </w:rPr>
        <w:t xml:space="preserve"> </w:t>
      </w:r>
      <w:r w:rsidRPr="00E463A4">
        <w:t>28 FCC Rcd 15122, 15151-52, para. 65 (2013)</w:t>
      </w:r>
      <w:r>
        <w:t xml:space="preserve"> (</w:t>
      </w:r>
      <w:r>
        <w:rPr>
          <w:i/>
        </w:rPr>
        <w:t>Interoperability Order</w:t>
      </w:r>
      <w:r>
        <w:t>)</w:t>
      </w:r>
      <w:r w:rsidRPr="00E463A4">
        <w:t>.</w:t>
      </w:r>
    </w:p>
  </w:footnote>
  <w:footnote w:id="4">
    <w:p w14:paraId="015F4578" w14:textId="77777777" w:rsidR="00273E74" w:rsidRPr="00E463A4" w:rsidRDefault="00273E74" w:rsidP="00922151">
      <w:pPr>
        <w:pStyle w:val="FootnoteText"/>
      </w:pPr>
      <w:r w:rsidRPr="00E463A4">
        <w:rPr>
          <w:rStyle w:val="FootnoteReference"/>
        </w:rPr>
        <w:footnoteRef/>
      </w:r>
      <w:r w:rsidRPr="00E463A4">
        <w:t xml:space="preserve"> </w:t>
      </w:r>
      <w:r>
        <w:rPr>
          <w:i/>
        </w:rPr>
        <w:t xml:space="preserve">See </w:t>
      </w:r>
      <w:r w:rsidRPr="00E463A4">
        <w:t>47 CFR § 27.14(g)</w:t>
      </w:r>
      <w:r>
        <w:t>;</w:t>
      </w:r>
      <w:r w:rsidRPr="00D0255C">
        <w:rPr>
          <w:i/>
        </w:rPr>
        <w:t xml:space="preserve"> </w:t>
      </w:r>
      <w:r w:rsidRPr="009A0FDA">
        <w:rPr>
          <w:i/>
        </w:rPr>
        <w:t>700 MHz Second Report and Order</w:t>
      </w:r>
      <w:r w:rsidRPr="009A0FDA">
        <w:t>, 22 FCC Rcd</w:t>
      </w:r>
      <w:r w:rsidRPr="009A0FDA" w:rsidDel="00BF4C67">
        <w:rPr>
          <w:i/>
        </w:rPr>
        <w:t xml:space="preserve"> </w:t>
      </w:r>
      <w:r w:rsidRPr="009A0FDA">
        <w:t>at</w:t>
      </w:r>
      <w:r>
        <w:t xml:space="preserve"> 15293-94, 15349, paras. 6, 157</w:t>
      </w:r>
      <w:r w:rsidRPr="00E463A4">
        <w:t>.</w:t>
      </w:r>
    </w:p>
  </w:footnote>
  <w:footnote w:id="5">
    <w:p w14:paraId="3EF8C10B" w14:textId="77777777" w:rsidR="00273E74" w:rsidRPr="00E463A4" w:rsidRDefault="00273E74" w:rsidP="00922151">
      <w:pPr>
        <w:pStyle w:val="FootnoteText"/>
      </w:pPr>
      <w:r w:rsidRPr="00E463A4">
        <w:rPr>
          <w:rStyle w:val="FootnoteReference"/>
        </w:rPr>
        <w:footnoteRef/>
      </w:r>
      <w:r w:rsidRPr="00E463A4">
        <w:t xml:space="preserve"> 47 CFR § 27.14(g)(1).</w:t>
      </w:r>
    </w:p>
  </w:footnote>
  <w:footnote w:id="6">
    <w:p w14:paraId="6812A287" w14:textId="77777777" w:rsidR="00273E74" w:rsidRPr="00E463A4" w:rsidRDefault="00273E74" w:rsidP="00922151">
      <w:pPr>
        <w:pStyle w:val="FootnoteText"/>
      </w:pPr>
      <w:r w:rsidRPr="00E463A4">
        <w:rPr>
          <w:rStyle w:val="FootnoteReference"/>
        </w:rPr>
        <w:footnoteRef/>
      </w:r>
      <w:r w:rsidRPr="00E463A4">
        <w:t xml:space="preserve"> </w:t>
      </w:r>
      <w:r w:rsidRPr="0050384E">
        <w:rPr>
          <w:i/>
        </w:rPr>
        <w:t>Id.</w:t>
      </w:r>
      <w:r>
        <w:t xml:space="preserve"> </w:t>
      </w:r>
      <w:r w:rsidRPr="00244B1A">
        <w:t>§ 27.14(g)(2).</w:t>
      </w:r>
      <w:r w:rsidRPr="00244B1A">
        <w:rPr>
          <w:i/>
        </w:rPr>
        <w:t xml:space="preserve"> </w:t>
      </w:r>
      <w:r w:rsidRPr="00D0255C">
        <w:rPr>
          <w:i/>
        </w:rPr>
        <w:t xml:space="preserve"> </w:t>
      </w:r>
      <w:r w:rsidRPr="00244B1A">
        <w:rPr>
          <w:i/>
        </w:rPr>
        <w:t xml:space="preserve">See also 700 MHz Second Report and Order, </w:t>
      </w:r>
      <w:r w:rsidRPr="00244B1A">
        <w:t>22 FCC Rcd at 15348, para. 153.</w:t>
      </w:r>
    </w:p>
  </w:footnote>
  <w:footnote w:id="7">
    <w:p w14:paraId="2DF2110D" w14:textId="77777777" w:rsidR="00273E74" w:rsidRPr="00922151" w:rsidRDefault="00273E74" w:rsidP="00922151">
      <w:pPr>
        <w:pStyle w:val="FootnoteText"/>
        <w:rPr>
          <w:rStyle w:val="FootnoteReference"/>
        </w:rPr>
      </w:pPr>
      <w:r>
        <w:rPr>
          <w:rStyle w:val="FootnoteReference"/>
        </w:rPr>
        <w:footnoteRef/>
      </w:r>
      <w:r>
        <w:t xml:space="preserve"> </w:t>
      </w:r>
      <w:r>
        <w:rPr>
          <w:i/>
        </w:rPr>
        <w:t>See Auction of 700 MHz Band Licenses Closes; Winning Bidders Announced for Auction 73</w:t>
      </w:r>
      <w:r>
        <w:t>, Public Notice, 23 FCC Rcd 4572, 4583 (2008).</w:t>
      </w:r>
    </w:p>
  </w:footnote>
  <w:footnote w:id="8">
    <w:p w14:paraId="3A84EACD" w14:textId="77777777" w:rsidR="00273E74" w:rsidRPr="00922151" w:rsidRDefault="00273E74" w:rsidP="00922151">
      <w:pPr>
        <w:pStyle w:val="FootnoteText"/>
      </w:pPr>
      <w:r>
        <w:rPr>
          <w:rStyle w:val="FootnoteReference"/>
        </w:rPr>
        <w:footnoteRef/>
      </w:r>
      <w:r>
        <w:t xml:space="preserve"> </w:t>
      </w:r>
      <w:r w:rsidRPr="00C16ED1">
        <w:rPr>
          <w:i/>
        </w:rPr>
        <w:t>See</w:t>
      </w:r>
      <w:r w:rsidRPr="00C16ED1">
        <w:t xml:space="preserve"> ULS File No. 0007294780.</w:t>
      </w:r>
    </w:p>
  </w:footnote>
  <w:footnote w:id="9">
    <w:p w14:paraId="18309477" w14:textId="77777777" w:rsidR="00273E74" w:rsidRPr="004306A0" w:rsidRDefault="00273E74">
      <w:pPr>
        <w:pStyle w:val="FootnoteText"/>
      </w:pPr>
      <w:r>
        <w:rPr>
          <w:rStyle w:val="FootnoteReference"/>
        </w:rPr>
        <w:footnoteRef/>
      </w:r>
      <w:r>
        <w:t xml:space="preserve"> </w:t>
      </w:r>
      <w:r>
        <w:rPr>
          <w:i/>
        </w:rPr>
        <w:t>Interoperability Order</w:t>
      </w:r>
      <w:r>
        <w:t xml:space="preserve">, </w:t>
      </w:r>
      <w:r w:rsidRPr="00E463A4">
        <w:t xml:space="preserve">28 FCC Rcd </w:t>
      </w:r>
      <w:r>
        <w:t>at</w:t>
      </w:r>
      <w:r w:rsidRPr="00E463A4">
        <w:t xml:space="preserve"> 15151-52, para. 65</w:t>
      </w:r>
    </w:p>
  </w:footnote>
  <w:footnote w:id="10">
    <w:p w14:paraId="7C9E3B9F" w14:textId="50F8F5C3" w:rsidR="00C85FA6" w:rsidRPr="00355D8A" w:rsidRDefault="00C85FA6">
      <w:pPr>
        <w:pStyle w:val="FootnoteText"/>
      </w:pPr>
      <w:r>
        <w:rPr>
          <w:rStyle w:val="FootnoteReference"/>
        </w:rPr>
        <w:footnoteRef/>
      </w:r>
      <w:r>
        <w:t xml:space="preserve"> </w:t>
      </w:r>
      <w:r w:rsidR="00B107FC">
        <w:rPr>
          <w:i/>
        </w:rPr>
        <w:t>See Implementation of the DTV Delay Act, et al.</w:t>
      </w:r>
      <w:r w:rsidR="00B107FC">
        <w:t xml:space="preserve">, Second Report and Order and Notice of Proposed Rulemaking, 24 FCC Rcd 2526, 2542-43, para. 38-39 (2009) (extending the initial authorization terms for certain 700 MHz licensees until June 13, 2019); </w:t>
      </w:r>
      <w:r w:rsidR="00355D8A">
        <w:rPr>
          <w:i/>
        </w:rPr>
        <w:t>Wireless Telecommunications Bureau Grants 700 MHz Band Licenses</w:t>
      </w:r>
      <w:r w:rsidR="00355D8A">
        <w:t>, Public Notice, 27 FCC Rcd 580, Appx. A (WTB 2012)</w:t>
      </w:r>
      <w:r w:rsidR="00B107FC">
        <w:t xml:space="preserve"> (granting the B Block license on February 3, 2012 for a period of 10 years).</w:t>
      </w:r>
    </w:p>
  </w:footnote>
  <w:footnote w:id="11">
    <w:p w14:paraId="1ABC527A" w14:textId="08E31C04" w:rsidR="00273E74" w:rsidRPr="00FB4A0F" w:rsidRDefault="00273E74">
      <w:pPr>
        <w:pStyle w:val="FootnoteText"/>
      </w:pPr>
      <w:r>
        <w:rPr>
          <w:rStyle w:val="FootnoteReference"/>
        </w:rPr>
        <w:footnoteRef/>
      </w:r>
      <w:r>
        <w:t xml:space="preserve"> Bluesky, Request for Limited Extension of Time to Meet Interim Construction Requirements, ULS File No. </w:t>
      </w:r>
      <w:r w:rsidRPr="00FB4A0F">
        <w:t>0007586282</w:t>
      </w:r>
      <w:r>
        <w:t xml:space="preserve"> (WQJQ800, filed Dec. 9, 2016) and ULS File No. </w:t>
      </w:r>
      <w:r w:rsidRPr="00FB4A0F">
        <w:t>0007588143</w:t>
      </w:r>
      <w:r>
        <w:t xml:space="preserve"> (WQOU674, filed Dec. 12, 2016)</w:t>
      </w:r>
      <w:r w:rsidR="00E002B8">
        <w:t>.</w:t>
      </w:r>
    </w:p>
  </w:footnote>
  <w:footnote w:id="12">
    <w:p w14:paraId="45B4E378" w14:textId="77777777" w:rsidR="00273E74" w:rsidRPr="004306A0" w:rsidRDefault="00273E74">
      <w:pPr>
        <w:pStyle w:val="FootnoteText"/>
      </w:pPr>
      <w:r>
        <w:rPr>
          <w:rStyle w:val="FootnoteReference"/>
        </w:rPr>
        <w:footnoteRef/>
      </w:r>
      <w:r>
        <w:t xml:space="preserve"> </w:t>
      </w:r>
      <w:r>
        <w:rPr>
          <w:i/>
        </w:rPr>
        <w:t>See</w:t>
      </w:r>
      <w:r>
        <w:t xml:space="preserve"> ULS File Nos. </w:t>
      </w:r>
      <w:r w:rsidRPr="004306A0">
        <w:t>0007595216 and 0007597075</w:t>
      </w:r>
      <w:r>
        <w:t>, later amended to include exhibits of Bluesky’s subsequent construction and the present waiver requests.</w:t>
      </w:r>
    </w:p>
  </w:footnote>
  <w:footnote w:id="13">
    <w:p w14:paraId="47874191" w14:textId="3C66EED5" w:rsidR="00273E74" w:rsidRDefault="00273E74">
      <w:pPr>
        <w:pStyle w:val="FootnoteText"/>
      </w:pPr>
      <w:r>
        <w:rPr>
          <w:rStyle w:val="FootnoteReference"/>
        </w:rPr>
        <w:footnoteRef/>
      </w:r>
      <w:r>
        <w:t xml:space="preserve"> </w:t>
      </w:r>
      <w:r w:rsidR="00B94F04">
        <w:rPr>
          <w:i/>
        </w:rPr>
        <w:t>See id.</w:t>
      </w:r>
      <w:r w:rsidR="002C7F9A">
        <w:t>,</w:t>
      </w:r>
      <w:r w:rsidR="00B94F04">
        <w:t xml:space="preserve"> Notice of Return Letters, Reference No</w:t>
      </w:r>
      <w:r w:rsidR="0092706C">
        <w:t>s</w:t>
      </w:r>
      <w:r w:rsidR="00B94F04">
        <w:t xml:space="preserve">. </w:t>
      </w:r>
      <w:r w:rsidR="002C7F9A">
        <w:t xml:space="preserve">6228472 and </w:t>
      </w:r>
      <w:r w:rsidR="00B94F04">
        <w:t>6228473</w:t>
      </w:r>
      <w:r w:rsidR="002C7F9A">
        <w:t>.</w:t>
      </w:r>
      <w:r w:rsidR="00B94F04">
        <w:t xml:space="preserve">  </w:t>
      </w:r>
      <w:r>
        <w:t>Division staff reviewed Bluesky’s December 2016 construction notification and found that, after correcting for the discrepancies contained</w:t>
      </w:r>
      <w:r w:rsidR="00712C64">
        <w:t xml:space="preserve"> in</w:t>
      </w:r>
      <w:r>
        <w:t xml:space="preserve"> the filing, Bluesky provided coverage to 23.42 percent of the geographic area of the license as of the December 13, 2016 interim construction deadline.</w:t>
      </w:r>
    </w:p>
  </w:footnote>
  <w:footnote w:id="14">
    <w:p w14:paraId="2AEB42C0" w14:textId="736A0735" w:rsidR="00273E74" w:rsidRPr="00F1513C" w:rsidRDefault="00273E74">
      <w:pPr>
        <w:pStyle w:val="FootnoteText"/>
      </w:pPr>
      <w:r>
        <w:rPr>
          <w:rStyle w:val="FootnoteReference"/>
        </w:rPr>
        <w:footnoteRef/>
      </w:r>
      <w:r>
        <w:t xml:space="preserve"> </w:t>
      </w:r>
      <w:r w:rsidR="00712C64">
        <w:rPr>
          <w:i/>
        </w:rPr>
        <w:t xml:space="preserve">See id. </w:t>
      </w:r>
      <w:r>
        <w:t>at 1.</w:t>
      </w:r>
    </w:p>
  </w:footnote>
  <w:footnote w:id="15">
    <w:p w14:paraId="1E6C88E2" w14:textId="77777777" w:rsidR="00273E74" w:rsidRPr="00F1513C" w:rsidRDefault="00273E74">
      <w:pPr>
        <w:pStyle w:val="FootnoteText"/>
      </w:pPr>
      <w:r>
        <w:rPr>
          <w:rStyle w:val="FootnoteReference"/>
        </w:rPr>
        <w:footnoteRef/>
      </w:r>
      <w:r>
        <w:t xml:space="preserve"> </w:t>
      </w:r>
      <w:r>
        <w:rPr>
          <w:i/>
        </w:rPr>
        <w:t>Id.</w:t>
      </w:r>
      <w:r>
        <w:t xml:space="preserve"> at 2.</w:t>
      </w:r>
    </w:p>
  </w:footnote>
  <w:footnote w:id="16">
    <w:p w14:paraId="44CC045E" w14:textId="77777777" w:rsidR="00273E74" w:rsidRDefault="00273E74">
      <w:pPr>
        <w:pStyle w:val="FootnoteText"/>
      </w:pPr>
      <w:r>
        <w:rPr>
          <w:rStyle w:val="FootnoteReference"/>
        </w:rPr>
        <w:footnoteRef/>
      </w:r>
      <w:r>
        <w:t xml:space="preserve"> Bluesky Waiver Request at 16-17.</w:t>
      </w:r>
    </w:p>
  </w:footnote>
  <w:footnote w:id="17">
    <w:p w14:paraId="61D061D0" w14:textId="77777777" w:rsidR="00273E74" w:rsidRPr="00CE5733" w:rsidRDefault="00273E74">
      <w:pPr>
        <w:pStyle w:val="FootnoteText"/>
      </w:pPr>
      <w:r>
        <w:rPr>
          <w:rStyle w:val="FootnoteReference"/>
        </w:rPr>
        <w:footnoteRef/>
      </w:r>
      <w:r>
        <w:t xml:space="preserve"> </w:t>
      </w:r>
      <w:r>
        <w:rPr>
          <w:i/>
        </w:rPr>
        <w:t>Id.</w:t>
      </w:r>
      <w:r>
        <w:t xml:space="preserve"> at 1-2.</w:t>
      </w:r>
    </w:p>
  </w:footnote>
  <w:footnote w:id="18">
    <w:p w14:paraId="12455656" w14:textId="77777777" w:rsidR="00273E74" w:rsidRPr="00CE5733" w:rsidRDefault="00273E74">
      <w:pPr>
        <w:pStyle w:val="FootnoteText"/>
      </w:pPr>
      <w:r>
        <w:rPr>
          <w:rStyle w:val="FootnoteReference"/>
        </w:rPr>
        <w:footnoteRef/>
      </w:r>
      <w:r>
        <w:t xml:space="preserve"> </w:t>
      </w:r>
      <w:r>
        <w:rPr>
          <w:i/>
        </w:rPr>
        <w:t>Id.</w:t>
      </w:r>
      <w:r>
        <w:t xml:space="preserve"> at 1.</w:t>
      </w:r>
    </w:p>
  </w:footnote>
  <w:footnote w:id="19">
    <w:p w14:paraId="090DD8B1" w14:textId="77777777" w:rsidR="00273E74" w:rsidRDefault="00273E74">
      <w:pPr>
        <w:pStyle w:val="FootnoteText"/>
      </w:pPr>
      <w:r>
        <w:rPr>
          <w:rStyle w:val="FootnoteReference"/>
        </w:rPr>
        <w:footnoteRef/>
      </w:r>
      <w:r>
        <w:t xml:space="preserve"> </w:t>
      </w:r>
      <w:r w:rsidRPr="000203A0">
        <w:rPr>
          <w:i/>
        </w:rPr>
        <w:t>Id.</w:t>
      </w:r>
      <w:r>
        <w:t xml:space="preserve"> at 14.</w:t>
      </w:r>
    </w:p>
  </w:footnote>
  <w:footnote w:id="20">
    <w:p w14:paraId="733EC1A9" w14:textId="77777777" w:rsidR="00273E74" w:rsidRPr="001E3CA0" w:rsidRDefault="00273E74">
      <w:pPr>
        <w:pStyle w:val="FootnoteText"/>
      </w:pPr>
      <w:r>
        <w:rPr>
          <w:rStyle w:val="FootnoteReference"/>
        </w:rPr>
        <w:footnoteRef/>
      </w:r>
      <w:r>
        <w:t xml:space="preserve"> </w:t>
      </w:r>
      <w:r>
        <w:rPr>
          <w:i/>
        </w:rPr>
        <w:t>Id.</w:t>
      </w:r>
      <w:r>
        <w:t xml:space="preserve"> at 14-15</w:t>
      </w:r>
    </w:p>
  </w:footnote>
  <w:footnote w:id="21">
    <w:p w14:paraId="4998558C" w14:textId="4C2A14F3" w:rsidR="00273E74" w:rsidRDefault="00273E74">
      <w:pPr>
        <w:pStyle w:val="FootnoteText"/>
      </w:pPr>
      <w:r>
        <w:rPr>
          <w:rStyle w:val="FootnoteReference"/>
        </w:rPr>
        <w:footnoteRef/>
      </w:r>
      <w:r>
        <w:t xml:space="preserve"> </w:t>
      </w:r>
      <w:r w:rsidR="00712C64">
        <w:rPr>
          <w:i/>
        </w:rPr>
        <w:t>Id.</w:t>
      </w:r>
      <w:r w:rsidR="00712C64">
        <w:t xml:space="preserve"> </w:t>
      </w:r>
      <w:r>
        <w:t>at 17.</w:t>
      </w:r>
    </w:p>
  </w:footnote>
  <w:footnote w:id="22">
    <w:p w14:paraId="2C279E64" w14:textId="5FC02CBF" w:rsidR="00697C38" w:rsidRPr="00697C38" w:rsidRDefault="00697C38">
      <w:pPr>
        <w:pStyle w:val="FootnoteText"/>
      </w:pPr>
      <w:r>
        <w:rPr>
          <w:rStyle w:val="FootnoteReference"/>
        </w:rPr>
        <w:footnoteRef/>
      </w:r>
      <w:r>
        <w:t xml:space="preserve"> </w:t>
      </w:r>
      <w:r w:rsidR="00716D62">
        <w:t>Bluesky Waiver Request at 17.</w:t>
      </w:r>
    </w:p>
  </w:footnote>
  <w:footnote w:id="23">
    <w:p w14:paraId="109ECE9A" w14:textId="344A0B27" w:rsidR="00AD795A" w:rsidRPr="00AD795A" w:rsidRDefault="00AD795A">
      <w:pPr>
        <w:pStyle w:val="FootnoteText"/>
      </w:pPr>
      <w:r>
        <w:rPr>
          <w:rStyle w:val="FootnoteReference"/>
        </w:rPr>
        <w:footnoteRef/>
      </w:r>
      <w:r>
        <w:t xml:space="preserve"> </w:t>
      </w:r>
      <w:r>
        <w:rPr>
          <w:i/>
        </w:rPr>
        <w:t>Id.</w:t>
      </w:r>
    </w:p>
  </w:footnote>
  <w:footnote w:id="24">
    <w:p w14:paraId="29D185B9" w14:textId="587442FD" w:rsidR="00273E74" w:rsidRPr="00716D62" w:rsidRDefault="00273E74" w:rsidP="00642D34">
      <w:pPr>
        <w:pStyle w:val="FootnoteText"/>
      </w:pPr>
      <w:r>
        <w:rPr>
          <w:rStyle w:val="FootnoteReference"/>
        </w:rPr>
        <w:footnoteRef/>
      </w:r>
      <w:r>
        <w:t xml:space="preserve"> </w:t>
      </w:r>
      <w:r w:rsidR="00716D62">
        <w:rPr>
          <w:i/>
        </w:rPr>
        <w:t>Id.</w:t>
      </w:r>
    </w:p>
  </w:footnote>
  <w:footnote w:id="25">
    <w:p w14:paraId="6603D6A2" w14:textId="77777777" w:rsidR="00273E74" w:rsidRPr="00D1351A" w:rsidRDefault="00273E74">
      <w:pPr>
        <w:pStyle w:val="FootnoteText"/>
      </w:pPr>
      <w:r>
        <w:rPr>
          <w:rStyle w:val="FootnoteReference"/>
        </w:rPr>
        <w:footnoteRef/>
      </w:r>
      <w:r>
        <w:t xml:space="preserve"> </w:t>
      </w:r>
      <w:r>
        <w:rPr>
          <w:i/>
        </w:rPr>
        <w:t>Id.</w:t>
      </w:r>
      <w:r>
        <w:t xml:space="preserve"> at 18.</w:t>
      </w:r>
    </w:p>
  </w:footnote>
  <w:footnote w:id="26">
    <w:p w14:paraId="3C4DE92E" w14:textId="77777777" w:rsidR="00273E74" w:rsidRPr="00D1351A" w:rsidRDefault="00273E74">
      <w:pPr>
        <w:pStyle w:val="FootnoteText"/>
      </w:pPr>
      <w:r>
        <w:rPr>
          <w:rStyle w:val="FootnoteReference"/>
        </w:rPr>
        <w:footnoteRef/>
      </w:r>
      <w:r>
        <w:t xml:space="preserve"> </w:t>
      </w:r>
      <w:r>
        <w:rPr>
          <w:i/>
        </w:rPr>
        <w:t>Id.</w:t>
      </w:r>
    </w:p>
  </w:footnote>
  <w:footnote w:id="27">
    <w:p w14:paraId="13F76BDF" w14:textId="77777777" w:rsidR="00273E74" w:rsidRPr="00D1351A" w:rsidRDefault="00273E74">
      <w:pPr>
        <w:pStyle w:val="FootnoteText"/>
      </w:pPr>
      <w:r>
        <w:rPr>
          <w:rStyle w:val="FootnoteReference"/>
        </w:rPr>
        <w:footnoteRef/>
      </w:r>
      <w:r>
        <w:t xml:space="preserve"> </w:t>
      </w:r>
      <w:r>
        <w:rPr>
          <w:i/>
        </w:rPr>
        <w:t>Id.</w:t>
      </w:r>
      <w:r>
        <w:t xml:space="preserve"> at 18-19.</w:t>
      </w:r>
    </w:p>
  </w:footnote>
  <w:footnote w:id="28">
    <w:p w14:paraId="15F1FB8B" w14:textId="5AADC131" w:rsidR="00273E74" w:rsidRPr="00D1351A" w:rsidRDefault="00273E74">
      <w:pPr>
        <w:pStyle w:val="FootnoteText"/>
      </w:pPr>
      <w:r>
        <w:rPr>
          <w:rStyle w:val="FootnoteReference"/>
        </w:rPr>
        <w:footnoteRef/>
      </w:r>
      <w:r>
        <w:t xml:space="preserve"> </w:t>
      </w:r>
      <w:r w:rsidR="00BC0C1B">
        <w:t>Bluesky Waiver Request</w:t>
      </w:r>
      <w:r>
        <w:t xml:space="preserve"> at 10, 19.</w:t>
      </w:r>
    </w:p>
  </w:footnote>
  <w:footnote w:id="29">
    <w:p w14:paraId="7F4BB971" w14:textId="0BB680E0" w:rsidR="00273E74" w:rsidRPr="0044117A" w:rsidRDefault="00273E74">
      <w:pPr>
        <w:pStyle w:val="FootnoteText"/>
      </w:pPr>
      <w:r>
        <w:rPr>
          <w:rStyle w:val="FootnoteReference"/>
        </w:rPr>
        <w:footnoteRef/>
      </w:r>
      <w:r>
        <w:t xml:space="preserve"> </w:t>
      </w:r>
      <w:r>
        <w:rPr>
          <w:i/>
        </w:rPr>
        <w:t>Id.</w:t>
      </w:r>
      <w:r>
        <w:t xml:space="preserve"> at 5.</w:t>
      </w:r>
    </w:p>
  </w:footnote>
  <w:footnote w:id="30">
    <w:p w14:paraId="4223C4D3" w14:textId="280BA970" w:rsidR="0078140F" w:rsidRPr="004A0F1B" w:rsidRDefault="0078140F" w:rsidP="0078140F">
      <w:pPr>
        <w:pStyle w:val="FootnoteText"/>
      </w:pPr>
      <w:r>
        <w:rPr>
          <w:rStyle w:val="FootnoteReference"/>
        </w:rPr>
        <w:footnoteRef/>
      </w:r>
      <w:r>
        <w:t xml:space="preserve"> </w:t>
      </w:r>
      <w:r w:rsidR="00BC0C1B">
        <w:rPr>
          <w:i/>
        </w:rPr>
        <w:t>Id.</w:t>
      </w:r>
      <w:r w:rsidR="00AD795A">
        <w:t xml:space="preserve"> </w:t>
      </w:r>
      <w:r>
        <w:t>at 11.</w:t>
      </w:r>
    </w:p>
  </w:footnote>
  <w:footnote w:id="31">
    <w:p w14:paraId="7142B854" w14:textId="77777777" w:rsidR="0078140F" w:rsidRPr="004A0F1B" w:rsidRDefault="0078140F" w:rsidP="0078140F">
      <w:pPr>
        <w:pStyle w:val="FootnoteText"/>
      </w:pPr>
      <w:r>
        <w:rPr>
          <w:rStyle w:val="FootnoteReference"/>
        </w:rPr>
        <w:footnoteRef/>
      </w:r>
      <w:r>
        <w:t xml:space="preserve"> </w:t>
      </w:r>
      <w:r>
        <w:rPr>
          <w:i/>
        </w:rPr>
        <w:t>Id.</w:t>
      </w:r>
      <w:r>
        <w:t xml:space="preserve"> at 11-12.</w:t>
      </w:r>
    </w:p>
  </w:footnote>
  <w:footnote w:id="32">
    <w:p w14:paraId="27A65B03" w14:textId="77777777" w:rsidR="0078140F" w:rsidRPr="007E65A8" w:rsidRDefault="0078140F" w:rsidP="0078140F">
      <w:pPr>
        <w:pStyle w:val="FootnoteText"/>
      </w:pPr>
      <w:r>
        <w:rPr>
          <w:rStyle w:val="FootnoteReference"/>
        </w:rPr>
        <w:footnoteRef/>
      </w:r>
      <w:r>
        <w:t xml:space="preserve"> </w:t>
      </w:r>
      <w:r>
        <w:rPr>
          <w:i/>
        </w:rPr>
        <w:t>Id.</w:t>
      </w:r>
      <w:r>
        <w:t xml:space="preserve"> at 12.  </w:t>
      </w:r>
      <w:r>
        <w:rPr>
          <w:i/>
        </w:rPr>
        <w:t>See also</w:t>
      </w:r>
      <w:r>
        <w:t xml:space="preserve"> 47 CFR § 1.925(b)(3)(i).</w:t>
      </w:r>
    </w:p>
  </w:footnote>
  <w:footnote w:id="33">
    <w:p w14:paraId="33FE5C88" w14:textId="5B25DDB9" w:rsidR="0078140F" w:rsidRDefault="0078140F" w:rsidP="0078140F">
      <w:pPr>
        <w:pStyle w:val="FootnoteText"/>
      </w:pPr>
      <w:r>
        <w:rPr>
          <w:rStyle w:val="FootnoteReference"/>
        </w:rPr>
        <w:footnoteRef/>
      </w:r>
      <w:r>
        <w:t xml:space="preserve"> </w:t>
      </w:r>
      <w:r w:rsidR="00BC0C1B">
        <w:t xml:space="preserve">Bluesky Waiver Request </w:t>
      </w:r>
      <w:r>
        <w:t xml:space="preserve">at 13.  </w:t>
      </w:r>
      <w:r>
        <w:rPr>
          <w:i/>
        </w:rPr>
        <w:t>See also</w:t>
      </w:r>
      <w:r>
        <w:t xml:space="preserve"> 47 CFR § 1.925(b)(3)(ii).</w:t>
      </w:r>
    </w:p>
  </w:footnote>
  <w:footnote w:id="34">
    <w:p w14:paraId="17161BDD" w14:textId="77777777" w:rsidR="00273E74" w:rsidRDefault="00273E74" w:rsidP="0044117A">
      <w:pPr>
        <w:pStyle w:val="FootnoteText"/>
      </w:pPr>
      <w:r>
        <w:rPr>
          <w:rStyle w:val="FootnoteReference"/>
        </w:rPr>
        <w:footnoteRef/>
      </w:r>
      <w:r>
        <w:t xml:space="preserve"> </w:t>
      </w:r>
      <w:r w:rsidRPr="00157CE0">
        <w:rPr>
          <w:i/>
        </w:rPr>
        <w:t>See WAIT Radio v. FCC</w:t>
      </w:r>
      <w:r w:rsidRPr="00157CE0">
        <w:t xml:space="preserve">, 459 F.2d 1203, 1207 (D.C. Cir. 1972).  </w:t>
      </w:r>
    </w:p>
  </w:footnote>
  <w:footnote w:id="35">
    <w:p w14:paraId="4637B1D8" w14:textId="77777777" w:rsidR="00273E74" w:rsidRPr="007A0E4C" w:rsidRDefault="00273E74" w:rsidP="0044117A">
      <w:pPr>
        <w:pStyle w:val="FootnoteText"/>
      </w:pPr>
      <w:r>
        <w:rPr>
          <w:rStyle w:val="FootnoteReference"/>
        </w:rPr>
        <w:footnoteRef/>
      </w:r>
      <w:r>
        <w:t xml:space="preserve"> </w:t>
      </w:r>
      <w:r>
        <w:rPr>
          <w:i/>
        </w:rPr>
        <w:t>Northeast Cellular Telephone Co. v. FCC</w:t>
      </w:r>
      <w:r w:rsidRPr="00BC0C1B">
        <w:t>,</w:t>
      </w:r>
      <w:r>
        <w:rPr>
          <w:i/>
        </w:rPr>
        <w:t xml:space="preserve"> </w:t>
      </w:r>
      <w:r>
        <w:t>897 F.2d 1164, 1166 (D.C. Cir. 1990).</w:t>
      </w:r>
    </w:p>
  </w:footnote>
  <w:footnote w:id="36">
    <w:p w14:paraId="61AE8D06" w14:textId="77777777" w:rsidR="00273E74" w:rsidRPr="00065067" w:rsidRDefault="00273E74" w:rsidP="0044117A">
      <w:pPr>
        <w:pStyle w:val="FootnoteText"/>
      </w:pPr>
      <w:r w:rsidRPr="00065067">
        <w:rPr>
          <w:rStyle w:val="FootnoteReference"/>
        </w:rPr>
        <w:footnoteRef/>
      </w:r>
      <w:r w:rsidRPr="00065067">
        <w:t xml:space="preserve"> </w:t>
      </w:r>
      <w:r w:rsidRPr="00065067">
        <w:rPr>
          <w:i/>
        </w:rPr>
        <w:t>WAIT Radio v. FCC</w:t>
      </w:r>
      <w:r w:rsidRPr="00065067">
        <w:t xml:space="preserve">, 418 F.2d 1153, 1159 (D.C. Cir. 1969); </w:t>
      </w:r>
      <w:r w:rsidRPr="00065067">
        <w:rPr>
          <w:i/>
        </w:rPr>
        <w:t>Northeast Cellular</w:t>
      </w:r>
      <w:r w:rsidRPr="00065067">
        <w:t>, 897 F.2d at 1166.</w:t>
      </w:r>
    </w:p>
  </w:footnote>
  <w:footnote w:id="37">
    <w:p w14:paraId="00650C0E" w14:textId="77777777" w:rsidR="00273E74" w:rsidRPr="009D378D" w:rsidRDefault="00273E74" w:rsidP="0044117A">
      <w:pPr>
        <w:pStyle w:val="FootnoteText"/>
      </w:pPr>
      <w:r>
        <w:rPr>
          <w:rStyle w:val="FootnoteReference"/>
        </w:rPr>
        <w:footnoteRef/>
      </w:r>
      <w:r>
        <w:t xml:space="preserve"> 47 CFR § 1.925(b)(3).</w:t>
      </w:r>
    </w:p>
  </w:footnote>
  <w:footnote w:id="38">
    <w:p w14:paraId="3F8C25A4" w14:textId="77777777" w:rsidR="00273E74" w:rsidRPr="00E463A4" w:rsidRDefault="00273E74" w:rsidP="00692419">
      <w:pPr>
        <w:pStyle w:val="FootnoteText"/>
      </w:pPr>
      <w:r w:rsidRPr="00E463A4">
        <w:rPr>
          <w:rStyle w:val="FootnoteReference"/>
        </w:rPr>
        <w:footnoteRef/>
      </w:r>
      <w:r w:rsidRPr="00E463A4">
        <w:t xml:space="preserve"> </w:t>
      </w:r>
      <w:r w:rsidRPr="00E463A4">
        <w:rPr>
          <w:i/>
        </w:rPr>
        <w:t>700 MHz Second Report and Order</w:t>
      </w:r>
      <w:r w:rsidRPr="00BC0C1B">
        <w:t>,</w:t>
      </w:r>
      <w:r w:rsidRPr="00E463A4">
        <w:rPr>
          <w:i/>
        </w:rPr>
        <w:t xml:space="preserve"> </w:t>
      </w:r>
      <w:r w:rsidRPr="00E463A4">
        <w:t>22 FCC Rcd at 15348, para. 153.</w:t>
      </w:r>
    </w:p>
  </w:footnote>
  <w:footnote w:id="39">
    <w:p w14:paraId="7E8CD307" w14:textId="77777777" w:rsidR="00273E74" w:rsidRDefault="00273E74">
      <w:pPr>
        <w:pStyle w:val="FootnoteText"/>
      </w:pPr>
      <w:r>
        <w:rPr>
          <w:rStyle w:val="FootnoteReference"/>
        </w:rPr>
        <w:footnoteRef/>
      </w:r>
      <w:r>
        <w:t xml:space="preserve"> Bluesky Waiver Request at 15, 18-20.</w:t>
      </w:r>
    </w:p>
  </w:footnote>
  <w:footnote w:id="40">
    <w:p w14:paraId="7B88A295" w14:textId="77777777" w:rsidR="00273E74" w:rsidRDefault="00273E74">
      <w:pPr>
        <w:pStyle w:val="FootnoteText"/>
      </w:pPr>
      <w:r>
        <w:rPr>
          <w:rStyle w:val="FootnoteReference"/>
        </w:rPr>
        <w:footnoteRef/>
      </w:r>
      <w:r>
        <w:t xml:space="preserve"> </w:t>
      </w:r>
      <w:r w:rsidRPr="000C326F">
        <w:rPr>
          <w:i/>
        </w:rPr>
        <w:t>Id.</w:t>
      </w:r>
      <w:r>
        <w:t xml:space="preserve"> at 16.</w:t>
      </w:r>
    </w:p>
  </w:footnote>
  <w:footnote w:id="41">
    <w:p w14:paraId="43D235D3" w14:textId="77777777" w:rsidR="00273E74" w:rsidRPr="000C326F" w:rsidRDefault="00273E74" w:rsidP="000C326F">
      <w:pPr>
        <w:pStyle w:val="FootnoteText"/>
      </w:pPr>
      <w:r>
        <w:rPr>
          <w:rStyle w:val="FootnoteReference"/>
        </w:rPr>
        <w:footnoteRef/>
      </w:r>
      <w:r>
        <w:t xml:space="preserve"> </w:t>
      </w:r>
      <w:r>
        <w:rPr>
          <w:i/>
        </w:rPr>
        <w:t>Id.</w:t>
      </w:r>
      <w:r>
        <w:t xml:space="preserve"> at 16, 18-19.</w:t>
      </w:r>
    </w:p>
  </w:footnote>
  <w:footnote w:id="42">
    <w:p w14:paraId="7267B7B1" w14:textId="77777777" w:rsidR="00273E74" w:rsidRPr="000C326F" w:rsidRDefault="00273E74">
      <w:pPr>
        <w:pStyle w:val="FootnoteText"/>
      </w:pPr>
      <w:r>
        <w:rPr>
          <w:rStyle w:val="FootnoteReference"/>
        </w:rPr>
        <w:footnoteRef/>
      </w:r>
      <w:r>
        <w:t xml:space="preserve"> </w:t>
      </w:r>
      <w:r>
        <w:rPr>
          <w:i/>
        </w:rPr>
        <w:t>Id.</w:t>
      </w:r>
      <w:r>
        <w:t xml:space="preserve"> at 18-20.</w:t>
      </w:r>
    </w:p>
  </w:footnote>
  <w:footnote w:id="43">
    <w:p w14:paraId="419F4994" w14:textId="792308F3" w:rsidR="00273E74" w:rsidRDefault="00273E74" w:rsidP="00D94D0B">
      <w:pPr>
        <w:pStyle w:val="FootnoteText"/>
      </w:pPr>
      <w:r>
        <w:rPr>
          <w:rStyle w:val="FootnoteReference"/>
        </w:rPr>
        <w:footnoteRef/>
      </w:r>
      <w:r>
        <w:t xml:space="preserve"> </w:t>
      </w:r>
      <w:r w:rsidR="00BC0C1B">
        <w:rPr>
          <w:i/>
        </w:rPr>
        <w:t>Id.</w:t>
      </w:r>
      <w:r>
        <w:t xml:space="preserve"> at 9.</w:t>
      </w:r>
    </w:p>
  </w:footnote>
  <w:footnote w:id="44">
    <w:p w14:paraId="16D685F0" w14:textId="77777777" w:rsidR="00273E74" w:rsidRDefault="00273E74" w:rsidP="00EB3599">
      <w:pPr>
        <w:pStyle w:val="FootnoteText"/>
      </w:pPr>
      <w:r>
        <w:rPr>
          <w:rStyle w:val="FootnoteReference"/>
        </w:rPr>
        <w:footnoteRef/>
      </w:r>
      <w:r>
        <w:t xml:space="preserve"> </w:t>
      </w:r>
      <w:r w:rsidRPr="00F80FAC">
        <w:rPr>
          <w:i/>
        </w:rPr>
        <w:t>Id.</w:t>
      </w:r>
      <w:r>
        <w:t xml:space="preserve"> at 8-9.  </w:t>
      </w:r>
    </w:p>
  </w:footnote>
  <w:footnote w:id="45">
    <w:p w14:paraId="3EDD137E" w14:textId="44AFC4AD" w:rsidR="00273E74" w:rsidRDefault="00273E74" w:rsidP="00D94D0B">
      <w:r>
        <w:rPr>
          <w:rStyle w:val="FootnoteReference"/>
        </w:rPr>
        <w:footnoteRef/>
      </w:r>
      <w:r>
        <w:t xml:space="preserve"> </w:t>
      </w:r>
      <w:r w:rsidR="00BC0C1B">
        <w:t xml:space="preserve">Bluesky Waiver Request </w:t>
      </w:r>
      <w:r>
        <w:t xml:space="preserve">at 6; </w:t>
      </w:r>
      <w:r w:rsidRPr="00324C61">
        <w:t>U.S. C</w:t>
      </w:r>
      <w:r>
        <w:t xml:space="preserve">ensus Bureau, 2010 Census Island Areas, </w:t>
      </w:r>
      <w:r w:rsidRPr="00DF72DC">
        <w:rPr>
          <w:i/>
        </w:rPr>
        <w:t>American Samoa, Population Count</w:t>
      </w:r>
      <w:r>
        <w:t xml:space="preserve">, </w:t>
      </w:r>
      <w:hyperlink r:id="rId1" w:history="1">
        <w:r w:rsidRPr="00624CCE">
          <w:rPr>
            <w:rStyle w:val="Hyperlink"/>
          </w:rPr>
          <w:t>https://www.census.gov/2010census/news/press-kits/island-areas/island-areas.html</w:t>
        </w:r>
      </w:hyperlink>
      <w:r>
        <w:t xml:space="preserve"> </w:t>
      </w:r>
      <w:r w:rsidRPr="00324C61">
        <w:t xml:space="preserve">(last visited </w:t>
      </w:r>
      <w:r>
        <w:t>Sep</w:t>
      </w:r>
      <w:r w:rsidR="00BC0C1B">
        <w:t>t</w:t>
      </w:r>
      <w:r>
        <w:t>. 29</w:t>
      </w:r>
      <w:r w:rsidRPr="00324C61">
        <w:t>, 2017).</w:t>
      </w:r>
    </w:p>
    <w:p w14:paraId="4241914E" w14:textId="77777777" w:rsidR="00273E74" w:rsidRDefault="00273E74" w:rsidP="00D94D0B"/>
  </w:footnote>
  <w:footnote w:id="46">
    <w:p w14:paraId="68703094" w14:textId="3FEC405E" w:rsidR="00273E74" w:rsidRPr="00E93F24" w:rsidRDefault="00273E74" w:rsidP="00EB3599">
      <w:pPr>
        <w:pStyle w:val="FootnoteText"/>
      </w:pPr>
      <w:r>
        <w:rPr>
          <w:rStyle w:val="FootnoteReference"/>
        </w:rPr>
        <w:footnoteRef/>
      </w:r>
      <w:r>
        <w:t xml:space="preserve"> Data regarding access to electricity, including rural access, can be found at: </w:t>
      </w:r>
      <w:r>
        <w:rPr>
          <w:i/>
        </w:rPr>
        <w:t xml:space="preserve"> </w:t>
      </w:r>
      <w:r>
        <w:t xml:space="preserve">Central Intelligence Agency, The World Factbook, </w:t>
      </w:r>
      <w:r w:rsidRPr="00E93F24">
        <w:rPr>
          <w:i/>
        </w:rPr>
        <w:t>Australia-Oceania:  American Samoa:  Energy</w:t>
      </w:r>
      <w:r>
        <w:t xml:space="preserve">, </w:t>
      </w:r>
      <w:hyperlink r:id="rId2" w:history="1">
        <w:r w:rsidRPr="00624CCE">
          <w:rPr>
            <w:rStyle w:val="Hyperlink"/>
          </w:rPr>
          <w:t>https://www.cia.gov/library/publications/the-world-factbook/geos/aq.html</w:t>
        </w:r>
      </w:hyperlink>
      <w:r>
        <w:t xml:space="preserve"> (last visited </w:t>
      </w:r>
      <w:r w:rsidR="00BC0C1B">
        <w:t>Sept. 29</w:t>
      </w:r>
      <w:r>
        <w:t xml:space="preserve">, 2017); The World Bank, </w:t>
      </w:r>
      <w:r w:rsidRPr="00BC6354">
        <w:t>Sustainable Energy for All</w:t>
      </w:r>
      <w:r>
        <w:t xml:space="preserve">: Access to Electricity, American Samoa, </w:t>
      </w:r>
      <w:hyperlink r:id="rId3" w:history="1">
        <w:r w:rsidRPr="00F42E86">
          <w:rPr>
            <w:rStyle w:val="Hyperlink"/>
          </w:rPr>
          <w:t>http://data.worldbank.org/indicator/EG.ELC.ACCS.ZS?locations=AS</w:t>
        </w:r>
      </w:hyperlink>
      <w:r>
        <w:t xml:space="preserve"> (last visited Sep</w:t>
      </w:r>
      <w:r w:rsidR="00BC0C1B">
        <w:t>t</w:t>
      </w:r>
      <w:r>
        <w:t>. 29, 2017).</w:t>
      </w:r>
    </w:p>
  </w:footnote>
  <w:footnote w:id="47">
    <w:p w14:paraId="33049667" w14:textId="17C4CAC7" w:rsidR="00273E74" w:rsidRDefault="00273E74" w:rsidP="00EB3599">
      <w:pPr>
        <w:pStyle w:val="FootnoteText"/>
      </w:pPr>
      <w:r>
        <w:rPr>
          <w:rStyle w:val="FootnoteReference"/>
        </w:rPr>
        <w:footnoteRef/>
      </w:r>
      <w:r>
        <w:t xml:space="preserve"> Office for Coastal Management, National Oceanic and Atmospheric Administration, American Samoa </w:t>
      </w:r>
      <w:hyperlink r:id="rId4" w:history="1">
        <w:r w:rsidRPr="00495717">
          <w:rPr>
            <w:rStyle w:val="Hyperlink"/>
          </w:rPr>
          <w:t>https://coast.noaa.gov/states/american-samoa.html</w:t>
        </w:r>
      </w:hyperlink>
      <w:r>
        <w:t xml:space="preserve"> (last visited Sep</w:t>
      </w:r>
      <w:r w:rsidR="00BC0C1B">
        <w:t>t</w:t>
      </w:r>
      <w:r>
        <w:t>. 29, 2017).</w:t>
      </w:r>
    </w:p>
  </w:footnote>
  <w:footnote w:id="48">
    <w:p w14:paraId="520AB1D4" w14:textId="77777777" w:rsidR="00273E74" w:rsidRDefault="00273E74">
      <w:pPr>
        <w:pStyle w:val="FootnoteText"/>
      </w:pPr>
      <w:r>
        <w:rPr>
          <w:rStyle w:val="FootnoteReference"/>
        </w:rPr>
        <w:footnoteRef/>
      </w:r>
      <w:r>
        <w:t xml:space="preserve"> Bluesky Waiver Request at 11-12.</w:t>
      </w:r>
    </w:p>
  </w:footnote>
  <w:footnote w:id="49">
    <w:p w14:paraId="7F54E5A2" w14:textId="77777777" w:rsidR="00273E74" w:rsidRDefault="00273E74" w:rsidP="00EB3599">
      <w:pPr>
        <w:pStyle w:val="FootnoteText"/>
      </w:pPr>
      <w:r>
        <w:rPr>
          <w:rStyle w:val="FootnoteReference"/>
        </w:rPr>
        <w:footnoteRef/>
      </w:r>
      <w:r>
        <w:t xml:space="preserve"> </w:t>
      </w:r>
      <w:r w:rsidRPr="00F80FAC">
        <w:rPr>
          <w:i/>
        </w:rPr>
        <w:t>Id.</w:t>
      </w:r>
      <w:r>
        <w:t xml:space="preserve"> at 8.</w:t>
      </w:r>
    </w:p>
  </w:footnote>
  <w:footnote w:id="50">
    <w:p w14:paraId="10B0ADB8" w14:textId="77777777" w:rsidR="007A0127" w:rsidRDefault="007A0127" w:rsidP="007A0127">
      <w:pPr>
        <w:pStyle w:val="FootnoteText"/>
      </w:pPr>
      <w:r>
        <w:rPr>
          <w:rStyle w:val="FootnoteReference"/>
        </w:rPr>
        <w:footnoteRef/>
      </w:r>
      <w:r>
        <w:t xml:space="preserve"> </w:t>
      </w:r>
      <w:r w:rsidRPr="00F80FAC">
        <w:rPr>
          <w:i/>
        </w:rPr>
        <w:t>Id.</w:t>
      </w:r>
      <w:r>
        <w:t xml:space="preserve"> at 11-12.</w:t>
      </w:r>
    </w:p>
  </w:footnote>
  <w:footnote w:id="51">
    <w:p w14:paraId="0379B0D2" w14:textId="3A18D9EC" w:rsidR="00CF46E2" w:rsidRPr="00941649" w:rsidRDefault="00CF46E2" w:rsidP="00CF46E2">
      <w:pPr>
        <w:pStyle w:val="FootnoteText"/>
      </w:pPr>
      <w:r w:rsidRPr="00941649">
        <w:rPr>
          <w:rStyle w:val="FootnoteReference"/>
        </w:rPr>
        <w:footnoteRef/>
      </w:r>
      <w:r w:rsidRPr="00941649">
        <w:t xml:space="preserve"> Because we grant Bluesky </w:t>
      </w:r>
      <w:r w:rsidR="00145A01" w:rsidRPr="00941649">
        <w:t>additional time</w:t>
      </w:r>
      <w:r w:rsidRPr="00941649">
        <w:t>, we need not address the alternative forms of relief from the interim construction benchmark contained in the waiver request.</w:t>
      </w:r>
    </w:p>
  </w:footnote>
  <w:footnote w:id="52">
    <w:p w14:paraId="52067FA0" w14:textId="4D853BC4" w:rsidR="008D404C" w:rsidRPr="00170860" w:rsidRDefault="008D404C">
      <w:pPr>
        <w:pStyle w:val="FootnoteText"/>
      </w:pPr>
      <w:r>
        <w:rPr>
          <w:rStyle w:val="FootnoteReference"/>
        </w:rPr>
        <w:footnoteRef/>
      </w:r>
      <w:r>
        <w:t xml:space="preserve"> </w:t>
      </w:r>
      <w:r w:rsidRPr="008D404C">
        <w:rPr>
          <w:i/>
        </w:rPr>
        <w:t>Cellular Service and Other Commercial Mobile Radio Services in the Gulf of Mexico</w:t>
      </w:r>
      <w:r w:rsidRPr="008D404C">
        <w:t>, Report and Order, 17 FCC Rcd 1209, 1224, para. 46 (2002)</w:t>
      </w:r>
      <w:r w:rsidR="00170860">
        <w:t xml:space="preserve">; </w:t>
      </w:r>
      <w:r w:rsidR="00170860">
        <w:rPr>
          <w:i/>
        </w:rPr>
        <w:t>Common Carrier Public Mobile Services Information Cellular MSA/RSA Markets and Counties</w:t>
      </w:r>
      <w:r w:rsidR="00170860">
        <w:t xml:space="preserve">, Public Notice, 6 FCC Rcd 742 (1992).  </w:t>
      </w:r>
      <w:r w:rsidR="00170860">
        <w:rPr>
          <w:i/>
        </w:rPr>
        <w:t>See also</w:t>
      </w:r>
      <w:r w:rsidR="00170860">
        <w:t xml:space="preserve"> 47 CFR § 27.6(a), (c)(1)-(2).</w:t>
      </w:r>
      <w:r w:rsidR="00EC5E47">
        <w:t xml:space="preserve">  In certain services, exceptions exist with respect to geographic markets in the Gulf of Mexico area.</w:t>
      </w:r>
    </w:p>
  </w:footnote>
  <w:footnote w:id="53">
    <w:p w14:paraId="2CAA4058" w14:textId="014B743C" w:rsidR="00170860" w:rsidRDefault="00170860">
      <w:pPr>
        <w:pStyle w:val="FootnoteText"/>
      </w:pPr>
      <w:r>
        <w:rPr>
          <w:rStyle w:val="FootnoteReference"/>
        </w:rPr>
        <w:footnoteRef/>
      </w:r>
      <w:r>
        <w:t xml:space="preserve"> 48 U.S.C. § 1705.</w:t>
      </w:r>
    </w:p>
  </w:footnote>
  <w:footnote w:id="54">
    <w:p w14:paraId="27AD943E" w14:textId="291248D9" w:rsidR="00170860" w:rsidRDefault="00170860">
      <w:pPr>
        <w:pStyle w:val="FootnoteText"/>
      </w:pPr>
      <w:r>
        <w:rPr>
          <w:rStyle w:val="FootnoteReference"/>
        </w:rPr>
        <w:footnoteRef/>
      </w:r>
      <w:r>
        <w:t xml:space="preserve"> </w:t>
      </w:r>
      <w:r>
        <w:rPr>
          <w:i/>
        </w:rPr>
        <w:t xml:space="preserve">See </w:t>
      </w:r>
      <w:r w:rsidRPr="00170860">
        <w:rPr>
          <w:i/>
        </w:rPr>
        <w:t>Service Rules for 698-746, 747-762, and 777-792 MHz Bands et al.</w:t>
      </w:r>
      <w:r w:rsidRPr="00170860">
        <w:t>, Memorandum Opinion and Order on Reconsideration, 28 FCC Rcd 2671, 267</w:t>
      </w:r>
      <w:r w:rsidR="00BC7A72">
        <w:t>5, para. 8</w:t>
      </w:r>
      <w:r w:rsidRPr="00170860">
        <w:t xml:space="preserve"> (2013)</w:t>
      </w:r>
      <w:r w:rsidR="00BC0C1B">
        <w:t xml:space="preserve"> (</w:t>
      </w:r>
      <w:r w:rsidR="00BC0C1B" w:rsidRPr="003845BD">
        <w:rPr>
          <w:i/>
        </w:rPr>
        <w:t>700 MHz Second R&amp;O</w:t>
      </w:r>
      <w:r w:rsidR="00BC0C1B">
        <w:rPr>
          <w:i/>
        </w:rPr>
        <w:t xml:space="preserve"> Order on</w:t>
      </w:r>
      <w:r w:rsidR="00BC0C1B" w:rsidRPr="003845BD">
        <w:rPr>
          <w:i/>
        </w:rPr>
        <w:t xml:space="preserve"> Reconsideration</w:t>
      </w:r>
      <w:r w:rsidR="00BC0C1B">
        <w:t>)</w:t>
      </w:r>
      <w:r w:rsidR="00BC7A72">
        <w:t>.</w:t>
      </w:r>
    </w:p>
  </w:footnote>
  <w:footnote w:id="55">
    <w:p w14:paraId="3FE67E64" w14:textId="798692FC" w:rsidR="00BC7A72" w:rsidRPr="009A629B" w:rsidRDefault="00BC7A72">
      <w:pPr>
        <w:pStyle w:val="FootnoteText"/>
      </w:pPr>
      <w:r>
        <w:rPr>
          <w:rStyle w:val="FootnoteReference"/>
        </w:rPr>
        <w:footnoteRef/>
      </w:r>
      <w:r>
        <w:t xml:space="preserve"> </w:t>
      </w:r>
      <w:r w:rsidRPr="00BC7A72">
        <w:rPr>
          <w:i/>
        </w:rPr>
        <w:t>See Wireless Telecommunications Bureau Establishes Electronic Map Format for Covered 700 MHz Band Licensee Construction Notifications</w:t>
      </w:r>
      <w:r w:rsidRPr="00BC7A72">
        <w:t xml:space="preserve">, </w:t>
      </w:r>
      <w:r w:rsidRPr="009A629B">
        <w:t>Public Notice, 30 FCC Rcd 11407 (WTB 2015)</w:t>
      </w:r>
      <w:r w:rsidR="00F03853" w:rsidRPr="009A629B">
        <w:t xml:space="preserve"> (</w:t>
      </w:r>
      <w:r w:rsidR="00F03853" w:rsidRPr="009A629B">
        <w:rPr>
          <w:i/>
        </w:rPr>
        <w:t>700 MHz Public Notice</w:t>
      </w:r>
      <w:r w:rsidR="00F03853" w:rsidRPr="009A629B">
        <w:t>)</w:t>
      </w:r>
      <w:r w:rsidRPr="009A629B">
        <w:t>.</w:t>
      </w:r>
    </w:p>
  </w:footnote>
  <w:footnote w:id="56">
    <w:p w14:paraId="278AB318" w14:textId="737AC66C" w:rsidR="00BC7A72" w:rsidRDefault="00BC7A72">
      <w:pPr>
        <w:pStyle w:val="FootnoteText"/>
      </w:pPr>
      <w:r w:rsidRPr="009A629B">
        <w:rPr>
          <w:rStyle w:val="FootnoteReference"/>
        </w:rPr>
        <w:footnoteRef/>
      </w:r>
      <w:r w:rsidRPr="009A629B">
        <w:t xml:space="preserve"> 47 CFR § 1.3.  Bluesky will, however, be required to </w:t>
      </w:r>
      <w:r w:rsidR="00EC5E47" w:rsidRPr="009A629B">
        <w:t>use the correct market boundaries to satisfy</w:t>
      </w:r>
      <w:r w:rsidRPr="009A629B">
        <w:t xml:space="preserve"> its geographic coverage requirement at the final benchmark.</w:t>
      </w:r>
      <w:r w:rsidR="00EC5E47" w:rsidRPr="009A629B">
        <w:t xml:space="preserve">  We are in the process of correcting the market information.</w:t>
      </w:r>
    </w:p>
  </w:footnote>
  <w:footnote w:id="57">
    <w:p w14:paraId="42DECDFE" w14:textId="77777777" w:rsidR="00273E74" w:rsidRDefault="00273E74">
      <w:pPr>
        <w:pStyle w:val="FootnoteText"/>
      </w:pPr>
      <w:r>
        <w:rPr>
          <w:rStyle w:val="FootnoteReference"/>
        </w:rPr>
        <w:footnoteRef/>
      </w:r>
      <w:r>
        <w:t xml:space="preserve"> Bluesky Waiver Request at 1, 9-13.</w:t>
      </w:r>
    </w:p>
  </w:footnote>
  <w:footnote w:id="58">
    <w:p w14:paraId="78916FA0" w14:textId="77777777" w:rsidR="00273E74" w:rsidRPr="00332166" w:rsidRDefault="00273E74">
      <w:pPr>
        <w:pStyle w:val="FootnoteText"/>
      </w:pPr>
      <w:r>
        <w:rPr>
          <w:rStyle w:val="FootnoteReference"/>
        </w:rPr>
        <w:footnoteRef/>
      </w:r>
      <w:r>
        <w:t xml:space="preserve"> </w:t>
      </w:r>
      <w:r w:rsidRPr="000A12C8">
        <w:rPr>
          <w:i/>
        </w:rPr>
        <w:t>See 700 MHz Second Report and Order</w:t>
      </w:r>
      <w:r w:rsidRPr="000A12C8">
        <w:t>, 22 FCC Rcd at 15348-49, paras. 153-58.</w:t>
      </w:r>
    </w:p>
  </w:footnote>
  <w:footnote w:id="59">
    <w:p w14:paraId="7E7439FE" w14:textId="2F67BCED" w:rsidR="00273E74" w:rsidRDefault="00273E74" w:rsidP="004F4CEC">
      <w:pPr>
        <w:pStyle w:val="FootnoteText"/>
      </w:pPr>
      <w:r>
        <w:rPr>
          <w:rStyle w:val="FootnoteReference"/>
        </w:rPr>
        <w:footnoteRef/>
      </w:r>
      <w:r>
        <w:t xml:space="preserve"> </w:t>
      </w:r>
      <w:r w:rsidR="00F32ADF" w:rsidRPr="00B54FC7">
        <w:rPr>
          <w:i/>
        </w:rPr>
        <w:t xml:space="preserve">See </w:t>
      </w:r>
      <w:r w:rsidR="00F32ADF">
        <w:rPr>
          <w:i/>
        </w:rPr>
        <w:t>Auction of Broadband PCS Spectrum Scheduled for May 16, 2007</w:t>
      </w:r>
      <w:r w:rsidR="00F32ADF">
        <w:t xml:space="preserve">, Public Notice, 22 FCC Rcd 433, 443-44, paras. 23-30 (WTB 2007); </w:t>
      </w:r>
      <w:r w:rsidR="00F32ADF" w:rsidRPr="00713819">
        <w:rPr>
          <w:i/>
        </w:rPr>
        <w:t>Auction of AWS-1 and Broadband PCS Licenses Rescheduled for August 13, 2008</w:t>
      </w:r>
      <w:r w:rsidR="00F32ADF">
        <w:t>, Public Notice, 23 FCC Rcd 7496, 7513-15, paras. 51-60 (WTB 2008).</w:t>
      </w:r>
      <w:r>
        <w:t xml:space="preserve"> </w:t>
      </w:r>
    </w:p>
  </w:footnote>
  <w:footnote w:id="60">
    <w:p w14:paraId="4BE1C2A1" w14:textId="77777777" w:rsidR="00273E74" w:rsidRPr="00302122" w:rsidRDefault="00273E74">
      <w:pPr>
        <w:pStyle w:val="FootnoteText"/>
      </w:pPr>
      <w:r>
        <w:rPr>
          <w:rStyle w:val="FootnoteReference"/>
        </w:rPr>
        <w:footnoteRef/>
      </w:r>
      <w:r>
        <w:t xml:space="preserve"> </w:t>
      </w:r>
      <w:r w:rsidRPr="00302122">
        <w:rPr>
          <w:i/>
        </w:rPr>
        <w:t>See 700 MHz Second Report and Order</w:t>
      </w:r>
      <w:r w:rsidRPr="00302122">
        <w:t>, 22 FCC Rcd at 15348-49, paras. 153-58.</w:t>
      </w:r>
    </w:p>
  </w:footnote>
  <w:footnote w:id="61">
    <w:p w14:paraId="2EF46FFC" w14:textId="4297BF76" w:rsidR="00273E74" w:rsidRDefault="00273E74">
      <w:pPr>
        <w:pStyle w:val="FootnoteText"/>
      </w:pPr>
      <w:r>
        <w:rPr>
          <w:rStyle w:val="FootnoteReference"/>
        </w:rPr>
        <w:footnoteRef/>
      </w:r>
      <w:r w:rsidRPr="000D5A8D">
        <w:rPr>
          <w:i/>
        </w:rPr>
        <w:t xml:space="preserve"> </w:t>
      </w:r>
      <w:r w:rsidR="00BC0C1B" w:rsidRPr="003845BD">
        <w:rPr>
          <w:i/>
        </w:rPr>
        <w:t>700 MHz Second R&amp;O</w:t>
      </w:r>
      <w:r w:rsidR="00BC0C1B">
        <w:rPr>
          <w:i/>
        </w:rPr>
        <w:t xml:space="preserve"> Order on</w:t>
      </w:r>
      <w:r w:rsidR="00BC0C1B" w:rsidRPr="003845BD">
        <w:rPr>
          <w:i/>
        </w:rPr>
        <w:t xml:space="preserve"> Reconsideration</w:t>
      </w:r>
      <w:r w:rsidRPr="000D5A8D">
        <w:t xml:space="preserve">, 28 FCC Rcd </w:t>
      </w:r>
      <w:r w:rsidR="00BC0C1B">
        <w:t>at</w:t>
      </w:r>
      <w:r w:rsidRPr="000D5A8D">
        <w:t xml:space="preserve"> 267</w:t>
      </w:r>
      <w:r>
        <w:t>5, para. 9</w:t>
      </w:r>
      <w:r w:rsidR="008B40F2">
        <w:t>.</w:t>
      </w:r>
    </w:p>
  </w:footnote>
  <w:footnote w:id="62">
    <w:p w14:paraId="7278D3B0" w14:textId="1367D71E" w:rsidR="00273E74" w:rsidRDefault="00273E74">
      <w:pPr>
        <w:pStyle w:val="FootnoteText"/>
      </w:pPr>
      <w:r>
        <w:rPr>
          <w:rStyle w:val="FootnoteReference"/>
        </w:rPr>
        <w:footnoteRef/>
      </w:r>
      <w:r>
        <w:t xml:space="preserve"> Indeed, Bluesky’s construction notifications reflect that it was able to c</w:t>
      </w:r>
      <w:r w:rsidRPr="0005337F">
        <w:t>ons</w:t>
      </w:r>
      <w:r>
        <w:t>truct facilities and expand</w:t>
      </w:r>
      <w:r w:rsidRPr="0005337F">
        <w:t xml:space="preserve"> its geographic coverage by more than 2</w:t>
      </w:r>
      <w:r>
        <w:t>0 percent in less than a month.</w:t>
      </w:r>
    </w:p>
  </w:footnote>
  <w:footnote w:id="63">
    <w:p w14:paraId="205DE92C" w14:textId="77777777" w:rsidR="00273E74" w:rsidRDefault="00273E74">
      <w:pPr>
        <w:pStyle w:val="FootnoteText"/>
      </w:pPr>
      <w:r>
        <w:rPr>
          <w:rStyle w:val="FootnoteReference"/>
        </w:rPr>
        <w:footnoteRef/>
      </w:r>
      <w:r>
        <w:t xml:space="preserve"> 47 CFR § 27.14(g)(2).</w:t>
      </w:r>
    </w:p>
  </w:footnote>
  <w:footnote w:id="64">
    <w:p w14:paraId="4DC6F58E" w14:textId="77777777" w:rsidR="00273E74" w:rsidRPr="0041656A" w:rsidRDefault="00273E74">
      <w:pPr>
        <w:pStyle w:val="FootnoteText"/>
      </w:pPr>
      <w:r>
        <w:rPr>
          <w:rStyle w:val="FootnoteReference"/>
        </w:rPr>
        <w:footnoteRef/>
      </w:r>
      <w:r>
        <w:t xml:space="preserve"> </w:t>
      </w:r>
      <w:r>
        <w:rPr>
          <w:i/>
        </w:rPr>
        <w:t>See 700 MHz Second Report and Order</w:t>
      </w:r>
      <w:r>
        <w:t>, 22 FCC Rcd at 15349, para. 156.</w:t>
      </w:r>
    </w:p>
  </w:footnote>
  <w:footnote w:id="65">
    <w:p w14:paraId="64C727BE" w14:textId="77777777" w:rsidR="00273E74" w:rsidRDefault="00273E74">
      <w:pPr>
        <w:pStyle w:val="FootnoteText"/>
      </w:pPr>
      <w:r>
        <w:rPr>
          <w:rStyle w:val="FootnoteReference"/>
        </w:rPr>
        <w:footnoteRef/>
      </w:r>
      <w:r>
        <w:t xml:space="preserve"> Bluesky Waiver Request at 10-11. </w:t>
      </w:r>
    </w:p>
  </w:footnote>
  <w:footnote w:id="66">
    <w:p w14:paraId="1023424C" w14:textId="36AD0CEE" w:rsidR="00C44B51" w:rsidRDefault="00C44B51">
      <w:pPr>
        <w:pStyle w:val="FootnoteText"/>
      </w:pPr>
      <w:r>
        <w:rPr>
          <w:rStyle w:val="FootnoteReference"/>
        </w:rPr>
        <w:footnoteRef/>
      </w:r>
      <w:r>
        <w:t xml:space="preserve"> </w:t>
      </w:r>
      <w:r>
        <w:rPr>
          <w:i/>
        </w:rPr>
        <w:t xml:space="preserve">See </w:t>
      </w:r>
      <w:r>
        <w:t>47 CFR 27.14(j).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745B5" w14:textId="77777777" w:rsidR="0060525D" w:rsidRDefault="00605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DF6A89" w14:textId="3197DC17" w:rsidR="00273E74" w:rsidRDefault="00B73E52">
    <w:pPr>
      <w:pStyle w:val="Header"/>
    </w:pPr>
    <w:r>
      <w:t>Kent D. Bressie</w:t>
    </w:r>
  </w:p>
  <w:p w14:paraId="4006C689" w14:textId="698D49B1" w:rsidR="00273E74" w:rsidRDefault="00273E74">
    <w:pPr>
      <w:pStyle w:val="Header"/>
    </w:pPr>
    <w:r>
      <w:t xml:space="preserve">Page </w:t>
    </w:r>
    <w:r>
      <w:fldChar w:fldCharType="begin"/>
    </w:r>
    <w:r>
      <w:instrText xml:space="preserve"> PAGE   \* MERGEFORMAT </w:instrText>
    </w:r>
    <w:r>
      <w:fldChar w:fldCharType="separate"/>
    </w:r>
    <w:r w:rsidR="008662AA">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DD4BA" w14:textId="77777777" w:rsidR="00273E74" w:rsidRDefault="008662AA">
    <w:pPr>
      <w:pStyle w:val="Header"/>
      <w:tabs>
        <w:tab w:val="clear" w:pos="4320"/>
        <w:tab w:val="clear" w:pos="8640"/>
      </w:tabs>
      <w:spacing w:before="360" w:line="228" w:lineRule="auto"/>
      <w:jc w:val="center"/>
    </w:pPr>
    <w:r>
      <w:rPr>
        <w:rFonts w:ascii="CG Times (W1)" w:hAnsi="CG Times (W1)"/>
        <w:sz w:val="28"/>
      </w:rPr>
      <w:pict w14:anchorId="20EF6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571220564" r:id="rId2"/>
      </w:pict>
    </w:r>
    <w:r w:rsidR="00273E74">
      <w:rPr>
        <w:rFonts w:ascii="CG Times (W1)" w:hAnsi="CG Times (W1)"/>
        <w:sz w:val="28"/>
      </w:rPr>
      <w:t>Federal Communications Commission</w:t>
    </w:r>
  </w:p>
  <w:p w14:paraId="0A06C68E" w14:textId="77777777" w:rsidR="00273E74" w:rsidRDefault="00273E74">
    <w:pPr>
      <w:jc w:val="center"/>
    </w:pPr>
    <w:r>
      <w:rPr>
        <w:rFonts w:ascii="CG Times (W1)" w:hAnsi="CG Times (W1)"/>
        <w:sz w:val="28"/>
      </w:rPr>
      <w:t>Washington, D.C. 20554</w:t>
    </w:r>
  </w:p>
  <w:p w14:paraId="40FBF281" w14:textId="77777777" w:rsidR="00273E74" w:rsidRDefault="00273E74">
    <w:pPr>
      <w:pStyle w:val="Header"/>
      <w:tabs>
        <w:tab w:val="clear" w:pos="4320"/>
      </w:tabs>
      <w:jc w:val="center"/>
      <w:rPr>
        <w:sz w:val="22"/>
      </w:rPr>
    </w:pPr>
  </w:p>
  <w:p w14:paraId="1C930C31" w14:textId="77777777" w:rsidR="00273E74" w:rsidRDefault="00273E74">
    <w:pPr>
      <w:pStyle w:val="Header"/>
      <w:tabs>
        <w:tab w:val="clear" w:pos="4320"/>
      </w:tabs>
      <w:jc w:val="center"/>
      <w:rPr>
        <w:sz w:val="22"/>
      </w:rPr>
    </w:pPr>
  </w:p>
  <w:p w14:paraId="504778A9" w14:textId="29DF0789" w:rsidR="00273E74" w:rsidRDefault="00273E74">
    <w:pPr>
      <w:pStyle w:val="Header"/>
      <w:tabs>
        <w:tab w:val="clear" w:pos="4320"/>
      </w:tabs>
      <w:jc w:val="center"/>
      <w:rPr>
        <w:sz w:val="24"/>
      </w:rPr>
    </w:pPr>
    <w:r>
      <w:rPr>
        <w:sz w:val="24"/>
      </w:rPr>
      <w:fldChar w:fldCharType="begin"/>
    </w:r>
    <w:r>
      <w:rPr>
        <w:sz w:val="24"/>
      </w:rPr>
      <w:instrText xml:space="preserve"> TIME \@ "MMMM d, yyyy" </w:instrText>
    </w:r>
    <w:r>
      <w:rPr>
        <w:sz w:val="24"/>
      </w:rPr>
      <w:fldChar w:fldCharType="separate"/>
    </w:r>
    <w:r w:rsidR="008662AA">
      <w:rPr>
        <w:noProof/>
        <w:sz w:val="24"/>
      </w:rPr>
      <w:t>November 3, 2017</w:t>
    </w:r>
    <w:r>
      <w:rPr>
        <w:sz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95A"/>
    <w:rsid w:val="000203A0"/>
    <w:rsid w:val="0005337F"/>
    <w:rsid w:val="000823CE"/>
    <w:rsid w:val="000A12C8"/>
    <w:rsid w:val="000C326F"/>
    <w:rsid w:val="000D5A8D"/>
    <w:rsid w:val="000F71BA"/>
    <w:rsid w:val="0010009D"/>
    <w:rsid w:val="00101EFD"/>
    <w:rsid w:val="00110409"/>
    <w:rsid w:val="00145A01"/>
    <w:rsid w:val="00152C02"/>
    <w:rsid w:val="00163298"/>
    <w:rsid w:val="00170860"/>
    <w:rsid w:val="001808C3"/>
    <w:rsid w:val="0018577E"/>
    <w:rsid w:val="001A2542"/>
    <w:rsid w:val="001B3C47"/>
    <w:rsid w:val="001B7F8B"/>
    <w:rsid w:val="001C39AB"/>
    <w:rsid w:val="001E3CA0"/>
    <w:rsid w:val="001E6E4E"/>
    <w:rsid w:val="001F2832"/>
    <w:rsid w:val="00204CE3"/>
    <w:rsid w:val="00211995"/>
    <w:rsid w:val="002322C9"/>
    <w:rsid w:val="00273E74"/>
    <w:rsid w:val="002B54DB"/>
    <w:rsid w:val="002C7F9A"/>
    <w:rsid w:val="002D430B"/>
    <w:rsid w:val="002E35DA"/>
    <w:rsid w:val="002F3CCF"/>
    <w:rsid w:val="00302122"/>
    <w:rsid w:val="00314925"/>
    <w:rsid w:val="00320C96"/>
    <w:rsid w:val="00332166"/>
    <w:rsid w:val="00350160"/>
    <w:rsid w:val="00350C74"/>
    <w:rsid w:val="00355D8A"/>
    <w:rsid w:val="00380244"/>
    <w:rsid w:val="00381B9B"/>
    <w:rsid w:val="00387C98"/>
    <w:rsid w:val="00390617"/>
    <w:rsid w:val="003A71B2"/>
    <w:rsid w:val="003B198D"/>
    <w:rsid w:val="003E728E"/>
    <w:rsid w:val="0041656A"/>
    <w:rsid w:val="004306A0"/>
    <w:rsid w:val="004369EF"/>
    <w:rsid w:val="0044117A"/>
    <w:rsid w:val="004722FB"/>
    <w:rsid w:val="0047670E"/>
    <w:rsid w:val="00476D94"/>
    <w:rsid w:val="004A0F1B"/>
    <w:rsid w:val="004B2396"/>
    <w:rsid w:val="004B395A"/>
    <w:rsid w:val="004D3B53"/>
    <w:rsid w:val="004D41A4"/>
    <w:rsid w:val="004F4CEC"/>
    <w:rsid w:val="0050384E"/>
    <w:rsid w:val="005216BC"/>
    <w:rsid w:val="00530C1A"/>
    <w:rsid w:val="00552C09"/>
    <w:rsid w:val="005869FD"/>
    <w:rsid w:val="00591DCA"/>
    <w:rsid w:val="005A3E76"/>
    <w:rsid w:val="005A64E8"/>
    <w:rsid w:val="005B7DC1"/>
    <w:rsid w:val="005C6CB4"/>
    <w:rsid w:val="005E629D"/>
    <w:rsid w:val="0060525D"/>
    <w:rsid w:val="00642D34"/>
    <w:rsid w:val="006572B8"/>
    <w:rsid w:val="006858DF"/>
    <w:rsid w:val="00692419"/>
    <w:rsid w:val="00697C38"/>
    <w:rsid w:val="006A7E01"/>
    <w:rsid w:val="006B10B6"/>
    <w:rsid w:val="006D717C"/>
    <w:rsid w:val="006F3C94"/>
    <w:rsid w:val="00712C64"/>
    <w:rsid w:val="00716D62"/>
    <w:rsid w:val="00730E2A"/>
    <w:rsid w:val="0076453F"/>
    <w:rsid w:val="00764B1E"/>
    <w:rsid w:val="007703A9"/>
    <w:rsid w:val="00771DE2"/>
    <w:rsid w:val="00777636"/>
    <w:rsid w:val="0078140F"/>
    <w:rsid w:val="00785850"/>
    <w:rsid w:val="00790418"/>
    <w:rsid w:val="007A0127"/>
    <w:rsid w:val="007A6B52"/>
    <w:rsid w:val="007C68D5"/>
    <w:rsid w:val="007C6FF2"/>
    <w:rsid w:val="007D16C9"/>
    <w:rsid w:val="007D2B33"/>
    <w:rsid w:val="007E65A8"/>
    <w:rsid w:val="008662AA"/>
    <w:rsid w:val="00873654"/>
    <w:rsid w:val="008A6FFD"/>
    <w:rsid w:val="008B40F2"/>
    <w:rsid w:val="008B7C0E"/>
    <w:rsid w:val="008D2B3A"/>
    <w:rsid w:val="008D404C"/>
    <w:rsid w:val="008F073F"/>
    <w:rsid w:val="008F1184"/>
    <w:rsid w:val="008F1E26"/>
    <w:rsid w:val="008F4D20"/>
    <w:rsid w:val="009113E2"/>
    <w:rsid w:val="009143EA"/>
    <w:rsid w:val="0091583F"/>
    <w:rsid w:val="00922151"/>
    <w:rsid w:val="0092706C"/>
    <w:rsid w:val="00941649"/>
    <w:rsid w:val="00956135"/>
    <w:rsid w:val="009639F5"/>
    <w:rsid w:val="009A629B"/>
    <w:rsid w:val="009B5A2B"/>
    <w:rsid w:val="009C3249"/>
    <w:rsid w:val="009C517E"/>
    <w:rsid w:val="009D2C9E"/>
    <w:rsid w:val="009F02CF"/>
    <w:rsid w:val="009F2598"/>
    <w:rsid w:val="009F6D57"/>
    <w:rsid w:val="00A0686B"/>
    <w:rsid w:val="00A112D9"/>
    <w:rsid w:val="00A1565A"/>
    <w:rsid w:val="00A51E18"/>
    <w:rsid w:val="00A7246C"/>
    <w:rsid w:val="00AB31D7"/>
    <w:rsid w:val="00AC5FB0"/>
    <w:rsid w:val="00AD795A"/>
    <w:rsid w:val="00B107FC"/>
    <w:rsid w:val="00B174BC"/>
    <w:rsid w:val="00B73E52"/>
    <w:rsid w:val="00B94F04"/>
    <w:rsid w:val="00BB03FB"/>
    <w:rsid w:val="00BC0C1B"/>
    <w:rsid w:val="00BC7A72"/>
    <w:rsid w:val="00BE0BEE"/>
    <w:rsid w:val="00BE42D7"/>
    <w:rsid w:val="00C014FC"/>
    <w:rsid w:val="00C02C40"/>
    <w:rsid w:val="00C15F41"/>
    <w:rsid w:val="00C16ED1"/>
    <w:rsid w:val="00C34A86"/>
    <w:rsid w:val="00C44B51"/>
    <w:rsid w:val="00C5076F"/>
    <w:rsid w:val="00C5220B"/>
    <w:rsid w:val="00C85FA6"/>
    <w:rsid w:val="00CD0A17"/>
    <w:rsid w:val="00CE5733"/>
    <w:rsid w:val="00CF0BC2"/>
    <w:rsid w:val="00CF46E2"/>
    <w:rsid w:val="00CF7D21"/>
    <w:rsid w:val="00D07DEA"/>
    <w:rsid w:val="00D1351A"/>
    <w:rsid w:val="00D13A7A"/>
    <w:rsid w:val="00D42A62"/>
    <w:rsid w:val="00D94D0B"/>
    <w:rsid w:val="00DA0709"/>
    <w:rsid w:val="00DE2BF7"/>
    <w:rsid w:val="00E002B8"/>
    <w:rsid w:val="00E31DB3"/>
    <w:rsid w:val="00E42FD9"/>
    <w:rsid w:val="00E50C1D"/>
    <w:rsid w:val="00E81374"/>
    <w:rsid w:val="00EB3599"/>
    <w:rsid w:val="00EC5B0E"/>
    <w:rsid w:val="00EC5E47"/>
    <w:rsid w:val="00ED68B5"/>
    <w:rsid w:val="00EE0505"/>
    <w:rsid w:val="00EF2DC0"/>
    <w:rsid w:val="00F03853"/>
    <w:rsid w:val="00F1513C"/>
    <w:rsid w:val="00F31379"/>
    <w:rsid w:val="00F32ADF"/>
    <w:rsid w:val="00F4383A"/>
    <w:rsid w:val="00F651D3"/>
    <w:rsid w:val="00F80FAC"/>
    <w:rsid w:val="00FB245C"/>
    <w:rsid w:val="00FB4A0F"/>
    <w:rsid w:val="00FF3F5B"/>
    <w:rsid w:val="00FF42DC"/>
    <w:rsid w:val="00FF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EBE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unhideWhenUsed/>
    <w:qFormat/>
    <w:rsid w:val="00922151"/>
    <w:pPr>
      <w:spacing w:after="120"/>
    </w:p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basedOn w:val="DefaultParagraphFont"/>
    <w:link w:val="FootnoteText"/>
    <w:uiPriority w:val="99"/>
    <w:rsid w:val="00922151"/>
  </w:style>
  <w:style w:type="character" w:styleId="FootnoteReference">
    <w:name w:val="footnote reference"/>
    <w:aliases w:val="o,fr,Appel note de bas de p,Style 12,(NECG) Footnote Reference,Style 124,Style 3,Style 13,Footnote Reference/,FR,Style 17,Style 6,Style 7,Style 4,Footnote Reference1,Style 34,Style 9"/>
    <w:basedOn w:val="DefaultParagraphFont"/>
    <w:unhideWhenUsed/>
    <w:qFormat/>
    <w:rsid w:val="00922151"/>
    <w:rPr>
      <w:vertAlign w:val="superscript"/>
    </w:rPr>
  </w:style>
  <w:style w:type="paragraph" w:customStyle="1" w:styleId="ParaNum">
    <w:name w:val="ParaNum"/>
    <w:basedOn w:val="Normal"/>
    <w:autoRedefine/>
    <w:rsid w:val="001B3C47"/>
    <w:pPr>
      <w:widowControl w:val="0"/>
    </w:pPr>
    <w:rPr>
      <w:snapToGrid w:val="0"/>
      <w:color w:val="000000"/>
      <w:kern w:val="28"/>
      <w:sz w:val="22"/>
      <w:szCs w:val="22"/>
    </w:rPr>
  </w:style>
  <w:style w:type="character" w:styleId="Hyperlink">
    <w:name w:val="Hyperlink"/>
    <w:uiPriority w:val="99"/>
    <w:rsid w:val="001B3C47"/>
    <w:rPr>
      <w:color w:val="0000FF"/>
      <w:u w:val="single"/>
    </w:rPr>
  </w:style>
  <w:style w:type="paragraph" w:styleId="EndnoteText">
    <w:name w:val="endnote text"/>
    <w:basedOn w:val="Normal"/>
    <w:link w:val="EndnoteTextChar"/>
    <w:uiPriority w:val="99"/>
    <w:semiHidden/>
    <w:unhideWhenUsed/>
    <w:rsid w:val="007703A9"/>
  </w:style>
  <w:style w:type="character" w:customStyle="1" w:styleId="EndnoteTextChar">
    <w:name w:val="Endnote Text Char"/>
    <w:basedOn w:val="DefaultParagraphFont"/>
    <w:link w:val="EndnoteText"/>
    <w:uiPriority w:val="99"/>
    <w:semiHidden/>
    <w:rsid w:val="007703A9"/>
  </w:style>
  <w:style w:type="character" w:styleId="EndnoteReference">
    <w:name w:val="endnote reference"/>
    <w:basedOn w:val="DefaultParagraphFont"/>
    <w:uiPriority w:val="99"/>
    <w:semiHidden/>
    <w:unhideWhenUsed/>
    <w:rsid w:val="007703A9"/>
    <w:rPr>
      <w:vertAlign w:val="superscript"/>
    </w:rPr>
  </w:style>
  <w:style w:type="character" w:customStyle="1" w:styleId="FooterChar">
    <w:name w:val="Footer Char"/>
    <w:basedOn w:val="DefaultParagraphFont"/>
    <w:link w:val="Footer"/>
    <w:uiPriority w:val="99"/>
    <w:rsid w:val="001E6E4E"/>
  </w:style>
  <w:style w:type="character" w:styleId="CommentReference">
    <w:name w:val="annotation reference"/>
    <w:basedOn w:val="DefaultParagraphFont"/>
    <w:uiPriority w:val="99"/>
    <w:semiHidden/>
    <w:unhideWhenUsed/>
    <w:rsid w:val="000823CE"/>
    <w:rPr>
      <w:sz w:val="16"/>
      <w:szCs w:val="16"/>
    </w:rPr>
  </w:style>
  <w:style w:type="paragraph" w:styleId="CommentText">
    <w:name w:val="annotation text"/>
    <w:basedOn w:val="Normal"/>
    <w:link w:val="CommentTextChar"/>
    <w:uiPriority w:val="99"/>
    <w:semiHidden/>
    <w:unhideWhenUsed/>
    <w:rsid w:val="000823CE"/>
  </w:style>
  <w:style w:type="character" w:customStyle="1" w:styleId="CommentTextChar">
    <w:name w:val="Comment Text Char"/>
    <w:basedOn w:val="DefaultParagraphFont"/>
    <w:link w:val="CommentText"/>
    <w:uiPriority w:val="99"/>
    <w:semiHidden/>
    <w:rsid w:val="000823CE"/>
  </w:style>
  <w:style w:type="paragraph" w:styleId="CommentSubject">
    <w:name w:val="annotation subject"/>
    <w:basedOn w:val="CommentText"/>
    <w:next w:val="CommentText"/>
    <w:link w:val="CommentSubjectChar"/>
    <w:uiPriority w:val="99"/>
    <w:semiHidden/>
    <w:unhideWhenUsed/>
    <w:rsid w:val="000823CE"/>
    <w:rPr>
      <w:b/>
      <w:bCs/>
    </w:rPr>
  </w:style>
  <w:style w:type="character" w:customStyle="1" w:styleId="CommentSubjectChar">
    <w:name w:val="Comment Subject Char"/>
    <w:basedOn w:val="CommentTextChar"/>
    <w:link w:val="CommentSubject"/>
    <w:uiPriority w:val="99"/>
    <w:semiHidden/>
    <w:rsid w:val="000823CE"/>
    <w:rPr>
      <w:b/>
      <w:bCs/>
    </w:rPr>
  </w:style>
  <w:style w:type="paragraph" w:styleId="BalloonText">
    <w:name w:val="Balloon Text"/>
    <w:basedOn w:val="Normal"/>
    <w:link w:val="BalloonTextChar"/>
    <w:uiPriority w:val="99"/>
    <w:semiHidden/>
    <w:unhideWhenUsed/>
    <w:rsid w:val="00082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C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1,Footnote Text Char Char,Footnote Text Char1 Char Char,Footnote Text Char Char Char Char,ALTS FOOTNOTE,fn,Footnote Text Char1 Char1,Footnote Text Char3 Char Char1,Footnote Text Char2 Char Char Char1,Footnote Text Char2,f"/>
    <w:basedOn w:val="Normal"/>
    <w:link w:val="FootnoteTextChar"/>
    <w:uiPriority w:val="99"/>
    <w:unhideWhenUsed/>
    <w:qFormat/>
    <w:rsid w:val="00922151"/>
    <w:pPr>
      <w:spacing w:after="120"/>
    </w:pPr>
  </w:style>
  <w:style w:type="character" w:customStyle="1" w:styleId="FootnoteTextChar">
    <w:name w:val="Footnote Text Char"/>
    <w:aliases w:val="Footnote Text Char1 Char,Footnote Text Char Char Char,Footnote Text Char1 Char Char Char,Footnote Text Char Char Char Char Char,ALTS FOOTNOTE Char,fn Char,Footnote Text Char1 Char1 Char,Footnote Text Char3 Char Char1 Char,f Char"/>
    <w:basedOn w:val="DefaultParagraphFont"/>
    <w:link w:val="FootnoteText"/>
    <w:uiPriority w:val="99"/>
    <w:rsid w:val="00922151"/>
  </w:style>
  <w:style w:type="character" w:styleId="FootnoteReference">
    <w:name w:val="footnote reference"/>
    <w:aliases w:val="o,fr,Appel note de bas de p,Style 12,(NECG) Footnote Reference,Style 124,Style 3,Style 13,Footnote Reference/,FR,Style 17,Style 6,Style 7,Style 4,Footnote Reference1,Style 34,Style 9"/>
    <w:basedOn w:val="DefaultParagraphFont"/>
    <w:unhideWhenUsed/>
    <w:qFormat/>
    <w:rsid w:val="00922151"/>
    <w:rPr>
      <w:vertAlign w:val="superscript"/>
    </w:rPr>
  </w:style>
  <w:style w:type="paragraph" w:customStyle="1" w:styleId="ParaNum">
    <w:name w:val="ParaNum"/>
    <w:basedOn w:val="Normal"/>
    <w:autoRedefine/>
    <w:rsid w:val="001B3C47"/>
    <w:pPr>
      <w:widowControl w:val="0"/>
    </w:pPr>
    <w:rPr>
      <w:snapToGrid w:val="0"/>
      <w:color w:val="000000"/>
      <w:kern w:val="28"/>
      <w:sz w:val="22"/>
      <w:szCs w:val="22"/>
    </w:rPr>
  </w:style>
  <w:style w:type="character" w:styleId="Hyperlink">
    <w:name w:val="Hyperlink"/>
    <w:uiPriority w:val="99"/>
    <w:rsid w:val="001B3C47"/>
    <w:rPr>
      <w:color w:val="0000FF"/>
      <w:u w:val="single"/>
    </w:rPr>
  </w:style>
  <w:style w:type="paragraph" w:styleId="EndnoteText">
    <w:name w:val="endnote text"/>
    <w:basedOn w:val="Normal"/>
    <w:link w:val="EndnoteTextChar"/>
    <w:uiPriority w:val="99"/>
    <w:semiHidden/>
    <w:unhideWhenUsed/>
    <w:rsid w:val="007703A9"/>
  </w:style>
  <w:style w:type="character" w:customStyle="1" w:styleId="EndnoteTextChar">
    <w:name w:val="Endnote Text Char"/>
    <w:basedOn w:val="DefaultParagraphFont"/>
    <w:link w:val="EndnoteText"/>
    <w:uiPriority w:val="99"/>
    <w:semiHidden/>
    <w:rsid w:val="007703A9"/>
  </w:style>
  <w:style w:type="character" w:styleId="EndnoteReference">
    <w:name w:val="endnote reference"/>
    <w:basedOn w:val="DefaultParagraphFont"/>
    <w:uiPriority w:val="99"/>
    <w:semiHidden/>
    <w:unhideWhenUsed/>
    <w:rsid w:val="007703A9"/>
    <w:rPr>
      <w:vertAlign w:val="superscript"/>
    </w:rPr>
  </w:style>
  <w:style w:type="character" w:customStyle="1" w:styleId="FooterChar">
    <w:name w:val="Footer Char"/>
    <w:basedOn w:val="DefaultParagraphFont"/>
    <w:link w:val="Footer"/>
    <w:uiPriority w:val="99"/>
    <w:rsid w:val="001E6E4E"/>
  </w:style>
  <w:style w:type="character" w:styleId="CommentReference">
    <w:name w:val="annotation reference"/>
    <w:basedOn w:val="DefaultParagraphFont"/>
    <w:uiPriority w:val="99"/>
    <w:semiHidden/>
    <w:unhideWhenUsed/>
    <w:rsid w:val="000823CE"/>
    <w:rPr>
      <w:sz w:val="16"/>
      <w:szCs w:val="16"/>
    </w:rPr>
  </w:style>
  <w:style w:type="paragraph" w:styleId="CommentText">
    <w:name w:val="annotation text"/>
    <w:basedOn w:val="Normal"/>
    <w:link w:val="CommentTextChar"/>
    <w:uiPriority w:val="99"/>
    <w:semiHidden/>
    <w:unhideWhenUsed/>
    <w:rsid w:val="000823CE"/>
  </w:style>
  <w:style w:type="character" w:customStyle="1" w:styleId="CommentTextChar">
    <w:name w:val="Comment Text Char"/>
    <w:basedOn w:val="DefaultParagraphFont"/>
    <w:link w:val="CommentText"/>
    <w:uiPriority w:val="99"/>
    <w:semiHidden/>
    <w:rsid w:val="000823CE"/>
  </w:style>
  <w:style w:type="paragraph" w:styleId="CommentSubject">
    <w:name w:val="annotation subject"/>
    <w:basedOn w:val="CommentText"/>
    <w:next w:val="CommentText"/>
    <w:link w:val="CommentSubjectChar"/>
    <w:uiPriority w:val="99"/>
    <w:semiHidden/>
    <w:unhideWhenUsed/>
    <w:rsid w:val="000823CE"/>
    <w:rPr>
      <w:b/>
      <w:bCs/>
    </w:rPr>
  </w:style>
  <w:style w:type="character" w:customStyle="1" w:styleId="CommentSubjectChar">
    <w:name w:val="Comment Subject Char"/>
    <w:basedOn w:val="CommentTextChar"/>
    <w:link w:val="CommentSubject"/>
    <w:uiPriority w:val="99"/>
    <w:semiHidden/>
    <w:rsid w:val="000823CE"/>
    <w:rPr>
      <w:b/>
      <w:bCs/>
    </w:rPr>
  </w:style>
  <w:style w:type="paragraph" w:styleId="BalloonText">
    <w:name w:val="Balloon Text"/>
    <w:basedOn w:val="Normal"/>
    <w:link w:val="BalloonTextChar"/>
    <w:uiPriority w:val="99"/>
    <w:semiHidden/>
    <w:unhideWhenUsed/>
    <w:rsid w:val="000823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3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data.worldbank.org/indicator/EG.ELC.ACCS.ZS?locations=AS" TargetMode="External"/><Relationship Id="rId2" Type="http://schemas.openxmlformats.org/officeDocument/2006/relationships/hyperlink" Target="https://www.cia.gov/library/publications/the-world-factbook/geos/aq.html" TargetMode="External"/><Relationship Id="rId1" Type="http://schemas.openxmlformats.org/officeDocument/2006/relationships/hyperlink" Target="https://www.census.gov/2010census/news/press-kits/island-areas/island-areas.html" TargetMode="External"/><Relationship Id="rId4" Type="http://schemas.openxmlformats.org/officeDocument/2006/relationships/hyperlink" Target="https://coast.noaa.gov/states/american-samoa.html" TargetMode="Externa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3</Pages>
  <Words>3578</Words>
  <Characters>20148</Characters>
  <Application>Microsoft Office Word</Application>
  <DocSecurity>0</DocSecurity>
  <Lines>290</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23811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2017-10-19T14:17:00Z</cp:lastPrinted>
  <dcterms:created xsi:type="dcterms:W3CDTF">2017-11-03T17:23:00Z</dcterms:created>
  <dcterms:modified xsi:type="dcterms:W3CDTF">2017-11-03T17:23:00Z</dcterms:modified>
  <cp:category> </cp:category>
  <cp:contentStatus> </cp:contentStatus>
</cp:coreProperties>
</file>