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D47505" w:rsidRPr="00B20363" w:rsidRDefault="00441FD7" w:rsidP="00D47505">
      <w:pPr>
        <w:jc w:val="right"/>
        <w:rPr>
          <w:b/>
          <w:sz w:val="24"/>
        </w:rPr>
      </w:pPr>
      <w:r>
        <w:rPr>
          <w:b/>
          <w:sz w:val="24"/>
        </w:rPr>
        <w:t>DA 17-</w:t>
      </w:r>
      <w:r w:rsidR="00486158">
        <w:rPr>
          <w:b/>
          <w:sz w:val="24"/>
        </w:rPr>
        <w:t>1116</w:t>
      </w:r>
    </w:p>
    <w:p w:rsidR="00D47505" w:rsidRPr="00B20363" w:rsidRDefault="00B338A9" w:rsidP="00D47505">
      <w:pPr>
        <w:spacing w:before="60"/>
        <w:jc w:val="right"/>
        <w:rPr>
          <w:b/>
          <w:sz w:val="24"/>
        </w:rPr>
      </w:pPr>
      <w:r>
        <w:rPr>
          <w:b/>
          <w:sz w:val="24"/>
        </w:rPr>
        <w:t xml:space="preserve">Released:  </w:t>
      </w:r>
      <w:r w:rsidR="00C51164">
        <w:rPr>
          <w:b/>
          <w:sz w:val="24"/>
        </w:rPr>
        <w:t xml:space="preserve">November </w:t>
      </w:r>
      <w:r w:rsidR="004D65BB">
        <w:rPr>
          <w:b/>
          <w:sz w:val="24"/>
        </w:rPr>
        <w:t>16</w:t>
      </w:r>
      <w:r w:rsidR="00446B02">
        <w:rPr>
          <w:b/>
          <w:sz w:val="24"/>
        </w:rPr>
        <w:t>, 2017</w:t>
      </w:r>
    </w:p>
    <w:p w:rsidR="00D47505" w:rsidRDefault="00D47505" w:rsidP="00D47505">
      <w:pPr>
        <w:jc w:val="right"/>
        <w:rPr>
          <w:sz w:val="24"/>
        </w:rPr>
      </w:pPr>
    </w:p>
    <w:p w:rsidR="00334FE8" w:rsidRDefault="00446B02" w:rsidP="00D47505">
      <w:pPr>
        <w:spacing w:after="240"/>
        <w:jc w:val="center"/>
        <w:rPr>
          <w:rFonts w:ascii="Times New Roman Bold" w:hAnsi="Times New Roman Bold"/>
          <w:b/>
          <w:caps/>
          <w:sz w:val="24"/>
        </w:rPr>
      </w:pPr>
      <w:r>
        <w:rPr>
          <w:rFonts w:ascii="Times New Roman Bold" w:hAnsi="Times New Roman Bold"/>
          <w:b/>
          <w:caps/>
          <w:sz w:val="24"/>
        </w:rPr>
        <w:t xml:space="preserve">media bureau </w:t>
      </w:r>
      <w:r w:rsidR="00C033FD">
        <w:rPr>
          <w:rFonts w:ascii="Times New Roman Bold" w:hAnsi="Times New Roman Bold"/>
          <w:b/>
          <w:caps/>
          <w:sz w:val="24"/>
        </w:rPr>
        <w:t xml:space="preserve">announces </w:t>
      </w:r>
      <w:r w:rsidR="001155CD">
        <w:rPr>
          <w:rFonts w:ascii="Times New Roman Bold" w:hAnsi="Times New Roman Bold"/>
          <w:b/>
          <w:caps/>
          <w:sz w:val="24"/>
        </w:rPr>
        <w:t>RETIREMENT OF CDBS VERSIONS</w:t>
      </w:r>
      <w:r w:rsidR="00F624CC">
        <w:rPr>
          <w:rFonts w:ascii="Times New Roman Bold" w:hAnsi="Times New Roman Bold"/>
          <w:b/>
          <w:caps/>
          <w:sz w:val="24"/>
        </w:rPr>
        <w:t xml:space="preserve"> </w:t>
      </w:r>
      <w:r w:rsidR="00297C84">
        <w:rPr>
          <w:rFonts w:ascii="Times New Roman Bold" w:hAnsi="Times New Roman Bold"/>
          <w:b/>
          <w:caps/>
          <w:sz w:val="24"/>
        </w:rPr>
        <w:t>of</w:t>
      </w:r>
      <w:r>
        <w:rPr>
          <w:rFonts w:ascii="Times New Roman Bold" w:hAnsi="Times New Roman Bold"/>
          <w:b/>
          <w:caps/>
          <w:sz w:val="24"/>
        </w:rPr>
        <w:t xml:space="preserve"> </w:t>
      </w:r>
      <w:r w:rsidR="008734A8">
        <w:rPr>
          <w:rFonts w:ascii="Times New Roman Bold" w:hAnsi="Times New Roman Bold"/>
          <w:b/>
          <w:caps/>
          <w:sz w:val="24"/>
        </w:rPr>
        <w:br/>
      </w:r>
      <w:r>
        <w:rPr>
          <w:rFonts w:ascii="Times New Roman Bold" w:hAnsi="Times New Roman Bold"/>
          <w:b/>
          <w:caps/>
          <w:sz w:val="24"/>
        </w:rPr>
        <w:t>forms 323 and 323-E</w:t>
      </w:r>
    </w:p>
    <w:p w:rsidR="00D47505" w:rsidRPr="00334FE8" w:rsidRDefault="00446B02" w:rsidP="00D47505">
      <w:pPr>
        <w:spacing w:after="240"/>
        <w:jc w:val="center"/>
        <w:rPr>
          <w:i/>
          <w:caps/>
          <w:szCs w:val="22"/>
        </w:rPr>
      </w:pPr>
      <w:r w:rsidRPr="00334FE8">
        <w:rPr>
          <w:i/>
          <w:caps/>
          <w:szCs w:val="22"/>
        </w:rPr>
        <w:t>information session</w:t>
      </w:r>
      <w:r w:rsidR="00C033FD" w:rsidRPr="00334FE8">
        <w:rPr>
          <w:i/>
          <w:caps/>
          <w:szCs w:val="22"/>
        </w:rPr>
        <w:t xml:space="preserve"> </w:t>
      </w:r>
      <w:r w:rsidR="00334FE8">
        <w:rPr>
          <w:i/>
          <w:caps/>
          <w:szCs w:val="22"/>
        </w:rPr>
        <w:t xml:space="preserve">FOR NEW lms forms </w:t>
      </w:r>
      <w:r w:rsidR="00C033FD" w:rsidRPr="00334FE8">
        <w:rPr>
          <w:i/>
          <w:caps/>
          <w:szCs w:val="22"/>
        </w:rPr>
        <w:t>to be held</w:t>
      </w:r>
      <w:r w:rsidRPr="00334FE8">
        <w:rPr>
          <w:i/>
          <w:caps/>
          <w:szCs w:val="22"/>
        </w:rPr>
        <w:t xml:space="preserve"> on november 28, 2017 </w:t>
      </w:r>
    </w:p>
    <w:p w:rsidR="001155CD" w:rsidRDefault="00446B02" w:rsidP="001155CD">
      <w:pPr>
        <w:pStyle w:val="ParaNum"/>
        <w:numPr>
          <w:ilvl w:val="0"/>
          <w:numId w:val="0"/>
        </w:numPr>
        <w:ind w:firstLine="720"/>
      </w:pPr>
      <w:r>
        <w:t>The FCC’s Media Bureau</w:t>
      </w:r>
      <w:r w:rsidR="00C033FD">
        <w:t xml:space="preserve"> (Bureau) </w:t>
      </w:r>
      <w:r w:rsidR="00F624CC">
        <w:t xml:space="preserve">is in the process of migrating </w:t>
      </w:r>
      <w:r w:rsidR="00334FE8">
        <w:t xml:space="preserve">broadcast ownership reporting on FCC </w:t>
      </w:r>
      <w:r w:rsidR="00F624CC">
        <w:t xml:space="preserve">Forms 323 and 323-E from the Consolidated </w:t>
      </w:r>
      <w:r w:rsidR="008734A8">
        <w:t xml:space="preserve">Database </w:t>
      </w:r>
      <w:r w:rsidR="00F624CC">
        <w:t xml:space="preserve">System (CDBS) to the Licensing and Management System (LMS).  As part of this process, the existing </w:t>
      </w:r>
      <w:r w:rsidR="008F7E89">
        <w:t xml:space="preserve">CDBS </w:t>
      </w:r>
      <w:r w:rsidR="00F624CC">
        <w:t>versions</w:t>
      </w:r>
      <w:r w:rsidR="004B50AA">
        <w:t xml:space="preserve"> of</w:t>
      </w:r>
      <w:r w:rsidR="00F624CC">
        <w:t xml:space="preserve"> Forms 323 and </w:t>
      </w:r>
      <w:r w:rsidR="00816F20">
        <w:br/>
      </w:r>
      <w:r w:rsidR="00F624CC">
        <w:t xml:space="preserve">323-E will </w:t>
      </w:r>
      <w:r w:rsidR="00E01E5A">
        <w:t xml:space="preserve">no longer </w:t>
      </w:r>
      <w:r w:rsidR="00F624CC">
        <w:t xml:space="preserve">be </w:t>
      </w:r>
      <w:r w:rsidR="00E01E5A">
        <w:t xml:space="preserve">available as of </w:t>
      </w:r>
      <w:r w:rsidR="004D65BB" w:rsidRPr="004D65BB">
        <w:t xml:space="preserve">11:59 PM on </w:t>
      </w:r>
      <w:r w:rsidR="008F7E89">
        <w:t>November 27, 2017.  Beginning</w:t>
      </w:r>
      <w:r w:rsidR="00F624CC">
        <w:t xml:space="preserve"> November 28, 2017</w:t>
      </w:r>
      <w:r w:rsidR="008F7E89">
        <w:t xml:space="preserve">, filers will no longer be able to launch or submit broadcast ownership reports in CDBS.  </w:t>
      </w:r>
      <w:r w:rsidR="00F624CC" w:rsidRPr="008F7E89">
        <w:t>A</w:t>
      </w:r>
      <w:r w:rsidR="008F7E89" w:rsidRPr="008734A8">
        <w:t>ccordingly,</w:t>
      </w:r>
      <w:r w:rsidR="008F7E89">
        <w:rPr>
          <w:b/>
        </w:rPr>
        <w:t xml:space="preserve"> a</w:t>
      </w:r>
      <w:r w:rsidR="00F624CC" w:rsidRPr="008734A8">
        <w:rPr>
          <w:b/>
        </w:rPr>
        <w:t>ny filer currently working on non-biennial Form 323 or non-biennial Form 323-E f</w:t>
      </w:r>
      <w:r w:rsidR="00E01E5A">
        <w:rPr>
          <w:b/>
        </w:rPr>
        <w:t>i</w:t>
      </w:r>
      <w:r w:rsidR="00F624CC" w:rsidRPr="008734A8">
        <w:rPr>
          <w:b/>
        </w:rPr>
        <w:t>lings in CDBS must complete and submit those filings by November 27, 2017.</w:t>
      </w:r>
      <w:r w:rsidR="004D65BB" w:rsidRPr="00276687">
        <w:rPr>
          <w:rStyle w:val="FootnoteReference"/>
        </w:rPr>
        <w:footnoteReference w:id="2"/>
      </w:r>
      <w:r w:rsidR="006A23E4">
        <w:t xml:space="preserve">  </w:t>
      </w:r>
      <w:r w:rsidR="00E01E5A">
        <w:t xml:space="preserve">Alternatively, filers may wait to prepare any non-biennial ownership reports until </w:t>
      </w:r>
      <w:r w:rsidR="006367BE">
        <w:t xml:space="preserve">after </w:t>
      </w:r>
      <w:r w:rsidR="00E01E5A">
        <w:t>the n</w:t>
      </w:r>
      <w:r w:rsidR="006367BE">
        <w:t xml:space="preserve">ew forms are available in LMS (assuming they are otherwise able to comply with any applicable deadline for filing such non-biennial reports). </w:t>
      </w:r>
    </w:p>
    <w:p w:rsidR="00504EEF" w:rsidRDefault="00E01E5A" w:rsidP="00504EEF">
      <w:pPr>
        <w:pStyle w:val="ParaNum"/>
        <w:widowControl/>
        <w:numPr>
          <w:ilvl w:val="0"/>
          <w:numId w:val="0"/>
        </w:numPr>
        <w:ind w:firstLine="720"/>
      </w:pPr>
      <w:r>
        <w:t>In addition, a</w:t>
      </w:r>
      <w:r w:rsidR="006A23E4">
        <w:t xml:space="preserve">s previously announced, </w:t>
      </w:r>
      <w:r w:rsidR="005F653E">
        <w:t>the Bureau will host a</w:t>
      </w:r>
      <w:r w:rsidR="006A23E4">
        <w:t xml:space="preserve"> public</w:t>
      </w:r>
      <w:r w:rsidR="00504EEF">
        <w:t xml:space="preserve"> information session to </w:t>
      </w:r>
      <w:r w:rsidR="006A23E4">
        <w:t>demonstrate the</w:t>
      </w:r>
      <w:r w:rsidR="006367BE">
        <w:t xml:space="preserve"> new</w:t>
      </w:r>
      <w:r w:rsidR="006A23E4">
        <w:t xml:space="preserve"> LMS versions </w:t>
      </w:r>
      <w:r w:rsidR="00504EEF">
        <w:t>of Forms 323 and 323-E</w:t>
      </w:r>
      <w:r w:rsidR="006A23E4">
        <w:t xml:space="preserve"> on </w:t>
      </w:r>
      <w:r w:rsidR="006A23E4">
        <w:rPr>
          <w:b/>
        </w:rPr>
        <w:t>Tuesday, November 28, 2017</w:t>
      </w:r>
      <w:r w:rsidR="00504EEF" w:rsidRPr="006367BE">
        <w:t>.</w:t>
      </w:r>
      <w:r w:rsidR="00504EEF" w:rsidRPr="00265080">
        <w:rPr>
          <w:rStyle w:val="FootnoteReference"/>
        </w:rPr>
        <w:footnoteReference w:id="3"/>
      </w:r>
      <w:r w:rsidR="00504EEF" w:rsidRPr="00265080">
        <w:t xml:space="preserve">  </w:t>
      </w:r>
      <w:r w:rsidR="006367BE" w:rsidRPr="00265080">
        <w:t>Th</w:t>
      </w:r>
      <w:r w:rsidR="006367BE">
        <w:t xml:space="preserve">is information session will prepare broadcast licensees for the upcoming opening of the filing window for biennial ownership reports on December 1, 2017.  </w:t>
      </w:r>
      <w:r w:rsidR="00504EEF" w:rsidRPr="00FC3FEB">
        <w:t xml:space="preserve">The </w:t>
      </w:r>
      <w:r w:rsidR="00504EEF">
        <w:t>session</w:t>
      </w:r>
      <w:r w:rsidR="00504EEF" w:rsidRPr="00FC3FEB">
        <w:t xml:space="preserve"> </w:t>
      </w:r>
      <w:r w:rsidR="00504EEF">
        <w:t xml:space="preserve">will take place in the Commission Meeting Room </w:t>
      </w:r>
      <w:r w:rsidR="00504EEF" w:rsidRPr="00FC3FEB">
        <w:t>at FCC Headquarters, 445 12th Street</w:t>
      </w:r>
      <w:r w:rsidR="00504EEF">
        <w:t>,</w:t>
      </w:r>
      <w:r w:rsidR="00504EEF" w:rsidRPr="00FC3FEB">
        <w:t xml:space="preserve"> SW, Washington DC, 20554</w:t>
      </w:r>
      <w:r w:rsidR="00504EEF">
        <w:t xml:space="preserve">.  The session will be held from 1:00 pm to 3:30 pm, and those wishing to attend in person are asked to register by sending an e-mail to </w:t>
      </w:r>
      <w:hyperlink r:id="rId8" w:history="1">
        <w:r w:rsidR="00504EEF" w:rsidRPr="000701C7">
          <w:rPr>
            <w:rStyle w:val="Hyperlink"/>
          </w:rPr>
          <w:t>form323@fcc.gov</w:t>
        </w:r>
      </w:hyperlink>
      <w:r w:rsidR="00504EEF">
        <w:t xml:space="preserve"> no later than November 22, 2017.  Pre-registration will help the Commission prepare for the session, but nevertheless, even those that do not register in advance </w:t>
      </w:r>
      <w:r>
        <w:t xml:space="preserve">are </w:t>
      </w:r>
      <w:r w:rsidR="00504EEF">
        <w:t xml:space="preserve">still </w:t>
      </w:r>
      <w:r>
        <w:t xml:space="preserve">welcome to </w:t>
      </w:r>
      <w:r w:rsidR="00504EEF">
        <w:t xml:space="preserve">attend.   </w:t>
      </w:r>
    </w:p>
    <w:p w:rsidR="00504EEF" w:rsidRDefault="00504EEF" w:rsidP="00504EEF">
      <w:pPr>
        <w:pStyle w:val="ParaNum"/>
        <w:widowControl/>
        <w:numPr>
          <w:ilvl w:val="0"/>
          <w:numId w:val="0"/>
        </w:numPr>
        <w:ind w:firstLine="720"/>
      </w:pPr>
      <w:r>
        <w:t xml:space="preserve">The information session will be </w:t>
      </w:r>
      <w:r w:rsidRPr="00DA1F41">
        <w:t>broadcast live with open captioning from the FCC</w:t>
      </w:r>
      <w:r>
        <w:t>’</w:t>
      </w:r>
      <w:r w:rsidRPr="00DA1F41">
        <w:t xml:space="preserve">s </w:t>
      </w:r>
      <w:r w:rsidRPr="00AD718B">
        <w:rPr>
          <w:color w:val="000000"/>
        </w:rPr>
        <w:t>web</w:t>
      </w:r>
      <w:r w:rsidRPr="00DA1F41">
        <w:t xml:space="preserve"> page at </w:t>
      </w:r>
      <w:hyperlink r:id="rId9" w:history="1">
        <w:r w:rsidRPr="00E52A7A">
          <w:rPr>
            <w:rStyle w:val="Hyperlink"/>
          </w:rPr>
          <w:t>https://www.fcc.gov/general/live</w:t>
        </w:r>
      </w:hyperlink>
      <w:r w:rsidRPr="00DA1F41">
        <w:t xml:space="preserve">.  </w:t>
      </w:r>
      <w:r>
        <w:t xml:space="preserve">Those that cannot attend or view the live broadcast can view the webcast at a later date at </w:t>
      </w:r>
      <w:hyperlink r:id="rId10" w:history="1">
        <w:r w:rsidRPr="00E52A7A">
          <w:rPr>
            <w:rStyle w:val="Hyperlink"/>
          </w:rPr>
          <w:t>https://www.fcc.gov/media/ownership-report-commercial-broadcast-station-form-323</w:t>
        </w:r>
      </w:hyperlink>
      <w:r>
        <w:t xml:space="preserve">.  </w:t>
      </w: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11" w:history="1">
        <w:r w:rsidRPr="00DA1F41">
          <w:rPr>
            <w:color w:val="0000FF"/>
            <w:u w:val="single"/>
          </w:rPr>
          <w:t>fcc504@fcc.gov</w:t>
        </w:r>
      </w:hyperlink>
      <w:r w:rsidRPr="00DA1F41">
        <w:t xml:space="preserve"> or </w:t>
      </w:r>
      <w:r>
        <w:t>contact</w:t>
      </w:r>
      <w:r w:rsidRPr="00DA1F41">
        <w:t xml:space="preserve"> the Consumer &amp; Governmental Affairs Bureau</w:t>
      </w:r>
      <w:r>
        <w:t xml:space="preserve"> at</w:t>
      </w:r>
      <w:r w:rsidRPr="00DA1F41">
        <w:t xml:space="preserve"> </w:t>
      </w:r>
      <w:r>
        <w:t>(</w:t>
      </w:r>
      <w:r w:rsidRPr="00DA1F41">
        <w:t>202</w:t>
      </w:r>
      <w:r>
        <w:t xml:space="preserve">) </w:t>
      </w:r>
      <w:r w:rsidRPr="00DA1F41">
        <w:t>418-0530 (voice)</w:t>
      </w:r>
      <w:r>
        <w:t xml:space="preserve"> or</w:t>
      </w:r>
      <w:r w:rsidRPr="00DA1F41">
        <w:t xml:space="preserve"> </w:t>
      </w:r>
      <w:r>
        <w:t>(</w:t>
      </w:r>
      <w:r w:rsidRPr="00DA1F41">
        <w:t>202</w:t>
      </w:r>
      <w:r>
        <w:t xml:space="preserve">) </w:t>
      </w:r>
      <w:r w:rsidRPr="00DA1F41">
        <w:t>418-0432 (TTY).</w:t>
      </w:r>
    </w:p>
    <w:p w:rsidR="005F653E" w:rsidRPr="00DA1F41" w:rsidRDefault="005F653E" w:rsidP="00A93D11">
      <w:pPr>
        <w:pStyle w:val="ParaNum"/>
        <w:keepNext/>
        <w:widowControl/>
        <w:numPr>
          <w:ilvl w:val="0"/>
          <w:numId w:val="0"/>
        </w:numPr>
        <w:ind w:firstLine="720"/>
      </w:pPr>
      <w:r w:rsidRPr="00DA1F41">
        <w:lastRenderedPageBreak/>
        <w:t xml:space="preserve">For additional </w:t>
      </w:r>
      <w:r w:rsidRPr="00AD718B">
        <w:rPr>
          <w:color w:val="000000"/>
        </w:rPr>
        <w:t>information</w:t>
      </w:r>
      <w:r w:rsidRPr="00DA1F41">
        <w:t>, please contact</w:t>
      </w:r>
      <w:r>
        <w:t xml:space="preserve"> Jessica L. Campbell of the Bureau’s Industry Analysis Division at (202) 418-3609 or send an e-mail to </w:t>
      </w:r>
      <w:hyperlink r:id="rId12" w:history="1">
        <w:r w:rsidRPr="000701C7">
          <w:rPr>
            <w:rStyle w:val="Hyperlink"/>
          </w:rPr>
          <w:t>form323@fcc.gov</w:t>
        </w:r>
      </w:hyperlink>
      <w:r>
        <w:t xml:space="preserve">.  </w:t>
      </w:r>
    </w:p>
    <w:p w:rsidR="005F653E" w:rsidRPr="00DA1F41" w:rsidRDefault="005F653E" w:rsidP="00A93D11">
      <w:pPr>
        <w:keepNext/>
        <w:widowControl/>
      </w:pPr>
    </w:p>
    <w:p w:rsidR="006A1F49" w:rsidRPr="001C077F" w:rsidRDefault="005F653E" w:rsidP="00265080">
      <w:pPr>
        <w:keepNext/>
        <w:widowControl/>
        <w:jc w:val="center"/>
      </w:pPr>
      <w:r w:rsidRPr="00DA1F41">
        <w:rPr>
          <w:b/>
        </w:rPr>
        <w:t>-FCC-</w:t>
      </w:r>
    </w:p>
    <w:sectPr w:rsidR="006A1F49" w:rsidRPr="001C077F"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82" w:rsidRDefault="009A1C82">
      <w:pPr>
        <w:spacing w:line="20" w:lineRule="exact"/>
      </w:pPr>
    </w:p>
  </w:endnote>
  <w:endnote w:type="continuationSeparator" w:id="0">
    <w:p w:rsidR="009A1C82" w:rsidRDefault="009A1C82">
      <w:r>
        <w:t xml:space="preserve"> </w:t>
      </w:r>
    </w:p>
  </w:endnote>
  <w:endnote w:type="continuationNotice" w:id="1">
    <w:p w:rsidR="009A1C82" w:rsidRDefault="009A1C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67C4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82" w:rsidRDefault="009A1C82">
      <w:r>
        <w:separator/>
      </w:r>
    </w:p>
  </w:footnote>
  <w:footnote w:type="continuationSeparator" w:id="0">
    <w:p w:rsidR="009A1C82" w:rsidRDefault="009A1C82" w:rsidP="00C721AC">
      <w:pPr>
        <w:spacing w:before="120"/>
        <w:rPr>
          <w:sz w:val="20"/>
        </w:rPr>
      </w:pPr>
      <w:r>
        <w:rPr>
          <w:sz w:val="20"/>
        </w:rPr>
        <w:t xml:space="preserve">(Continued from previous page)  </w:t>
      </w:r>
      <w:r>
        <w:rPr>
          <w:sz w:val="20"/>
        </w:rPr>
        <w:separator/>
      </w:r>
    </w:p>
  </w:footnote>
  <w:footnote w:type="continuationNotice" w:id="1">
    <w:p w:rsidR="009A1C82" w:rsidRDefault="009A1C82" w:rsidP="00C721AC">
      <w:pPr>
        <w:jc w:val="right"/>
        <w:rPr>
          <w:sz w:val="20"/>
        </w:rPr>
      </w:pPr>
      <w:r>
        <w:rPr>
          <w:sz w:val="20"/>
        </w:rPr>
        <w:t>(continued….)</w:t>
      </w:r>
    </w:p>
  </w:footnote>
  <w:footnote w:id="2">
    <w:p w:rsidR="004D65BB" w:rsidRDefault="004D65BB">
      <w:pPr>
        <w:pStyle w:val="FootnoteText"/>
      </w:pPr>
      <w:r>
        <w:rPr>
          <w:rStyle w:val="FootnoteReference"/>
        </w:rPr>
        <w:footnoteRef/>
      </w:r>
      <w:r>
        <w:t xml:space="preserve"> </w:t>
      </w:r>
      <w:r w:rsidR="00CD67B0">
        <w:t>The 2017</w:t>
      </w:r>
      <w:r>
        <w:t xml:space="preserve"> filing window for </w:t>
      </w:r>
      <w:r w:rsidR="00CD67B0">
        <w:t xml:space="preserve">biennial ownership </w:t>
      </w:r>
      <w:r>
        <w:t>reports will commence on December 1, 2017 via the new LMS filing system.</w:t>
      </w:r>
    </w:p>
  </w:footnote>
  <w:footnote w:id="3">
    <w:p w:rsidR="00504EEF" w:rsidRPr="00D744F6" w:rsidRDefault="00504EEF" w:rsidP="00504EEF">
      <w:pPr>
        <w:pStyle w:val="FootnoteText"/>
      </w:pPr>
      <w:r>
        <w:rPr>
          <w:rStyle w:val="FootnoteReference"/>
        </w:rPr>
        <w:footnoteRef/>
      </w:r>
      <w:r>
        <w:t xml:space="preserve"> </w:t>
      </w:r>
      <w:r>
        <w:rPr>
          <w:i/>
        </w:rPr>
        <w:t>Media Bureau Announces Nov. 28, 2017 Information Session on Filing of Biennial Form 323 and 323-E</w:t>
      </w:r>
      <w:r>
        <w:t>, Public Notice, DA 17-1061 (MB Oct. 30,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BF" w:rsidRDefault="00014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BF" w:rsidRDefault="00014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94D6C8F" wp14:editId="7A4A62B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D6C8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2BB0717" wp14:editId="2C0BBEC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59A254FF" wp14:editId="43A394C7">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882A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58F5D79" wp14:editId="1801DA3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67C48">
                            <w:rPr>
                              <w:rFonts w:ascii="Arial" w:hAnsi="Arial"/>
                              <w:b/>
                              <w:sz w:val="16"/>
                            </w:rPr>
                            <w:instrText>HYPERLINK "https://www.fcc.gov/"</w:instrText>
                          </w:r>
                          <w:r w:rsidR="00B67C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67C48">
                      <w:rPr>
                        <w:rFonts w:ascii="Arial" w:hAnsi="Arial"/>
                        <w:b/>
                        <w:sz w:val="16"/>
                      </w:rPr>
                      <w:instrText>HYPERLINK "https://www.fcc.gov/"</w:instrText>
                    </w:r>
                    <w:r w:rsidR="00B67C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D7"/>
    <w:rsid w:val="00014FBF"/>
    <w:rsid w:val="00036039"/>
    <w:rsid w:val="00037F90"/>
    <w:rsid w:val="000875BF"/>
    <w:rsid w:val="00096D8C"/>
    <w:rsid w:val="000C0B65"/>
    <w:rsid w:val="000C33DC"/>
    <w:rsid w:val="000E05FE"/>
    <w:rsid w:val="000E3D42"/>
    <w:rsid w:val="001155CD"/>
    <w:rsid w:val="00122BD5"/>
    <w:rsid w:val="00133F79"/>
    <w:rsid w:val="00194A66"/>
    <w:rsid w:val="001C077F"/>
    <w:rsid w:val="001D6BCF"/>
    <w:rsid w:val="001E01CA"/>
    <w:rsid w:val="00265080"/>
    <w:rsid w:val="00275CF5"/>
    <w:rsid w:val="00276687"/>
    <w:rsid w:val="0028301F"/>
    <w:rsid w:val="00285017"/>
    <w:rsid w:val="00297C84"/>
    <w:rsid w:val="002A2D2E"/>
    <w:rsid w:val="002A6FBA"/>
    <w:rsid w:val="002C00E8"/>
    <w:rsid w:val="00334FE8"/>
    <w:rsid w:val="00343749"/>
    <w:rsid w:val="003660ED"/>
    <w:rsid w:val="003807CE"/>
    <w:rsid w:val="003B0550"/>
    <w:rsid w:val="003B694F"/>
    <w:rsid w:val="003F171C"/>
    <w:rsid w:val="00412FC5"/>
    <w:rsid w:val="00422276"/>
    <w:rsid w:val="004242F1"/>
    <w:rsid w:val="00441FD7"/>
    <w:rsid w:val="00445A00"/>
    <w:rsid w:val="00446B02"/>
    <w:rsid w:val="00451B0F"/>
    <w:rsid w:val="00486158"/>
    <w:rsid w:val="004B50AA"/>
    <w:rsid w:val="004C2EE3"/>
    <w:rsid w:val="004D65BB"/>
    <w:rsid w:val="004E4A22"/>
    <w:rsid w:val="00504EEF"/>
    <w:rsid w:val="00511968"/>
    <w:rsid w:val="0055614C"/>
    <w:rsid w:val="00570533"/>
    <w:rsid w:val="005B116B"/>
    <w:rsid w:val="005E14C2"/>
    <w:rsid w:val="005F653E"/>
    <w:rsid w:val="00607BA5"/>
    <w:rsid w:val="0061180A"/>
    <w:rsid w:val="00626EB6"/>
    <w:rsid w:val="006275B2"/>
    <w:rsid w:val="006367BE"/>
    <w:rsid w:val="00655D03"/>
    <w:rsid w:val="006650D2"/>
    <w:rsid w:val="00683388"/>
    <w:rsid w:val="00683F84"/>
    <w:rsid w:val="006A1F49"/>
    <w:rsid w:val="006A23E4"/>
    <w:rsid w:val="006A2CA9"/>
    <w:rsid w:val="006A6A81"/>
    <w:rsid w:val="006B1456"/>
    <w:rsid w:val="006B7AAF"/>
    <w:rsid w:val="006F7393"/>
    <w:rsid w:val="0070224F"/>
    <w:rsid w:val="007115F7"/>
    <w:rsid w:val="00731BFC"/>
    <w:rsid w:val="00785689"/>
    <w:rsid w:val="0079754B"/>
    <w:rsid w:val="007A1E6D"/>
    <w:rsid w:val="007B0EB2"/>
    <w:rsid w:val="007F413A"/>
    <w:rsid w:val="00810B6F"/>
    <w:rsid w:val="00816F20"/>
    <w:rsid w:val="00822CE0"/>
    <w:rsid w:val="00841AB1"/>
    <w:rsid w:val="008734A8"/>
    <w:rsid w:val="008A4BE5"/>
    <w:rsid w:val="008C68F1"/>
    <w:rsid w:val="008F7E89"/>
    <w:rsid w:val="00921803"/>
    <w:rsid w:val="00926503"/>
    <w:rsid w:val="009726D8"/>
    <w:rsid w:val="009A1C82"/>
    <w:rsid w:val="009F76DB"/>
    <w:rsid w:val="00A32C3B"/>
    <w:rsid w:val="00A45F4F"/>
    <w:rsid w:val="00A600A9"/>
    <w:rsid w:val="00A93D11"/>
    <w:rsid w:val="00AA55B7"/>
    <w:rsid w:val="00AA5B9E"/>
    <w:rsid w:val="00AB2407"/>
    <w:rsid w:val="00AB53DF"/>
    <w:rsid w:val="00AC424B"/>
    <w:rsid w:val="00AF46DC"/>
    <w:rsid w:val="00B07E5C"/>
    <w:rsid w:val="00B20363"/>
    <w:rsid w:val="00B338A9"/>
    <w:rsid w:val="00B679AB"/>
    <w:rsid w:val="00B67C48"/>
    <w:rsid w:val="00B76DB8"/>
    <w:rsid w:val="00B811F7"/>
    <w:rsid w:val="00BA5DC6"/>
    <w:rsid w:val="00BA6196"/>
    <w:rsid w:val="00BC6D8C"/>
    <w:rsid w:val="00C033FD"/>
    <w:rsid w:val="00C34006"/>
    <w:rsid w:val="00C426B1"/>
    <w:rsid w:val="00C51164"/>
    <w:rsid w:val="00C66160"/>
    <w:rsid w:val="00C70196"/>
    <w:rsid w:val="00C721AC"/>
    <w:rsid w:val="00C90D6A"/>
    <w:rsid w:val="00CA247E"/>
    <w:rsid w:val="00CC72B6"/>
    <w:rsid w:val="00CC776F"/>
    <w:rsid w:val="00CD67B0"/>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1E5A"/>
    <w:rsid w:val="00E07225"/>
    <w:rsid w:val="00E5409F"/>
    <w:rsid w:val="00EB4ACC"/>
    <w:rsid w:val="00EE6488"/>
    <w:rsid w:val="00F021FA"/>
    <w:rsid w:val="00F624CC"/>
    <w:rsid w:val="00F62E97"/>
    <w:rsid w:val="00F64209"/>
    <w:rsid w:val="00F752EE"/>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uiPriority w:val="99"/>
    <w:rsid w:val="00504EEF"/>
  </w:style>
  <w:style w:type="character" w:customStyle="1" w:styleId="ParaNumChar1">
    <w:name w:val="ParaNum Char1"/>
    <w:link w:val="ParaNum"/>
    <w:rsid w:val="00504EEF"/>
    <w:rPr>
      <w:snapToGrid w:val="0"/>
      <w:kern w:val="28"/>
      <w:sz w:val="22"/>
    </w:rPr>
  </w:style>
  <w:style w:type="character" w:customStyle="1" w:styleId="UnresolvedMention1">
    <w:name w:val="Unresolved Mention1"/>
    <w:basedOn w:val="DefaultParagraphFont"/>
    <w:uiPriority w:val="99"/>
    <w:semiHidden/>
    <w:unhideWhenUsed/>
    <w:rsid w:val="005F653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uiPriority w:val="99"/>
    <w:rsid w:val="00504EEF"/>
  </w:style>
  <w:style w:type="character" w:customStyle="1" w:styleId="ParaNumChar1">
    <w:name w:val="ParaNum Char1"/>
    <w:link w:val="ParaNum"/>
    <w:rsid w:val="00504EEF"/>
    <w:rPr>
      <w:snapToGrid w:val="0"/>
      <w:kern w:val="28"/>
      <w:sz w:val="22"/>
    </w:rPr>
  </w:style>
  <w:style w:type="character" w:customStyle="1" w:styleId="UnresolvedMention1">
    <w:name w:val="Unresolved Mention1"/>
    <w:basedOn w:val="DefaultParagraphFont"/>
    <w:uiPriority w:val="99"/>
    <w:semiHidden/>
    <w:unhideWhenUsed/>
    <w:rsid w:val="005F65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323@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rm323@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media/ownership-report-commercial-broadcast-station-form-3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general/liv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430</Words>
  <Characters>2368</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2017-11-16T18:07:00Z</dcterms:created>
  <dcterms:modified xsi:type="dcterms:W3CDTF">2017-11-16T18:07:00Z</dcterms:modified>
  <cp:category> </cp:category>
  <cp:contentStatus> </cp:contentStatus>
</cp:coreProperties>
</file>