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AB2" w:rsidRPr="00144AB2" w:rsidRDefault="00144AB2" w:rsidP="00144AB2">
      <w:pPr>
        <w:jc w:val="right"/>
        <w:rPr>
          <w:b/>
          <w:szCs w:val="22"/>
        </w:rPr>
      </w:pPr>
      <w:bookmarkStart w:id="0" w:name="_GoBack"/>
      <w:bookmarkEnd w:id="0"/>
      <w:r w:rsidRPr="00144AB2">
        <w:rPr>
          <w:b/>
          <w:szCs w:val="22"/>
        </w:rPr>
        <w:t>DA 17-</w:t>
      </w:r>
      <w:r w:rsidR="00194D41" w:rsidRPr="00194D41">
        <w:t xml:space="preserve"> </w:t>
      </w:r>
      <w:r w:rsidR="00194D41" w:rsidRPr="00194D41">
        <w:rPr>
          <w:b/>
          <w:szCs w:val="22"/>
        </w:rPr>
        <w:t>1120</w:t>
      </w:r>
    </w:p>
    <w:p w:rsidR="00144AB2" w:rsidRPr="00144AB2" w:rsidRDefault="00144AB2" w:rsidP="00144AB2">
      <w:pPr>
        <w:spacing w:before="60"/>
        <w:jc w:val="right"/>
        <w:rPr>
          <w:b/>
          <w:szCs w:val="22"/>
        </w:rPr>
      </w:pPr>
      <w:r w:rsidRPr="00144AB2">
        <w:rPr>
          <w:b/>
          <w:szCs w:val="22"/>
        </w:rPr>
        <w:t xml:space="preserve">November </w:t>
      </w:r>
      <w:r w:rsidR="00126245">
        <w:rPr>
          <w:b/>
          <w:szCs w:val="22"/>
        </w:rPr>
        <w:t>17</w:t>
      </w:r>
      <w:r w:rsidRPr="00144AB2">
        <w:rPr>
          <w:b/>
          <w:szCs w:val="22"/>
        </w:rPr>
        <w:t>, 2017</w:t>
      </w:r>
    </w:p>
    <w:p w:rsidR="00144AB2" w:rsidRPr="00B10B07" w:rsidRDefault="00144AB2" w:rsidP="00144AB2">
      <w:pPr>
        <w:jc w:val="right"/>
        <w:rPr>
          <w:szCs w:val="22"/>
        </w:rPr>
      </w:pPr>
    </w:p>
    <w:p w:rsidR="00144AB2" w:rsidRPr="00B10B07" w:rsidRDefault="00144AB2" w:rsidP="00144AB2">
      <w:pPr>
        <w:spacing w:after="240"/>
        <w:jc w:val="center"/>
        <w:rPr>
          <w:b/>
          <w:szCs w:val="22"/>
        </w:rPr>
      </w:pPr>
      <w:bookmarkStart w:id="1" w:name="_Hlk498674442"/>
      <w:r w:rsidRPr="00B10B07">
        <w:rPr>
          <w:b/>
          <w:szCs w:val="22"/>
        </w:rPr>
        <w:t>PUBLIC SAFETY AND HOMELAND SECURITY BUREAU ACCEPTS 800 MHZ TRANSITION ADMINISTRATOR’S RECOMMENDATION WITH CHANGES PROPOSED BY SPRINT FOR ESTABLISHING A DIVIDING LINE FOR ENHANCED SPECIALIZED MOBILE RADIO (ESMR) SYSTEMS</w:t>
      </w:r>
      <w:r>
        <w:rPr>
          <w:b/>
          <w:szCs w:val="22"/>
        </w:rPr>
        <w:t xml:space="preserve"> IN CANADA BORDER REGIONS 1 TH</w:t>
      </w:r>
      <w:r w:rsidR="00194D41">
        <w:rPr>
          <w:b/>
          <w:szCs w:val="22"/>
        </w:rPr>
        <w:t>R</w:t>
      </w:r>
      <w:r>
        <w:rPr>
          <w:b/>
          <w:szCs w:val="22"/>
        </w:rPr>
        <w:t>OUGH 6</w:t>
      </w:r>
    </w:p>
    <w:bookmarkEnd w:id="1"/>
    <w:p w:rsidR="00144AB2" w:rsidRPr="00B10B07" w:rsidRDefault="00144AB2" w:rsidP="00144AB2">
      <w:pPr>
        <w:spacing w:after="240"/>
        <w:jc w:val="center"/>
        <w:rPr>
          <w:szCs w:val="22"/>
        </w:rPr>
      </w:pPr>
      <w:r>
        <w:rPr>
          <w:b/>
          <w:szCs w:val="22"/>
        </w:rPr>
        <w:t>WT</w:t>
      </w:r>
      <w:r w:rsidRPr="00B10B07">
        <w:rPr>
          <w:b/>
          <w:szCs w:val="22"/>
        </w:rPr>
        <w:t xml:space="preserve"> Docket 02-55</w:t>
      </w:r>
    </w:p>
    <w:p w:rsidR="00144AB2" w:rsidRDefault="00144AB2" w:rsidP="00144AB2">
      <w:pPr>
        <w:ind w:firstLine="720"/>
        <w:rPr>
          <w:szCs w:val="22"/>
        </w:rPr>
      </w:pPr>
      <w:r w:rsidRPr="00B10B07">
        <w:rPr>
          <w:szCs w:val="22"/>
        </w:rPr>
        <w:t>By this Public Notice, the Public Safety and Homeland Security Bureau (Bureau)</w:t>
      </w:r>
      <w:r>
        <w:rPr>
          <w:szCs w:val="22"/>
        </w:rPr>
        <w:t xml:space="preserve"> announces the </w:t>
      </w:r>
      <w:r w:rsidRPr="00B10B07">
        <w:rPr>
          <w:szCs w:val="22"/>
        </w:rPr>
        <w:t xml:space="preserve">Enhanced Specialized Mobile Radio (ESMR) </w:t>
      </w:r>
      <w:r>
        <w:rPr>
          <w:szCs w:val="22"/>
        </w:rPr>
        <w:t xml:space="preserve">dividing line in the 800 MHz band for Canada Border Regions (CBR) 1 through 6.  The dividing line for each border region is listed in Appendix II.  </w:t>
      </w:r>
    </w:p>
    <w:p w:rsidR="00144AB2" w:rsidRPr="00B10B07" w:rsidRDefault="00144AB2" w:rsidP="00144AB2">
      <w:pPr>
        <w:ind w:firstLine="720"/>
        <w:rPr>
          <w:szCs w:val="22"/>
        </w:rPr>
      </w:pPr>
    </w:p>
    <w:p w:rsidR="00144AB2" w:rsidRDefault="00144AB2" w:rsidP="00144AB2">
      <w:pPr>
        <w:rPr>
          <w:szCs w:val="22"/>
        </w:rPr>
      </w:pPr>
      <w:r>
        <w:rPr>
          <w:szCs w:val="22"/>
        </w:rPr>
        <w:t xml:space="preserve"> </w:t>
      </w:r>
      <w:r>
        <w:rPr>
          <w:szCs w:val="22"/>
        </w:rPr>
        <w:tab/>
      </w:r>
      <w:r w:rsidRPr="00B10B07">
        <w:rPr>
          <w:szCs w:val="22"/>
        </w:rPr>
        <w:t xml:space="preserve">In 2008, the </w:t>
      </w:r>
      <w:r>
        <w:rPr>
          <w:szCs w:val="22"/>
        </w:rPr>
        <w:t>Bureau released a Report and Order</w:t>
      </w:r>
      <w:r w:rsidRPr="00B10B07">
        <w:rPr>
          <w:rStyle w:val="FootnoteReference"/>
          <w:szCs w:val="22"/>
        </w:rPr>
        <w:footnoteReference w:id="1"/>
      </w:r>
      <w:r w:rsidRPr="00B10B07">
        <w:rPr>
          <w:szCs w:val="22"/>
        </w:rPr>
        <w:t xml:space="preserve"> establish</w:t>
      </w:r>
      <w:r>
        <w:rPr>
          <w:szCs w:val="22"/>
        </w:rPr>
        <w:t xml:space="preserve">ing </w:t>
      </w:r>
      <w:r w:rsidRPr="00B10B07">
        <w:rPr>
          <w:szCs w:val="22"/>
        </w:rPr>
        <w:t xml:space="preserve">a </w:t>
      </w:r>
      <w:r>
        <w:rPr>
          <w:szCs w:val="22"/>
        </w:rPr>
        <w:t xml:space="preserve">post reconfiguration band plan in the </w:t>
      </w:r>
      <w:r w:rsidRPr="00B10B07">
        <w:rPr>
          <w:szCs w:val="22"/>
        </w:rPr>
        <w:t xml:space="preserve">800 MHz band </w:t>
      </w:r>
      <w:r>
        <w:rPr>
          <w:szCs w:val="22"/>
        </w:rPr>
        <w:t>for licenses operating in the CBR.</w:t>
      </w:r>
      <w:r w:rsidRPr="00B10B07">
        <w:rPr>
          <w:szCs w:val="22"/>
        </w:rPr>
        <w:t xml:space="preserve"> </w:t>
      </w:r>
      <w:r>
        <w:rPr>
          <w:szCs w:val="22"/>
        </w:rPr>
        <w:t xml:space="preserve"> The CBRs encompass the geographic area in the U.S. within 140 kilometers (87 miles) of the border with Canada and are divided into eight regions as detailed in Attachment I.</w:t>
      </w:r>
      <w:r>
        <w:rPr>
          <w:rStyle w:val="FootnoteReference"/>
          <w:szCs w:val="22"/>
        </w:rPr>
        <w:footnoteReference w:id="2"/>
      </w:r>
      <w:r>
        <w:rPr>
          <w:szCs w:val="22"/>
        </w:rPr>
        <w:t xml:space="preserve">  </w:t>
      </w:r>
    </w:p>
    <w:p w:rsidR="00144AB2" w:rsidRDefault="00144AB2" w:rsidP="00144AB2">
      <w:pPr>
        <w:rPr>
          <w:szCs w:val="22"/>
        </w:rPr>
      </w:pPr>
    </w:p>
    <w:p w:rsidR="00144AB2" w:rsidRDefault="00144AB2" w:rsidP="00144AB2">
      <w:pPr>
        <w:ind w:firstLine="720"/>
        <w:rPr>
          <w:szCs w:val="22"/>
        </w:rPr>
      </w:pPr>
      <w:r>
        <w:rPr>
          <w:szCs w:val="22"/>
        </w:rPr>
        <w:t xml:space="preserve">In the </w:t>
      </w:r>
      <w:r w:rsidRPr="009B4FBE">
        <w:rPr>
          <w:i/>
          <w:szCs w:val="22"/>
        </w:rPr>
        <w:t>800 MHz 2</w:t>
      </w:r>
      <w:r w:rsidRPr="009B4FBE">
        <w:rPr>
          <w:i/>
          <w:szCs w:val="22"/>
          <w:vertAlign w:val="superscript"/>
        </w:rPr>
        <w:t>nd</w:t>
      </w:r>
      <w:r w:rsidRPr="009B4FBE">
        <w:rPr>
          <w:i/>
          <w:szCs w:val="22"/>
        </w:rPr>
        <w:t xml:space="preserve"> R&amp;O</w:t>
      </w:r>
      <w:r>
        <w:rPr>
          <w:szCs w:val="22"/>
        </w:rPr>
        <w:t>, t</w:t>
      </w:r>
      <w:r w:rsidRPr="00B10B07">
        <w:rPr>
          <w:szCs w:val="22"/>
        </w:rPr>
        <w:t xml:space="preserve">he Bureau directed the 800 MHz Transition Administrator (TA) to </w:t>
      </w:r>
      <w:r>
        <w:rPr>
          <w:szCs w:val="22"/>
        </w:rPr>
        <w:t>assign post-reconfiguration replacement channels to border area licensees.</w:t>
      </w:r>
      <w:r>
        <w:rPr>
          <w:rStyle w:val="FootnoteReference"/>
          <w:szCs w:val="22"/>
        </w:rPr>
        <w:footnoteReference w:id="3"/>
      </w:r>
      <w:r>
        <w:rPr>
          <w:szCs w:val="22"/>
        </w:rPr>
        <w:t xml:space="preserve">  Specifically, the Bureau instructed the TA to </w:t>
      </w:r>
      <w:r w:rsidRPr="00B10B07">
        <w:rPr>
          <w:szCs w:val="22"/>
        </w:rPr>
        <w:t xml:space="preserve">separate ESMR systems from non-ESMR systems </w:t>
      </w:r>
      <w:r>
        <w:rPr>
          <w:szCs w:val="22"/>
        </w:rPr>
        <w:t>in the CBRs by assigning</w:t>
      </w:r>
      <w:r w:rsidRPr="00B10B07">
        <w:rPr>
          <w:szCs w:val="22"/>
        </w:rPr>
        <w:t xml:space="preserve"> non-ESMR licensees </w:t>
      </w:r>
      <w:r>
        <w:rPr>
          <w:szCs w:val="22"/>
        </w:rPr>
        <w:t xml:space="preserve">to </w:t>
      </w:r>
      <w:r w:rsidRPr="00B10B07">
        <w:rPr>
          <w:szCs w:val="22"/>
        </w:rPr>
        <w:t xml:space="preserve">replacement channels in the lower </w:t>
      </w:r>
      <w:r>
        <w:rPr>
          <w:szCs w:val="22"/>
        </w:rPr>
        <w:t xml:space="preserve">segment </w:t>
      </w:r>
      <w:r w:rsidRPr="00B10B07">
        <w:rPr>
          <w:szCs w:val="22"/>
        </w:rPr>
        <w:t xml:space="preserve">of the </w:t>
      </w:r>
      <w:r>
        <w:rPr>
          <w:szCs w:val="22"/>
        </w:rPr>
        <w:t>800 MHz band</w:t>
      </w:r>
      <w:r w:rsidRPr="00B10B07">
        <w:rPr>
          <w:szCs w:val="22"/>
        </w:rPr>
        <w:t xml:space="preserve"> </w:t>
      </w:r>
      <w:r>
        <w:rPr>
          <w:szCs w:val="22"/>
        </w:rPr>
        <w:t xml:space="preserve">while maintaining </w:t>
      </w:r>
      <w:r w:rsidRPr="00B10B07">
        <w:rPr>
          <w:szCs w:val="22"/>
        </w:rPr>
        <w:t xml:space="preserve">the </w:t>
      </w:r>
      <w:r>
        <w:rPr>
          <w:szCs w:val="22"/>
        </w:rPr>
        <w:t>upper portion of the band for licensees operating</w:t>
      </w:r>
      <w:r w:rsidRPr="00B10B07">
        <w:rPr>
          <w:szCs w:val="22"/>
        </w:rPr>
        <w:t xml:space="preserve"> ESMR </w:t>
      </w:r>
      <w:r>
        <w:rPr>
          <w:szCs w:val="22"/>
        </w:rPr>
        <w:t>systems</w:t>
      </w:r>
      <w:r w:rsidRPr="00B10B07">
        <w:rPr>
          <w:szCs w:val="22"/>
        </w:rPr>
        <w:t>.</w:t>
      </w:r>
      <w:r>
        <w:rPr>
          <w:rStyle w:val="FootnoteReference"/>
          <w:szCs w:val="22"/>
        </w:rPr>
        <w:footnoteReference w:id="4"/>
      </w:r>
      <w:r>
        <w:rPr>
          <w:szCs w:val="22"/>
        </w:rPr>
        <w:t xml:space="preserve">  </w:t>
      </w:r>
    </w:p>
    <w:p w:rsidR="00144AB2" w:rsidRDefault="00144AB2" w:rsidP="00144AB2">
      <w:pPr>
        <w:ind w:firstLine="720"/>
        <w:rPr>
          <w:szCs w:val="22"/>
        </w:rPr>
      </w:pPr>
    </w:p>
    <w:p w:rsidR="00144AB2" w:rsidRPr="00B10B07" w:rsidRDefault="00144AB2" w:rsidP="00144AB2">
      <w:pPr>
        <w:ind w:firstLine="720"/>
        <w:rPr>
          <w:szCs w:val="22"/>
        </w:rPr>
      </w:pPr>
      <w:r>
        <w:rPr>
          <w:szCs w:val="22"/>
        </w:rPr>
        <w:t>The Bureau noted that because U.S. licensees have limited access to primary spectrum in CBRs 1 through 6, the dividing line between ESMR and non-ESMR segments of the band would vary depending on the number of</w:t>
      </w:r>
      <w:r w:rsidRPr="00B10B07">
        <w:rPr>
          <w:szCs w:val="22"/>
        </w:rPr>
        <w:t xml:space="preserve"> channels occupied </w:t>
      </w:r>
      <w:r>
        <w:rPr>
          <w:szCs w:val="22"/>
        </w:rPr>
        <w:t xml:space="preserve">by </w:t>
      </w:r>
      <w:r w:rsidRPr="00BE2871">
        <w:rPr>
          <w:szCs w:val="22"/>
        </w:rPr>
        <w:t xml:space="preserve">Business, Industrial, Land-Transportation (B/ILT) and </w:t>
      </w:r>
      <w:r>
        <w:rPr>
          <w:szCs w:val="22"/>
        </w:rPr>
        <w:t xml:space="preserve">high-site </w:t>
      </w:r>
      <w:r w:rsidRPr="00BE2871">
        <w:rPr>
          <w:szCs w:val="22"/>
        </w:rPr>
        <w:t>Specialized Mobile Radio (SMR)</w:t>
      </w:r>
      <w:r w:rsidRPr="00B10B07">
        <w:rPr>
          <w:szCs w:val="22"/>
        </w:rPr>
        <w:t xml:space="preserve"> licensees </w:t>
      </w:r>
      <w:r>
        <w:rPr>
          <w:szCs w:val="22"/>
        </w:rPr>
        <w:t>in each region.</w:t>
      </w:r>
      <w:r w:rsidRPr="00B10B07">
        <w:rPr>
          <w:rStyle w:val="FootnoteReference"/>
          <w:szCs w:val="22"/>
        </w:rPr>
        <w:footnoteReference w:id="5"/>
      </w:r>
      <w:r w:rsidRPr="00B10B07">
        <w:rPr>
          <w:szCs w:val="22"/>
        </w:rPr>
        <w:t xml:space="preserve">  </w:t>
      </w:r>
      <w:r>
        <w:rPr>
          <w:szCs w:val="22"/>
        </w:rPr>
        <w:t>Thus, t</w:t>
      </w:r>
      <w:r w:rsidRPr="00B10B07">
        <w:rPr>
          <w:szCs w:val="22"/>
        </w:rPr>
        <w:t xml:space="preserve">he Bureau </w:t>
      </w:r>
      <w:r>
        <w:rPr>
          <w:szCs w:val="22"/>
        </w:rPr>
        <w:t xml:space="preserve">advised </w:t>
      </w:r>
      <w:r w:rsidRPr="00B10B07">
        <w:rPr>
          <w:szCs w:val="22"/>
        </w:rPr>
        <w:t xml:space="preserve">the TA </w:t>
      </w:r>
      <w:r>
        <w:rPr>
          <w:szCs w:val="22"/>
        </w:rPr>
        <w:t xml:space="preserve">that it </w:t>
      </w:r>
      <w:r w:rsidRPr="00B10B07">
        <w:rPr>
          <w:szCs w:val="22"/>
        </w:rPr>
        <w:t>“may wait until replacement frequencies have been assigned and negotiations are complete” before identifying the dividing line for CBRs</w:t>
      </w:r>
      <w:r>
        <w:rPr>
          <w:szCs w:val="22"/>
        </w:rPr>
        <w:t xml:space="preserve"> 1 through 6</w:t>
      </w:r>
      <w:r w:rsidRPr="00B10B07">
        <w:rPr>
          <w:szCs w:val="22"/>
        </w:rPr>
        <w:t>.</w:t>
      </w:r>
      <w:r w:rsidRPr="00B10B07">
        <w:rPr>
          <w:rStyle w:val="FootnoteReference"/>
          <w:szCs w:val="22"/>
        </w:rPr>
        <w:footnoteReference w:id="6"/>
      </w:r>
      <w:r w:rsidRPr="00B10B07">
        <w:rPr>
          <w:szCs w:val="22"/>
        </w:rPr>
        <w:t xml:space="preserve">  </w:t>
      </w:r>
    </w:p>
    <w:p w:rsidR="00144AB2" w:rsidRDefault="00144AB2" w:rsidP="00144AB2">
      <w:pPr>
        <w:ind w:firstLine="720"/>
        <w:rPr>
          <w:szCs w:val="22"/>
        </w:rPr>
      </w:pPr>
    </w:p>
    <w:p w:rsidR="00144AB2" w:rsidRDefault="00144AB2" w:rsidP="00144AB2">
      <w:pPr>
        <w:ind w:firstLine="720"/>
        <w:rPr>
          <w:szCs w:val="22"/>
        </w:rPr>
      </w:pPr>
      <w:r>
        <w:rPr>
          <w:szCs w:val="22"/>
        </w:rPr>
        <w:t>For CBRs 7 and 8, the Bureau established an ESMR dividing line at 817 MHz/ 862 MHz which matches the dividing line for non-border regions throughout the rest of the U.S. since U.S. licensees have primary access in these regions to the entire 800 MHz band.</w:t>
      </w:r>
      <w:r>
        <w:rPr>
          <w:rStyle w:val="FootnoteReference"/>
          <w:szCs w:val="22"/>
        </w:rPr>
        <w:footnoteReference w:id="7"/>
      </w:r>
      <w:r>
        <w:rPr>
          <w:szCs w:val="22"/>
        </w:rPr>
        <w:t xml:space="preserve">   </w:t>
      </w:r>
    </w:p>
    <w:p w:rsidR="00144AB2" w:rsidRDefault="00144AB2" w:rsidP="00144AB2">
      <w:pPr>
        <w:rPr>
          <w:szCs w:val="22"/>
          <w:u w:val="single"/>
        </w:rPr>
      </w:pPr>
    </w:p>
    <w:p w:rsidR="00144AB2" w:rsidRPr="00BE2871" w:rsidRDefault="00144AB2" w:rsidP="00144AB2">
      <w:pPr>
        <w:rPr>
          <w:szCs w:val="22"/>
          <w:u w:val="single"/>
        </w:rPr>
      </w:pPr>
      <w:r w:rsidRPr="00BE2871">
        <w:rPr>
          <w:szCs w:val="22"/>
          <w:u w:val="single"/>
        </w:rPr>
        <w:t>TA Identifies ESMR Dividing Line for CBR</w:t>
      </w:r>
      <w:r>
        <w:rPr>
          <w:szCs w:val="22"/>
          <w:u w:val="single"/>
        </w:rPr>
        <w:t xml:space="preserve"> 1 Through 6</w:t>
      </w:r>
    </w:p>
    <w:p w:rsidR="00144AB2" w:rsidRDefault="00144AB2" w:rsidP="00144AB2">
      <w:pPr>
        <w:rPr>
          <w:szCs w:val="22"/>
        </w:rPr>
      </w:pPr>
    </w:p>
    <w:p w:rsidR="00144AB2" w:rsidRDefault="00144AB2" w:rsidP="00144AB2">
      <w:pPr>
        <w:ind w:firstLine="720"/>
        <w:rPr>
          <w:szCs w:val="22"/>
        </w:rPr>
      </w:pPr>
      <w:r w:rsidRPr="00B10B07">
        <w:rPr>
          <w:szCs w:val="22"/>
        </w:rPr>
        <w:t xml:space="preserve">On September 1, 2017, the TA informed the Bureau </w:t>
      </w:r>
      <w:r>
        <w:rPr>
          <w:szCs w:val="22"/>
        </w:rPr>
        <w:t xml:space="preserve">by letter </w:t>
      </w:r>
      <w:r w:rsidRPr="00B10B07">
        <w:rPr>
          <w:szCs w:val="22"/>
        </w:rPr>
        <w:t xml:space="preserve">that it had identified the dividing line between the ESMR and the non-ESMR </w:t>
      </w:r>
      <w:r>
        <w:rPr>
          <w:szCs w:val="22"/>
        </w:rPr>
        <w:t xml:space="preserve">segments </w:t>
      </w:r>
      <w:r w:rsidRPr="00B10B07">
        <w:rPr>
          <w:szCs w:val="22"/>
        </w:rPr>
        <w:t>of the band for CBRs 1 through 6.</w:t>
      </w:r>
      <w:r w:rsidRPr="00B10B07">
        <w:rPr>
          <w:rStyle w:val="FootnoteReference"/>
          <w:szCs w:val="22"/>
        </w:rPr>
        <w:footnoteReference w:id="8"/>
      </w:r>
      <w:r w:rsidRPr="00B10B07">
        <w:rPr>
          <w:szCs w:val="22"/>
        </w:rPr>
        <w:t xml:space="preserve">  The TA </w:t>
      </w:r>
      <w:r>
        <w:rPr>
          <w:szCs w:val="22"/>
        </w:rPr>
        <w:t>stated in its letter that it “</w:t>
      </w:r>
      <w:r w:rsidRPr="000A212A">
        <w:rPr>
          <w:szCs w:val="22"/>
        </w:rPr>
        <w:t>determined the highest frequency occupied by a non-ESMR licensee in each CBR</w:t>
      </w:r>
      <w:r>
        <w:rPr>
          <w:szCs w:val="22"/>
        </w:rPr>
        <w:t>” then “</w:t>
      </w:r>
      <w:r w:rsidRPr="00364055">
        <w:rPr>
          <w:szCs w:val="22"/>
        </w:rPr>
        <w:t>identified the dividing line as the frequency 12.5 kHz above the highest frequency licensed by a</w:t>
      </w:r>
      <w:r>
        <w:rPr>
          <w:szCs w:val="22"/>
        </w:rPr>
        <w:t xml:space="preserve"> </w:t>
      </w:r>
      <w:r w:rsidRPr="00364055">
        <w:rPr>
          <w:szCs w:val="22"/>
        </w:rPr>
        <w:t>non-ESMR licensee in each CBR.</w:t>
      </w:r>
      <w:r>
        <w:rPr>
          <w:szCs w:val="22"/>
        </w:rPr>
        <w:t>”</w:t>
      </w:r>
      <w:r w:rsidRPr="00B10B07">
        <w:rPr>
          <w:rStyle w:val="FootnoteReference"/>
          <w:szCs w:val="22"/>
        </w:rPr>
        <w:footnoteReference w:id="9"/>
      </w:r>
    </w:p>
    <w:p w:rsidR="00144AB2" w:rsidRDefault="00144AB2" w:rsidP="00144AB2">
      <w:pPr>
        <w:rPr>
          <w:szCs w:val="22"/>
        </w:rPr>
      </w:pPr>
    </w:p>
    <w:p w:rsidR="00144AB2" w:rsidRPr="00364055" w:rsidRDefault="00144AB2" w:rsidP="00144AB2">
      <w:pPr>
        <w:rPr>
          <w:szCs w:val="22"/>
          <w:u w:val="single"/>
        </w:rPr>
      </w:pPr>
      <w:r w:rsidRPr="00364055">
        <w:rPr>
          <w:szCs w:val="22"/>
          <w:u w:val="single"/>
        </w:rPr>
        <w:t>Sprint Requests Adjustment to ESMR Line in CBR 2</w:t>
      </w:r>
    </w:p>
    <w:p w:rsidR="00144AB2" w:rsidRDefault="00144AB2" w:rsidP="00144AB2">
      <w:pPr>
        <w:rPr>
          <w:szCs w:val="22"/>
        </w:rPr>
      </w:pPr>
    </w:p>
    <w:p w:rsidR="00144AB2" w:rsidRDefault="00144AB2" w:rsidP="00144AB2">
      <w:pPr>
        <w:rPr>
          <w:szCs w:val="22"/>
        </w:rPr>
      </w:pPr>
      <w:r>
        <w:rPr>
          <w:szCs w:val="22"/>
        </w:rPr>
        <w:tab/>
        <w:t>On September 11, 2017, Sprint replied to the TA’s letter asking the Bureau to consider establishing an alternative dividing line between the ESMR and non-ESMR segments of the band in CBR 2.</w:t>
      </w:r>
      <w:r>
        <w:rPr>
          <w:rStyle w:val="FootnoteReference"/>
          <w:szCs w:val="22"/>
        </w:rPr>
        <w:footnoteReference w:id="10"/>
      </w:r>
      <w:r>
        <w:rPr>
          <w:szCs w:val="22"/>
        </w:rPr>
        <w:t xml:space="preserve">  Sprint notes that CBR 2 spans west-to-east from the Ohio/Pennsylvania border through Western New York, Upstate New York, Vermont and New Hampshire.</w:t>
      </w:r>
      <w:r>
        <w:rPr>
          <w:rStyle w:val="FootnoteReference"/>
          <w:szCs w:val="22"/>
        </w:rPr>
        <w:footnoteReference w:id="11"/>
      </w:r>
      <w:r>
        <w:rPr>
          <w:szCs w:val="22"/>
        </w:rPr>
        <w:t xml:space="preserve">  It explains that, under the TA’s dividing line definition, the highest non-ESMR licensee in CBR 2 sets the ESMR dividing line for the entire region at 864.825 MHz but notes that the highest non-ESMR licensee in the </w:t>
      </w:r>
      <w:r w:rsidRPr="006B222D">
        <w:rPr>
          <w:szCs w:val="22"/>
        </w:rPr>
        <w:t xml:space="preserve">Buffalo/Rochester </w:t>
      </w:r>
      <w:r>
        <w:rPr>
          <w:szCs w:val="22"/>
        </w:rPr>
        <w:t xml:space="preserve">market operates </w:t>
      </w:r>
      <w:r w:rsidRPr="006B222D">
        <w:rPr>
          <w:szCs w:val="22"/>
        </w:rPr>
        <w:t>at 864.5625 MHz</w:t>
      </w:r>
      <w:r>
        <w:rPr>
          <w:szCs w:val="22"/>
        </w:rPr>
        <w:t xml:space="preserve"> while the highest non-ESMR licensee in Vermont and New Hampshire operates at 863.7375 MHz.</w:t>
      </w:r>
      <w:r>
        <w:rPr>
          <w:rStyle w:val="FootnoteReference"/>
          <w:szCs w:val="22"/>
        </w:rPr>
        <w:footnoteReference w:id="12"/>
      </w:r>
      <w:r>
        <w:rPr>
          <w:szCs w:val="22"/>
        </w:rPr>
        <w:t xml:space="preserve">  </w:t>
      </w:r>
    </w:p>
    <w:p w:rsidR="00144AB2" w:rsidRDefault="00144AB2" w:rsidP="00144AB2">
      <w:pPr>
        <w:rPr>
          <w:szCs w:val="22"/>
        </w:rPr>
      </w:pPr>
    </w:p>
    <w:p w:rsidR="00144AB2" w:rsidRDefault="00144AB2" w:rsidP="00144AB2">
      <w:pPr>
        <w:rPr>
          <w:szCs w:val="22"/>
        </w:rPr>
      </w:pPr>
      <w:r>
        <w:rPr>
          <w:szCs w:val="22"/>
        </w:rPr>
        <w:tab/>
        <w:t>Therefore, Sprint contends that setting the ESMR dividing line in CBR 2 based on the highest non-ESMR licensee in the region prevents it from “</w:t>
      </w:r>
      <w:r w:rsidRPr="00C62001">
        <w:rPr>
          <w:szCs w:val="22"/>
        </w:rPr>
        <w:t>deploying an 800 MHz 4G LTE channel in the border areas of Upstate New York,</w:t>
      </w:r>
      <w:r>
        <w:rPr>
          <w:szCs w:val="22"/>
        </w:rPr>
        <w:t xml:space="preserve"> </w:t>
      </w:r>
      <w:r w:rsidRPr="00C62001">
        <w:rPr>
          <w:szCs w:val="22"/>
        </w:rPr>
        <w:t>Vermont and New Hampshire</w:t>
      </w:r>
      <w:r>
        <w:rPr>
          <w:szCs w:val="22"/>
        </w:rPr>
        <w:t>.”</w:t>
      </w:r>
      <w:r>
        <w:rPr>
          <w:rStyle w:val="FootnoteReference"/>
          <w:szCs w:val="22"/>
        </w:rPr>
        <w:footnoteReference w:id="13"/>
      </w:r>
      <w:r>
        <w:rPr>
          <w:szCs w:val="22"/>
        </w:rPr>
        <w:t xml:space="preserve">  Sprint states that, under the TA’s definition of the ESMR dividing line for CBR 2, Sprint would be “limited t</w:t>
      </w:r>
      <w:r w:rsidRPr="00C62001">
        <w:rPr>
          <w:szCs w:val="22"/>
        </w:rPr>
        <w:t>o only a single 3G CDMA channel</w:t>
      </w:r>
      <w:r>
        <w:rPr>
          <w:szCs w:val="22"/>
        </w:rPr>
        <w:t xml:space="preserve"> </w:t>
      </w:r>
      <w:r w:rsidRPr="00C62001">
        <w:rPr>
          <w:szCs w:val="22"/>
        </w:rPr>
        <w:t>(1.25 MHz) across all of CBR2.</w:t>
      </w:r>
      <w:r>
        <w:rPr>
          <w:szCs w:val="22"/>
        </w:rPr>
        <w:t>”</w:t>
      </w:r>
      <w:r>
        <w:rPr>
          <w:rStyle w:val="FootnoteReference"/>
          <w:szCs w:val="22"/>
        </w:rPr>
        <w:footnoteReference w:id="14"/>
      </w:r>
    </w:p>
    <w:p w:rsidR="00144AB2" w:rsidRDefault="00144AB2" w:rsidP="00144AB2">
      <w:pPr>
        <w:rPr>
          <w:szCs w:val="22"/>
        </w:rPr>
      </w:pPr>
    </w:p>
    <w:p w:rsidR="00144AB2" w:rsidRDefault="00144AB2" w:rsidP="00144AB2">
      <w:pPr>
        <w:rPr>
          <w:szCs w:val="22"/>
        </w:rPr>
      </w:pPr>
      <w:r>
        <w:rPr>
          <w:szCs w:val="22"/>
        </w:rPr>
        <w:tab/>
        <w:t>Consequently, Sprint requests that the Bureau define the ESMR dividing line in CBR 2 according to National Public Safety Advisory Committee (NPSPAC) Region.</w:t>
      </w:r>
      <w:r>
        <w:rPr>
          <w:rStyle w:val="FootnoteReference"/>
          <w:szCs w:val="22"/>
        </w:rPr>
        <w:footnoteReference w:id="15"/>
      </w:r>
      <w:r>
        <w:rPr>
          <w:szCs w:val="22"/>
        </w:rPr>
        <w:t xml:space="preserve">  It recommends maintaining the TA- recommended dividing line at 864.825 MHz in NPSPAC Region 36 – Western Pennsylvania – but lowering the line to 864.575 MHz in NPSPAC Region 55 – Western New York – and lowering the line to 863.9 MHz in NPSPAC Region 30 – New York Albany – and NPSPAC Region 19 – Vermont/New Hampshire.</w:t>
      </w:r>
      <w:r>
        <w:rPr>
          <w:rStyle w:val="FootnoteReference"/>
          <w:szCs w:val="22"/>
        </w:rPr>
        <w:footnoteReference w:id="16"/>
      </w:r>
    </w:p>
    <w:p w:rsidR="00144AB2" w:rsidRDefault="00144AB2" w:rsidP="00144AB2">
      <w:pPr>
        <w:rPr>
          <w:szCs w:val="22"/>
        </w:rPr>
      </w:pPr>
    </w:p>
    <w:p w:rsidR="00144AB2" w:rsidRDefault="00144AB2" w:rsidP="00144AB2">
      <w:pPr>
        <w:rPr>
          <w:szCs w:val="22"/>
        </w:rPr>
      </w:pPr>
      <w:r>
        <w:rPr>
          <w:szCs w:val="22"/>
        </w:rPr>
        <w:tab/>
        <w:t>On September 25, 2017, the TA responded to Sprint’s request by indicating that it foresees no adverse effect on band reconfiguration in CBR 2 if the Bureau adopts Sprint’s proposal.</w:t>
      </w:r>
      <w:r>
        <w:rPr>
          <w:rStyle w:val="FootnoteReference"/>
          <w:szCs w:val="22"/>
        </w:rPr>
        <w:footnoteReference w:id="17"/>
      </w:r>
      <w:r>
        <w:rPr>
          <w:szCs w:val="22"/>
        </w:rPr>
        <w:t xml:space="preserve">  The TA states it verified “</w:t>
      </w:r>
      <w:r w:rsidRPr="00EF78CC">
        <w:rPr>
          <w:szCs w:val="22"/>
        </w:rPr>
        <w:t>that Sprint has accurately</w:t>
      </w:r>
      <w:r>
        <w:rPr>
          <w:szCs w:val="22"/>
        </w:rPr>
        <w:t xml:space="preserve"> </w:t>
      </w:r>
      <w:r w:rsidRPr="00EF78CC">
        <w:rPr>
          <w:szCs w:val="22"/>
        </w:rPr>
        <w:t>identified the dividing lines for the four NPSPAC regions wholly or partially in Canadian Border</w:t>
      </w:r>
      <w:r>
        <w:rPr>
          <w:szCs w:val="22"/>
        </w:rPr>
        <w:t xml:space="preserve"> </w:t>
      </w:r>
      <w:r w:rsidRPr="00EF78CC">
        <w:rPr>
          <w:szCs w:val="22"/>
        </w:rPr>
        <w:t>Region 2 based on the highest frequency occupied by a non-ESMR licensee within each</w:t>
      </w:r>
      <w:r>
        <w:rPr>
          <w:szCs w:val="22"/>
        </w:rPr>
        <w:t xml:space="preserve"> </w:t>
      </w:r>
      <w:r w:rsidRPr="00EF78CC">
        <w:rPr>
          <w:szCs w:val="22"/>
        </w:rPr>
        <w:t>NPSPAC region for the areas within Canadian Border Region 2.</w:t>
      </w:r>
      <w:r>
        <w:rPr>
          <w:szCs w:val="22"/>
        </w:rPr>
        <w:t>”</w:t>
      </w:r>
      <w:r>
        <w:rPr>
          <w:rStyle w:val="FootnoteReference"/>
          <w:szCs w:val="22"/>
        </w:rPr>
        <w:footnoteReference w:id="18"/>
      </w:r>
    </w:p>
    <w:p w:rsidR="00144AB2" w:rsidRDefault="00144AB2" w:rsidP="00144AB2">
      <w:pPr>
        <w:rPr>
          <w:szCs w:val="22"/>
        </w:rPr>
      </w:pPr>
    </w:p>
    <w:p w:rsidR="00144AB2" w:rsidRPr="002E4823" w:rsidRDefault="00144AB2" w:rsidP="00144AB2">
      <w:pPr>
        <w:rPr>
          <w:szCs w:val="22"/>
          <w:u w:val="single"/>
        </w:rPr>
      </w:pPr>
      <w:r w:rsidRPr="002E4823">
        <w:rPr>
          <w:szCs w:val="22"/>
          <w:u w:val="single"/>
        </w:rPr>
        <w:t>Bureau Adopts TA’s Recommended ESMR Dividing Lines with Sprint’s Adjustment</w:t>
      </w:r>
    </w:p>
    <w:p w:rsidR="00144AB2" w:rsidRDefault="00144AB2" w:rsidP="00144AB2">
      <w:pPr>
        <w:rPr>
          <w:szCs w:val="22"/>
        </w:rPr>
      </w:pPr>
    </w:p>
    <w:p w:rsidR="00144AB2" w:rsidRDefault="00144AB2" w:rsidP="00144AB2">
      <w:pPr>
        <w:rPr>
          <w:szCs w:val="22"/>
        </w:rPr>
      </w:pPr>
      <w:r>
        <w:rPr>
          <w:szCs w:val="22"/>
        </w:rPr>
        <w:tab/>
      </w:r>
      <w:r w:rsidRPr="00B10B07">
        <w:rPr>
          <w:szCs w:val="22"/>
        </w:rPr>
        <w:t>By this Public Notice, we anno</w:t>
      </w:r>
      <w:r>
        <w:rPr>
          <w:szCs w:val="22"/>
        </w:rPr>
        <w:t xml:space="preserve">unce our acceptance of the TA-recommended ESMR dividing lines for CBR 1, 3, 4, 5 and 6.  As requested by Sprint, we establish a dividing line by NPSPAC region in CBR 2.  The final ESMR dividing lines are listed in Appendix II.  </w:t>
      </w:r>
    </w:p>
    <w:p w:rsidR="00144AB2" w:rsidRDefault="00144AB2" w:rsidP="00144AB2">
      <w:pPr>
        <w:rPr>
          <w:szCs w:val="22"/>
        </w:rPr>
      </w:pPr>
    </w:p>
    <w:p w:rsidR="00144AB2" w:rsidRDefault="00144AB2" w:rsidP="00144AB2">
      <w:pPr>
        <w:rPr>
          <w:szCs w:val="22"/>
        </w:rPr>
      </w:pPr>
      <w:r>
        <w:rPr>
          <w:szCs w:val="22"/>
        </w:rPr>
        <w:tab/>
        <w:t>We find Sprint’s proposal for CBR 2 to be spectrum efficient and therefore in the public interest because it will allow Sprint to offer LTE service to a significant portion of CBR 2 without negatively affecting licensees operating in the non-ESMR segment of the band.</w:t>
      </w:r>
    </w:p>
    <w:p w:rsidR="00144AB2" w:rsidRDefault="00144AB2" w:rsidP="00144AB2">
      <w:pPr>
        <w:rPr>
          <w:szCs w:val="22"/>
        </w:rPr>
      </w:pPr>
    </w:p>
    <w:p w:rsidR="00144AB2" w:rsidRPr="006D640C" w:rsidRDefault="00144AB2" w:rsidP="00144AB2">
      <w:pPr>
        <w:ind w:firstLine="720"/>
      </w:pPr>
      <w:r w:rsidRPr="006D640C">
        <w:t xml:space="preserve">For further information regarding this proceeding contact </w:t>
      </w:r>
      <w:r>
        <w:t>Brian Marenco</w:t>
      </w:r>
      <w:r w:rsidRPr="006D640C">
        <w:t xml:space="preserve">, </w:t>
      </w:r>
      <w:r>
        <w:t xml:space="preserve">Electronics Engineer, </w:t>
      </w:r>
      <w:r w:rsidRPr="006D640C">
        <w:t>Policy and Licensing Division, Public Safety and Homeland Security Bureau, (voice) (202) 418-08</w:t>
      </w:r>
      <w:r>
        <w:t>3</w:t>
      </w:r>
      <w:r w:rsidRPr="006D640C">
        <w:t>8 or</w:t>
      </w:r>
      <w:r>
        <w:t xml:space="preserve"> </w:t>
      </w:r>
      <w:hyperlink r:id="rId8" w:history="1">
        <w:r w:rsidRPr="00177A7C">
          <w:rPr>
            <w:rStyle w:val="Hyperlink"/>
          </w:rPr>
          <w:t>Brian.Marenco@fcc.gov</w:t>
        </w:r>
      </w:hyperlink>
      <w:r w:rsidRPr="006D640C">
        <w:t xml:space="preserve">. </w:t>
      </w:r>
    </w:p>
    <w:p w:rsidR="00144AB2" w:rsidRPr="006D640C" w:rsidRDefault="00144AB2" w:rsidP="00144AB2">
      <w:pPr>
        <w:ind w:firstLine="720"/>
        <w:rPr>
          <w:rFonts w:eastAsia="Batang"/>
        </w:rPr>
      </w:pPr>
    </w:p>
    <w:p w:rsidR="00144AB2" w:rsidRPr="006D640C" w:rsidRDefault="00144AB2" w:rsidP="00144AB2">
      <w:pPr>
        <w:jc w:val="center"/>
      </w:pPr>
      <w:r w:rsidRPr="006D640C">
        <w:t>-- FCC --</w:t>
      </w:r>
    </w:p>
    <w:p w:rsidR="00144AB2" w:rsidRDefault="00144AB2" w:rsidP="00144AB2">
      <w:pPr>
        <w:rPr>
          <w:szCs w:val="22"/>
        </w:rPr>
      </w:pPr>
    </w:p>
    <w:p w:rsidR="00144AB2" w:rsidRDefault="00144AB2" w:rsidP="00144AB2">
      <w:pPr>
        <w:rPr>
          <w:szCs w:val="22"/>
        </w:rPr>
      </w:pPr>
    </w:p>
    <w:p w:rsidR="00144AB2" w:rsidRDefault="00144AB2" w:rsidP="00144AB2">
      <w:pPr>
        <w:rPr>
          <w:szCs w:val="22"/>
        </w:rPr>
      </w:pPr>
    </w:p>
    <w:p w:rsidR="00144AB2" w:rsidRDefault="00144AB2" w:rsidP="00144AB2">
      <w:pPr>
        <w:rPr>
          <w:szCs w:val="22"/>
        </w:rPr>
      </w:pPr>
    </w:p>
    <w:p w:rsidR="00144AB2" w:rsidRDefault="00144AB2" w:rsidP="00144AB2">
      <w:pPr>
        <w:jc w:val="center"/>
        <w:rPr>
          <w:szCs w:val="22"/>
        </w:rPr>
      </w:pPr>
      <w:r>
        <w:rPr>
          <w:szCs w:val="22"/>
        </w:rPr>
        <w:br w:type="page"/>
      </w:r>
      <w:r w:rsidRPr="00991391">
        <w:rPr>
          <w:b/>
          <w:szCs w:val="22"/>
        </w:rPr>
        <w:t>Appendix I – Canada Border Region</w:t>
      </w:r>
      <w:r>
        <w:rPr>
          <w:b/>
          <w:szCs w:val="22"/>
        </w:rPr>
        <w:t xml:space="preserve"> Geographic Definitions  </w:t>
      </w:r>
    </w:p>
    <w:p w:rsidR="00144AB2" w:rsidRDefault="00144AB2" w:rsidP="00144AB2">
      <w:pPr>
        <w:jc w:val="center"/>
        <w:rPr>
          <w:szCs w:val="22"/>
        </w:rPr>
      </w:pPr>
    </w:p>
    <w:p w:rsidR="00144AB2" w:rsidRDefault="00144AB2" w:rsidP="00144AB2">
      <w:pPr>
        <w:jc w:val="center"/>
        <w:rPr>
          <w:szCs w:val="22"/>
        </w:rPr>
      </w:pPr>
    </w:p>
    <w:p w:rsidR="00144AB2" w:rsidRDefault="00144AB2" w:rsidP="00144AB2">
      <w:pPr>
        <w:jc w:val="center"/>
        <w:rPr>
          <w:szCs w:val="22"/>
        </w:rPr>
      </w:pPr>
      <w:r>
        <w:rPr>
          <w:noProof/>
        </w:rPr>
        <w:drawing>
          <wp:inline distT="0" distB="0" distL="0" distR="0" wp14:anchorId="3BE45DB5" wp14:editId="42EBCAAF">
            <wp:extent cx="4866640" cy="3295650"/>
            <wp:effectExtent l="0" t="0" r="0" b="0"/>
            <wp:docPr id="5" name="Picture 1" descr="US-Canada Border 02-19-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Canada Border 02-19-20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66640" cy="3295650"/>
                    </a:xfrm>
                    <a:prstGeom prst="rect">
                      <a:avLst/>
                    </a:prstGeom>
                    <a:noFill/>
                    <a:ln>
                      <a:noFill/>
                    </a:ln>
                  </pic:spPr>
                </pic:pic>
              </a:graphicData>
            </a:graphic>
          </wp:inline>
        </w:drawing>
      </w:r>
    </w:p>
    <w:p w:rsidR="00144AB2" w:rsidRDefault="00144AB2" w:rsidP="00144AB2">
      <w:pPr>
        <w:tabs>
          <w:tab w:val="left" w:pos="3944"/>
        </w:tabs>
        <w:jc w:val="both"/>
        <w:rPr>
          <w:szCs w:val="22"/>
        </w:rPr>
      </w:pPr>
    </w:p>
    <w:p w:rsidR="00144AB2" w:rsidRDefault="00144AB2" w:rsidP="00144AB2">
      <w:pPr>
        <w:tabs>
          <w:tab w:val="left" w:pos="3944"/>
        </w:tabs>
        <w:jc w:val="both"/>
        <w:rPr>
          <w:szCs w:val="22"/>
        </w:rPr>
      </w:pPr>
    </w:p>
    <w:p w:rsidR="00144AB2" w:rsidRDefault="00144AB2" w:rsidP="00144AB2">
      <w:pPr>
        <w:tabs>
          <w:tab w:val="left" w:pos="3944"/>
        </w:tabs>
        <w:jc w:val="both"/>
        <w:rPr>
          <w:szCs w:val="22"/>
        </w:rPr>
      </w:pPr>
    </w:p>
    <w:p w:rsidR="00144AB2" w:rsidRPr="005D24FC" w:rsidRDefault="00144AB2" w:rsidP="00144AB2">
      <w:pPr>
        <w:tabs>
          <w:tab w:val="left" w:pos="720"/>
        </w:tabs>
        <w:rPr>
          <w:b/>
          <w:szCs w:val="22"/>
        </w:rPr>
      </w:pPr>
      <w:r>
        <w:rPr>
          <w:szCs w:val="22"/>
        </w:rPr>
        <w:tab/>
      </w:r>
      <w:r w:rsidRPr="005D24FC">
        <w:rPr>
          <w:b/>
          <w:szCs w:val="22"/>
        </w:rPr>
        <w:t xml:space="preserve">Table 1 – Boundaries </w:t>
      </w:r>
      <w:r>
        <w:rPr>
          <w:b/>
          <w:szCs w:val="22"/>
        </w:rPr>
        <w:t>of</w:t>
      </w:r>
      <w:r w:rsidRPr="005D24FC">
        <w:rPr>
          <w:b/>
          <w:szCs w:val="22"/>
        </w:rPr>
        <w:t xml:space="preserve"> CBRs Based on Longitude and Distance to Border</w:t>
      </w:r>
    </w:p>
    <w:p w:rsidR="00144AB2" w:rsidRDefault="00144AB2" w:rsidP="00144AB2">
      <w:pPr>
        <w:tabs>
          <w:tab w:val="left" w:pos="3944"/>
        </w:tabs>
        <w:jc w:val="both"/>
        <w:rPr>
          <w:szCs w:val="22"/>
        </w:rPr>
      </w:pPr>
    </w:p>
    <w:tbl>
      <w:tblPr>
        <w:tblStyle w:val="TableGrid"/>
        <w:tblW w:w="7668" w:type="dxa"/>
        <w:tblInd w:w="738" w:type="dxa"/>
        <w:tblLook w:val="04A0" w:firstRow="1" w:lastRow="0" w:firstColumn="1" w:lastColumn="0" w:noHBand="0" w:noVBand="1"/>
      </w:tblPr>
      <w:tblGrid>
        <w:gridCol w:w="1368"/>
        <w:gridCol w:w="6300"/>
      </w:tblGrid>
      <w:tr w:rsidR="00144AB2" w:rsidTr="001C05D8">
        <w:tc>
          <w:tcPr>
            <w:tcW w:w="1368" w:type="dxa"/>
            <w:shd w:val="clear" w:color="auto" w:fill="D9D9D9"/>
          </w:tcPr>
          <w:p w:rsidR="00144AB2" w:rsidRPr="00914A26" w:rsidRDefault="00144AB2" w:rsidP="001C05D8">
            <w:pPr>
              <w:rPr>
                <w:b/>
                <w:szCs w:val="22"/>
              </w:rPr>
            </w:pPr>
            <w:r w:rsidRPr="00914A26">
              <w:rPr>
                <w:b/>
                <w:szCs w:val="22"/>
              </w:rPr>
              <w:t>Region</w:t>
            </w:r>
          </w:p>
          <w:p w:rsidR="00144AB2" w:rsidRPr="00914A26" w:rsidRDefault="00144AB2" w:rsidP="001C05D8">
            <w:pPr>
              <w:rPr>
                <w:b/>
              </w:rPr>
            </w:pPr>
          </w:p>
        </w:tc>
        <w:tc>
          <w:tcPr>
            <w:tcW w:w="6300" w:type="dxa"/>
            <w:shd w:val="clear" w:color="auto" w:fill="D9D9D9"/>
          </w:tcPr>
          <w:p w:rsidR="00144AB2" w:rsidRPr="00914A26" w:rsidRDefault="00144AB2" w:rsidP="001C05D8">
            <w:pPr>
              <w:rPr>
                <w:b/>
              </w:rPr>
            </w:pPr>
            <w:r w:rsidRPr="00914A26">
              <w:rPr>
                <w:b/>
                <w:szCs w:val="22"/>
              </w:rPr>
              <w:t>Location (longitude)</w:t>
            </w:r>
          </w:p>
        </w:tc>
      </w:tr>
      <w:tr w:rsidR="00144AB2" w:rsidRPr="00435138" w:rsidTr="001C05D8">
        <w:trPr>
          <w:trHeight w:val="432"/>
        </w:trPr>
        <w:tc>
          <w:tcPr>
            <w:tcW w:w="1368" w:type="dxa"/>
          </w:tcPr>
          <w:p w:rsidR="00144AB2" w:rsidRPr="00435138" w:rsidRDefault="00144AB2" w:rsidP="001C05D8">
            <w:pPr>
              <w:rPr>
                <w:szCs w:val="22"/>
              </w:rPr>
            </w:pPr>
            <w:r w:rsidRPr="00435138">
              <w:rPr>
                <w:szCs w:val="22"/>
              </w:rPr>
              <w:t>1……</w:t>
            </w:r>
          </w:p>
        </w:tc>
        <w:tc>
          <w:tcPr>
            <w:tcW w:w="6300" w:type="dxa"/>
          </w:tcPr>
          <w:p w:rsidR="00144AB2" w:rsidRPr="00435138" w:rsidRDefault="00144AB2" w:rsidP="001C05D8">
            <w:pPr>
              <w:rPr>
                <w:szCs w:val="22"/>
              </w:rPr>
            </w:pPr>
            <w:r w:rsidRPr="00435138">
              <w:rPr>
                <w:szCs w:val="22"/>
              </w:rPr>
              <w:t>66° W – 71° W (0 – 100 km from border)</w:t>
            </w:r>
          </w:p>
        </w:tc>
      </w:tr>
      <w:tr w:rsidR="00144AB2" w:rsidRPr="00435138" w:rsidTr="001C05D8">
        <w:trPr>
          <w:trHeight w:val="432"/>
        </w:trPr>
        <w:tc>
          <w:tcPr>
            <w:tcW w:w="1368" w:type="dxa"/>
          </w:tcPr>
          <w:p w:rsidR="00144AB2" w:rsidRPr="00435138" w:rsidRDefault="00144AB2" w:rsidP="001C05D8">
            <w:pPr>
              <w:rPr>
                <w:szCs w:val="22"/>
              </w:rPr>
            </w:pPr>
            <w:r w:rsidRPr="00435138">
              <w:rPr>
                <w:szCs w:val="22"/>
              </w:rPr>
              <w:t>2……</w:t>
            </w:r>
          </w:p>
        </w:tc>
        <w:tc>
          <w:tcPr>
            <w:tcW w:w="6300" w:type="dxa"/>
          </w:tcPr>
          <w:p w:rsidR="00144AB2" w:rsidRPr="00435138" w:rsidRDefault="00144AB2" w:rsidP="001C05D8">
            <w:pPr>
              <w:rPr>
                <w:szCs w:val="22"/>
              </w:rPr>
            </w:pPr>
            <w:r w:rsidRPr="00435138">
              <w:rPr>
                <w:szCs w:val="22"/>
              </w:rPr>
              <w:t>71° W – 80° 30’ W (0 – 100 km from border)</w:t>
            </w:r>
          </w:p>
        </w:tc>
      </w:tr>
      <w:tr w:rsidR="00144AB2" w:rsidRPr="00435138" w:rsidTr="001C05D8">
        <w:trPr>
          <w:trHeight w:val="432"/>
        </w:trPr>
        <w:tc>
          <w:tcPr>
            <w:tcW w:w="1368" w:type="dxa"/>
          </w:tcPr>
          <w:p w:rsidR="00144AB2" w:rsidRPr="00435138" w:rsidRDefault="00144AB2" w:rsidP="001C05D8">
            <w:pPr>
              <w:rPr>
                <w:szCs w:val="22"/>
              </w:rPr>
            </w:pPr>
            <w:r>
              <w:rPr>
                <w:szCs w:val="22"/>
              </w:rPr>
              <w:t>3……</w:t>
            </w:r>
          </w:p>
        </w:tc>
        <w:tc>
          <w:tcPr>
            <w:tcW w:w="6300" w:type="dxa"/>
          </w:tcPr>
          <w:p w:rsidR="00144AB2" w:rsidRPr="00435138" w:rsidRDefault="00144AB2" w:rsidP="001C05D8">
            <w:pPr>
              <w:rPr>
                <w:szCs w:val="22"/>
              </w:rPr>
            </w:pPr>
            <w:r w:rsidRPr="00435138">
              <w:rPr>
                <w:szCs w:val="22"/>
              </w:rPr>
              <w:t>80° 30’ W – 85° W (0 – 100 km from border)</w:t>
            </w:r>
          </w:p>
        </w:tc>
      </w:tr>
      <w:tr w:rsidR="00144AB2" w:rsidRPr="00435138" w:rsidTr="001C05D8">
        <w:trPr>
          <w:trHeight w:val="432"/>
        </w:trPr>
        <w:tc>
          <w:tcPr>
            <w:tcW w:w="1368" w:type="dxa"/>
          </w:tcPr>
          <w:p w:rsidR="00144AB2" w:rsidRDefault="00144AB2" w:rsidP="001C05D8">
            <w:pPr>
              <w:rPr>
                <w:szCs w:val="22"/>
              </w:rPr>
            </w:pPr>
            <w:r w:rsidRPr="00435138">
              <w:rPr>
                <w:szCs w:val="22"/>
              </w:rPr>
              <w:t>4……</w:t>
            </w:r>
          </w:p>
        </w:tc>
        <w:tc>
          <w:tcPr>
            <w:tcW w:w="6300" w:type="dxa"/>
          </w:tcPr>
          <w:p w:rsidR="00144AB2" w:rsidRPr="00435138" w:rsidRDefault="00144AB2" w:rsidP="001C05D8">
            <w:pPr>
              <w:rPr>
                <w:szCs w:val="22"/>
              </w:rPr>
            </w:pPr>
            <w:r w:rsidRPr="00435138">
              <w:rPr>
                <w:szCs w:val="22"/>
              </w:rPr>
              <w:t>85° W – 121° 30’ W (0 – 100 km from border)</w:t>
            </w:r>
          </w:p>
        </w:tc>
      </w:tr>
      <w:tr w:rsidR="00144AB2" w:rsidRPr="00435138" w:rsidTr="001C05D8">
        <w:trPr>
          <w:trHeight w:val="432"/>
        </w:trPr>
        <w:tc>
          <w:tcPr>
            <w:tcW w:w="1368" w:type="dxa"/>
          </w:tcPr>
          <w:p w:rsidR="00144AB2" w:rsidRPr="00435138" w:rsidRDefault="00144AB2" w:rsidP="001C05D8">
            <w:pPr>
              <w:rPr>
                <w:szCs w:val="22"/>
              </w:rPr>
            </w:pPr>
            <w:r w:rsidRPr="00435138">
              <w:rPr>
                <w:szCs w:val="22"/>
              </w:rPr>
              <w:t>5……</w:t>
            </w:r>
          </w:p>
        </w:tc>
        <w:tc>
          <w:tcPr>
            <w:tcW w:w="6300" w:type="dxa"/>
          </w:tcPr>
          <w:p w:rsidR="00144AB2" w:rsidRPr="00435138" w:rsidRDefault="00144AB2" w:rsidP="001C05D8">
            <w:pPr>
              <w:rPr>
                <w:szCs w:val="22"/>
              </w:rPr>
            </w:pPr>
            <w:r w:rsidRPr="00435138">
              <w:rPr>
                <w:szCs w:val="22"/>
              </w:rPr>
              <w:t>121° 30’ W – 127° W (0 – 140 km from border)</w:t>
            </w:r>
          </w:p>
        </w:tc>
      </w:tr>
      <w:tr w:rsidR="00144AB2" w:rsidRPr="00435138" w:rsidTr="001C05D8">
        <w:trPr>
          <w:trHeight w:val="432"/>
        </w:trPr>
        <w:tc>
          <w:tcPr>
            <w:tcW w:w="1368" w:type="dxa"/>
          </w:tcPr>
          <w:p w:rsidR="00144AB2" w:rsidRPr="00435138" w:rsidRDefault="00144AB2" w:rsidP="001C05D8">
            <w:pPr>
              <w:rPr>
                <w:szCs w:val="22"/>
              </w:rPr>
            </w:pPr>
            <w:r>
              <w:rPr>
                <w:szCs w:val="22"/>
              </w:rPr>
              <w:t>6…...</w:t>
            </w:r>
          </w:p>
        </w:tc>
        <w:tc>
          <w:tcPr>
            <w:tcW w:w="6300" w:type="dxa"/>
          </w:tcPr>
          <w:p w:rsidR="00144AB2" w:rsidRPr="00435138" w:rsidRDefault="00144AB2" w:rsidP="001C05D8">
            <w:pPr>
              <w:rPr>
                <w:szCs w:val="22"/>
              </w:rPr>
            </w:pPr>
            <w:r w:rsidRPr="00435138">
              <w:rPr>
                <w:szCs w:val="22"/>
              </w:rPr>
              <w:t>127° W – 143° W (0 – 100 km from border)</w:t>
            </w:r>
          </w:p>
        </w:tc>
      </w:tr>
      <w:tr w:rsidR="00144AB2" w:rsidRPr="00435138" w:rsidTr="001C05D8">
        <w:tc>
          <w:tcPr>
            <w:tcW w:w="1368" w:type="dxa"/>
          </w:tcPr>
          <w:p w:rsidR="00144AB2" w:rsidRDefault="00144AB2" w:rsidP="001C05D8">
            <w:pPr>
              <w:rPr>
                <w:szCs w:val="22"/>
              </w:rPr>
            </w:pPr>
            <w:r w:rsidRPr="00435138">
              <w:rPr>
                <w:szCs w:val="22"/>
              </w:rPr>
              <w:t>7A……</w:t>
            </w:r>
          </w:p>
        </w:tc>
        <w:tc>
          <w:tcPr>
            <w:tcW w:w="6300" w:type="dxa"/>
          </w:tcPr>
          <w:p w:rsidR="00144AB2" w:rsidRDefault="00144AB2" w:rsidP="001C05D8">
            <w:pPr>
              <w:rPr>
                <w:szCs w:val="22"/>
              </w:rPr>
            </w:pPr>
            <w:r w:rsidRPr="00435138">
              <w:rPr>
                <w:szCs w:val="22"/>
              </w:rPr>
              <w:t>66° W – 71° W (100 – 140 km from border),</w:t>
            </w:r>
            <w:r>
              <w:rPr>
                <w:szCs w:val="22"/>
              </w:rPr>
              <w:t xml:space="preserve">                                   </w:t>
            </w:r>
            <w:r w:rsidRPr="00435138">
              <w:rPr>
                <w:szCs w:val="22"/>
              </w:rPr>
              <w:t>80° 30’ W – 121° 30’ W (100 – 140 km from border)</w:t>
            </w:r>
          </w:p>
          <w:p w:rsidR="00144AB2" w:rsidRPr="00435138" w:rsidRDefault="00144AB2" w:rsidP="001C05D8">
            <w:pPr>
              <w:rPr>
                <w:szCs w:val="22"/>
              </w:rPr>
            </w:pPr>
          </w:p>
        </w:tc>
      </w:tr>
      <w:tr w:rsidR="00144AB2" w:rsidRPr="00435138" w:rsidTr="001C05D8">
        <w:trPr>
          <w:cantSplit/>
          <w:trHeight w:val="432"/>
        </w:trPr>
        <w:tc>
          <w:tcPr>
            <w:tcW w:w="1368" w:type="dxa"/>
          </w:tcPr>
          <w:p w:rsidR="00144AB2" w:rsidRPr="00435138" w:rsidRDefault="00144AB2" w:rsidP="001C05D8">
            <w:pPr>
              <w:rPr>
                <w:szCs w:val="22"/>
              </w:rPr>
            </w:pPr>
            <w:r w:rsidRPr="00435138">
              <w:rPr>
                <w:szCs w:val="22"/>
              </w:rPr>
              <w:t>7B…</w:t>
            </w:r>
          </w:p>
        </w:tc>
        <w:tc>
          <w:tcPr>
            <w:tcW w:w="6300" w:type="dxa"/>
          </w:tcPr>
          <w:p w:rsidR="00144AB2" w:rsidRPr="00435138" w:rsidRDefault="00144AB2" w:rsidP="001C05D8">
            <w:pPr>
              <w:rPr>
                <w:szCs w:val="22"/>
              </w:rPr>
            </w:pPr>
            <w:r w:rsidRPr="00435138">
              <w:rPr>
                <w:szCs w:val="22"/>
              </w:rPr>
              <w:t>71° W – 80° 3</w:t>
            </w:r>
            <w:r>
              <w:rPr>
                <w:szCs w:val="22"/>
              </w:rPr>
              <w:t>0’ W (100 – 140 km from border)</w:t>
            </w:r>
          </w:p>
        </w:tc>
      </w:tr>
      <w:tr w:rsidR="00144AB2" w:rsidRPr="00435138" w:rsidTr="001C05D8">
        <w:trPr>
          <w:cantSplit/>
          <w:trHeight w:val="432"/>
        </w:trPr>
        <w:tc>
          <w:tcPr>
            <w:tcW w:w="1368" w:type="dxa"/>
          </w:tcPr>
          <w:p w:rsidR="00144AB2" w:rsidRPr="00435138" w:rsidRDefault="00144AB2" w:rsidP="001C05D8">
            <w:pPr>
              <w:rPr>
                <w:szCs w:val="22"/>
              </w:rPr>
            </w:pPr>
            <w:r w:rsidRPr="00435138">
              <w:rPr>
                <w:szCs w:val="22"/>
              </w:rPr>
              <w:t>8…..</w:t>
            </w:r>
          </w:p>
        </w:tc>
        <w:tc>
          <w:tcPr>
            <w:tcW w:w="6300" w:type="dxa"/>
          </w:tcPr>
          <w:p w:rsidR="00144AB2" w:rsidRPr="00435138" w:rsidRDefault="00144AB2" w:rsidP="001C05D8">
            <w:pPr>
              <w:rPr>
                <w:szCs w:val="22"/>
              </w:rPr>
            </w:pPr>
            <w:r w:rsidRPr="00435138">
              <w:rPr>
                <w:szCs w:val="22"/>
              </w:rPr>
              <w:t>127° W – 143° W (100 – 140 km from border)</w:t>
            </w:r>
          </w:p>
        </w:tc>
      </w:tr>
    </w:tbl>
    <w:p w:rsidR="00144AB2" w:rsidRDefault="00144AB2" w:rsidP="00144AB2">
      <w:pPr>
        <w:tabs>
          <w:tab w:val="left" w:pos="3944"/>
        </w:tabs>
        <w:jc w:val="both"/>
        <w:rPr>
          <w:szCs w:val="22"/>
        </w:rPr>
      </w:pPr>
    </w:p>
    <w:p w:rsidR="00144AB2" w:rsidRDefault="00144AB2" w:rsidP="00144AB2">
      <w:pPr>
        <w:jc w:val="center"/>
        <w:rPr>
          <w:b/>
          <w:szCs w:val="22"/>
        </w:rPr>
      </w:pPr>
      <w:r w:rsidRPr="003016E5">
        <w:rPr>
          <w:szCs w:val="22"/>
        </w:rPr>
        <w:br w:type="page"/>
      </w:r>
      <w:r w:rsidRPr="00914A26">
        <w:rPr>
          <w:b/>
          <w:szCs w:val="22"/>
        </w:rPr>
        <w:t>Appendix II</w:t>
      </w:r>
      <w:r>
        <w:rPr>
          <w:b/>
          <w:szCs w:val="22"/>
        </w:rPr>
        <w:t xml:space="preserve"> – ESMR Dividing Lines for Canada Border Regions</w:t>
      </w:r>
    </w:p>
    <w:p w:rsidR="00144AB2" w:rsidRDefault="00144AB2" w:rsidP="00144AB2">
      <w:pPr>
        <w:jc w:val="center"/>
        <w:rPr>
          <w:b/>
          <w:szCs w:val="22"/>
        </w:rPr>
      </w:pPr>
    </w:p>
    <w:p w:rsidR="00144AB2" w:rsidRPr="00914A26" w:rsidRDefault="00144AB2" w:rsidP="00144AB2">
      <w:pPr>
        <w:rPr>
          <w:b/>
          <w:szCs w:val="22"/>
        </w:rPr>
      </w:pPr>
      <w:r>
        <w:rPr>
          <w:b/>
          <w:szCs w:val="22"/>
        </w:rPr>
        <w:t>Table 1 – CBRs Subject to Canada Border Band Plan</w:t>
      </w:r>
    </w:p>
    <w:p w:rsidR="00144AB2" w:rsidRDefault="00144AB2" w:rsidP="00144AB2">
      <w:pPr>
        <w:rPr>
          <w:szCs w:val="22"/>
        </w:rPr>
      </w:pPr>
    </w:p>
    <w:tbl>
      <w:tblPr>
        <w:tblStyle w:val="TableGrid"/>
        <w:tblW w:w="0" w:type="auto"/>
        <w:tblLook w:val="04A0" w:firstRow="1" w:lastRow="0" w:firstColumn="1" w:lastColumn="0" w:noHBand="0" w:noVBand="1"/>
      </w:tblPr>
      <w:tblGrid>
        <w:gridCol w:w="1547"/>
        <w:gridCol w:w="1624"/>
        <w:gridCol w:w="3598"/>
        <w:gridCol w:w="2807"/>
      </w:tblGrid>
      <w:tr w:rsidR="00144AB2" w:rsidTr="001C05D8">
        <w:tc>
          <w:tcPr>
            <w:tcW w:w="1547" w:type="dxa"/>
            <w:shd w:val="clear" w:color="auto" w:fill="D9D9D9" w:themeFill="background1" w:themeFillShade="D9"/>
          </w:tcPr>
          <w:p w:rsidR="00144AB2" w:rsidRDefault="00144AB2" w:rsidP="001C05D8">
            <w:pPr>
              <w:rPr>
                <w:szCs w:val="22"/>
              </w:rPr>
            </w:pPr>
            <w:r w:rsidRPr="00B10B07">
              <w:rPr>
                <w:b/>
                <w:szCs w:val="22"/>
              </w:rPr>
              <w:t>Canadian Border Region (CBR)</w:t>
            </w:r>
          </w:p>
        </w:tc>
        <w:tc>
          <w:tcPr>
            <w:tcW w:w="1624" w:type="dxa"/>
            <w:shd w:val="clear" w:color="auto" w:fill="D9D9D9" w:themeFill="background1" w:themeFillShade="D9"/>
          </w:tcPr>
          <w:p w:rsidR="00144AB2" w:rsidRPr="00E526F4" w:rsidRDefault="00144AB2" w:rsidP="001C05D8">
            <w:pPr>
              <w:rPr>
                <w:b/>
                <w:szCs w:val="22"/>
              </w:rPr>
            </w:pPr>
            <w:r w:rsidRPr="00E526F4">
              <w:rPr>
                <w:b/>
                <w:szCs w:val="22"/>
              </w:rPr>
              <w:t xml:space="preserve">Distance CBR Extends from Canada Border </w:t>
            </w:r>
            <w:r>
              <w:rPr>
                <w:b/>
                <w:szCs w:val="22"/>
              </w:rPr>
              <w:t>(KM)</w:t>
            </w:r>
          </w:p>
        </w:tc>
        <w:tc>
          <w:tcPr>
            <w:tcW w:w="3598" w:type="dxa"/>
            <w:shd w:val="clear" w:color="auto" w:fill="D9D9D9" w:themeFill="background1" w:themeFillShade="D9"/>
          </w:tcPr>
          <w:p w:rsidR="00144AB2" w:rsidRPr="0069254A" w:rsidRDefault="00144AB2" w:rsidP="001C05D8">
            <w:pPr>
              <w:rPr>
                <w:b/>
                <w:szCs w:val="22"/>
              </w:rPr>
            </w:pPr>
            <w:r w:rsidRPr="0069254A">
              <w:rPr>
                <w:b/>
                <w:szCs w:val="22"/>
              </w:rPr>
              <w:t>NPSPAC Regions</w:t>
            </w:r>
            <w:r>
              <w:rPr>
                <w:b/>
                <w:szCs w:val="22"/>
              </w:rPr>
              <w:t xml:space="preserve"> </w:t>
            </w:r>
            <w:r w:rsidRPr="00E526F4">
              <w:rPr>
                <w:b/>
                <w:i/>
                <w:szCs w:val="22"/>
              </w:rPr>
              <w:t>Partially</w:t>
            </w:r>
            <w:r>
              <w:rPr>
                <w:b/>
                <w:szCs w:val="22"/>
              </w:rPr>
              <w:t xml:space="preserve"> Impacted by CBR</w:t>
            </w:r>
          </w:p>
        </w:tc>
        <w:tc>
          <w:tcPr>
            <w:tcW w:w="2807" w:type="dxa"/>
            <w:shd w:val="clear" w:color="auto" w:fill="D9D9D9" w:themeFill="background1" w:themeFillShade="D9"/>
          </w:tcPr>
          <w:p w:rsidR="00144AB2" w:rsidRPr="0069254A" w:rsidRDefault="00144AB2" w:rsidP="001C05D8">
            <w:pPr>
              <w:rPr>
                <w:b/>
                <w:szCs w:val="22"/>
              </w:rPr>
            </w:pPr>
            <w:r w:rsidRPr="0069254A">
              <w:rPr>
                <w:b/>
                <w:szCs w:val="22"/>
              </w:rPr>
              <w:t>Dividing Line Between ESMR and Non-ESMR Segment</w:t>
            </w:r>
            <w:r>
              <w:rPr>
                <w:b/>
                <w:szCs w:val="22"/>
              </w:rPr>
              <w:t>s</w:t>
            </w:r>
            <w:r w:rsidRPr="0069254A">
              <w:rPr>
                <w:b/>
                <w:szCs w:val="22"/>
              </w:rPr>
              <w:t xml:space="preserve"> of Band</w:t>
            </w:r>
            <w:r>
              <w:rPr>
                <w:b/>
                <w:szCs w:val="22"/>
              </w:rPr>
              <w:t xml:space="preserve"> in CBR (MHz)*</w:t>
            </w:r>
          </w:p>
        </w:tc>
      </w:tr>
      <w:tr w:rsidR="00144AB2" w:rsidTr="001C05D8">
        <w:trPr>
          <w:trHeight w:val="288"/>
        </w:trPr>
        <w:tc>
          <w:tcPr>
            <w:tcW w:w="1547" w:type="dxa"/>
          </w:tcPr>
          <w:p w:rsidR="00144AB2" w:rsidRDefault="00144AB2" w:rsidP="001C05D8">
            <w:pPr>
              <w:jc w:val="center"/>
              <w:rPr>
                <w:szCs w:val="22"/>
              </w:rPr>
            </w:pPr>
            <w:r>
              <w:rPr>
                <w:szCs w:val="22"/>
              </w:rPr>
              <w:t>1</w:t>
            </w:r>
          </w:p>
        </w:tc>
        <w:tc>
          <w:tcPr>
            <w:tcW w:w="1624" w:type="dxa"/>
          </w:tcPr>
          <w:p w:rsidR="00144AB2" w:rsidRDefault="00144AB2" w:rsidP="001C05D8">
            <w:pPr>
              <w:jc w:val="center"/>
              <w:rPr>
                <w:szCs w:val="22"/>
              </w:rPr>
            </w:pPr>
            <w:r>
              <w:rPr>
                <w:szCs w:val="22"/>
              </w:rPr>
              <w:t>0 – 100</w:t>
            </w:r>
          </w:p>
        </w:tc>
        <w:tc>
          <w:tcPr>
            <w:tcW w:w="3598" w:type="dxa"/>
            <w:tcBorders>
              <w:bottom w:val="single" w:sz="4" w:space="0" w:color="auto"/>
            </w:tcBorders>
          </w:tcPr>
          <w:p w:rsidR="00144AB2" w:rsidRDefault="00144AB2" w:rsidP="001C05D8">
            <w:pPr>
              <w:rPr>
                <w:szCs w:val="22"/>
              </w:rPr>
            </w:pPr>
            <w:r>
              <w:rPr>
                <w:szCs w:val="22"/>
              </w:rPr>
              <w:t>Region 19 – New England</w:t>
            </w:r>
          </w:p>
        </w:tc>
        <w:tc>
          <w:tcPr>
            <w:tcW w:w="2807" w:type="dxa"/>
          </w:tcPr>
          <w:p w:rsidR="00144AB2" w:rsidRDefault="00144AB2" w:rsidP="001C05D8">
            <w:pPr>
              <w:jc w:val="center"/>
              <w:rPr>
                <w:szCs w:val="22"/>
              </w:rPr>
            </w:pPr>
            <w:r w:rsidRPr="00B10B07">
              <w:rPr>
                <w:szCs w:val="22"/>
              </w:rPr>
              <w:t>863.300</w:t>
            </w:r>
          </w:p>
        </w:tc>
      </w:tr>
      <w:tr w:rsidR="00144AB2" w:rsidTr="001C05D8">
        <w:trPr>
          <w:trHeight w:val="288"/>
        </w:trPr>
        <w:tc>
          <w:tcPr>
            <w:tcW w:w="1547" w:type="dxa"/>
            <w:vMerge w:val="restart"/>
            <w:vAlign w:val="center"/>
          </w:tcPr>
          <w:p w:rsidR="00144AB2" w:rsidRDefault="00144AB2" w:rsidP="001C05D8">
            <w:pPr>
              <w:jc w:val="center"/>
              <w:rPr>
                <w:szCs w:val="22"/>
              </w:rPr>
            </w:pPr>
            <w:r>
              <w:rPr>
                <w:szCs w:val="22"/>
              </w:rPr>
              <w:t>2</w:t>
            </w:r>
          </w:p>
        </w:tc>
        <w:tc>
          <w:tcPr>
            <w:tcW w:w="1624" w:type="dxa"/>
            <w:vMerge w:val="restart"/>
            <w:vAlign w:val="center"/>
          </w:tcPr>
          <w:p w:rsidR="00144AB2" w:rsidRDefault="00144AB2" w:rsidP="001C05D8">
            <w:pPr>
              <w:jc w:val="center"/>
              <w:rPr>
                <w:szCs w:val="22"/>
              </w:rPr>
            </w:pPr>
            <w:r>
              <w:rPr>
                <w:szCs w:val="22"/>
              </w:rPr>
              <w:t>0 – 100</w:t>
            </w:r>
          </w:p>
        </w:tc>
        <w:tc>
          <w:tcPr>
            <w:tcW w:w="3598" w:type="dxa"/>
            <w:tcBorders>
              <w:bottom w:val="dotDash" w:sz="4" w:space="0" w:color="auto"/>
            </w:tcBorders>
          </w:tcPr>
          <w:p w:rsidR="00144AB2" w:rsidRDefault="00144AB2" w:rsidP="001C05D8">
            <w:pPr>
              <w:rPr>
                <w:szCs w:val="22"/>
              </w:rPr>
            </w:pPr>
            <w:r>
              <w:rPr>
                <w:szCs w:val="22"/>
              </w:rPr>
              <w:t>Region 19 – New England</w:t>
            </w:r>
          </w:p>
        </w:tc>
        <w:tc>
          <w:tcPr>
            <w:tcW w:w="2807" w:type="dxa"/>
            <w:tcBorders>
              <w:bottom w:val="dotDash" w:sz="4" w:space="0" w:color="auto"/>
            </w:tcBorders>
          </w:tcPr>
          <w:p w:rsidR="00144AB2" w:rsidRPr="00B10B07" w:rsidRDefault="00144AB2" w:rsidP="001C05D8">
            <w:pPr>
              <w:jc w:val="center"/>
              <w:rPr>
                <w:szCs w:val="22"/>
              </w:rPr>
            </w:pPr>
            <w:r>
              <w:rPr>
                <w:szCs w:val="22"/>
              </w:rPr>
              <w:t>863.900</w:t>
            </w:r>
          </w:p>
        </w:tc>
      </w:tr>
      <w:tr w:rsidR="00144AB2" w:rsidTr="001C05D8">
        <w:trPr>
          <w:trHeight w:val="288"/>
        </w:trPr>
        <w:tc>
          <w:tcPr>
            <w:tcW w:w="1547" w:type="dxa"/>
            <w:vMerge/>
          </w:tcPr>
          <w:p w:rsidR="00144AB2" w:rsidRDefault="00144AB2" w:rsidP="001C05D8">
            <w:pPr>
              <w:jc w:val="center"/>
              <w:rPr>
                <w:szCs w:val="22"/>
              </w:rPr>
            </w:pPr>
          </w:p>
        </w:tc>
        <w:tc>
          <w:tcPr>
            <w:tcW w:w="1624" w:type="dxa"/>
            <w:vMerge/>
          </w:tcPr>
          <w:p w:rsidR="00144AB2" w:rsidRDefault="00144AB2" w:rsidP="001C05D8">
            <w:pPr>
              <w:jc w:val="center"/>
              <w:rPr>
                <w:szCs w:val="22"/>
              </w:rPr>
            </w:pPr>
          </w:p>
        </w:tc>
        <w:tc>
          <w:tcPr>
            <w:tcW w:w="3598" w:type="dxa"/>
            <w:tcBorders>
              <w:top w:val="dotDash" w:sz="4" w:space="0" w:color="auto"/>
              <w:bottom w:val="dotDash" w:sz="4" w:space="0" w:color="auto"/>
            </w:tcBorders>
          </w:tcPr>
          <w:p w:rsidR="00144AB2" w:rsidRDefault="00144AB2" w:rsidP="001C05D8">
            <w:pPr>
              <w:rPr>
                <w:szCs w:val="22"/>
              </w:rPr>
            </w:pPr>
            <w:r>
              <w:rPr>
                <w:szCs w:val="22"/>
              </w:rPr>
              <w:t>Region 30 – Upstate New York</w:t>
            </w:r>
          </w:p>
        </w:tc>
        <w:tc>
          <w:tcPr>
            <w:tcW w:w="2807" w:type="dxa"/>
            <w:tcBorders>
              <w:top w:val="dotDash" w:sz="4" w:space="0" w:color="auto"/>
              <w:bottom w:val="dotDash" w:sz="4" w:space="0" w:color="auto"/>
            </w:tcBorders>
          </w:tcPr>
          <w:p w:rsidR="00144AB2" w:rsidRPr="00B10B07" w:rsidRDefault="00144AB2" w:rsidP="001C05D8">
            <w:pPr>
              <w:jc w:val="center"/>
              <w:rPr>
                <w:szCs w:val="22"/>
              </w:rPr>
            </w:pPr>
            <w:r>
              <w:rPr>
                <w:szCs w:val="22"/>
              </w:rPr>
              <w:t>863.900</w:t>
            </w:r>
          </w:p>
        </w:tc>
      </w:tr>
      <w:tr w:rsidR="00144AB2" w:rsidTr="001C05D8">
        <w:trPr>
          <w:trHeight w:val="288"/>
        </w:trPr>
        <w:tc>
          <w:tcPr>
            <w:tcW w:w="1547" w:type="dxa"/>
            <w:vMerge/>
          </w:tcPr>
          <w:p w:rsidR="00144AB2" w:rsidRDefault="00144AB2" w:rsidP="001C05D8">
            <w:pPr>
              <w:jc w:val="center"/>
              <w:rPr>
                <w:szCs w:val="22"/>
              </w:rPr>
            </w:pPr>
          </w:p>
        </w:tc>
        <w:tc>
          <w:tcPr>
            <w:tcW w:w="1624" w:type="dxa"/>
            <w:vMerge/>
          </w:tcPr>
          <w:p w:rsidR="00144AB2" w:rsidRDefault="00144AB2" w:rsidP="001C05D8">
            <w:pPr>
              <w:jc w:val="center"/>
              <w:rPr>
                <w:szCs w:val="22"/>
              </w:rPr>
            </w:pPr>
          </w:p>
        </w:tc>
        <w:tc>
          <w:tcPr>
            <w:tcW w:w="3598" w:type="dxa"/>
            <w:tcBorders>
              <w:top w:val="dotDash" w:sz="4" w:space="0" w:color="auto"/>
              <w:bottom w:val="dotDash" w:sz="4" w:space="0" w:color="auto"/>
            </w:tcBorders>
          </w:tcPr>
          <w:p w:rsidR="00144AB2" w:rsidRDefault="00144AB2" w:rsidP="001C05D8">
            <w:pPr>
              <w:rPr>
                <w:szCs w:val="22"/>
              </w:rPr>
            </w:pPr>
            <w:r>
              <w:rPr>
                <w:szCs w:val="22"/>
              </w:rPr>
              <w:t>Region 55 – Western New York</w:t>
            </w:r>
          </w:p>
        </w:tc>
        <w:tc>
          <w:tcPr>
            <w:tcW w:w="2807" w:type="dxa"/>
            <w:tcBorders>
              <w:top w:val="dotDash" w:sz="4" w:space="0" w:color="auto"/>
              <w:bottom w:val="dotDash" w:sz="4" w:space="0" w:color="auto"/>
            </w:tcBorders>
          </w:tcPr>
          <w:p w:rsidR="00144AB2" w:rsidRPr="00B10B07" w:rsidRDefault="00144AB2" w:rsidP="001C05D8">
            <w:pPr>
              <w:jc w:val="center"/>
              <w:rPr>
                <w:szCs w:val="22"/>
              </w:rPr>
            </w:pPr>
            <w:r>
              <w:rPr>
                <w:szCs w:val="22"/>
              </w:rPr>
              <w:t>864.575</w:t>
            </w:r>
          </w:p>
        </w:tc>
      </w:tr>
      <w:tr w:rsidR="00144AB2" w:rsidTr="001C05D8">
        <w:trPr>
          <w:trHeight w:val="288"/>
        </w:trPr>
        <w:tc>
          <w:tcPr>
            <w:tcW w:w="1547" w:type="dxa"/>
            <w:vMerge/>
          </w:tcPr>
          <w:p w:rsidR="00144AB2" w:rsidRDefault="00144AB2" w:rsidP="001C05D8">
            <w:pPr>
              <w:jc w:val="center"/>
              <w:rPr>
                <w:szCs w:val="22"/>
              </w:rPr>
            </w:pPr>
          </w:p>
        </w:tc>
        <w:tc>
          <w:tcPr>
            <w:tcW w:w="1624" w:type="dxa"/>
            <w:vMerge/>
          </w:tcPr>
          <w:p w:rsidR="00144AB2" w:rsidRDefault="00144AB2" w:rsidP="001C05D8">
            <w:pPr>
              <w:jc w:val="center"/>
              <w:rPr>
                <w:szCs w:val="22"/>
              </w:rPr>
            </w:pPr>
          </w:p>
        </w:tc>
        <w:tc>
          <w:tcPr>
            <w:tcW w:w="3598" w:type="dxa"/>
            <w:tcBorders>
              <w:top w:val="dotDash" w:sz="4" w:space="0" w:color="auto"/>
              <w:bottom w:val="single" w:sz="4" w:space="0" w:color="auto"/>
            </w:tcBorders>
          </w:tcPr>
          <w:p w:rsidR="00144AB2" w:rsidRDefault="00144AB2" w:rsidP="001C05D8">
            <w:pPr>
              <w:rPr>
                <w:szCs w:val="22"/>
              </w:rPr>
            </w:pPr>
            <w:r>
              <w:rPr>
                <w:szCs w:val="22"/>
              </w:rPr>
              <w:t>Region 36 – Western Pennsylvania</w:t>
            </w:r>
          </w:p>
        </w:tc>
        <w:tc>
          <w:tcPr>
            <w:tcW w:w="2807" w:type="dxa"/>
            <w:tcBorders>
              <w:top w:val="dotDash" w:sz="4" w:space="0" w:color="auto"/>
              <w:bottom w:val="single" w:sz="4" w:space="0" w:color="auto"/>
            </w:tcBorders>
          </w:tcPr>
          <w:p w:rsidR="00144AB2" w:rsidRPr="00B10B07" w:rsidRDefault="00144AB2" w:rsidP="001C05D8">
            <w:pPr>
              <w:jc w:val="center"/>
              <w:rPr>
                <w:szCs w:val="22"/>
              </w:rPr>
            </w:pPr>
            <w:r>
              <w:rPr>
                <w:szCs w:val="22"/>
              </w:rPr>
              <w:t>864.825</w:t>
            </w:r>
          </w:p>
        </w:tc>
      </w:tr>
      <w:tr w:rsidR="00144AB2" w:rsidTr="001C05D8">
        <w:trPr>
          <w:trHeight w:val="288"/>
        </w:trPr>
        <w:tc>
          <w:tcPr>
            <w:tcW w:w="1547" w:type="dxa"/>
            <w:vAlign w:val="center"/>
          </w:tcPr>
          <w:p w:rsidR="00144AB2" w:rsidRDefault="00144AB2" w:rsidP="001C05D8">
            <w:pPr>
              <w:jc w:val="center"/>
              <w:rPr>
                <w:szCs w:val="22"/>
              </w:rPr>
            </w:pPr>
            <w:r>
              <w:rPr>
                <w:szCs w:val="22"/>
              </w:rPr>
              <w:t>3</w:t>
            </w:r>
          </w:p>
        </w:tc>
        <w:tc>
          <w:tcPr>
            <w:tcW w:w="1624" w:type="dxa"/>
            <w:vAlign w:val="center"/>
          </w:tcPr>
          <w:p w:rsidR="00144AB2" w:rsidRDefault="00144AB2" w:rsidP="001C05D8">
            <w:pPr>
              <w:jc w:val="center"/>
              <w:rPr>
                <w:szCs w:val="22"/>
              </w:rPr>
            </w:pPr>
            <w:r>
              <w:rPr>
                <w:szCs w:val="22"/>
              </w:rPr>
              <w:t>0 – 100</w:t>
            </w:r>
          </w:p>
        </w:tc>
        <w:tc>
          <w:tcPr>
            <w:tcW w:w="3598" w:type="dxa"/>
            <w:tcBorders>
              <w:top w:val="single" w:sz="4" w:space="0" w:color="auto"/>
              <w:bottom w:val="single" w:sz="4" w:space="0" w:color="auto"/>
            </w:tcBorders>
          </w:tcPr>
          <w:p w:rsidR="00144AB2" w:rsidRDefault="00144AB2" w:rsidP="001C05D8">
            <w:pPr>
              <w:rPr>
                <w:szCs w:val="22"/>
              </w:rPr>
            </w:pPr>
            <w:r>
              <w:rPr>
                <w:szCs w:val="22"/>
              </w:rPr>
              <w:t>Region 33 – Ohio</w:t>
            </w:r>
          </w:p>
          <w:p w:rsidR="00144AB2" w:rsidRDefault="00144AB2" w:rsidP="001C05D8">
            <w:pPr>
              <w:rPr>
                <w:szCs w:val="22"/>
              </w:rPr>
            </w:pPr>
            <w:r>
              <w:rPr>
                <w:szCs w:val="22"/>
              </w:rPr>
              <w:t>Region 21 – Michigan</w:t>
            </w:r>
          </w:p>
        </w:tc>
        <w:tc>
          <w:tcPr>
            <w:tcW w:w="2807" w:type="dxa"/>
            <w:tcBorders>
              <w:top w:val="single" w:sz="4" w:space="0" w:color="auto"/>
              <w:bottom w:val="single" w:sz="4" w:space="0" w:color="auto"/>
            </w:tcBorders>
            <w:vAlign w:val="center"/>
          </w:tcPr>
          <w:p w:rsidR="00144AB2" w:rsidRDefault="00144AB2" w:rsidP="001C05D8">
            <w:pPr>
              <w:jc w:val="center"/>
              <w:rPr>
                <w:szCs w:val="22"/>
              </w:rPr>
            </w:pPr>
            <w:r>
              <w:rPr>
                <w:szCs w:val="22"/>
              </w:rPr>
              <w:t>862.925</w:t>
            </w:r>
          </w:p>
        </w:tc>
      </w:tr>
      <w:tr w:rsidR="00144AB2" w:rsidTr="001C05D8">
        <w:trPr>
          <w:trHeight w:val="288"/>
        </w:trPr>
        <w:tc>
          <w:tcPr>
            <w:tcW w:w="1547" w:type="dxa"/>
            <w:vAlign w:val="center"/>
          </w:tcPr>
          <w:p w:rsidR="00144AB2" w:rsidRDefault="00144AB2" w:rsidP="001C05D8">
            <w:pPr>
              <w:jc w:val="center"/>
              <w:rPr>
                <w:szCs w:val="22"/>
              </w:rPr>
            </w:pPr>
            <w:r>
              <w:rPr>
                <w:szCs w:val="22"/>
              </w:rPr>
              <w:t>4</w:t>
            </w:r>
          </w:p>
        </w:tc>
        <w:tc>
          <w:tcPr>
            <w:tcW w:w="1624" w:type="dxa"/>
            <w:vAlign w:val="center"/>
          </w:tcPr>
          <w:p w:rsidR="00144AB2" w:rsidRDefault="00144AB2" w:rsidP="001C05D8">
            <w:pPr>
              <w:jc w:val="center"/>
              <w:rPr>
                <w:szCs w:val="22"/>
              </w:rPr>
            </w:pPr>
            <w:r>
              <w:rPr>
                <w:szCs w:val="22"/>
              </w:rPr>
              <w:t>0 – 100</w:t>
            </w:r>
          </w:p>
        </w:tc>
        <w:tc>
          <w:tcPr>
            <w:tcW w:w="3598" w:type="dxa"/>
            <w:tcBorders>
              <w:top w:val="single" w:sz="4" w:space="0" w:color="auto"/>
              <w:bottom w:val="single" w:sz="4" w:space="0" w:color="auto"/>
            </w:tcBorders>
          </w:tcPr>
          <w:p w:rsidR="00144AB2" w:rsidRDefault="00144AB2" w:rsidP="001C05D8">
            <w:pPr>
              <w:rPr>
                <w:szCs w:val="22"/>
              </w:rPr>
            </w:pPr>
            <w:r>
              <w:rPr>
                <w:szCs w:val="22"/>
              </w:rPr>
              <w:t>Region 22 – Minnesota</w:t>
            </w:r>
          </w:p>
          <w:p w:rsidR="00144AB2" w:rsidRDefault="00144AB2" w:rsidP="001C05D8">
            <w:pPr>
              <w:rPr>
                <w:szCs w:val="22"/>
              </w:rPr>
            </w:pPr>
            <w:r>
              <w:rPr>
                <w:szCs w:val="22"/>
              </w:rPr>
              <w:t>Region 32 – North Dakota</w:t>
            </w:r>
          </w:p>
          <w:p w:rsidR="00144AB2" w:rsidRDefault="00144AB2" w:rsidP="001C05D8">
            <w:pPr>
              <w:rPr>
                <w:szCs w:val="22"/>
              </w:rPr>
            </w:pPr>
            <w:r>
              <w:rPr>
                <w:szCs w:val="22"/>
              </w:rPr>
              <w:t>Region 25 – Montana</w:t>
            </w:r>
          </w:p>
          <w:p w:rsidR="00144AB2" w:rsidRDefault="00144AB2" w:rsidP="001C05D8">
            <w:pPr>
              <w:rPr>
                <w:szCs w:val="22"/>
              </w:rPr>
            </w:pPr>
            <w:r>
              <w:rPr>
                <w:szCs w:val="22"/>
              </w:rPr>
              <w:t>Region 12 – Idaho</w:t>
            </w:r>
          </w:p>
          <w:p w:rsidR="00144AB2" w:rsidRDefault="00144AB2" w:rsidP="001C05D8">
            <w:pPr>
              <w:rPr>
                <w:szCs w:val="22"/>
              </w:rPr>
            </w:pPr>
            <w:r>
              <w:rPr>
                <w:szCs w:val="22"/>
              </w:rPr>
              <w:t xml:space="preserve">Region 43- Washington State </w:t>
            </w:r>
          </w:p>
        </w:tc>
        <w:tc>
          <w:tcPr>
            <w:tcW w:w="2807" w:type="dxa"/>
            <w:tcBorders>
              <w:top w:val="single" w:sz="4" w:space="0" w:color="auto"/>
              <w:bottom w:val="single" w:sz="4" w:space="0" w:color="auto"/>
            </w:tcBorders>
            <w:vAlign w:val="center"/>
          </w:tcPr>
          <w:p w:rsidR="00144AB2" w:rsidRDefault="00144AB2" w:rsidP="001C05D8">
            <w:pPr>
              <w:jc w:val="center"/>
              <w:rPr>
                <w:szCs w:val="22"/>
              </w:rPr>
            </w:pPr>
            <w:r>
              <w:rPr>
                <w:szCs w:val="22"/>
              </w:rPr>
              <w:t>864.150</w:t>
            </w:r>
          </w:p>
        </w:tc>
      </w:tr>
      <w:tr w:rsidR="00144AB2" w:rsidTr="001C05D8">
        <w:trPr>
          <w:trHeight w:val="288"/>
        </w:trPr>
        <w:tc>
          <w:tcPr>
            <w:tcW w:w="1547" w:type="dxa"/>
            <w:vAlign w:val="center"/>
          </w:tcPr>
          <w:p w:rsidR="00144AB2" w:rsidRDefault="00144AB2" w:rsidP="001C05D8">
            <w:pPr>
              <w:jc w:val="center"/>
              <w:rPr>
                <w:szCs w:val="22"/>
              </w:rPr>
            </w:pPr>
            <w:r>
              <w:rPr>
                <w:szCs w:val="22"/>
              </w:rPr>
              <w:t>5</w:t>
            </w:r>
          </w:p>
        </w:tc>
        <w:tc>
          <w:tcPr>
            <w:tcW w:w="1624" w:type="dxa"/>
            <w:vAlign w:val="center"/>
          </w:tcPr>
          <w:p w:rsidR="00144AB2" w:rsidRDefault="00144AB2" w:rsidP="001C05D8">
            <w:pPr>
              <w:jc w:val="center"/>
              <w:rPr>
                <w:szCs w:val="22"/>
              </w:rPr>
            </w:pPr>
            <w:r>
              <w:rPr>
                <w:szCs w:val="22"/>
              </w:rPr>
              <w:t>0 – 140</w:t>
            </w:r>
          </w:p>
        </w:tc>
        <w:tc>
          <w:tcPr>
            <w:tcW w:w="3598" w:type="dxa"/>
            <w:tcBorders>
              <w:top w:val="single" w:sz="4" w:space="0" w:color="auto"/>
              <w:bottom w:val="single" w:sz="4" w:space="0" w:color="auto"/>
            </w:tcBorders>
          </w:tcPr>
          <w:p w:rsidR="00144AB2" w:rsidRDefault="00144AB2" w:rsidP="001C05D8">
            <w:pPr>
              <w:rPr>
                <w:szCs w:val="22"/>
              </w:rPr>
            </w:pPr>
            <w:r>
              <w:rPr>
                <w:szCs w:val="22"/>
              </w:rPr>
              <w:t>Region 43 – Washington State</w:t>
            </w:r>
          </w:p>
        </w:tc>
        <w:tc>
          <w:tcPr>
            <w:tcW w:w="2807" w:type="dxa"/>
            <w:tcBorders>
              <w:top w:val="single" w:sz="4" w:space="0" w:color="auto"/>
              <w:bottom w:val="single" w:sz="4" w:space="0" w:color="auto"/>
            </w:tcBorders>
            <w:vAlign w:val="center"/>
          </w:tcPr>
          <w:p w:rsidR="00144AB2" w:rsidRDefault="00144AB2" w:rsidP="001C05D8">
            <w:pPr>
              <w:jc w:val="center"/>
              <w:rPr>
                <w:szCs w:val="22"/>
              </w:rPr>
            </w:pPr>
            <w:r>
              <w:rPr>
                <w:szCs w:val="22"/>
              </w:rPr>
              <w:t>864.150</w:t>
            </w:r>
          </w:p>
        </w:tc>
      </w:tr>
      <w:tr w:rsidR="00144AB2" w:rsidTr="001C05D8">
        <w:trPr>
          <w:trHeight w:val="288"/>
        </w:trPr>
        <w:tc>
          <w:tcPr>
            <w:tcW w:w="1547" w:type="dxa"/>
            <w:vAlign w:val="center"/>
          </w:tcPr>
          <w:p w:rsidR="00144AB2" w:rsidRDefault="00144AB2" w:rsidP="001C05D8">
            <w:pPr>
              <w:jc w:val="center"/>
              <w:rPr>
                <w:szCs w:val="22"/>
              </w:rPr>
            </w:pPr>
            <w:r>
              <w:rPr>
                <w:szCs w:val="22"/>
              </w:rPr>
              <w:t>6</w:t>
            </w:r>
          </w:p>
        </w:tc>
        <w:tc>
          <w:tcPr>
            <w:tcW w:w="1624" w:type="dxa"/>
            <w:vAlign w:val="center"/>
          </w:tcPr>
          <w:p w:rsidR="00144AB2" w:rsidRDefault="00144AB2" w:rsidP="001C05D8">
            <w:pPr>
              <w:jc w:val="center"/>
              <w:rPr>
                <w:szCs w:val="22"/>
              </w:rPr>
            </w:pPr>
            <w:r>
              <w:rPr>
                <w:szCs w:val="22"/>
              </w:rPr>
              <w:t>0 – 100</w:t>
            </w:r>
          </w:p>
        </w:tc>
        <w:tc>
          <w:tcPr>
            <w:tcW w:w="3598" w:type="dxa"/>
            <w:tcBorders>
              <w:top w:val="single" w:sz="4" w:space="0" w:color="auto"/>
              <w:bottom w:val="single" w:sz="4" w:space="0" w:color="auto"/>
            </w:tcBorders>
          </w:tcPr>
          <w:p w:rsidR="00144AB2" w:rsidRDefault="00144AB2" w:rsidP="001C05D8">
            <w:pPr>
              <w:rPr>
                <w:szCs w:val="22"/>
              </w:rPr>
            </w:pPr>
            <w:r>
              <w:rPr>
                <w:szCs w:val="22"/>
              </w:rPr>
              <w:t>Region 2 – Alaska</w:t>
            </w:r>
          </w:p>
        </w:tc>
        <w:tc>
          <w:tcPr>
            <w:tcW w:w="2807" w:type="dxa"/>
            <w:tcBorders>
              <w:top w:val="single" w:sz="4" w:space="0" w:color="auto"/>
              <w:bottom w:val="single" w:sz="4" w:space="0" w:color="auto"/>
            </w:tcBorders>
            <w:vAlign w:val="center"/>
          </w:tcPr>
          <w:p w:rsidR="00144AB2" w:rsidRDefault="00144AB2" w:rsidP="001C05D8">
            <w:pPr>
              <w:jc w:val="center"/>
              <w:rPr>
                <w:szCs w:val="22"/>
              </w:rPr>
            </w:pPr>
            <w:r>
              <w:rPr>
                <w:szCs w:val="22"/>
              </w:rPr>
              <w:t>862.250</w:t>
            </w:r>
          </w:p>
        </w:tc>
      </w:tr>
    </w:tbl>
    <w:p w:rsidR="00144AB2" w:rsidRDefault="00144AB2" w:rsidP="00144AB2">
      <w:pPr>
        <w:ind w:left="720" w:hanging="360"/>
        <w:rPr>
          <w:szCs w:val="22"/>
        </w:rPr>
      </w:pPr>
      <w:r w:rsidRPr="0080473E">
        <w:rPr>
          <w:sz w:val="20"/>
        </w:rPr>
        <w:t xml:space="preserve">* </w:t>
      </w:r>
      <w:r>
        <w:rPr>
          <w:szCs w:val="22"/>
        </w:rPr>
        <w:tab/>
      </w:r>
      <w:r w:rsidRPr="0080473E">
        <w:rPr>
          <w:sz w:val="20"/>
        </w:rPr>
        <w:t xml:space="preserve">Dividing line reflects the frequency 12.5 kHz above the highest frequency occupied by a non-ESMR licensee except in </w:t>
      </w:r>
      <w:r>
        <w:rPr>
          <w:sz w:val="20"/>
        </w:rPr>
        <w:t>CBR 6 (</w:t>
      </w:r>
      <w:r w:rsidRPr="0080473E">
        <w:rPr>
          <w:sz w:val="20"/>
        </w:rPr>
        <w:t>Alaska</w:t>
      </w:r>
      <w:r>
        <w:rPr>
          <w:sz w:val="20"/>
        </w:rPr>
        <w:t>)</w:t>
      </w:r>
      <w:r w:rsidRPr="0080473E">
        <w:rPr>
          <w:sz w:val="20"/>
        </w:rPr>
        <w:t xml:space="preserve"> where the frequency is 12.5 kHz above highest Canada primary frequency.</w:t>
      </w:r>
      <w:r>
        <w:rPr>
          <w:szCs w:val="22"/>
        </w:rPr>
        <w:t xml:space="preserve">  </w:t>
      </w:r>
    </w:p>
    <w:p w:rsidR="00144AB2" w:rsidRDefault="00144AB2" w:rsidP="00144AB2">
      <w:pPr>
        <w:rPr>
          <w:szCs w:val="22"/>
        </w:rPr>
      </w:pPr>
    </w:p>
    <w:p w:rsidR="00144AB2" w:rsidRPr="00E526F4" w:rsidRDefault="00144AB2" w:rsidP="00144AB2">
      <w:pPr>
        <w:rPr>
          <w:b/>
          <w:szCs w:val="22"/>
        </w:rPr>
      </w:pPr>
      <w:r w:rsidRPr="00E526F4">
        <w:rPr>
          <w:b/>
          <w:szCs w:val="22"/>
        </w:rPr>
        <w:t>Table 2 – CBRs Subject to Nationwide Band Plan</w:t>
      </w:r>
    </w:p>
    <w:p w:rsidR="00144AB2" w:rsidRDefault="00144AB2" w:rsidP="00144AB2">
      <w:pPr>
        <w:rPr>
          <w:szCs w:val="22"/>
        </w:rPr>
      </w:pPr>
    </w:p>
    <w:tbl>
      <w:tblPr>
        <w:tblStyle w:val="TableGrid"/>
        <w:tblW w:w="0" w:type="auto"/>
        <w:tblLook w:val="04A0" w:firstRow="1" w:lastRow="0" w:firstColumn="1" w:lastColumn="0" w:noHBand="0" w:noVBand="1"/>
      </w:tblPr>
      <w:tblGrid>
        <w:gridCol w:w="1548"/>
        <w:gridCol w:w="1620"/>
        <w:gridCol w:w="3600"/>
        <w:gridCol w:w="2808"/>
      </w:tblGrid>
      <w:tr w:rsidR="00144AB2" w:rsidRPr="0069254A" w:rsidTr="001C05D8">
        <w:tc>
          <w:tcPr>
            <w:tcW w:w="1548" w:type="dxa"/>
          </w:tcPr>
          <w:p w:rsidR="00144AB2" w:rsidRDefault="00144AB2" w:rsidP="001C05D8">
            <w:pPr>
              <w:rPr>
                <w:szCs w:val="22"/>
              </w:rPr>
            </w:pPr>
            <w:r w:rsidRPr="00B10B07">
              <w:rPr>
                <w:b/>
                <w:szCs w:val="22"/>
              </w:rPr>
              <w:t>Canadian Border Region (CBR)</w:t>
            </w:r>
          </w:p>
        </w:tc>
        <w:tc>
          <w:tcPr>
            <w:tcW w:w="1620" w:type="dxa"/>
          </w:tcPr>
          <w:p w:rsidR="00144AB2" w:rsidRPr="00E526F4" w:rsidRDefault="00144AB2" w:rsidP="001C05D8">
            <w:pPr>
              <w:rPr>
                <w:b/>
                <w:szCs w:val="22"/>
              </w:rPr>
            </w:pPr>
            <w:r w:rsidRPr="00E526F4">
              <w:rPr>
                <w:b/>
                <w:szCs w:val="22"/>
              </w:rPr>
              <w:t xml:space="preserve">Distance CBR Extends from Canada Border </w:t>
            </w:r>
            <w:r>
              <w:rPr>
                <w:b/>
                <w:szCs w:val="22"/>
              </w:rPr>
              <w:t>(KM)</w:t>
            </w:r>
          </w:p>
        </w:tc>
        <w:tc>
          <w:tcPr>
            <w:tcW w:w="3600" w:type="dxa"/>
          </w:tcPr>
          <w:p w:rsidR="00144AB2" w:rsidRPr="0069254A" w:rsidRDefault="00144AB2" w:rsidP="001C05D8">
            <w:pPr>
              <w:rPr>
                <w:b/>
                <w:szCs w:val="22"/>
              </w:rPr>
            </w:pPr>
            <w:r w:rsidRPr="0069254A">
              <w:rPr>
                <w:b/>
                <w:szCs w:val="22"/>
              </w:rPr>
              <w:t>NPSPAC Regions</w:t>
            </w:r>
            <w:r>
              <w:rPr>
                <w:b/>
                <w:szCs w:val="22"/>
              </w:rPr>
              <w:t xml:space="preserve"> </w:t>
            </w:r>
            <w:r w:rsidRPr="00E526F4">
              <w:rPr>
                <w:b/>
                <w:i/>
                <w:szCs w:val="22"/>
              </w:rPr>
              <w:t>Partially</w:t>
            </w:r>
            <w:r>
              <w:rPr>
                <w:b/>
                <w:szCs w:val="22"/>
              </w:rPr>
              <w:t xml:space="preserve"> Impacted by CBR</w:t>
            </w:r>
          </w:p>
        </w:tc>
        <w:tc>
          <w:tcPr>
            <w:tcW w:w="2808" w:type="dxa"/>
          </w:tcPr>
          <w:p w:rsidR="00144AB2" w:rsidRPr="0069254A" w:rsidRDefault="00144AB2" w:rsidP="001C05D8">
            <w:pPr>
              <w:rPr>
                <w:b/>
                <w:szCs w:val="22"/>
              </w:rPr>
            </w:pPr>
            <w:r w:rsidRPr="0069254A">
              <w:rPr>
                <w:b/>
                <w:szCs w:val="22"/>
              </w:rPr>
              <w:t>Dividing Line Between ESMR and Non-ESMR Segment</w:t>
            </w:r>
            <w:r>
              <w:rPr>
                <w:b/>
                <w:szCs w:val="22"/>
              </w:rPr>
              <w:t>s</w:t>
            </w:r>
            <w:r w:rsidRPr="0069254A">
              <w:rPr>
                <w:b/>
                <w:szCs w:val="22"/>
              </w:rPr>
              <w:t xml:space="preserve"> of Band</w:t>
            </w:r>
            <w:r>
              <w:rPr>
                <w:b/>
                <w:szCs w:val="22"/>
              </w:rPr>
              <w:t xml:space="preserve"> in CBR (MHz)**</w:t>
            </w:r>
          </w:p>
        </w:tc>
      </w:tr>
      <w:tr w:rsidR="00144AB2" w:rsidTr="001C05D8">
        <w:trPr>
          <w:trHeight w:val="288"/>
        </w:trPr>
        <w:tc>
          <w:tcPr>
            <w:tcW w:w="1548" w:type="dxa"/>
            <w:vAlign w:val="center"/>
          </w:tcPr>
          <w:p w:rsidR="00144AB2" w:rsidRDefault="00144AB2" w:rsidP="001C05D8">
            <w:pPr>
              <w:jc w:val="center"/>
              <w:rPr>
                <w:szCs w:val="22"/>
              </w:rPr>
            </w:pPr>
            <w:r>
              <w:rPr>
                <w:szCs w:val="22"/>
              </w:rPr>
              <w:t>7A</w:t>
            </w:r>
          </w:p>
        </w:tc>
        <w:tc>
          <w:tcPr>
            <w:tcW w:w="1620" w:type="dxa"/>
            <w:vAlign w:val="center"/>
          </w:tcPr>
          <w:p w:rsidR="00144AB2" w:rsidRDefault="00144AB2" w:rsidP="001C05D8">
            <w:pPr>
              <w:jc w:val="center"/>
              <w:rPr>
                <w:szCs w:val="22"/>
              </w:rPr>
            </w:pPr>
            <w:r>
              <w:rPr>
                <w:szCs w:val="22"/>
              </w:rPr>
              <w:t>100 – 140</w:t>
            </w:r>
          </w:p>
        </w:tc>
        <w:tc>
          <w:tcPr>
            <w:tcW w:w="3600" w:type="dxa"/>
          </w:tcPr>
          <w:p w:rsidR="00144AB2" w:rsidRDefault="00144AB2" w:rsidP="001C05D8">
            <w:pPr>
              <w:rPr>
                <w:szCs w:val="22"/>
              </w:rPr>
            </w:pPr>
            <w:r>
              <w:rPr>
                <w:szCs w:val="22"/>
              </w:rPr>
              <w:t>Region 19 – New England</w:t>
            </w:r>
          </w:p>
          <w:p w:rsidR="00144AB2" w:rsidRDefault="00144AB2" w:rsidP="001C05D8">
            <w:pPr>
              <w:rPr>
                <w:szCs w:val="22"/>
              </w:rPr>
            </w:pPr>
            <w:r>
              <w:rPr>
                <w:szCs w:val="22"/>
              </w:rPr>
              <w:t>Region 33 – Ohio</w:t>
            </w:r>
          </w:p>
          <w:p w:rsidR="00144AB2" w:rsidRDefault="00144AB2" w:rsidP="001C05D8">
            <w:pPr>
              <w:rPr>
                <w:szCs w:val="22"/>
              </w:rPr>
            </w:pPr>
            <w:r>
              <w:rPr>
                <w:szCs w:val="22"/>
              </w:rPr>
              <w:t>Region 21 – Michigan</w:t>
            </w:r>
          </w:p>
          <w:p w:rsidR="00144AB2" w:rsidRDefault="00144AB2" w:rsidP="001C05D8">
            <w:pPr>
              <w:rPr>
                <w:szCs w:val="22"/>
              </w:rPr>
            </w:pPr>
            <w:r>
              <w:rPr>
                <w:szCs w:val="22"/>
              </w:rPr>
              <w:t>Region 22 – Minnesota</w:t>
            </w:r>
          </w:p>
          <w:p w:rsidR="00144AB2" w:rsidRDefault="00144AB2" w:rsidP="001C05D8">
            <w:pPr>
              <w:rPr>
                <w:szCs w:val="22"/>
              </w:rPr>
            </w:pPr>
            <w:r>
              <w:rPr>
                <w:szCs w:val="22"/>
              </w:rPr>
              <w:t>Region 32 – North Dakota</w:t>
            </w:r>
          </w:p>
          <w:p w:rsidR="00144AB2" w:rsidRDefault="00144AB2" w:rsidP="001C05D8">
            <w:pPr>
              <w:rPr>
                <w:szCs w:val="22"/>
              </w:rPr>
            </w:pPr>
            <w:r>
              <w:rPr>
                <w:szCs w:val="22"/>
              </w:rPr>
              <w:t>Region 25 – Montana</w:t>
            </w:r>
          </w:p>
          <w:p w:rsidR="00144AB2" w:rsidRDefault="00144AB2" w:rsidP="001C05D8">
            <w:pPr>
              <w:rPr>
                <w:szCs w:val="22"/>
              </w:rPr>
            </w:pPr>
            <w:r>
              <w:rPr>
                <w:szCs w:val="22"/>
              </w:rPr>
              <w:t>Region 12 – Idaho</w:t>
            </w:r>
          </w:p>
          <w:p w:rsidR="00144AB2" w:rsidRDefault="00144AB2" w:rsidP="001C05D8">
            <w:pPr>
              <w:rPr>
                <w:szCs w:val="22"/>
              </w:rPr>
            </w:pPr>
            <w:r>
              <w:rPr>
                <w:szCs w:val="22"/>
              </w:rPr>
              <w:t>Region 43- Washington State</w:t>
            </w:r>
          </w:p>
        </w:tc>
        <w:tc>
          <w:tcPr>
            <w:tcW w:w="2808" w:type="dxa"/>
            <w:vAlign w:val="center"/>
          </w:tcPr>
          <w:p w:rsidR="00144AB2" w:rsidRDefault="00144AB2" w:rsidP="001C05D8">
            <w:pPr>
              <w:jc w:val="center"/>
              <w:rPr>
                <w:szCs w:val="22"/>
              </w:rPr>
            </w:pPr>
            <w:r>
              <w:rPr>
                <w:szCs w:val="22"/>
              </w:rPr>
              <w:t>862.000</w:t>
            </w:r>
          </w:p>
        </w:tc>
      </w:tr>
      <w:tr w:rsidR="00144AB2" w:rsidTr="001C05D8">
        <w:trPr>
          <w:trHeight w:val="288"/>
        </w:trPr>
        <w:tc>
          <w:tcPr>
            <w:tcW w:w="1548" w:type="dxa"/>
            <w:vAlign w:val="center"/>
          </w:tcPr>
          <w:p w:rsidR="00144AB2" w:rsidRDefault="00144AB2" w:rsidP="001C05D8">
            <w:pPr>
              <w:jc w:val="center"/>
              <w:rPr>
                <w:szCs w:val="22"/>
              </w:rPr>
            </w:pPr>
            <w:r>
              <w:rPr>
                <w:szCs w:val="22"/>
              </w:rPr>
              <w:t>7B</w:t>
            </w:r>
          </w:p>
        </w:tc>
        <w:tc>
          <w:tcPr>
            <w:tcW w:w="1620" w:type="dxa"/>
            <w:vAlign w:val="center"/>
          </w:tcPr>
          <w:p w:rsidR="00144AB2" w:rsidRDefault="00144AB2" w:rsidP="001C05D8">
            <w:pPr>
              <w:jc w:val="center"/>
              <w:rPr>
                <w:szCs w:val="22"/>
              </w:rPr>
            </w:pPr>
            <w:r>
              <w:rPr>
                <w:szCs w:val="22"/>
              </w:rPr>
              <w:t>100 – 140</w:t>
            </w:r>
          </w:p>
        </w:tc>
        <w:tc>
          <w:tcPr>
            <w:tcW w:w="3600" w:type="dxa"/>
          </w:tcPr>
          <w:p w:rsidR="00144AB2" w:rsidRDefault="00144AB2" w:rsidP="001C05D8">
            <w:pPr>
              <w:rPr>
                <w:szCs w:val="22"/>
              </w:rPr>
            </w:pPr>
            <w:r>
              <w:rPr>
                <w:szCs w:val="22"/>
              </w:rPr>
              <w:t>Region 19 – New England</w:t>
            </w:r>
          </w:p>
          <w:p w:rsidR="00144AB2" w:rsidRDefault="00144AB2" w:rsidP="001C05D8">
            <w:pPr>
              <w:rPr>
                <w:szCs w:val="22"/>
              </w:rPr>
            </w:pPr>
            <w:r>
              <w:rPr>
                <w:szCs w:val="22"/>
              </w:rPr>
              <w:t>Region 30 – Upstate New York</w:t>
            </w:r>
          </w:p>
          <w:p w:rsidR="00144AB2" w:rsidRDefault="00144AB2" w:rsidP="001C05D8">
            <w:pPr>
              <w:rPr>
                <w:szCs w:val="22"/>
              </w:rPr>
            </w:pPr>
            <w:r>
              <w:rPr>
                <w:szCs w:val="22"/>
              </w:rPr>
              <w:t>Region 55 – Western New York</w:t>
            </w:r>
          </w:p>
          <w:p w:rsidR="00144AB2" w:rsidRDefault="00144AB2" w:rsidP="001C05D8">
            <w:pPr>
              <w:rPr>
                <w:szCs w:val="22"/>
              </w:rPr>
            </w:pPr>
            <w:r>
              <w:rPr>
                <w:szCs w:val="22"/>
              </w:rPr>
              <w:t>Region 36 – Western Pennsylvania</w:t>
            </w:r>
          </w:p>
        </w:tc>
        <w:tc>
          <w:tcPr>
            <w:tcW w:w="2808" w:type="dxa"/>
            <w:vAlign w:val="center"/>
          </w:tcPr>
          <w:p w:rsidR="00144AB2" w:rsidRDefault="00144AB2" w:rsidP="001C05D8">
            <w:pPr>
              <w:jc w:val="center"/>
              <w:rPr>
                <w:szCs w:val="22"/>
              </w:rPr>
            </w:pPr>
            <w:r>
              <w:rPr>
                <w:szCs w:val="22"/>
              </w:rPr>
              <w:t>862.000</w:t>
            </w:r>
          </w:p>
        </w:tc>
      </w:tr>
      <w:tr w:rsidR="00144AB2" w:rsidTr="001C05D8">
        <w:trPr>
          <w:trHeight w:val="288"/>
        </w:trPr>
        <w:tc>
          <w:tcPr>
            <w:tcW w:w="1548" w:type="dxa"/>
            <w:vAlign w:val="center"/>
          </w:tcPr>
          <w:p w:rsidR="00144AB2" w:rsidRDefault="00144AB2" w:rsidP="001C05D8">
            <w:pPr>
              <w:jc w:val="center"/>
              <w:rPr>
                <w:szCs w:val="22"/>
              </w:rPr>
            </w:pPr>
            <w:r>
              <w:rPr>
                <w:szCs w:val="22"/>
              </w:rPr>
              <w:t>8</w:t>
            </w:r>
          </w:p>
        </w:tc>
        <w:tc>
          <w:tcPr>
            <w:tcW w:w="1620" w:type="dxa"/>
            <w:vAlign w:val="center"/>
          </w:tcPr>
          <w:p w:rsidR="00144AB2" w:rsidRDefault="00144AB2" w:rsidP="001C05D8">
            <w:pPr>
              <w:jc w:val="center"/>
              <w:rPr>
                <w:szCs w:val="22"/>
              </w:rPr>
            </w:pPr>
            <w:r>
              <w:rPr>
                <w:szCs w:val="22"/>
              </w:rPr>
              <w:t>100 – 140</w:t>
            </w:r>
          </w:p>
        </w:tc>
        <w:tc>
          <w:tcPr>
            <w:tcW w:w="3600" w:type="dxa"/>
            <w:tcBorders>
              <w:bottom w:val="single" w:sz="4" w:space="0" w:color="auto"/>
            </w:tcBorders>
          </w:tcPr>
          <w:p w:rsidR="00144AB2" w:rsidRDefault="00144AB2" w:rsidP="001C05D8">
            <w:pPr>
              <w:rPr>
                <w:szCs w:val="22"/>
              </w:rPr>
            </w:pPr>
            <w:r>
              <w:rPr>
                <w:szCs w:val="22"/>
              </w:rPr>
              <w:t>Region 2 – Alaska</w:t>
            </w:r>
          </w:p>
        </w:tc>
        <w:tc>
          <w:tcPr>
            <w:tcW w:w="2808" w:type="dxa"/>
            <w:vAlign w:val="center"/>
          </w:tcPr>
          <w:p w:rsidR="00144AB2" w:rsidRDefault="00144AB2" w:rsidP="001C05D8">
            <w:pPr>
              <w:jc w:val="center"/>
              <w:rPr>
                <w:szCs w:val="22"/>
              </w:rPr>
            </w:pPr>
            <w:r>
              <w:rPr>
                <w:szCs w:val="22"/>
              </w:rPr>
              <w:t>862.000</w:t>
            </w:r>
          </w:p>
        </w:tc>
      </w:tr>
    </w:tbl>
    <w:p w:rsidR="00144AB2" w:rsidRDefault="00144AB2" w:rsidP="00144AB2">
      <w:pPr>
        <w:ind w:left="720" w:hanging="360"/>
        <w:rPr>
          <w:szCs w:val="22"/>
        </w:rPr>
      </w:pPr>
      <w:r w:rsidRPr="0080473E">
        <w:rPr>
          <w:sz w:val="20"/>
        </w:rPr>
        <w:t>*</w:t>
      </w:r>
      <w:r>
        <w:rPr>
          <w:sz w:val="20"/>
        </w:rPr>
        <w:t>*</w:t>
      </w:r>
      <w:r w:rsidRPr="0080473E">
        <w:rPr>
          <w:sz w:val="20"/>
        </w:rPr>
        <w:t xml:space="preserve"> </w:t>
      </w:r>
      <w:r>
        <w:rPr>
          <w:szCs w:val="22"/>
        </w:rPr>
        <w:tab/>
      </w:r>
      <w:r w:rsidRPr="0080473E">
        <w:rPr>
          <w:sz w:val="20"/>
        </w:rPr>
        <w:t xml:space="preserve">Dividing line reflects the frequency 12.5 kHz above the </w:t>
      </w:r>
      <w:r>
        <w:rPr>
          <w:sz w:val="20"/>
        </w:rPr>
        <w:t xml:space="preserve">highest assignable </w:t>
      </w:r>
      <w:r w:rsidRPr="0080473E">
        <w:rPr>
          <w:sz w:val="20"/>
        </w:rPr>
        <w:t xml:space="preserve">frequency </w:t>
      </w:r>
      <w:r>
        <w:rPr>
          <w:sz w:val="20"/>
        </w:rPr>
        <w:t xml:space="preserve">in the non-ESMR segment of the band according to the nationwide band plan.  </w:t>
      </w:r>
      <w:r w:rsidRPr="008350CE">
        <w:rPr>
          <w:i/>
          <w:sz w:val="20"/>
        </w:rPr>
        <w:t>See</w:t>
      </w:r>
      <w:r>
        <w:rPr>
          <w:sz w:val="20"/>
        </w:rPr>
        <w:t xml:space="preserve"> 47 CFR § 90.614(a).  </w:t>
      </w:r>
    </w:p>
    <w:p w:rsidR="00144AB2" w:rsidRPr="00B10B07" w:rsidRDefault="00144AB2" w:rsidP="00144AB2">
      <w:pPr>
        <w:rPr>
          <w:szCs w:val="22"/>
        </w:rPr>
      </w:pPr>
    </w:p>
    <w:sectPr w:rsidR="00144AB2" w:rsidRPr="00B10B07">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152"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5FB" w:rsidRDefault="005545FB">
      <w:r>
        <w:separator/>
      </w:r>
    </w:p>
  </w:endnote>
  <w:endnote w:type="continuationSeparator" w:id="0">
    <w:p w:rsidR="005545FB" w:rsidRDefault="00554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IJMAB+TimesNewRoman">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962" w:rsidRDefault="006079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07962" w:rsidRDefault="006079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962" w:rsidRDefault="006079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4511A">
      <w:rPr>
        <w:rStyle w:val="PageNumber"/>
        <w:noProof/>
      </w:rPr>
      <w:t>5</w:t>
    </w:r>
    <w:r>
      <w:rPr>
        <w:rStyle w:val="PageNumber"/>
      </w:rPr>
      <w:fldChar w:fldCharType="end"/>
    </w:r>
  </w:p>
  <w:p w:rsidR="00607962" w:rsidRDefault="006079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116" w:rsidRDefault="00D401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5FB" w:rsidRDefault="005545FB">
      <w:r>
        <w:separator/>
      </w:r>
    </w:p>
  </w:footnote>
  <w:footnote w:type="continuationSeparator" w:id="0">
    <w:p w:rsidR="005545FB" w:rsidRDefault="005545FB">
      <w:r>
        <w:continuationSeparator/>
      </w:r>
    </w:p>
  </w:footnote>
  <w:footnote w:id="1">
    <w:p w:rsidR="00144AB2" w:rsidRPr="00FA4EBA" w:rsidRDefault="00144AB2" w:rsidP="00144AB2">
      <w:pPr>
        <w:pStyle w:val="Style4"/>
      </w:pPr>
      <w:r w:rsidRPr="00FA4EBA">
        <w:rPr>
          <w:rStyle w:val="FootnoteReference"/>
        </w:rPr>
        <w:footnoteRef/>
      </w:r>
      <w:r w:rsidRPr="00FA4EBA">
        <w:t xml:space="preserve"> </w:t>
      </w:r>
      <w:r w:rsidRPr="00C6552B">
        <w:rPr>
          <w:i/>
        </w:rPr>
        <w:t>See</w:t>
      </w:r>
      <w:r w:rsidRPr="00FA4EBA">
        <w:t xml:space="preserve"> </w:t>
      </w:r>
      <w:r w:rsidRPr="00445610">
        <w:rPr>
          <w:i/>
        </w:rPr>
        <w:t>Improving Public Safety Communications in the 800 MHz Band, Second Report and Order</w:t>
      </w:r>
      <w:r w:rsidRPr="00FA4EBA">
        <w:t xml:space="preserve">, </w:t>
      </w:r>
      <w:r>
        <w:t xml:space="preserve">Second Report and Order, </w:t>
      </w:r>
      <w:r w:rsidRPr="00FA4EBA">
        <w:t>23 FCC Rcd 7605 (PSHSB 2008)</w:t>
      </w:r>
      <w:r>
        <w:t xml:space="preserve"> </w:t>
      </w:r>
      <w:r w:rsidRPr="00FA4EBA">
        <w:t>(</w:t>
      </w:r>
      <w:r w:rsidRPr="00445610">
        <w:rPr>
          <w:i/>
        </w:rPr>
        <w:t>800 MHz 2</w:t>
      </w:r>
      <w:r w:rsidRPr="00445610">
        <w:rPr>
          <w:i/>
          <w:vertAlign w:val="superscript"/>
        </w:rPr>
        <w:t>nd</w:t>
      </w:r>
      <w:r w:rsidRPr="00445610">
        <w:rPr>
          <w:i/>
        </w:rPr>
        <w:t xml:space="preserve"> R&amp;O</w:t>
      </w:r>
      <w:r w:rsidRPr="00FA4EBA">
        <w:t>).</w:t>
      </w:r>
    </w:p>
  </w:footnote>
  <w:footnote w:id="2">
    <w:p w:rsidR="00144AB2" w:rsidRPr="00445610" w:rsidRDefault="00144AB2" w:rsidP="00144AB2">
      <w:pPr>
        <w:pStyle w:val="Style4"/>
      </w:pPr>
      <w:r>
        <w:rPr>
          <w:rStyle w:val="FootnoteReference"/>
        </w:rPr>
        <w:footnoteRef/>
      </w:r>
      <w:r>
        <w:t xml:space="preserve"> Licensees operating in CBRs 1 through 6 are subject to the Canada border specific band plans adopted by the Bureau in the </w:t>
      </w:r>
      <w:r w:rsidRPr="00445610">
        <w:rPr>
          <w:i/>
        </w:rPr>
        <w:t>800 MHz 2</w:t>
      </w:r>
      <w:r w:rsidRPr="00445610">
        <w:rPr>
          <w:i/>
          <w:vertAlign w:val="superscript"/>
        </w:rPr>
        <w:t>nd</w:t>
      </w:r>
      <w:r w:rsidRPr="00445610">
        <w:rPr>
          <w:i/>
        </w:rPr>
        <w:t xml:space="preserve"> R&amp;O</w:t>
      </w:r>
      <w:r>
        <w:t xml:space="preserve"> while licensees operating in CBRs 7 and 8 are subject to the nationwide band plan. </w:t>
      </w:r>
      <w:r w:rsidRPr="00445610">
        <w:rPr>
          <w:i/>
        </w:rPr>
        <w:t>See 800 MHz 2</w:t>
      </w:r>
      <w:r w:rsidRPr="00445610">
        <w:rPr>
          <w:i/>
          <w:vertAlign w:val="superscript"/>
        </w:rPr>
        <w:t>nd</w:t>
      </w:r>
      <w:r w:rsidRPr="00445610">
        <w:rPr>
          <w:i/>
        </w:rPr>
        <w:t xml:space="preserve"> R&amp;O</w:t>
      </w:r>
      <w:r>
        <w:t xml:space="preserve">, </w:t>
      </w:r>
      <w:r w:rsidRPr="00FA4EBA">
        <w:t>23 FCC Rcd</w:t>
      </w:r>
      <w:r>
        <w:t xml:space="preserve"> 76218-19 paras. 29-36.</w:t>
      </w:r>
    </w:p>
  </w:footnote>
  <w:footnote w:id="3">
    <w:p w:rsidR="00144AB2" w:rsidRDefault="00144AB2" w:rsidP="00144AB2">
      <w:pPr>
        <w:pStyle w:val="Style4"/>
      </w:pPr>
      <w:r>
        <w:rPr>
          <w:rStyle w:val="FootnoteReference"/>
        </w:rPr>
        <w:footnoteRef/>
      </w:r>
      <w:r>
        <w:t xml:space="preserve"> </w:t>
      </w:r>
      <w:r w:rsidRPr="00C6552B">
        <w:rPr>
          <w:i/>
        </w:rPr>
        <w:t>Id.</w:t>
      </w:r>
      <w:r w:rsidRPr="00FA4EBA">
        <w:t xml:space="preserve"> at 7613</w:t>
      </w:r>
      <w:r>
        <w:t>, para. 17.</w:t>
      </w:r>
    </w:p>
  </w:footnote>
  <w:footnote w:id="4">
    <w:p w:rsidR="00144AB2" w:rsidRDefault="00144AB2" w:rsidP="00144AB2">
      <w:pPr>
        <w:pStyle w:val="Style4"/>
      </w:pPr>
      <w:r>
        <w:rPr>
          <w:rStyle w:val="FootnoteReference"/>
        </w:rPr>
        <w:footnoteRef/>
      </w:r>
      <w:r>
        <w:t xml:space="preserve"> </w:t>
      </w:r>
      <w:r w:rsidRPr="00C6552B">
        <w:rPr>
          <w:i/>
        </w:rPr>
        <w:t>Id.</w:t>
      </w:r>
    </w:p>
  </w:footnote>
  <w:footnote w:id="5">
    <w:p w:rsidR="00144AB2" w:rsidRPr="00FA4EBA" w:rsidRDefault="00144AB2" w:rsidP="00144AB2">
      <w:pPr>
        <w:pStyle w:val="Style4"/>
      </w:pPr>
      <w:r w:rsidRPr="00FA4EBA">
        <w:rPr>
          <w:rStyle w:val="FootnoteReference"/>
        </w:rPr>
        <w:footnoteRef/>
      </w:r>
      <w:r w:rsidRPr="00FA4EBA">
        <w:t xml:space="preserve"> </w:t>
      </w:r>
      <w:r w:rsidRPr="00C6552B">
        <w:rPr>
          <w:i/>
        </w:rPr>
        <w:t>Id.</w:t>
      </w:r>
    </w:p>
  </w:footnote>
  <w:footnote w:id="6">
    <w:p w:rsidR="00144AB2" w:rsidRPr="00FA4EBA" w:rsidRDefault="00144AB2" w:rsidP="00144AB2">
      <w:pPr>
        <w:pStyle w:val="Style4"/>
      </w:pPr>
      <w:r w:rsidRPr="00FA4EBA">
        <w:rPr>
          <w:rStyle w:val="FootnoteReference"/>
        </w:rPr>
        <w:footnoteRef/>
      </w:r>
      <w:r w:rsidRPr="00FA4EBA">
        <w:t xml:space="preserve"> </w:t>
      </w:r>
      <w:r w:rsidRPr="00C6552B">
        <w:rPr>
          <w:i/>
        </w:rPr>
        <w:t>Id.</w:t>
      </w:r>
      <w:r w:rsidRPr="00FA4EBA">
        <w:t xml:space="preserve"> at n.5</w:t>
      </w:r>
      <w:r>
        <w:t>5</w:t>
      </w:r>
      <w:r w:rsidRPr="00FA4EBA">
        <w:t>.</w:t>
      </w:r>
    </w:p>
  </w:footnote>
  <w:footnote w:id="7">
    <w:p w:rsidR="00144AB2" w:rsidRDefault="00144AB2" w:rsidP="00144AB2">
      <w:pPr>
        <w:pStyle w:val="Style4"/>
      </w:pPr>
      <w:r>
        <w:rPr>
          <w:rStyle w:val="FootnoteReference"/>
        </w:rPr>
        <w:footnoteRef/>
      </w:r>
      <w:r>
        <w:t xml:space="preserve"> </w:t>
      </w:r>
      <w:r w:rsidRPr="00C6552B">
        <w:rPr>
          <w:i/>
        </w:rPr>
        <w:t>Id.</w:t>
      </w:r>
      <w:r w:rsidRPr="00FA4EBA">
        <w:t xml:space="preserve"> at 761</w:t>
      </w:r>
      <w:r>
        <w:t xml:space="preserve">9, paras. 35-36.  </w:t>
      </w:r>
    </w:p>
  </w:footnote>
  <w:footnote w:id="8">
    <w:p w:rsidR="00144AB2" w:rsidRPr="00FA4EBA" w:rsidRDefault="00144AB2" w:rsidP="00144AB2">
      <w:pPr>
        <w:pStyle w:val="Style4"/>
      </w:pPr>
      <w:r w:rsidRPr="00FA4EBA">
        <w:rPr>
          <w:rStyle w:val="FootnoteReference"/>
        </w:rPr>
        <w:footnoteRef/>
      </w:r>
      <w:r w:rsidRPr="00FA4EBA">
        <w:t xml:space="preserve"> Letter from Brett S. Haan, 800 MHz Transition Administrator, LLC, to David L. Furth, Deputy Chief, Public Safety and Homeland Security Bureau (September 1, 2017)</w:t>
      </w:r>
      <w:r>
        <w:t xml:space="preserve"> </w:t>
      </w:r>
      <w:r w:rsidRPr="00FA4EBA">
        <w:t>(</w:t>
      </w:r>
      <w:r>
        <w:t>WT</w:t>
      </w:r>
      <w:r w:rsidRPr="00FA4EBA">
        <w:t xml:space="preserve"> Docket 02-55).</w:t>
      </w:r>
    </w:p>
  </w:footnote>
  <w:footnote w:id="9">
    <w:p w:rsidR="00144AB2" w:rsidRPr="005D24FC" w:rsidRDefault="00144AB2" w:rsidP="00144AB2">
      <w:pPr>
        <w:pStyle w:val="Style4"/>
      </w:pPr>
      <w:r w:rsidRPr="00FA4EBA">
        <w:rPr>
          <w:rStyle w:val="FootnoteReference"/>
        </w:rPr>
        <w:footnoteRef/>
      </w:r>
      <w:r w:rsidRPr="00FA4EBA">
        <w:t xml:space="preserve"> </w:t>
      </w:r>
      <w:r w:rsidRPr="00C6552B">
        <w:rPr>
          <w:i/>
        </w:rPr>
        <w:t>Id.</w:t>
      </w:r>
      <w:r>
        <w:t xml:space="preserve"> at 1.</w:t>
      </w:r>
      <w:r w:rsidRPr="005D24FC">
        <w:t xml:space="preserve"> </w:t>
      </w:r>
      <w:r>
        <w:t xml:space="preserve"> The TA notes that the dividing line in CBR 6 (Alaska) is set 12.5 kHz above the highest Canada primary channels because all non-ESMR licensees reconfigured into the General Category later cancelled their licenses.  </w:t>
      </w:r>
      <w:r w:rsidRPr="00C6552B">
        <w:rPr>
          <w:i/>
        </w:rPr>
        <w:t>Id.</w:t>
      </w:r>
      <w:r>
        <w:t xml:space="preserve"> at 3.</w:t>
      </w:r>
    </w:p>
  </w:footnote>
  <w:footnote w:id="10">
    <w:p w:rsidR="00144AB2" w:rsidRDefault="00144AB2" w:rsidP="00144AB2">
      <w:pPr>
        <w:pStyle w:val="Style4"/>
      </w:pPr>
      <w:r>
        <w:rPr>
          <w:rStyle w:val="FootnoteReference"/>
        </w:rPr>
        <w:footnoteRef/>
      </w:r>
      <w:r>
        <w:t xml:space="preserve"> Letter from </w:t>
      </w:r>
      <w:r w:rsidRPr="00F610D6">
        <w:t>James B. Goldstein</w:t>
      </w:r>
      <w:r>
        <w:t>, Senior Counsel, Legal and Government Affairs, Sprint Corporation, to David Furth, Deputy Chief, Public Safety and Homeland Security Bureau (Sep. 11, 2017) (WT Docket 02-55).</w:t>
      </w:r>
    </w:p>
  </w:footnote>
  <w:footnote w:id="11">
    <w:p w:rsidR="00144AB2" w:rsidRPr="00F610D6" w:rsidRDefault="00144AB2" w:rsidP="00144AB2">
      <w:pPr>
        <w:pStyle w:val="Style4"/>
      </w:pPr>
      <w:r>
        <w:rPr>
          <w:rStyle w:val="FootnoteReference"/>
        </w:rPr>
        <w:footnoteRef/>
      </w:r>
      <w:r>
        <w:t xml:space="preserve"> </w:t>
      </w:r>
      <w:r w:rsidRPr="00C6552B">
        <w:rPr>
          <w:i/>
        </w:rPr>
        <w:t>Id.</w:t>
      </w:r>
      <w:r>
        <w:t xml:space="preserve"> at 3.</w:t>
      </w:r>
    </w:p>
  </w:footnote>
  <w:footnote w:id="12">
    <w:p w:rsidR="00144AB2" w:rsidRDefault="00144AB2" w:rsidP="00144AB2">
      <w:pPr>
        <w:pStyle w:val="Style4"/>
      </w:pPr>
      <w:r>
        <w:rPr>
          <w:rStyle w:val="FootnoteReference"/>
        </w:rPr>
        <w:footnoteRef/>
      </w:r>
      <w:r>
        <w:t xml:space="preserve"> </w:t>
      </w:r>
      <w:r w:rsidRPr="00C6552B">
        <w:rPr>
          <w:i/>
        </w:rPr>
        <w:t>Id.</w:t>
      </w:r>
    </w:p>
  </w:footnote>
  <w:footnote w:id="13">
    <w:p w:rsidR="00144AB2" w:rsidRDefault="00144AB2" w:rsidP="00144AB2">
      <w:pPr>
        <w:pStyle w:val="Style4"/>
      </w:pPr>
      <w:r>
        <w:rPr>
          <w:rStyle w:val="FootnoteReference"/>
        </w:rPr>
        <w:footnoteRef/>
      </w:r>
      <w:r>
        <w:t xml:space="preserve"> </w:t>
      </w:r>
      <w:r w:rsidRPr="00C6552B">
        <w:rPr>
          <w:i/>
        </w:rPr>
        <w:t>Id.</w:t>
      </w:r>
    </w:p>
  </w:footnote>
  <w:footnote w:id="14">
    <w:p w:rsidR="00144AB2" w:rsidRDefault="00144AB2" w:rsidP="00144AB2">
      <w:pPr>
        <w:pStyle w:val="Style4"/>
      </w:pPr>
      <w:r>
        <w:rPr>
          <w:rStyle w:val="FootnoteReference"/>
        </w:rPr>
        <w:footnoteRef/>
      </w:r>
      <w:r>
        <w:t xml:space="preserve"> </w:t>
      </w:r>
      <w:r w:rsidRPr="00C6552B">
        <w:rPr>
          <w:i/>
        </w:rPr>
        <w:t>Id.</w:t>
      </w:r>
    </w:p>
  </w:footnote>
  <w:footnote w:id="15">
    <w:p w:rsidR="00144AB2" w:rsidRDefault="00144AB2" w:rsidP="00144AB2">
      <w:pPr>
        <w:pStyle w:val="Style4"/>
      </w:pPr>
      <w:r>
        <w:rPr>
          <w:rStyle w:val="FootnoteReference"/>
        </w:rPr>
        <w:footnoteRef/>
      </w:r>
      <w:r>
        <w:t xml:space="preserve"> </w:t>
      </w:r>
      <w:r w:rsidRPr="00C6552B">
        <w:rPr>
          <w:i/>
        </w:rPr>
        <w:t>Id.</w:t>
      </w:r>
      <w:r>
        <w:t xml:space="preserve"> at 3-4.</w:t>
      </w:r>
    </w:p>
  </w:footnote>
  <w:footnote w:id="16">
    <w:p w:rsidR="00144AB2" w:rsidRDefault="00144AB2" w:rsidP="00144AB2">
      <w:pPr>
        <w:pStyle w:val="Style4"/>
      </w:pPr>
      <w:r>
        <w:rPr>
          <w:rStyle w:val="FootnoteReference"/>
        </w:rPr>
        <w:footnoteRef/>
      </w:r>
      <w:r>
        <w:t xml:space="preserve"> </w:t>
      </w:r>
      <w:r w:rsidRPr="00C6552B">
        <w:rPr>
          <w:i/>
        </w:rPr>
        <w:t>Id.</w:t>
      </w:r>
    </w:p>
  </w:footnote>
  <w:footnote w:id="17">
    <w:p w:rsidR="00144AB2" w:rsidRDefault="00144AB2" w:rsidP="00144AB2">
      <w:pPr>
        <w:pStyle w:val="Style4"/>
      </w:pPr>
      <w:r>
        <w:rPr>
          <w:rStyle w:val="FootnoteReference"/>
        </w:rPr>
        <w:footnoteRef/>
      </w:r>
      <w:r>
        <w:t xml:space="preserve"> Letter from Brett S. Haan, </w:t>
      </w:r>
      <w:r w:rsidRPr="00295BFB">
        <w:t>800 MHz Transition Administrator, LLC</w:t>
      </w:r>
      <w:r>
        <w:t xml:space="preserve">, to David L. Furth, Deputy Chief, Public Safety and Homeland Security Bureau (Sep. 25, 2017) (WT Docket 02-55).  </w:t>
      </w:r>
    </w:p>
  </w:footnote>
  <w:footnote w:id="18">
    <w:p w:rsidR="00144AB2" w:rsidRDefault="00144AB2" w:rsidP="00144AB2">
      <w:pPr>
        <w:pStyle w:val="Style4"/>
      </w:pPr>
      <w:r>
        <w:rPr>
          <w:rStyle w:val="FootnoteReference"/>
        </w:rPr>
        <w:footnoteRef/>
      </w:r>
      <w:r>
        <w:t xml:space="preserve"> </w:t>
      </w:r>
      <w:r w:rsidRPr="00C6552B">
        <w:rPr>
          <w:i/>
        </w:rPr>
        <w:t>Id.</w:t>
      </w:r>
      <w:r>
        <w:t xml:space="preserve"> at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116" w:rsidRDefault="00D401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116" w:rsidRDefault="00D401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962" w:rsidRDefault="00607962">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0F643BA7" wp14:editId="13512613">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2B2E676B" wp14:editId="2E423669">
              <wp:simplePos x="0" y="0"/>
              <wp:positionH relativeFrom="column">
                <wp:posOffset>604520</wp:posOffset>
              </wp:positionH>
              <wp:positionV relativeFrom="paragraph">
                <wp:posOffset>731520</wp:posOffset>
              </wp:positionV>
              <wp:extent cx="310896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962" w:rsidRDefault="00607962">
                          <w:pPr>
                            <w:rPr>
                              <w:rFonts w:ascii="Arial" w:hAnsi="Arial"/>
                              <w:b/>
                            </w:rPr>
                          </w:pPr>
                          <w:r>
                            <w:rPr>
                              <w:rFonts w:ascii="Arial" w:hAnsi="Arial"/>
                              <w:b/>
                            </w:rPr>
                            <w:t>Federal Communications Commission</w:t>
                          </w:r>
                        </w:p>
                        <w:p w:rsidR="00607962" w:rsidRDefault="00607962">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607962" w:rsidRDefault="00607962">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type w14:anchorId="2B2E676B"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Ega&#10;V7mEAgAADwUAAA4AAAAAAAAAAAAAAAAALgIAAGRycy9lMm9Eb2MueG1sUEsBAi0AFAAGAAgAAAAh&#10;AGBZ2b/eAAAACgEAAA8AAAAAAAAAAAAAAAAA3gQAAGRycy9kb3ducmV2LnhtbFBLBQYAAAAABAAE&#10;APMAAADpBQAAAAA=&#10;" o:allowincell="f" stroked="f">
              <v:textbox>
                <w:txbxContent>
                  <w:p w:rsidR="00607962" w:rsidRDefault="00607962">
                    <w:pPr>
                      <w:rPr>
                        <w:rFonts w:ascii="Arial" w:hAnsi="Arial"/>
                        <w:b/>
                      </w:rPr>
                    </w:pPr>
                    <w:r>
                      <w:rPr>
                        <w:rFonts w:ascii="Arial" w:hAnsi="Arial"/>
                        <w:b/>
                      </w:rPr>
                      <w:t>Federal Communications Commission</w:t>
                    </w:r>
                  </w:p>
                  <w:p w:rsidR="00607962" w:rsidRDefault="00607962">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607962" w:rsidRDefault="00607962">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Pr>
        <w:rFonts w:ascii="News Gothic MT" w:hAnsi="News Gothic MT"/>
        <w:b/>
        <w:kern w:val="28"/>
        <w:sz w:val="96"/>
      </w:rPr>
      <w:t>PUBLIC NOTICE</w:t>
    </w:r>
  </w:p>
  <w:p w:rsidR="00607962" w:rsidRDefault="00607962">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1" allowOverlap="1" wp14:anchorId="3D2E1903" wp14:editId="2C824AC7">
              <wp:simplePos x="0" y="0"/>
              <wp:positionH relativeFrom="column">
                <wp:posOffset>3937635</wp:posOffset>
              </wp:positionH>
              <wp:positionV relativeFrom="paragraph">
                <wp:posOffset>76200</wp:posOffset>
              </wp:positionV>
              <wp:extent cx="2640965" cy="54864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962" w:rsidRDefault="00607962">
                          <w:pPr>
                            <w:spacing w:before="40"/>
                            <w:jc w:val="right"/>
                            <w:rPr>
                              <w:rFonts w:ascii="Arial" w:hAnsi="Arial"/>
                              <w:b/>
                              <w:sz w:val="16"/>
                            </w:rPr>
                          </w:pPr>
                          <w:r>
                            <w:rPr>
                              <w:rFonts w:ascii="Arial" w:hAnsi="Arial"/>
                              <w:b/>
                              <w:sz w:val="16"/>
                            </w:rPr>
                            <w:t xml:space="preserve">News Media Information 202 / </w:t>
                          </w:r>
                          <w:smartTag w:uri="urn:schemas-microsoft-com:office:smarttags" w:element="phone">
                            <w:smartTagPr>
                              <w:attr w:uri="urn:schemas-microsoft-com:office:office" w:name="ls" w:val="trans"/>
                              <w:attr w:name="phonenumber" w:val="$6418$$$"/>
                            </w:smartTagPr>
                            <w:r>
                              <w:rPr>
                                <w:rFonts w:ascii="Arial" w:hAnsi="Arial"/>
                                <w:b/>
                                <w:sz w:val="16"/>
                              </w:rPr>
                              <w:t>418-0500</w:t>
                            </w:r>
                          </w:smartTag>
                        </w:p>
                        <w:p w:rsidR="00607962" w:rsidRDefault="00607962">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607962" w:rsidRDefault="00607962">
                          <w:pPr>
                            <w:jc w:val="right"/>
                            <w:rPr>
                              <w:rFonts w:ascii="Arial" w:hAnsi="Arial"/>
                              <w:b/>
                              <w:sz w:val="16"/>
                            </w:rPr>
                          </w:pPr>
                          <w:r>
                            <w:rPr>
                              <w:rFonts w:ascii="Arial" w:hAnsi="Arial"/>
                              <w:b/>
                              <w:sz w:val="16"/>
                            </w:rPr>
                            <w:t xml:space="preserve">TTY: </w:t>
                          </w:r>
                          <w:smartTag w:uri="urn:schemas-microsoft-com:office:smarttags" w:element="phone">
                            <w:smartTagPr>
                              <w:attr w:uri="urn:schemas-microsoft-com:office:office" w:name="ls" w:val="trans"/>
                              <w:attr w:name="phonenumber" w:val="1888$$$$$"/>
                            </w:smartTagPr>
                            <w:r>
                              <w:rPr>
                                <w:rFonts w:ascii="Arial" w:hAnsi="Arial"/>
                                <w:b/>
                                <w:sz w:val="16"/>
                              </w:rPr>
                              <w:t>1-888-835-5322</w:t>
                            </w:r>
                          </w:smartTag>
                        </w:p>
                        <w:p w:rsidR="00607962" w:rsidRDefault="00607962">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3D2E1903" id="Text Box 3" o:spid="_x0000_s1027" type="#_x0000_t202" style="position:absolute;left:0;text-align:left;margin-left:310.05pt;margin-top:6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" stroked="f">
              <v:textbox inset=",0,,0">
                <w:txbxContent>
                  <w:p w:rsidR="00607962" w:rsidRDefault="00607962">
                    <w:pPr>
                      <w:spacing w:before="40"/>
                      <w:jc w:val="right"/>
                      <w:rPr>
                        <w:rFonts w:ascii="Arial" w:hAnsi="Arial"/>
                        <w:b/>
                        <w:sz w:val="16"/>
                      </w:rPr>
                    </w:pPr>
                    <w:r>
                      <w:rPr>
                        <w:rFonts w:ascii="Arial" w:hAnsi="Arial"/>
                        <w:b/>
                        <w:sz w:val="16"/>
                      </w:rPr>
                      <w:t xml:space="preserve">News Media Information 202 / </w:t>
                    </w:r>
                    <w:smartTag w:uri="urn:schemas-microsoft-com:office:smarttags" w:element="phone">
                      <w:smartTagPr>
                        <w:attr w:uri="urn:schemas-microsoft-com:office:office" w:name="ls" w:val="trans"/>
                        <w:attr w:name="phonenumber" w:val="$6418$$$"/>
                      </w:smartTagPr>
                      <w:r>
                        <w:rPr>
                          <w:rFonts w:ascii="Arial" w:hAnsi="Arial"/>
                          <w:b/>
                          <w:sz w:val="16"/>
                        </w:rPr>
                        <w:t>418-0500</w:t>
                      </w:r>
                    </w:smartTag>
                  </w:p>
                  <w:p w:rsidR="00607962" w:rsidRDefault="00607962">
                    <w:pPr>
                      <w:jc w:val="right"/>
                      <w:rPr>
                        <w:rFonts w:ascii="Arial" w:hAnsi="Arial"/>
                        <w:b/>
                        <w:sz w:val="16"/>
                      </w:rPr>
                    </w:pPr>
                    <w:r>
                      <w:rPr>
                        <w:rFonts w:ascii="Arial" w:hAnsi="Arial"/>
                        <w:b/>
                        <w:sz w:val="16"/>
                      </w:rPr>
                      <w:tab/>
                      <w:t xml:space="preserve">Internet: </w:t>
                    </w:r>
                    <w:bookmarkStart w:id="3" w:name="_Hlt233824"/>
                    <w:r>
                      <w:rPr>
                        <w:rFonts w:ascii="Arial" w:hAnsi="Arial"/>
                        <w:b/>
                        <w:sz w:val="16"/>
                      </w:rPr>
                      <w:t>h</w:t>
                    </w:r>
                    <w:bookmarkEnd w:id="3"/>
                    <w:r>
                      <w:rPr>
                        <w:rFonts w:ascii="Arial" w:hAnsi="Arial"/>
                        <w:b/>
                        <w:sz w:val="16"/>
                      </w:rPr>
                      <w:t>ttp://www.fcc.gov</w:t>
                    </w:r>
                  </w:p>
                  <w:p w:rsidR="00607962" w:rsidRDefault="00607962">
                    <w:pPr>
                      <w:jc w:val="right"/>
                      <w:rPr>
                        <w:rFonts w:ascii="Arial" w:hAnsi="Arial"/>
                        <w:b/>
                        <w:sz w:val="16"/>
                      </w:rPr>
                    </w:pPr>
                    <w:r>
                      <w:rPr>
                        <w:rFonts w:ascii="Arial" w:hAnsi="Arial"/>
                        <w:b/>
                        <w:sz w:val="16"/>
                      </w:rPr>
                      <w:t xml:space="preserve">TTY: </w:t>
                    </w:r>
                    <w:smartTag w:uri="urn:schemas-microsoft-com:office:smarttags" w:element="phone">
                      <w:smartTagPr>
                        <w:attr w:uri="urn:schemas-microsoft-com:office:office" w:name="ls" w:val="trans"/>
                        <w:attr w:name="phonenumber" w:val="1888$$$$$"/>
                      </w:smartTagPr>
                      <w:r>
                        <w:rPr>
                          <w:rFonts w:ascii="Arial" w:hAnsi="Arial"/>
                          <w:b/>
                          <w:sz w:val="16"/>
                        </w:rPr>
                        <w:t>1-888-835-5322</w:t>
                      </w:r>
                    </w:smartTag>
                  </w:p>
                  <w:p w:rsidR="00607962" w:rsidRDefault="00607962">
                    <w:pPr>
                      <w:jc w:val="right"/>
                    </w:pPr>
                  </w:p>
                </w:txbxContent>
              </v:textbox>
            </v:shape>
          </w:pict>
        </mc:Fallback>
      </mc:AlternateContent>
    </w:r>
    <w:r>
      <w:rPr>
        <w:rFonts w:ascii="Arial" w:hAnsi="Arial"/>
        <w:b/>
        <w:noProof/>
      </w:rPr>
      <mc:AlternateContent>
        <mc:Choice Requires="wps">
          <w:drawing>
            <wp:anchor distT="0" distB="0" distL="114300" distR="114300" simplePos="0" relativeHeight="251657216" behindDoc="0" locked="0" layoutInCell="0" allowOverlap="1" wp14:anchorId="1D7B8119" wp14:editId="26145687">
              <wp:simplePos x="0" y="0"/>
              <wp:positionH relativeFrom="column">
                <wp:posOffset>0</wp:posOffset>
              </wp:positionH>
              <wp:positionV relativeFrom="paragraph">
                <wp:posOffset>697865</wp:posOffset>
              </wp:positionV>
              <wp:extent cx="6858000" cy="254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line w14:anchorId="62859846"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YzFQ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" o:allowincell="f"/>
          </w:pict>
        </mc:Fallback>
      </mc:AlternateContent>
    </w:r>
  </w:p>
  <w:p w:rsidR="00607962" w:rsidRDefault="00607962">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29E9"/>
    <w:multiLevelType w:val="hybridMultilevel"/>
    <w:tmpl w:val="F304956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1F17A30"/>
    <w:multiLevelType w:val="hybridMultilevel"/>
    <w:tmpl w:val="B7442DDE"/>
    <w:lvl w:ilvl="0" w:tplc="68E0F1D6">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206EC8"/>
    <w:multiLevelType w:val="hybridMultilevel"/>
    <w:tmpl w:val="5FC0A828"/>
    <w:lvl w:ilvl="0" w:tplc="68E0F1D6">
      <w:start w:val="1"/>
      <w:numFmt w:val="bullet"/>
      <w:lvlText w:val=""/>
      <w:lvlJc w:val="left"/>
      <w:pPr>
        <w:tabs>
          <w:tab w:val="num" w:pos="1152"/>
        </w:tabs>
        <w:ind w:left="1152" w:hanging="216"/>
      </w:pPr>
      <w:rPr>
        <w:rFonts w:ascii="Wingdings" w:hAnsi="Wingdings" w:hint="default"/>
      </w:rPr>
    </w:lvl>
    <w:lvl w:ilvl="1" w:tplc="04090003">
      <w:start w:val="1"/>
      <w:numFmt w:val="bullet"/>
      <w:lvlText w:val="o"/>
      <w:lvlJc w:val="left"/>
      <w:pPr>
        <w:tabs>
          <w:tab w:val="num" w:pos="2376"/>
        </w:tabs>
        <w:ind w:left="2376" w:hanging="360"/>
      </w:pPr>
      <w:rPr>
        <w:rFonts w:ascii="Courier New" w:hAnsi="Courier New" w:cs="Courier New" w:hint="default"/>
      </w:rPr>
    </w:lvl>
    <w:lvl w:ilvl="2" w:tplc="04090005" w:tentative="1">
      <w:start w:val="1"/>
      <w:numFmt w:val="bullet"/>
      <w:lvlText w:val=""/>
      <w:lvlJc w:val="left"/>
      <w:pPr>
        <w:tabs>
          <w:tab w:val="num" w:pos="3096"/>
        </w:tabs>
        <w:ind w:left="3096" w:hanging="360"/>
      </w:pPr>
      <w:rPr>
        <w:rFonts w:ascii="Wingdings" w:hAnsi="Wingdings" w:hint="default"/>
      </w:rPr>
    </w:lvl>
    <w:lvl w:ilvl="3" w:tplc="04090001" w:tentative="1">
      <w:start w:val="1"/>
      <w:numFmt w:val="bullet"/>
      <w:lvlText w:val=""/>
      <w:lvlJc w:val="left"/>
      <w:pPr>
        <w:tabs>
          <w:tab w:val="num" w:pos="3816"/>
        </w:tabs>
        <w:ind w:left="3816" w:hanging="360"/>
      </w:pPr>
      <w:rPr>
        <w:rFonts w:ascii="Symbol" w:hAnsi="Symbol" w:hint="default"/>
      </w:rPr>
    </w:lvl>
    <w:lvl w:ilvl="4" w:tplc="04090003" w:tentative="1">
      <w:start w:val="1"/>
      <w:numFmt w:val="bullet"/>
      <w:lvlText w:val="o"/>
      <w:lvlJc w:val="left"/>
      <w:pPr>
        <w:tabs>
          <w:tab w:val="num" w:pos="4536"/>
        </w:tabs>
        <w:ind w:left="4536" w:hanging="360"/>
      </w:pPr>
      <w:rPr>
        <w:rFonts w:ascii="Courier New" w:hAnsi="Courier New" w:cs="Courier New" w:hint="default"/>
      </w:rPr>
    </w:lvl>
    <w:lvl w:ilvl="5" w:tplc="04090005" w:tentative="1">
      <w:start w:val="1"/>
      <w:numFmt w:val="bullet"/>
      <w:lvlText w:val=""/>
      <w:lvlJc w:val="left"/>
      <w:pPr>
        <w:tabs>
          <w:tab w:val="num" w:pos="5256"/>
        </w:tabs>
        <w:ind w:left="5256" w:hanging="360"/>
      </w:pPr>
      <w:rPr>
        <w:rFonts w:ascii="Wingdings" w:hAnsi="Wingdings" w:hint="default"/>
      </w:rPr>
    </w:lvl>
    <w:lvl w:ilvl="6" w:tplc="04090001" w:tentative="1">
      <w:start w:val="1"/>
      <w:numFmt w:val="bullet"/>
      <w:lvlText w:val=""/>
      <w:lvlJc w:val="left"/>
      <w:pPr>
        <w:tabs>
          <w:tab w:val="num" w:pos="5976"/>
        </w:tabs>
        <w:ind w:left="5976" w:hanging="360"/>
      </w:pPr>
      <w:rPr>
        <w:rFonts w:ascii="Symbol" w:hAnsi="Symbol" w:hint="default"/>
      </w:rPr>
    </w:lvl>
    <w:lvl w:ilvl="7" w:tplc="04090003" w:tentative="1">
      <w:start w:val="1"/>
      <w:numFmt w:val="bullet"/>
      <w:lvlText w:val="o"/>
      <w:lvlJc w:val="left"/>
      <w:pPr>
        <w:tabs>
          <w:tab w:val="num" w:pos="6696"/>
        </w:tabs>
        <w:ind w:left="6696" w:hanging="360"/>
      </w:pPr>
      <w:rPr>
        <w:rFonts w:ascii="Courier New" w:hAnsi="Courier New" w:cs="Courier New" w:hint="default"/>
      </w:rPr>
    </w:lvl>
    <w:lvl w:ilvl="8" w:tplc="04090005" w:tentative="1">
      <w:start w:val="1"/>
      <w:numFmt w:val="bullet"/>
      <w:lvlText w:val=""/>
      <w:lvlJc w:val="left"/>
      <w:pPr>
        <w:tabs>
          <w:tab w:val="num" w:pos="7416"/>
        </w:tabs>
        <w:ind w:left="7416" w:hanging="360"/>
      </w:pPr>
      <w:rPr>
        <w:rFonts w:ascii="Wingdings" w:hAnsi="Wingdings" w:hint="default"/>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C864FF0"/>
    <w:multiLevelType w:val="hybridMultilevel"/>
    <w:tmpl w:val="CA0CA2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34A23DD"/>
    <w:multiLevelType w:val="hybridMultilevel"/>
    <w:tmpl w:val="AFF86B74"/>
    <w:lvl w:ilvl="0" w:tplc="52A293D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F2B7C9A"/>
    <w:multiLevelType w:val="hybridMultilevel"/>
    <w:tmpl w:val="6FF45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370266C"/>
    <w:multiLevelType w:val="hybridMultilevel"/>
    <w:tmpl w:val="930A4E22"/>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1">
    <w:nsid w:val="54353E71"/>
    <w:multiLevelType w:val="hybridMultilevel"/>
    <w:tmpl w:val="6A3C09A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3">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4">
    <w:nsid w:val="61182925"/>
    <w:multiLevelType w:val="singleLevel"/>
    <w:tmpl w:val="5360E974"/>
    <w:lvl w:ilvl="0">
      <w:start w:val="1"/>
      <w:numFmt w:val="decimal"/>
      <w:pStyle w:val="ParaNum0"/>
      <w:lvlText w:val="%1."/>
      <w:lvlJc w:val="left"/>
      <w:pPr>
        <w:tabs>
          <w:tab w:val="num" w:pos="720"/>
        </w:tabs>
        <w:ind w:left="0" w:firstLine="720"/>
      </w:pPr>
      <w:rPr>
        <w:rFonts w:ascii="Times New Roman" w:hAnsi="Times New Roman" w:hint="default"/>
        <w:b w:val="0"/>
        <w:i w:val="0"/>
        <w:sz w:val="22"/>
        <w:szCs w:val="22"/>
      </w:rPr>
    </w:lvl>
  </w:abstractNum>
  <w:abstractNum w:abstractNumId="15">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12"/>
  </w:num>
  <w:num w:numId="2">
    <w:abstractNumId w:val="10"/>
  </w:num>
  <w:num w:numId="3">
    <w:abstractNumId w:val="13"/>
  </w:num>
  <w:num w:numId="4">
    <w:abstractNumId w:val="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8"/>
  </w:num>
  <w:num w:numId="12">
    <w:abstractNumId w:val="5"/>
  </w:num>
  <w:num w:numId="13">
    <w:abstractNumId w:val="6"/>
  </w:num>
  <w:num w:numId="14">
    <w:abstractNumId w:val="0"/>
  </w:num>
  <w:num w:numId="15">
    <w:abstractNumId w:val="4"/>
  </w:num>
  <w:num w:numId="16">
    <w:abstractNumId w:val="1"/>
  </w:num>
  <w:num w:numId="17">
    <w:abstractNumId w:val="2"/>
  </w:num>
  <w:num w:numId="18">
    <w:abstractNumId w:val="14"/>
  </w:num>
  <w:num w:numId="19">
    <w:abstractNumId w:val="11"/>
  </w:num>
  <w:num w:numId="20">
    <w:abstractNumId w:val="9"/>
  </w:num>
  <w:num w:numId="21">
    <w:abstractNumId w:val="1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489"/>
    <w:rsid w:val="00001748"/>
    <w:rsid w:val="0001151F"/>
    <w:rsid w:val="00020551"/>
    <w:rsid w:val="00027B31"/>
    <w:rsid w:val="000334A2"/>
    <w:rsid w:val="000335DB"/>
    <w:rsid w:val="00036D33"/>
    <w:rsid w:val="00037106"/>
    <w:rsid w:val="0004003B"/>
    <w:rsid w:val="000431BE"/>
    <w:rsid w:val="00044464"/>
    <w:rsid w:val="000469CA"/>
    <w:rsid w:val="0005434B"/>
    <w:rsid w:val="00060513"/>
    <w:rsid w:val="00061BF3"/>
    <w:rsid w:val="00067471"/>
    <w:rsid w:val="00071753"/>
    <w:rsid w:val="0007257A"/>
    <w:rsid w:val="000758A5"/>
    <w:rsid w:val="00077910"/>
    <w:rsid w:val="000822D0"/>
    <w:rsid w:val="00091D03"/>
    <w:rsid w:val="00094716"/>
    <w:rsid w:val="00097FB2"/>
    <w:rsid w:val="000A3818"/>
    <w:rsid w:val="000B1F43"/>
    <w:rsid w:val="000B3E9D"/>
    <w:rsid w:val="000C651B"/>
    <w:rsid w:val="000D4320"/>
    <w:rsid w:val="000D5771"/>
    <w:rsid w:val="000D7548"/>
    <w:rsid w:val="000D7FA1"/>
    <w:rsid w:val="000E03D5"/>
    <w:rsid w:val="000E16B8"/>
    <w:rsid w:val="000E2C33"/>
    <w:rsid w:val="000E7C26"/>
    <w:rsid w:val="000F193A"/>
    <w:rsid w:val="000F6BB7"/>
    <w:rsid w:val="00102D68"/>
    <w:rsid w:val="00110717"/>
    <w:rsid w:val="00115B4D"/>
    <w:rsid w:val="00126245"/>
    <w:rsid w:val="00127E3B"/>
    <w:rsid w:val="00133FC1"/>
    <w:rsid w:val="00134D49"/>
    <w:rsid w:val="00144AB2"/>
    <w:rsid w:val="001452CF"/>
    <w:rsid w:val="00154821"/>
    <w:rsid w:val="0016171F"/>
    <w:rsid w:val="00162EF5"/>
    <w:rsid w:val="00172743"/>
    <w:rsid w:val="00174CAB"/>
    <w:rsid w:val="001830C9"/>
    <w:rsid w:val="00186583"/>
    <w:rsid w:val="00194D41"/>
    <w:rsid w:val="00195B63"/>
    <w:rsid w:val="001B3F26"/>
    <w:rsid w:val="001C0150"/>
    <w:rsid w:val="001C3F8E"/>
    <w:rsid w:val="001C4478"/>
    <w:rsid w:val="001D0DEC"/>
    <w:rsid w:val="001D21F8"/>
    <w:rsid w:val="001D36E7"/>
    <w:rsid w:val="001E2E97"/>
    <w:rsid w:val="00200475"/>
    <w:rsid w:val="00200B27"/>
    <w:rsid w:val="00202034"/>
    <w:rsid w:val="002074E7"/>
    <w:rsid w:val="00213533"/>
    <w:rsid w:val="00214C52"/>
    <w:rsid w:val="00217378"/>
    <w:rsid w:val="00225226"/>
    <w:rsid w:val="002256DB"/>
    <w:rsid w:val="00230D60"/>
    <w:rsid w:val="00232864"/>
    <w:rsid w:val="00267BB2"/>
    <w:rsid w:val="002728F4"/>
    <w:rsid w:val="00276CF4"/>
    <w:rsid w:val="00283B1F"/>
    <w:rsid w:val="002A2716"/>
    <w:rsid w:val="002A3E9A"/>
    <w:rsid w:val="002B2A81"/>
    <w:rsid w:val="002B453B"/>
    <w:rsid w:val="002D549F"/>
    <w:rsid w:val="002D76E0"/>
    <w:rsid w:val="002E56E1"/>
    <w:rsid w:val="002E5A3B"/>
    <w:rsid w:val="002F0E9D"/>
    <w:rsid w:val="002F5E93"/>
    <w:rsid w:val="00301D0E"/>
    <w:rsid w:val="0030440F"/>
    <w:rsid w:val="0031345C"/>
    <w:rsid w:val="00321C3D"/>
    <w:rsid w:val="00330556"/>
    <w:rsid w:val="003428E9"/>
    <w:rsid w:val="00355C20"/>
    <w:rsid w:val="00356591"/>
    <w:rsid w:val="003617D6"/>
    <w:rsid w:val="003656F0"/>
    <w:rsid w:val="00384A9F"/>
    <w:rsid w:val="00386D90"/>
    <w:rsid w:val="003B0DCA"/>
    <w:rsid w:val="003C44A4"/>
    <w:rsid w:val="003D4AB7"/>
    <w:rsid w:val="003E045A"/>
    <w:rsid w:val="003E0B7F"/>
    <w:rsid w:val="003F0746"/>
    <w:rsid w:val="003F2BBD"/>
    <w:rsid w:val="003F60A0"/>
    <w:rsid w:val="003F725B"/>
    <w:rsid w:val="004021C5"/>
    <w:rsid w:val="0040721C"/>
    <w:rsid w:val="00407931"/>
    <w:rsid w:val="00411030"/>
    <w:rsid w:val="00412C97"/>
    <w:rsid w:val="00413F99"/>
    <w:rsid w:val="00416C3B"/>
    <w:rsid w:val="0042001A"/>
    <w:rsid w:val="00425877"/>
    <w:rsid w:val="00426790"/>
    <w:rsid w:val="00430B8A"/>
    <w:rsid w:val="004346CF"/>
    <w:rsid w:val="0043643A"/>
    <w:rsid w:val="00455A2E"/>
    <w:rsid w:val="0045753B"/>
    <w:rsid w:val="0046562C"/>
    <w:rsid w:val="00483B93"/>
    <w:rsid w:val="004912B7"/>
    <w:rsid w:val="004A5C0C"/>
    <w:rsid w:val="004B3BB0"/>
    <w:rsid w:val="004C7113"/>
    <w:rsid w:val="004D2F09"/>
    <w:rsid w:val="004D3A15"/>
    <w:rsid w:val="004D3F29"/>
    <w:rsid w:val="004D5ACE"/>
    <w:rsid w:val="004E57A8"/>
    <w:rsid w:val="00505238"/>
    <w:rsid w:val="005220EA"/>
    <w:rsid w:val="00522797"/>
    <w:rsid w:val="00534224"/>
    <w:rsid w:val="00537791"/>
    <w:rsid w:val="00550C6E"/>
    <w:rsid w:val="005545FB"/>
    <w:rsid w:val="00556B4B"/>
    <w:rsid w:val="0056506F"/>
    <w:rsid w:val="00577864"/>
    <w:rsid w:val="00581248"/>
    <w:rsid w:val="005853EA"/>
    <w:rsid w:val="00596731"/>
    <w:rsid w:val="005A3983"/>
    <w:rsid w:val="005A530F"/>
    <w:rsid w:val="005A7757"/>
    <w:rsid w:val="005B68DA"/>
    <w:rsid w:val="005C0B9E"/>
    <w:rsid w:val="005C718D"/>
    <w:rsid w:val="005D09A4"/>
    <w:rsid w:val="005D25BD"/>
    <w:rsid w:val="005D4650"/>
    <w:rsid w:val="005E0128"/>
    <w:rsid w:val="005E483E"/>
    <w:rsid w:val="005E60ED"/>
    <w:rsid w:val="0060100F"/>
    <w:rsid w:val="0060488C"/>
    <w:rsid w:val="00605373"/>
    <w:rsid w:val="00607962"/>
    <w:rsid w:val="00611333"/>
    <w:rsid w:val="00623122"/>
    <w:rsid w:val="00657659"/>
    <w:rsid w:val="00660F53"/>
    <w:rsid w:val="00685BC3"/>
    <w:rsid w:val="0068661C"/>
    <w:rsid w:val="00695019"/>
    <w:rsid w:val="006A5D95"/>
    <w:rsid w:val="006A6E55"/>
    <w:rsid w:val="006B2D9E"/>
    <w:rsid w:val="006B44DD"/>
    <w:rsid w:val="006C2A73"/>
    <w:rsid w:val="006D714B"/>
    <w:rsid w:val="006E74AA"/>
    <w:rsid w:val="006F484D"/>
    <w:rsid w:val="006F6EC6"/>
    <w:rsid w:val="00722EBF"/>
    <w:rsid w:val="007422E0"/>
    <w:rsid w:val="00755A24"/>
    <w:rsid w:val="0076104C"/>
    <w:rsid w:val="007707C7"/>
    <w:rsid w:val="0077626D"/>
    <w:rsid w:val="0078151A"/>
    <w:rsid w:val="007900D4"/>
    <w:rsid w:val="00790939"/>
    <w:rsid w:val="00796FB7"/>
    <w:rsid w:val="007A4222"/>
    <w:rsid w:val="007B5648"/>
    <w:rsid w:val="007C266F"/>
    <w:rsid w:val="007C2E19"/>
    <w:rsid w:val="007D3240"/>
    <w:rsid w:val="007D3B0D"/>
    <w:rsid w:val="007E27E0"/>
    <w:rsid w:val="007E5666"/>
    <w:rsid w:val="00814781"/>
    <w:rsid w:val="00816C95"/>
    <w:rsid w:val="00824459"/>
    <w:rsid w:val="00840FE5"/>
    <w:rsid w:val="008735B2"/>
    <w:rsid w:val="0088387F"/>
    <w:rsid w:val="00884F29"/>
    <w:rsid w:val="00892BB7"/>
    <w:rsid w:val="00893BD4"/>
    <w:rsid w:val="0089471C"/>
    <w:rsid w:val="008A723B"/>
    <w:rsid w:val="008A7461"/>
    <w:rsid w:val="008C32CD"/>
    <w:rsid w:val="008C5A96"/>
    <w:rsid w:val="008C6A37"/>
    <w:rsid w:val="008F09E1"/>
    <w:rsid w:val="008F188C"/>
    <w:rsid w:val="0090198D"/>
    <w:rsid w:val="009108BC"/>
    <w:rsid w:val="0092181F"/>
    <w:rsid w:val="00930B10"/>
    <w:rsid w:val="0096009B"/>
    <w:rsid w:val="009713EE"/>
    <w:rsid w:val="00985E98"/>
    <w:rsid w:val="009953BD"/>
    <w:rsid w:val="009A1B1C"/>
    <w:rsid w:val="009A30DB"/>
    <w:rsid w:val="009C01FB"/>
    <w:rsid w:val="009C0635"/>
    <w:rsid w:val="009C2122"/>
    <w:rsid w:val="009C725D"/>
    <w:rsid w:val="009D43AC"/>
    <w:rsid w:val="009D4BCF"/>
    <w:rsid w:val="009E7207"/>
    <w:rsid w:val="009F19E7"/>
    <w:rsid w:val="009F4D95"/>
    <w:rsid w:val="00A00C7B"/>
    <w:rsid w:val="00A00D2B"/>
    <w:rsid w:val="00A049AE"/>
    <w:rsid w:val="00A06376"/>
    <w:rsid w:val="00A15976"/>
    <w:rsid w:val="00A22B89"/>
    <w:rsid w:val="00A26603"/>
    <w:rsid w:val="00A26886"/>
    <w:rsid w:val="00A36735"/>
    <w:rsid w:val="00A37657"/>
    <w:rsid w:val="00A5103B"/>
    <w:rsid w:val="00A530F7"/>
    <w:rsid w:val="00A62097"/>
    <w:rsid w:val="00A62886"/>
    <w:rsid w:val="00A753BA"/>
    <w:rsid w:val="00A939A8"/>
    <w:rsid w:val="00A965BC"/>
    <w:rsid w:val="00AA08D7"/>
    <w:rsid w:val="00AA2E24"/>
    <w:rsid w:val="00AA6EED"/>
    <w:rsid w:val="00AD0A4C"/>
    <w:rsid w:val="00AD2E31"/>
    <w:rsid w:val="00AE7655"/>
    <w:rsid w:val="00AF4489"/>
    <w:rsid w:val="00AF5C52"/>
    <w:rsid w:val="00B012EC"/>
    <w:rsid w:val="00B14626"/>
    <w:rsid w:val="00B258DE"/>
    <w:rsid w:val="00B27EE2"/>
    <w:rsid w:val="00B32231"/>
    <w:rsid w:val="00B35835"/>
    <w:rsid w:val="00B5093B"/>
    <w:rsid w:val="00B51DD0"/>
    <w:rsid w:val="00B67EA7"/>
    <w:rsid w:val="00B701E1"/>
    <w:rsid w:val="00B7186D"/>
    <w:rsid w:val="00B91B2E"/>
    <w:rsid w:val="00B95489"/>
    <w:rsid w:val="00B97CD1"/>
    <w:rsid w:val="00BB016B"/>
    <w:rsid w:val="00BB3EC8"/>
    <w:rsid w:val="00BB50B8"/>
    <w:rsid w:val="00BE7A90"/>
    <w:rsid w:val="00BF1472"/>
    <w:rsid w:val="00C007BE"/>
    <w:rsid w:val="00C111EA"/>
    <w:rsid w:val="00C16B1F"/>
    <w:rsid w:val="00C17D2A"/>
    <w:rsid w:val="00C205FF"/>
    <w:rsid w:val="00C34916"/>
    <w:rsid w:val="00C502C8"/>
    <w:rsid w:val="00C51711"/>
    <w:rsid w:val="00C60D6B"/>
    <w:rsid w:val="00C647C1"/>
    <w:rsid w:val="00C657BF"/>
    <w:rsid w:val="00C74A86"/>
    <w:rsid w:val="00C811AD"/>
    <w:rsid w:val="00C87950"/>
    <w:rsid w:val="00C93E36"/>
    <w:rsid w:val="00C96FAD"/>
    <w:rsid w:val="00C97A6C"/>
    <w:rsid w:val="00CA7731"/>
    <w:rsid w:val="00CB3135"/>
    <w:rsid w:val="00CB7BA8"/>
    <w:rsid w:val="00CC5932"/>
    <w:rsid w:val="00CD7161"/>
    <w:rsid w:val="00CF3554"/>
    <w:rsid w:val="00CF35E9"/>
    <w:rsid w:val="00D15179"/>
    <w:rsid w:val="00D15759"/>
    <w:rsid w:val="00D15BAA"/>
    <w:rsid w:val="00D17D26"/>
    <w:rsid w:val="00D310EB"/>
    <w:rsid w:val="00D3424C"/>
    <w:rsid w:val="00D34A02"/>
    <w:rsid w:val="00D40116"/>
    <w:rsid w:val="00D4511A"/>
    <w:rsid w:val="00D53723"/>
    <w:rsid w:val="00D56963"/>
    <w:rsid w:val="00D6160E"/>
    <w:rsid w:val="00D724E2"/>
    <w:rsid w:val="00D770AD"/>
    <w:rsid w:val="00D80825"/>
    <w:rsid w:val="00D8534B"/>
    <w:rsid w:val="00D91D46"/>
    <w:rsid w:val="00DA0D77"/>
    <w:rsid w:val="00DB4266"/>
    <w:rsid w:val="00DB7B95"/>
    <w:rsid w:val="00DC1E7C"/>
    <w:rsid w:val="00DC2EAC"/>
    <w:rsid w:val="00DC57BE"/>
    <w:rsid w:val="00DD0D82"/>
    <w:rsid w:val="00DE44D8"/>
    <w:rsid w:val="00DE4529"/>
    <w:rsid w:val="00DE56D4"/>
    <w:rsid w:val="00DE7680"/>
    <w:rsid w:val="00E000D4"/>
    <w:rsid w:val="00E00A89"/>
    <w:rsid w:val="00E040CA"/>
    <w:rsid w:val="00E048F5"/>
    <w:rsid w:val="00E12805"/>
    <w:rsid w:val="00E21CA9"/>
    <w:rsid w:val="00E2220A"/>
    <w:rsid w:val="00E2365D"/>
    <w:rsid w:val="00E264B5"/>
    <w:rsid w:val="00E43AD0"/>
    <w:rsid w:val="00E47315"/>
    <w:rsid w:val="00E5072B"/>
    <w:rsid w:val="00E6095D"/>
    <w:rsid w:val="00E63C2E"/>
    <w:rsid w:val="00E65327"/>
    <w:rsid w:val="00E85C4E"/>
    <w:rsid w:val="00E94C2D"/>
    <w:rsid w:val="00E95B11"/>
    <w:rsid w:val="00EB0B9F"/>
    <w:rsid w:val="00EB6534"/>
    <w:rsid w:val="00ED177F"/>
    <w:rsid w:val="00F00692"/>
    <w:rsid w:val="00F17D7B"/>
    <w:rsid w:val="00F206E3"/>
    <w:rsid w:val="00F20ED8"/>
    <w:rsid w:val="00F71798"/>
    <w:rsid w:val="00F74877"/>
    <w:rsid w:val="00F9701B"/>
    <w:rsid w:val="00FA17A5"/>
    <w:rsid w:val="00FA5B07"/>
    <w:rsid w:val="00FA7884"/>
    <w:rsid w:val="00FC197F"/>
    <w:rsid w:val="00FC654A"/>
    <w:rsid w:val="00FE1F2E"/>
    <w:rsid w:val="00FE20EA"/>
    <w:rsid w:val="00FE409E"/>
    <w:rsid w:val="00FF2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FR,Style 17,Footnote Reference/,Style 6,Style 7"/>
    <w:rPr>
      <w:vertAlign w:val="superscript"/>
    </w:rPr>
  </w:style>
  <w:style w:type="paragraph" w:styleId="FootnoteText">
    <w:name w:val="footnote text"/>
    <w:aliases w:val="Footnote Text Char1,Footnote Text Char Char,Footnote Text Char2,Footnote Text Char Char Char,Footnote Text Char2 Char Char1 Char,Footnote Text Char1 Char Char Char1 Char,Footnote Text Char Char Char Char Char Char,fn,ALTS FOOTNOTE,f"/>
    <w:basedOn w:val="Normal"/>
    <w:link w:val="FootnoteTextChar"/>
    <w:rsid w:val="000822D0"/>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3">
    <w:name w:val="Body Text 3"/>
    <w:basedOn w:val="Normal"/>
    <w:pPr>
      <w:widowControl w:val="0"/>
      <w:tabs>
        <w:tab w:val="left" w:pos="-720"/>
      </w:tabs>
      <w:suppressAutoHyphens/>
      <w:jc w:val="both"/>
    </w:pPr>
    <w:rPr>
      <w:snapToGrid w:val="0"/>
      <w:sz w:val="24"/>
    </w:rPr>
  </w:style>
  <w:style w:type="character" w:customStyle="1" w:styleId="FootnoteTextChar">
    <w:name w:val="Footnote Text Char"/>
    <w:aliases w:val="Footnote Text Char1 Char,Footnote Text Char Char Char1,Footnote Text Char2 Char,Footnote Text Char Char Char Char,Footnote Text Char2 Char Char1 Char Char,Footnote Text Char1 Char Char Char1 Char Char,fn Char,ALTS FOOTNOTE Char,f Char"/>
    <w:link w:val="FootnoteText"/>
    <w:rsid w:val="000822D0"/>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customStyle="1" w:styleId="ParaNum0">
    <w:name w:val="ParaNum"/>
    <w:basedOn w:val="Normal"/>
    <w:link w:val="ParaNumChar1"/>
    <w:pPr>
      <w:numPr>
        <w:numId w:val="18"/>
      </w:numPr>
      <w:spacing w:after="220"/>
    </w:pPr>
    <w:rPr>
      <w:szCs w:val="22"/>
    </w:rPr>
  </w:style>
  <w:style w:type="paragraph" w:customStyle="1" w:styleId="StyleParaNum11pt">
    <w:name w:val="Style ParaNum + 11 pt"/>
    <w:basedOn w:val="ParaNum0"/>
    <w:link w:val="StyleParaNum11ptChar"/>
    <w:autoRedefine/>
    <w:pPr>
      <w:tabs>
        <w:tab w:val="left" w:pos="1440"/>
      </w:tabs>
      <w:spacing w:after="240"/>
    </w:pPr>
  </w:style>
  <w:style w:type="character" w:customStyle="1" w:styleId="StyleParaNum11ptChar">
    <w:name w:val="Style ParaNum + 11 pt Char"/>
    <w:link w:val="StyleParaNum11pt"/>
    <w:rPr>
      <w:sz w:val="22"/>
      <w:szCs w:val="22"/>
      <w:lang w:val="en-US" w:eastAsia="en-US" w:bidi="ar-SA"/>
    </w:rPr>
  </w:style>
  <w:style w:type="character" w:customStyle="1" w:styleId="ParaNumChar1">
    <w:name w:val="ParaNum Char1"/>
    <w:link w:val="ParaNum0"/>
    <w:rPr>
      <w:sz w:val="22"/>
      <w:szCs w:val="22"/>
      <w:lang w:val="en-US"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Default">
    <w:name w:val="Default"/>
    <w:pPr>
      <w:autoSpaceDE w:val="0"/>
      <w:autoSpaceDN w:val="0"/>
      <w:adjustRightInd w:val="0"/>
    </w:pPr>
    <w:rPr>
      <w:rFonts w:ascii="NIJMAB+TimesNewRoman" w:hAnsi="NIJMAB+TimesNewRoman" w:cs="NIJMAB+TimesNewRoman"/>
      <w:color w:val="000000"/>
      <w:sz w:val="24"/>
      <w:szCs w:val="24"/>
    </w:rPr>
  </w:style>
  <w:style w:type="paragraph" w:styleId="Revision">
    <w:name w:val="Revision"/>
    <w:hidden/>
    <w:uiPriority w:val="99"/>
    <w:semiHidden/>
    <w:rPr>
      <w:sz w:val="22"/>
    </w:rPr>
  </w:style>
  <w:style w:type="paragraph" w:styleId="ListParagraph">
    <w:name w:val="List Paragraph"/>
    <w:basedOn w:val="Normal"/>
    <w:uiPriority w:val="34"/>
    <w:qFormat/>
    <w:rsid w:val="00407931"/>
    <w:pPr>
      <w:ind w:left="720"/>
      <w:contextualSpacing/>
    </w:pPr>
  </w:style>
  <w:style w:type="paragraph" w:customStyle="1" w:styleId="Style4">
    <w:name w:val="Style4"/>
    <w:basedOn w:val="FootnoteText"/>
    <w:qFormat/>
    <w:rsid w:val="00144A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FR,Style 17,Footnote Reference/,Style 6,Style 7"/>
    <w:rPr>
      <w:vertAlign w:val="superscript"/>
    </w:rPr>
  </w:style>
  <w:style w:type="paragraph" w:styleId="FootnoteText">
    <w:name w:val="footnote text"/>
    <w:aliases w:val="Footnote Text Char1,Footnote Text Char Char,Footnote Text Char2,Footnote Text Char Char Char,Footnote Text Char2 Char Char1 Char,Footnote Text Char1 Char Char Char1 Char,Footnote Text Char Char Char Char Char Char,fn,ALTS FOOTNOTE,f"/>
    <w:basedOn w:val="Normal"/>
    <w:link w:val="FootnoteTextChar"/>
    <w:rsid w:val="000822D0"/>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3">
    <w:name w:val="Body Text 3"/>
    <w:basedOn w:val="Normal"/>
    <w:pPr>
      <w:widowControl w:val="0"/>
      <w:tabs>
        <w:tab w:val="left" w:pos="-720"/>
      </w:tabs>
      <w:suppressAutoHyphens/>
      <w:jc w:val="both"/>
    </w:pPr>
    <w:rPr>
      <w:snapToGrid w:val="0"/>
      <w:sz w:val="24"/>
    </w:rPr>
  </w:style>
  <w:style w:type="character" w:customStyle="1" w:styleId="FootnoteTextChar">
    <w:name w:val="Footnote Text Char"/>
    <w:aliases w:val="Footnote Text Char1 Char,Footnote Text Char Char Char1,Footnote Text Char2 Char,Footnote Text Char Char Char Char,Footnote Text Char2 Char Char1 Char Char,Footnote Text Char1 Char Char Char1 Char Char,fn Char,ALTS FOOTNOTE Char,f Char"/>
    <w:link w:val="FootnoteText"/>
    <w:rsid w:val="000822D0"/>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customStyle="1" w:styleId="ParaNum0">
    <w:name w:val="ParaNum"/>
    <w:basedOn w:val="Normal"/>
    <w:link w:val="ParaNumChar1"/>
    <w:pPr>
      <w:numPr>
        <w:numId w:val="18"/>
      </w:numPr>
      <w:spacing w:after="220"/>
    </w:pPr>
    <w:rPr>
      <w:szCs w:val="22"/>
    </w:rPr>
  </w:style>
  <w:style w:type="paragraph" w:customStyle="1" w:styleId="StyleParaNum11pt">
    <w:name w:val="Style ParaNum + 11 pt"/>
    <w:basedOn w:val="ParaNum0"/>
    <w:link w:val="StyleParaNum11ptChar"/>
    <w:autoRedefine/>
    <w:pPr>
      <w:tabs>
        <w:tab w:val="left" w:pos="1440"/>
      </w:tabs>
      <w:spacing w:after="240"/>
    </w:pPr>
  </w:style>
  <w:style w:type="character" w:customStyle="1" w:styleId="StyleParaNum11ptChar">
    <w:name w:val="Style ParaNum + 11 pt Char"/>
    <w:link w:val="StyleParaNum11pt"/>
    <w:rPr>
      <w:sz w:val="22"/>
      <w:szCs w:val="22"/>
      <w:lang w:val="en-US" w:eastAsia="en-US" w:bidi="ar-SA"/>
    </w:rPr>
  </w:style>
  <w:style w:type="character" w:customStyle="1" w:styleId="ParaNumChar1">
    <w:name w:val="ParaNum Char1"/>
    <w:link w:val="ParaNum0"/>
    <w:rPr>
      <w:sz w:val="22"/>
      <w:szCs w:val="22"/>
      <w:lang w:val="en-US"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Default">
    <w:name w:val="Default"/>
    <w:pPr>
      <w:autoSpaceDE w:val="0"/>
      <w:autoSpaceDN w:val="0"/>
      <w:adjustRightInd w:val="0"/>
    </w:pPr>
    <w:rPr>
      <w:rFonts w:ascii="NIJMAB+TimesNewRoman" w:hAnsi="NIJMAB+TimesNewRoman" w:cs="NIJMAB+TimesNewRoman"/>
      <w:color w:val="000000"/>
      <w:sz w:val="24"/>
      <w:szCs w:val="24"/>
    </w:rPr>
  </w:style>
  <w:style w:type="paragraph" w:styleId="Revision">
    <w:name w:val="Revision"/>
    <w:hidden/>
    <w:uiPriority w:val="99"/>
    <w:semiHidden/>
    <w:rPr>
      <w:sz w:val="22"/>
    </w:rPr>
  </w:style>
  <w:style w:type="paragraph" w:styleId="ListParagraph">
    <w:name w:val="List Paragraph"/>
    <w:basedOn w:val="Normal"/>
    <w:uiPriority w:val="34"/>
    <w:qFormat/>
    <w:rsid w:val="00407931"/>
    <w:pPr>
      <w:ind w:left="720"/>
      <w:contextualSpacing/>
    </w:pPr>
  </w:style>
  <w:style w:type="paragraph" w:customStyle="1" w:styleId="Style4">
    <w:name w:val="Style4"/>
    <w:basedOn w:val="FootnoteText"/>
    <w:qFormat/>
    <w:rsid w:val="00144A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58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ian.Marenco@fc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1323</Words>
  <Characters>6598</Characters>
  <Application>Microsoft Office Word</Application>
  <DocSecurity>0</DocSecurity>
  <Lines>227</Lines>
  <Paragraphs>113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7955</CharactersWithSpaces>
  <SharedDoc>false</SharedDoc>
  <HyperlinkBase> </HyperlinkBase>
  <HLinks>
    <vt:vector size="30" baseType="variant">
      <vt:variant>
        <vt:i4>852082</vt:i4>
      </vt:variant>
      <vt:variant>
        <vt:i4>6</vt:i4>
      </vt:variant>
      <vt:variant>
        <vt:i4>0</vt:i4>
      </vt:variant>
      <vt:variant>
        <vt:i4>5</vt:i4>
      </vt:variant>
      <vt:variant>
        <vt:lpwstr>mailto:Brian.Marenco@fcc.gov</vt:lpwstr>
      </vt:variant>
      <vt:variant>
        <vt:lpwstr/>
      </vt:variant>
      <vt:variant>
        <vt:i4>5701727</vt:i4>
      </vt:variant>
      <vt:variant>
        <vt:i4>3</vt:i4>
      </vt:variant>
      <vt:variant>
        <vt:i4>0</vt:i4>
      </vt:variant>
      <vt:variant>
        <vt:i4>5</vt:i4>
      </vt:variant>
      <vt:variant>
        <vt:lpwstr>http://wireless.fcc.gov/uls/index.htm?job=transaction&amp;page=weekly</vt:lpwstr>
      </vt:variant>
      <vt:variant>
        <vt:lpwstr/>
      </vt:variant>
      <vt:variant>
        <vt:i4>2162731</vt:i4>
      </vt:variant>
      <vt:variant>
        <vt:i4>0</vt:i4>
      </vt:variant>
      <vt:variant>
        <vt:i4>0</vt:i4>
      </vt:variant>
      <vt:variant>
        <vt:i4>5</vt:i4>
      </vt:variant>
      <vt:variant>
        <vt:lpwstr>http://wireless2.fcc.gov/UlsApp/UlsSearch/searchLicense.jsp</vt:lpwstr>
      </vt:variant>
      <vt:variant>
        <vt:lpwstr/>
      </vt:variant>
      <vt:variant>
        <vt:i4>458772</vt:i4>
      </vt:variant>
      <vt:variant>
        <vt:i4>9</vt:i4>
      </vt:variant>
      <vt:variant>
        <vt:i4>0</vt:i4>
      </vt:variant>
      <vt:variant>
        <vt:i4>5</vt:i4>
      </vt:variant>
      <vt:variant>
        <vt:lpwstr>http://www.fcc.gov/Bureaus/Wireless/Orders/1998/fcc98191.pdf</vt:lpwstr>
      </vt:variant>
      <vt:variant>
        <vt:lpwstr/>
      </vt:variant>
      <vt:variant>
        <vt:i4>6094906</vt:i4>
      </vt:variant>
      <vt:variant>
        <vt:i4>6</vt:i4>
      </vt:variant>
      <vt:variant>
        <vt:i4>0</vt:i4>
      </vt:variant>
      <vt:variant>
        <vt:i4>5</vt:i4>
      </vt:variant>
      <vt:variant>
        <vt:lpwstr>https://web2.westlaw.com/find/default.wl?referencepositiontype=T&amp;docname=47CFRS90.617&amp;rp=%2ffind%2fdefault.wl&amp;sv=Split&amp;rs=WLW11.07&amp;db=1000547&amp;tf=-1&amp;findtype=L&amp;fn=_top&amp;mt=12&amp;vr=2.0&amp;referenceposition=SP%3b5ba1000067d06&amp;pbc=6ECC2F05&amp;tc=-1&amp;ordoc=2006336611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2012-09-18T12:11:00Z</cp:lastPrinted>
  <dcterms:created xsi:type="dcterms:W3CDTF">2017-11-17T14:45:00Z</dcterms:created>
  <dcterms:modified xsi:type="dcterms:W3CDTF">2017-11-17T14:45:00Z</dcterms:modified>
  <cp:category> </cp:category>
  <cp:contentStatus> </cp:contentStatus>
</cp:coreProperties>
</file>