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EC112" w14:textId="484FED6E" w:rsidR="00C41AE0" w:rsidRPr="00566ACA" w:rsidRDefault="00031357" w:rsidP="005B3BEC">
      <w:pPr>
        <w:ind w:left="6480" w:firstLine="720"/>
        <w:rPr>
          <w:szCs w:val="22"/>
        </w:rPr>
      </w:pPr>
      <w:bookmarkStart w:id="0" w:name="Text1"/>
      <w:bookmarkStart w:id="1" w:name="_GoBack"/>
      <w:bookmarkEnd w:id="1"/>
      <w:r>
        <w:rPr>
          <w:szCs w:val="22"/>
        </w:rPr>
        <w:t xml:space="preserve">            </w:t>
      </w:r>
      <w:r w:rsidR="005C7D25" w:rsidRPr="00566ACA">
        <w:rPr>
          <w:szCs w:val="22"/>
        </w:rPr>
        <w:t>DA 1</w:t>
      </w:r>
      <w:bookmarkEnd w:id="0"/>
      <w:r w:rsidR="00BA0B8E">
        <w:rPr>
          <w:szCs w:val="22"/>
        </w:rPr>
        <w:t>7-1136</w:t>
      </w:r>
    </w:p>
    <w:p w14:paraId="0D71905B" w14:textId="6A9AC31D" w:rsidR="00C41AE0" w:rsidRPr="00566ACA" w:rsidRDefault="00BA0B8E" w:rsidP="00477F95">
      <w:pPr>
        <w:spacing w:after="240"/>
        <w:ind w:left="7200"/>
        <w:rPr>
          <w:szCs w:val="22"/>
        </w:rPr>
      </w:pPr>
      <w:r w:rsidRPr="00EB72E0">
        <w:rPr>
          <w:szCs w:val="22"/>
        </w:rPr>
        <w:t>November</w:t>
      </w:r>
      <w:r w:rsidR="002D747D">
        <w:rPr>
          <w:szCs w:val="22"/>
        </w:rPr>
        <w:t xml:space="preserve"> 30</w:t>
      </w:r>
      <w:r w:rsidRPr="00C331FD">
        <w:rPr>
          <w:szCs w:val="22"/>
        </w:rPr>
        <w:t xml:space="preserve">, </w:t>
      </w:r>
      <w:r w:rsidR="005B3BEC" w:rsidRPr="00C331FD">
        <w:rPr>
          <w:szCs w:val="22"/>
        </w:rPr>
        <w:t>2</w:t>
      </w:r>
      <w:r w:rsidR="005B3BEC" w:rsidRPr="00566ACA">
        <w:rPr>
          <w:szCs w:val="22"/>
        </w:rPr>
        <w:t>017</w:t>
      </w:r>
    </w:p>
    <w:p w14:paraId="58BBAB1B" w14:textId="287CA783" w:rsidR="005C7D25" w:rsidRPr="00566ACA" w:rsidRDefault="005C7D25" w:rsidP="00477F95">
      <w:pPr>
        <w:spacing w:after="240"/>
        <w:jc w:val="center"/>
        <w:rPr>
          <w:b/>
          <w:szCs w:val="22"/>
        </w:rPr>
      </w:pPr>
      <w:r w:rsidRPr="00566ACA">
        <w:rPr>
          <w:b/>
          <w:szCs w:val="22"/>
        </w:rPr>
        <w:t xml:space="preserve">WIRELESS TELECOMMUNICATIONS BUREAU </w:t>
      </w:r>
      <w:r w:rsidR="009F3720" w:rsidRPr="00566ACA">
        <w:rPr>
          <w:b/>
          <w:szCs w:val="22"/>
        </w:rPr>
        <w:t>ANNOUNCES EFFECTIVE DATE OF REVISED 800 MHZ CELLULAR SERVICE RULES</w:t>
      </w:r>
      <w:r w:rsidR="005B3BEC" w:rsidRPr="00566ACA">
        <w:rPr>
          <w:b/>
          <w:szCs w:val="22"/>
        </w:rPr>
        <w:t xml:space="preserve"> THAT REQUIRED OMB AP</w:t>
      </w:r>
      <w:r w:rsidR="00A9132B" w:rsidRPr="00566ACA">
        <w:rPr>
          <w:b/>
          <w:szCs w:val="22"/>
        </w:rPr>
        <w:t>PR</w:t>
      </w:r>
      <w:r w:rsidR="00173C33">
        <w:rPr>
          <w:b/>
          <w:szCs w:val="22"/>
        </w:rPr>
        <w:t>OVAL</w:t>
      </w:r>
    </w:p>
    <w:p w14:paraId="329FFF8E" w14:textId="77777777" w:rsidR="005C7D25" w:rsidRPr="00566ACA" w:rsidRDefault="005C7D25" w:rsidP="00CF13CF">
      <w:pPr>
        <w:spacing w:after="120"/>
        <w:jc w:val="center"/>
        <w:rPr>
          <w:b/>
          <w:szCs w:val="22"/>
        </w:rPr>
      </w:pPr>
      <w:r w:rsidRPr="00566ACA">
        <w:rPr>
          <w:b/>
          <w:szCs w:val="22"/>
        </w:rPr>
        <w:t>WT Docket No</w:t>
      </w:r>
      <w:r w:rsidR="00F57F4A" w:rsidRPr="00566ACA">
        <w:rPr>
          <w:b/>
          <w:szCs w:val="22"/>
        </w:rPr>
        <w:t>s</w:t>
      </w:r>
      <w:r w:rsidRPr="00566ACA">
        <w:rPr>
          <w:b/>
          <w:szCs w:val="22"/>
        </w:rPr>
        <w:t>. 1</w:t>
      </w:r>
      <w:r w:rsidR="009F3720" w:rsidRPr="00566ACA">
        <w:rPr>
          <w:b/>
          <w:szCs w:val="22"/>
        </w:rPr>
        <w:t>2-40</w:t>
      </w:r>
      <w:r w:rsidR="00F57F4A" w:rsidRPr="00566ACA">
        <w:rPr>
          <w:b/>
          <w:szCs w:val="22"/>
        </w:rPr>
        <w:t xml:space="preserve"> and 10-112</w:t>
      </w:r>
    </w:p>
    <w:p w14:paraId="31D2E61B" w14:textId="77777777" w:rsidR="00DB2865" w:rsidRDefault="00CC255D" w:rsidP="00FA273D">
      <w:pPr>
        <w:ind w:firstLine="720"/>
        <w:rPr>
          <w:szCs w:val="22"/>
        </w:rPr>
      </w:pPr>
      <w:r>
        <w:rPr>
          <w:szCs w:val="22"/>
        </w:rPr>
        <w:t xml:space="preserve">On March 24, </w:t>
      </w:r>
      <w:r w:rsidR="00F51F02">
        <w:rPr>
          <w:szCs w:val="22"/>
        </w:rPr>
        <w:t xml:space="preserve">2017, the Commission released its </w:t>
      </w:r>
      <w:r>
        <w:rPr>
          <w:szCs w:val="22"/>
        </w:rPr>
        <w:t>Second Report and Order in the 800 MHz Cellular Service (Cellular) reform proceeding,</w:t>
      </w:r>
      <w:r w:rsidR="00F51F02" w:rsidRPr="00566ACA">
        <w:rPr>
          <w:rStyle w:val="FootnoteReference"/>
          <w:szCs w:val="22"/>
        </w:rPr>
        <w:footnoteReference w:id="1"/>
      </w:r>
      <w:r w:rsidR="00F51F02" w:rsidRPr="00566ACA">
        <w:rPr>
          <w:szCs w:val="22"/>
        </w:rPr>
        <w:t xml:space="preserve"> </w:t>
      </w:r>
      <w:r w:rsidR="00074D3D">
        <w:rPr>
          <w:szCs w:val="22"/>
        </w:rPr>
        <w:t>and while some</w:t>
      </w:r>
      <w:r w:rsidR="00F51F02">
        <w:rPr>
          <w:szCs w:val="22"/>
        </w:rPr>
        <w:t xml:space="preserve"> of the </w:t>
      </w:r>
      <w:r>
        <w:rPr>
          <w:szCs w:val="22"/>
        </w:rPr>
        <w:t xml:space="preserve">adopted rules took effect </w:t>
      </w:r>
      <w:r w:rsidR="004616F6">
        <w:rPr>
          <w:szCs w:val="22"/>
        </w:rPr>
        <w:t xml:space="preserve">in </w:t>
      </w:r>
      <w:r>
        <w:rPr>
          <w:szCs w:val="22"/>
        </w:rPr>
        <w:t>May</w:t>
      </w:r>
      <w:r w:rsidR="004616F6">
        <w:rPr>
          <w:szCs w:val="22"/>
        </w:rPr>
        <w:t xml:space="preserve">, </w:t>
      </w:r>
      <w:r>
        <w:rPr>
          <w:szCs w:val="22"/>
        </w:rPr>
        <w:t xml:space="preserve">the approval of the Office of Management and Budget (OMB) </w:t>
      </w:r>
      <w:r w:rsidR="00593116">
        <w:rPr>
          <w:szCs w:val="22"/>
        </w:rPr>
        <w:t xml:space="preserve">was required </w:t>
      </w:r>
      <w:r>
        <w:rPr>
          <w:szCs w:val="22"/>
        </w:rPr>
        <w:t>under the Paperwork Reduction Act (PRA)</w:t>
      </w:r>
      <w:r w:rsidR="007C05EC">
        <w:rPr>
          <w:szCs w:val="22"/>
        </w:rPr>
        <w:t xml:space="preserve"> before </w:t>
      </w:r>
      <w:r w:rsidR="00074D3D">
        <w:rPr>
          <w:szCs w:val="22"/>
        </w:rPr>
        <w:t xml:space="preserve">the remainder of the </w:t>
      </w:r>
      <w:r w:rsidR="007C05EC">
        <w:rPr>
          <w:szCs w:val="22"/>
        </w:rPr>
        <w:t>adopted rules (PRA Rules)</w:t>
      </w:r>
      <w:r w:rsidR="00787289">
        <w:rPr>
          <w:szCs w:val="22"/>
        </w:rPr>
        <w:t xml:space="preserve"> </w:t>
      </w:r>
      <w:r w:rsidR="007C05EC">
        <w:rPr>
          <w:szCs w:val="22"/>
        </w:rPr>
        <w:t>could take effect</w:t>
      </w:r>
      <w:r>
        <w:rPr>
          <w:szCs w:val="22"/>
        </w:rPr>
        <w:t>.</w:t>
      </w:r>
      <w:r w:rsidR="00F51F02">
        <w:rPr>
          <w:rStyle w:val="FootnoteReference"/>
          <w:szCs w:val="22"/>
        </w:rPr>
        <w:footnoteReference w:id="2"/>
      </w:r>
      <w:r w:rsidR="00787289">
        <w:rPr>
          <w:szCs w:val="22"/>
        </w:rPr>
        <w:t xml:space="preserve">  The Commission has </w:t>
      </w:r>
      <w:r w:rsidR="00F51F02">
        <w:rPr>
          <w:szCs w:val="22"/>
        </w:rPr>
        <w:t xml:space="preserve">received </w:t>
      </w:r>
      <w:r>
        <w:rPr>
          <w:szCs w:val="22"/>
        </w:rPr>
        <w:t>the OMB approvals and</w:t>
      </w:r>
      <w:r w:rsidR="00787289">
        <w:rPr>
          <w:szCs w:val="22"/>
        </w:rPr>
        <w:t xml:space="preserve">, as of </w:t>
      </w:r>
      <w:r w:rsidR="00BA0B8E">
        <w:rPr>
          <w:szCs w:val="22"/>
        </w:rPr>
        <w:t>December 1,</w:t>
      </w:r>
      <w:r w:rsidR="004616F6">
        <w:rPr>
          <w:szCs w:val="22"/>
        </w:rPr>
        <w:t xml:space="preserve"> 2017</w:t>
      </w:r>
      <w:r w:rsidR="00787289">
        <w:rPr>
          <w:szCs w:val="22"/>
        </w:rPr>
        <w:t xml:space="preserve"> (Effective Date)</w:t>
      </w:r>
      <w:r>
        <w:rPr>
          <w:szCs w:val="22"/>
        </w:rPr>
        <w:t xml:space="preserve">, </w:t>
      </w:r>
      <w:r w:rsidRPr="00566ACA">
        <w:rPr>
          <w:szCs w:val="22"/>
        </w:rPr>
        <w:t xml:space="preserve">Cellular licensees can </w:t>
      </w:r>
      <w:r w:rsidR="00787289">
        <w:rPr>
          <w:szCs w:val="22"/>
        </w:rPr>
        <w:t xml:space="preserve">reap the numerous </w:t>
      </w:r>
      <w:r w:rsidR="00593116">
        <w:rPr>
          <w:szCs w:val="22"/>
        </w:rPr>
        <w:t>benefits of these PRA R</w:t>
      </w:r>
      <w:r w:rsidR="00787289">
        <w:rPr>
          <w:szCs w:val="22"/>
        </w:rPr>
        <w:t>ules</w:t>
      </w:r>
      <w:r>
        <w:rPr>
          <w:szCs w:val="22"/>
        </w:rPr>
        <w:t xml:space="preserve">, </w:t>
      </w:r>
      <w:r w:rsidRPr="00566ACA">
        <w:rPr>
          <w:szCs w:val="22"/>
        </w:rPr>
        <w:t>with re</w:t>
      </w:r>
      <w:r>
        <w:rPr>
          <w:szCs w:val="22"/>
        </w:rPr>
        <w:t>sulting benefits for the public.</w:t>
      </w:r>
      <w:r w:rsidR="006C1C2F" w:rsidRPr="00566ACA">
        <w:rPr>
          <w:rStyle w:val="FootnoteReference"/>
          <w:szCs w:val="22"/>
        </w:rPr>
        <w:footnoteReference w:id="3"/>
      </w:r>
      <w:r w:rsidR="000D7719">
        <w:rPr>
          <w:szCs w:val="22"/>
        </w:rPr>
        <w:t xml:space="preserve">  </w:t>
      </w:r>
      <w:r>
        <w:rPr>
          <w:szCs w:val="22"/>
        </w:rPr>
        <w:t>Most notably</w:t>
      </w:r>
      <w:r w:rsidR="00787289">
        <w:rPr>
          <w:szCs w:val="22"/>
        </w:rPr>
        <w:t xml:space="preserve"> as of the Effective D</w:t>
      </w:r>
      <w:r>
        <w:rPr>
          <w:szCs w:val="22"/>
        </w:rPr>
        <w:t>ate</w:t>
      </w:r>
      <w:r w:rsidR="00854250">
        <w:rPr>
          <w:szCs w:val="22"/>
        </w:rPr>
        <w:t>,</w:t>
      </w:r>
      <w:r>
        <w:rPr>
          <w:szCs w:val="22"/>
        </w:rPr>
        <w:t xml:space="preserve"> licensees may test and deploy </w:t>
      </w:r>
      <w:r w:rsidR="00854250">
        <w:rPr>
          <w:szCs w:val="22"/>
        </w:rPr>
        <w:t xml:space="preserve">Cellular </w:t>
      </w:r>
      <w:r w:rsidR="00CB1414">
        <w:rPr>
          <w:szCs w:val="22"/>
        </w:rPr>
        <w:t>facilities</w:t>
      </w:r>
      <w:r>
        <w:rPr>
          <w:szCs w:val="22"/>
        </w:rPr>
        <w:t xml:space="preserve"> using </w:t>
      </w:r>
      <w:r w:rsidR="004616F6">
        <w:rPr>
          <w:szCs w:val="22"/>
        </w:rPr>
        <w:t xml:space="preserve">a </w:t>
      </w:r>
      <w:r w:rsidRPr="00566ACA">
        <w:rPr>
          <w:szCs w:val="22"/>
        </w:rPr>
        <w:t>power spectral density (PSD)</w:t>
      </w:r>
      <w:r w:rsidR="004616F6">
        <w:rPr>
          <w:szCs w:val="22"/>
        </w:rPr>
        <w:t xml:space="preserve"> model</w:t>
      </w:r>
      <w:r w:rsidR="00854250">
        <w:rPr>
          <w:szCs w:val="22"/>
        </w:rPr>
        <w:t>,</w:t>
      </w:r>
      <w:r>
        <w:rPr>
          <w:szCs w:val="22"/>
        </w:rPr>
        <w:t xml:space="preserve"> giving them </w:t>
      </w:r>
      <w:r w:rsidR="00043183">
        <w:rPr>
          <w:szCs w:val="22"/>
        </w:rPr>
        <w:t xml:space="preserve">substantially </w:t>
      </w:r>
      <w:r w:rsidR="00854250">
        <w:rPr>
          <w:szCs w:val="22"/>
        </w:rPr>
        <w:t xml:space="preserve">enhanced </w:t>
      </w:r>
      <w:r>
        <w:rPr>
          <w:szCs w:val="22"/>
        </w:rPr>
        <w:t xml:space="preserve">flexibility and efficiency in their system designs to offer consumers </w:t>
      </w:r>
      <w:r w:rsidRPr="00566ACA">
        <w:rPr>
          <w:szCs w:val="22"/>
        </w:rPr>
        <w:t>more advanced wireless services</w:t>
      </w:r>
      <w:r>
        <w:rPr>
          <w:szCs w:val="22"/>
        </w:rPr>
        <w:t>.</w:t>
      </w:r>
      <w:r w:rsidR="006C1C2F">
        <w:rPr>
          <w:rStyle w:val="FootnoteReference"/>
          <w:szCs w:val="22"/>
        </w:rPr>
        <w:footnoteReference w:id="4"/>
      </w:r>
      <w:r w:rsidR="00AD5F43">
        <w:rPr>
          <w:szCs w:val="22"/>
        </w:rPr>
        <w:t xml:space="preserve">  </w:t>
      </w:r>
      <w:r w:rsidR="00787289">
        <w:rPr>
          <w:szCs w:val="22"/>
        </w:rPr>
        <w:t>Also as of the Effective D</w:t>
      </w:r>
      <w:r w:rsidRPr="00566ACA">
        <w:rPr>
          <w:szCs w:val="22"/>
        </w:rPr>
        <w:t xml:space="preserve">ate, </w:t>
      </w:r>
      <w:r w:rsidR="007C05EC">
        <w:rPr>
          <w:szCs w:val="22"/>
        </w:rPr>
        <w:t>Cellular license</w:t>
      </w:r>
      <w:r w:rsidR="00787289">
        <w:rPr>
          <w:szCs w:val="22"/>
        </w:rPr>
        <w:t xml:space="preserve">es </w:t>
      </w:r>
      <w:r w:rsidR="007C05EC">
        <w:rPr>
          <w:szCs w:val="22"/>
        </w:rPr>
        <w:t xml:space="preserve">no longer need to file a notification for </w:t>
      </w:r>
      <w:r w:rsidR="00787289">
        <w:rPr>
          <w:szCs w:val="22"/>
        </w:rPr>
        <w:t xml:space="preserve">an individual cell site’s permanent </w:t>
      </w:r>
      <w:r w:rsidR="007C05EC">
        <w:rPr>
          <w:szCs w:val="22"/>
        </w:rPr>
        <w:t>discontinuance</w:t>
      </w:r>
      <w:r w:rsidR="00787289">
        <w:rPr>
          <w:szCs w:val="22"/>
        </w:rPr>
        <w:t xml:space="preserve">, </w:t>
      </w:r>
      <w:r w:rsidR="007C05EC">
        <w:rPr>
          <w:szCs w:val="22"/>
        </w:rPr>
        <w:t>nor</w:t>
      </w:r>
      <w:r w:rsidR="00043183">
        <w:rPr>
          <w:szCs w:val="22"/>
        </w:rPr>
        <w:t xml:space="preserve"> a </w:t>
      </w:r>
      <w:r w:rsidR="00F503FF">
        <w:rPr>
          <w:szCs w:val="22"/>
        </w:rPr>
        <w:t xml:space="preserve">minor </w:t>
      </w:r>
      <w:r w:rsidR="00043183">
        <w:rPr>
          <w:szCs w:val="22"/>
        </w:rPr>
        <w:t>mod</w:t>
      </w:r>
      <w:r w:rsidR="006C1C2F">
        <w:rPr>
          <w:szCs w:val="22"/>
        </w:rPr>
        <w:t>ification app</w:t>
      </w:r>
      <w:r w:rsidR="00F503FF">
        <w:rPr>
          <w:szCs w:val="22"/>
        </w:rPr>
        <w:t>lication</w:t>
      </w:r>
      <w:r w:rsidR="00787289">
        <w:rPr>
          <w:szCs w:val="22"/>
        </w:rPr>
        <w:t xml:space="preserve"> </w:t>
      </w:r>
      <w:r w:rsidR="00F503FF">
        <w:rPr>
          <w:szCs w:val="22"/>
        </w:rPr>
        <w:t xml:space="preserve">for </w:t>
      </w:r>
      <w:r w:rsidR="007C05EC">
        <w:rPr>
          <w:szCs w:val="22"/>
        </w:rPr>
        <w:t xml:space="preserve">coverage </w:t>
      </w:r>
      <w:r w:rsidR="009A2CCA">
        <w:rPr>
          <w:szCs w:val="22"/>
        </w:rPr>
        <w:t xml:space="preserve">reduction </w:t>
      </w:r>
      <w:r w:rsidR="00F503FF">
        <w:rPr>
          <w:szCs w:val="22"/>
        </w:rPr>
        <w:t xml:space="preserve">in </w:t>
      </w:r>
      <w:r w:rsidR="007C05EC">
        <w:rPr>
          <w:szCs w:val="22"/>
        </w:rPr>
        <w:t>the licensee’s Cellular Geographic Service Area</w:t>
      </w:r>
      <w:r w:rsidR="00854250">
        <w:rPr>
          <w:szCs w:val="22"/>
        </w:rPr>
        <w:t xml:space="preserve"> (CGSA).</w:t>
      </w:r>
      <w:r w:rsidR="0061104B">
        <w:rPr>
          <w:szCs w:val="22"/>
        </w:rPr>
        <w:t xml:space="preserve">  </w:t>
      </w:r>
      <w:r w:rsidR="00854250">
        <w:rPr>
          <w:szCs w:val="22"/>
        </w:rPr>
        <w:t>Here too,</w:t>
      </w:r>
      <w:r w:rsidR="009A2CCA">
        <w:rPr>
          <w:szCs w:val="22"/>
        </w:rPr>
        <w:t xml:space="preserve"> </w:t>
      </w:r>
      <w:r w:rsidR="00854250">
        <w:rPr>
          <w:szCs w:val="22"/>
        </w:rPr>
        <w:t>the rule</w:t>
      </w:r>
      <w:r>
        <w:rPr>
          <w:szCs w:val="22"/>
        </w:rPr>
        <w:t xml:space="preserve"> revisions provide </w:t>
      </w:r>
      <w:r w:rsidRPr="00566ACA">
        <w:rPr>
          <w:szCs w:val="22"/>
        </w:rPr>
        <w:t>Cellular licensees with increased flexibilit</w:t>
      </w:r>
      <w:r>
        <w:rPr>
          <w:szCs w:val="22"/>
        </w:rPr>
        <w:t>y to improve their existing systems.</w:t>
      </w:r>
      <w:r w:rsidRPr="00566ACA">
        <w:rPr>
          <w:rStyle w:val="FootnoteReference"/>
          <w:szCs w:val="22"/>
        </w:rPr>
        <w:footnoteReference w:id="5"/>
      </w:r>
    </w:p>
    <w:p w14:paraId="77C9EFE3" w14:textId="77777777" w:rsidR="00DB2865" w:rsidRDefault="00DB2865" w:rsidP="00014121">
      <w:pPr>
        <w:ind w:firstLine="720"/>
        <w:rPr>
          <w:szCs w:val="22"/>
        </w:rPr>
      </w:pPr>
    </w:p>
    <w:p w14:paraId="1904C5EA" w14:textId="77777777" w:rsidR="00DB2865" w:rsidRDefault="00DB2865" w:rsidP="00014121">
      <w:pPr>
        <w:ind w:firstLine="720"/>
        <w:rPr>
          <w:szCs w:val="22"/>
        </w:rPr>
      </w:pPr>
    </w:p>
    <w:p w14:paraId="0842D968" w14:textId="5E6FC840" w:rsidR="00014121" w:rsidRPr="00566ACA" w:rsidRDefault="00AA5A3B" w:rsidP="00A7388B">
      <w:pPr>
        <w:ind w:firstLine="720"/>
        <w:rPr>
          <w:szCs w:val="22"/>
        </w:rPr>
      </w:pPr>
      <w:r>
        <w:rPr>
          <w:szCs w:val="22"/>
        </w:rPr>
        <w:lastRenderedPageBreak/>
        <w:t xml:space="preserve">As described in detail in the </w:t>
      </w:r>
      <w:r w:rsidR="00C57784">
        <w:rPr>
          <w:i/>
          <w:szCs w:val="22"/>
        </w:rPr>
        <w:t>Second R&amp;O</w:t>
      </w:r>
      <w:r>
        <w:rPr>
          <w:szCs w:val="22"/>
        </w:rPr>
        <w:t xml:space="preserve">, </w:t>
      </w:r>
      <w:r w:rsidR="00D167CA">
        <w:rPr>
          <w:szCs w:val="22"/>
        </w:rPr>
        <w:t xml:space="preserve">AT&amp;T and Verizon </w:t>
      </w:r>
      <w:r w:rsidR="00681046">
        <w:rPr>
          <w:szCs w:val="22"/>
        </w:rPr>
        <w:t xml:space="preserve">have </w:t>
      </w:r>
      <w:r>
        <w:rPr>
          <w:szCs w:val="22"/>
        </w:rPr>
        <w:t xml:space="preserve">voluntarily </w:t>
      </w:r>
      <w:r w:rsidR="00681046">
        <w:rPr>
          <w:szCs w:val="22"/>
        </w:rPr>
        <w:t xml:space="preserve">committed to </w:t>
      </w:r>
      <w:r>
        <w:rPr>
          <w:szCs w:val="22"/>
        </w:rPr>
        <w:t>various measures to address possible interference to public safety systems from their Cellular PSD operations, including</w:t>
      </w:r>
      <w:r w:rsidR="00D167CA">
        <w:rPr>
          <w:szCs w:val="22"/>
        </w:rPr>
        <w:t>, among other measures,</w:t>
      </w:r>
      <w:r>
        <w:rPr>
          <w:szCs w:val="22"/>
        </w:rPr>
        <w:t xml:space="preserve"> </w:t>
      </w:r>
      <w:r w:rsidR="002F6115">
        <w:rPr>
          <w:szCs w:val="22"/>
        </w:rPr>
        <w:t xml:space="preserve">testing of PSD facilities in cooperation </w:t>
      </w:r>
      <w:r w:rsidR="00681046">
        <w:rPr>
          <w:szCs w:val="22"/>
        </w:rPr>
        <w:t>with local public sa</w:t>
      </w:r>
      <w:r w:rsidR="00C75F34">
        <w:rPr>
          <w:szCs w:val="22"/>
        </w:rPr>
        <w:t>fety agencies in a phased roll-out</w:t>
      </w:r>
      <w:r w:rsidR="00793D31">
        <w:rPr>
          <w:szCs w:val="22"/>
        </w:rPr>
        <w:t xml:space="preserve"> in selected markets</w:t>
      </w:r>
      <w:r w:rsidR="0091732E">
        <w:rPr>
          <w:szCs w:val="22"/>
        </w:rPr>
        <w:t>.</w:t>
      </w:r>
      <w:r w:rsidR="002F6115">
        <w:rPr>
          <w:rStyle w:val="FootnoteReference"/>
          <w:szCs w:val="22"/>
        </w:rPr>
        <w:footnoteReference w:id="6"/>
      </w:r>
      <w:r w:rsidR="00793D31">
        <w:rPr>
          <w:szCs w:val="22"/>
        </w:rPr>
        <w:t xml:space="preserve">  </w:t>
      </w:r>
      <w:r w:rsidR="00D167CA">
        <w:rPr>
          <w:szCs w:val="22"/>
        </w:rPr>
        <w:t xml:space="preserve">They may now commence </w:t>
      </w:r>
      <w:r w:rsidR="00FA273D">
        <w:rPr>
          <w:szCs w:val="22"/>
        </w:rPr>
        <w:t>such testing.</w:t>
      </w:r>
      <w:r w:rsidR="00F246A4">
        <w:rPr>
          <w:szCs w:val="22"/>
        </w:rPr>
        <w:t xml:space="preserve">  </w:t>
      </w:r>
      <w:r w:rsidR="004E203F">
        <w:rPr>
          <w:szCs w:val="22"/>
        </w:rPr>
        <w:t>For all licensees opting to test or deploy Cellular PSD facilities, w</w:t>
      </w:r>
      <w:r w:rsidR="0091732E">
        <w:rPr>
          <w:szCs w:val="22"/>
        </w:rPr>
        <w:t xml:space="preserve">e </w:t>
      </w:r>
      <w:r w:rsidR="00FA273D">
        <w:rPr>
          <w:szCs w:val="22"/>
        </w:rPr>
        <w:t>encourage, as did the Commission, “</w:t>
      </w:r>
      <w:r w:rsidR="00EC36AB">
        <w:rPr>
          <w:szCs w:val="22"/>
        </w:rPr>
        <w:t xml:space="preserve">any </w:t>
      </w:r>
      <w:r w:rsidR="0091732E">
        <w:rPr>
          <w:szCs w:val="22"/>
        </w:rPr>
        <w:t xml:space="preserve">and all cooperation </w:t>
      </w:r>
      <w:r w:rsidR="009C5256">
        <w:rPr>
          <w:szCs w:val="22"/>
        </w:rPr>
        <w:t>aimed</w:t>
      </w:r>
      <w:r w:rsidR="00EC36AB">
        <w:rPr>
          <w:szCs w:val="22"/>
        </w:rPr>
        <w:t xml:space="preserve"> at avoiding interference to public safety communications.”</w:t>
      </w:r>
      <w:r w:rsidR="00EC36AB">
        <w:rPr>
          <w:rStyle w:val="FootnoteReference"/>
          <w:szCs w:val="22"/>
        </w:rPr>
        <w:footnoteReference w:id="7"/>
      </w:r>
      <w:r w:rsidR="00014121">
        <w:rPr>
          <w:szCs w:val="22"/>
        </w:rPr>
        <w:t xml:space="preserve">   </w:t>
      </w:r>
    </w:p>
    <w:p w14:paraId="079B2082" w14:textId="77777777" w:rsidR="00014121" w:rsidRPr="00566ACA" w:rsidRDefault="00014121" w:rsidP="00014121">
      <w:pPr>
        <w:ind w:firstLine="720"/>
        <w:rPr>
          <w:szCs w:val="22"/>
        </w:rPr>
      </w:pPr>
    </w:p>
    <w:p w14:paraId="653AD7C4" w14:textId="5EE0472D" w:rsidR="008441F5" w:rsidRDefault="008441F5" w:rsidP="00F246A4">
      <w:pPr>
        <w:ind w:firstLine="720"/>
        <w:rPr>
          <w:szCs w:val="22"/>
        </w:rPr>
      </w:pPr>
      <w:r w:rsidRPr="00566ACA">
        <w:rPr>
          <w:szCs w:val="22"/>
        </w:rPr>
        <w:t xml:space="preserve">For further information, please contact </w:t>
      </w:r>
      <w:r w:rsidR="00A7388B">
        <w:rPr>
          <w:szCs w:val="22"/>
        </w:rPr>
        <w:t xml:space="preserve">the following Wireless Telecommunications Bureau staff:  </w:t>
      </w:r>
      <w:r w:rsidRPr="00566ACA">
        <w:rPr>
          <w:szCs w:val="22"/>
        </w:rPr>
        <w:t>Nina Shafran</w:t>
      </w:r>
      <w:r w:rsidR="00E27401">
        <w:rPr>
          <w:szCs w:val="22"/>
        </w:rPr>
        <w:t xml:space="preserve"> (legal)</w:t>
      </w:r>
      <w:r w:rsidRPr="00566ACA">
        <w:rPr>
          <w:szCs w:val="22"/>
        </w:rPr>
        <w:t xml:space="preserve">, </w:t>
      </w:r>
      <w:hyperlink r:id="rId8" w:history="1">
        <w:r w:rsidRPr="00566ACA">
          <w:rPr>
            <w:rStyle w:val="Hyperlink"/>
            <w:szCs w:val="22"/>
          </w:rPr>
          <w:t>nina.shafran@fcc.gov</w:t>
        </w:r>
      </w:hyperlink>
      <w:r w:rsidRPr="00566ACA">
        <w:rPr>
          <w:szCs w:val="22"/>
        </w:rPr>
        <w:t>, (202) 418-2781</w:t>
      </w:r>
      <w:r w:rsidR="00E27401">
        <w:rPr>
          <w:szCs w:val="22"/>
        </w:rPr>
        <w:t xml:space="preserve">, or Keith Harper (engineering), </w:t>
      </w:r>
      <w:hyperlink r:id="rId9" w:history="1">
        <w:r w:rsidR="00E27401" w:rsidRPr="00561369">
          <w:rPr>
            <w:rStyle w:val="Hyperlink"/>
            <w:szCs w:val="22"/>
          </w:rPr>
          <w:t>keith.harper@fcc.gov</w:t>
        </w:r>
      </w:hyperlink>
      <w:r w:rsidR="001E76FD">
        <w:rPr>
          <w:szCs w:val="22"/>
        </w:rPr>
        <w:t>, (202) 418-2759.</w:t>
      </w:r>
    </w:p>
    <w:p w14:paraId="3836CCB0" w14:textId="77777777" w:rsidR="00E27401" w:rsidRPr="00566ACA" w:rsidRDefault="00E27401" w:rsidP="00F246A4">
      <w:pPr>
        <w:ind w:firstLine="720"/>
        <w:rPr>
          <w:szCs w:val="22"/>
        </w:rPr>
      </w:pPr>
    </w:p>
    <w:p w14:paraId="172FC8FA" w14:textId="77777777" w:rsidR="005C7D25" w:rsidRPr="00566ACA" w:rsidRDefault="005C7D25" w:rsidP="00F246A4">
      <w:pPr>
        <w:ind w:firstLine="720"/>
        <w:rPr>
          <w:szCs w:val="22"/>
        </w:rPr>
      </w:pPr>
      <w:r w:rsidRPr="00566ACA">
        <w:rPr>
          <w:szCs w:val="22"/>
        </w:rPr>
        <w:t>Action by the Chief, Mobility Division, Wireless Telecommunications Bureau.</w:t>
      </w:r>
    </w:p>
    <w:p w14:paraId="1F3DCDA7" w14:textId="77777777" w:rsidR="005C7D25" w:rsidRPr="00566ACA" w:rsidRDefault="005C7D25" w:rsidP="005C7D25">
      <w:pPr>
        <w:rPr>
          <w:szCs w:val="22"/>
        </w:rPr>
      </w:pPr>
    </w:p>
    <w:p w14:paraId="2107474D" w14:textId="77777777" w:rsidR="00C41AE0" w:rsidRPr="00566ACA" w:rsidRDefault="005C7D25">
      <w:pPr>
        <w:jc w:val="center"/>
        <w:rPr>
          <w:szCs w:val="22"/>
        </w:rPr>
      </w:pPr>
      <w:r w:rsidRPr="00566ACA">
        <w:rPr>
          <w:szCs w:val="22"/>
        </w:rPr>
        <w:t>- FCC -</w:t>
      </w:r>
    </w:p>
    <w:p w14:paraId="2F472153" w14:textId="77777777" w:rsidR="005C7D25" w:rsidRPr="00566ACA" w:rsidRDefault="005C7D25">
      <w:pPr>
        <w:spacing w:before="120" w:after="240"/>
        <w:rPr>
          <w:szCs w:val="22"/>
        </w:rPr>
      </w:pPr>
    </w:p>
    <w:sectPr w:rsidR="005C7D25" w:rsidRPr="00566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88B12" w14:textId="77777777" w:rsidR="00A61340" w:rsidRDefault="00A61340">
      <w:r>
        <w:separator/>
      </w:r>
    </w:p>
  </w:endnote>
  <w:endnote w:type="continuationSeparator" w:id="0">
    <w:p w14:paraId="5BF3601E" w14:textId="77777777" w:rsidR="00A61340" w:rsidRDefault="00A6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6D2B0" w14:textId="77777777" w:rsidR="00B12CDE" w:rsidRDefault="00B12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8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132C4" w14:textId="4ADE8BF2" w:rsidR="00CF13CF" w:rsidRDefault="00CF13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53E2E" w14:textId="77777777" w:rsidR="00CF13CF" w:rsidRDefault="00CF1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3943D" w14:textId="77777777" w:rsidR="00B12CDE" w:rsidRDefault="00B12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C0069" w14:textId="77777777" w:rsidR="00A61340" w:rsidRDefault="00A61340">
      <w:r>
        <w:separator/>
      </w:r>
    </w:p>
  </w:footnote>
  <w:footnote w:type="continuationSeparator" w:id="0">
    <w:p w14:paraId="23395E0E" w14:textId="77777777" w:rsidR="00A61340" w:rsidRDefault="00A61340">
      <w:r>
        <w:continuationSeparator/>
      </w:r>
    </w:p>
  </w:footnote>
  <w:footnote w:id="1">
    <w:p w14:paraId="7C65DCAF" w14:textId="77777777" w:rsidR="00F51F02" w:rsidRPr="001B7160" w:rsidRDefault="00F51F02" w:rsidP="00F51F02">
      <w:pPr>
        <w:pStyle w:val="FootnoteText"/>
        <w:spacing w:after="120"/>
        <w:rPr>
          <w:sz w:val="20"/>
        </w:rPr>
      </w:pPr>
      <w:r w:rsidRPr="00E27401">
        <w:rPr>
          <w:rStyle w:val="FootnoteReference"/>
          <w:sz w:val="20"/>
        </w:rPr>
        <w:footnoteRef/>
      </w:r>
      <w:r w:rsidRPr="00E27401">
        <w:rPr>
          <w:sz w:val="20"/>
        </w:rPr>
        <w:t xml:space="preserve"> </w:t>
      </w:r>
      <w:r w:rsidRPr="001B7160">
        <w:rPr>
          <w:sz w:val="20"/>
        </w:rPr>
        <w:t xml:space="preserve">Amendment of Parts 1 and 22 of the Commission’s Rules with Regard to the Cellular Service, Including Changes in Licensing of Unserved Area (other captions omitted), </w:t>
      </w:r>
      <w:r w:rsidRPr="001B7160">
        <w:rPr>
          <w:i/>
          <w:sz w:val="20"/>
        </w:rPr>
        <w:t>Second Report and Order, Report and Order, and Second Further Notice of Proposed Rulemaking</w:t>
      </w:r>
      <w:r w:rsidRPr="001B7160">
        <w:rPr>
          <w:sz w:val="20"/>
        </w:rPr>
        <w:t>, WT Docket Nos. 12-40 and 10-112, RM Nos. 11510 and 11660, 32 FCC Rcd 2518 (2017) (</w:t>
      </w:r>
      <w:r w:rsidRPr="001B7160">
        <w:rPr>
          <w:i/>
          <w:sz w:val="20"/>
        </w:rPr>
        <w:t>Second R&amp;O</w:t>
      </w:r>
      <w:r w:rsidRPr="001B7160">
        <w:rPr>
          <w:sz w:val="20"/>
        </w:rPr>
        <w:t xml:space="preserve">).          </w:t>
      </w:r>
    </w:p>
  </w:footnote>
  <w:footnote w:id="2">
    <w:p w14:paraId="4C624AF1" w14:textId="57D98D9A" w:rsidR="00F51F02" w:rsidRPr="001B7160" w:rsidRDefault="00F51F02">
      <w:pPr>
        <w:pStyle w:val="FootnoteText"/>
        <w:rPr>
          <w:sz w:val="20"/>
        </w:rPr>
      </w:pPr>
      <w:r w:rsidRPr="001B7160">
        <w:rPr>
          <w:rStyle w:val="FootnoteReference"/>
          <w:sz w:val="20"/>
        </w:rPr>
        <w:footnoteRef/>
      </w:r>
      <w:r w:rsidRPr="001B7160">
        <w:rPr>
          <w:sz w:val="20"/>
        </w:rPr>
        <w:t xml:space="preserve"> </w:t>
      </w:r>
      <w:r w:rsidR="00FD0EF8" w:rsidRPr="001B7160">
        <w:rPr>
          <w:sz w:val="20"/>
        </w:rPr>
        <w:t xml:space="preserve">On April 12, 2017, the Commission </w:t>
      </w:r>
      <w:r w:rsidR="00A51741" w:rsidRPr="001B7160">
        <w:rPr>
          <w:sz w:val="20"/>
        </w:rPr>
        <w:t xml:space="preserve">published </w:t>
      </w:r>
      <w:r w:rsidR="00FD0EF8" w:rsidRPr="001B7160">
        <w:rPr>
          <w:sz w:val="20"/>
        </w:rPr>
        <w:t xml:space="preserve">notice in the </w:t>
      </w:r>
      <w:r w:rsidR="00FD0EF8" w:rsidRPr="001B7160">
        <w:rPr>
          <w:i/>
          <w:sz w:val="20"/>
        </w:rPr>
        <w:t>Federal Register</w:t>
      </w:r>
      <w:r w:rsidR="00FD0EF8" w:rsidRPr="001B7160">
        <w:rPr>
          <w:sz w:val="20"/>
        </w:rPr>
        <w:t xml:space="preserve"> summarizing the </w:t>
      </w:r>
      <w:r w:rsidR="00350B88" w:rsidRPr="001B7160">
        <w:rPr>
          <w:sz w:val="20"/>
        </w:rPr>
        <w:t xml:space="preserve">final rules adopted in the </w:t>
      </w:r>
      <w:r w:rsidR="00FD0EF8" w:rsidRPr="001B7160">
        <w:rPr>
          <w:i/>
          <w:sz w:val="20"/>
        </w:rPr>
        <w:t>Second R&amp;O</w:t>
      </w:r>
      <w:r w:rsidR="00FD0EF8" w:rsidRPr="001B7160">
        <w:rPr>
          <w:sz w:val="20"/>
        </w:rPr>
        <w:t xml:space="preserve">, </w:t>
      </w:r>
      <w:r w:rsidR="0061104B" w:rsidRPr="001B7160">
        <w:rPr>
          <w:i/>
          <w:sz w:val="20"/>
        </w:rPr>
        <w:t>see</w:t>
      </w:r>
      <w:r w:rsidR="00FD0EF8" w:rsidRPr="001B7160">
        <w:rPr>
          <w:i/>
          <w:sz w:val="20"/>
        </w:rPr>
        <w:t xml:space="preserve"> </w:t>
      </w:r>
      <w:r w:rsidR="00FD0EF8" w:rsidRPr="001B7160">
        <w:rPr>
          <w:sz w:val="20"/>
        </w:rPr>
        <w:t>82 Fed. Reg. 17570</w:t>
      </w:r>
      <w:r w:rsidR="00FD0EF8" w:rsidRPr="001B7160">
        <w:rPr>
          <w:i/>
          <w:sz w:val="20"/>
        </w:rPr>
        <w:t xml:space="preserve"> </w:t>
      </w:r>
      <w:r w:rsidR="00FD0EF8" w:rsidRPr="001B7160">
        <w:rPr>
          <w:sz w:val="20"/>
        </w:rPr>
        <w:t>(Apr. 12, 2017)</w:t>
      </w:r>
      <w:r w:rsidR="00350B88" w:rsidRPr="001B7160">
        <w:rPr>
          <w:sz w:val="20"/>
        </w:rPr>
        <w:t xml:space="preserve">, pursuant to which the </w:t>
      </w:r>
      <w:r w:rsidR="00A51741" w:rsidRPr="001B7160">
        <w:rPr>
          <w:sz w:val="20"/>
        </w:rPr>
        <w:t xml:space="preserve">rules took effect </w:t>
      </w:r>
      <w:r w:rsidR="00FD0EF8" w:rsidRPr="001B7160">
        <w:rPr>
          <w:sz w:val="20"/>
        </w:rPr>
        <w:t xml:space="preserve">May 12, 2017, </w:t>
      </w:r>
      <w:r w:rsidR="00350B88" w:rsidRPr="001B7160">
        <w:rPr>
          <w:sz w:val="20"/>
        </w:rPr>
        <w:t>except the PRA Rules—</w:t>
      </w:r>
      <w:r w:rsidR="00FD0EF8" w:rsidRPr="001B7160">
        <w:rPr>
          <w:sz w:val="20"/>
        </w:rPr>
        <w:t>47</w:t>
      </w:r>
      <w:r w:rsidR="00350B88" w:rsidRPr="001B7160">
        <w:rPr>
          <w:sz w:val="20"/>
        </w:rPr>
        <w:t xml:space="preserve"> </w:t>
      </w:r>
      <w:r w:rsidR="00FD0EF8" w:rsidRPr="001B7160">
        <w:rPr>
          <w:sz w:val="20"/>
        </w:rPr>
        <w:t xml:space="preserve">CFR </w:t>
      </w:r>
      <w:r w:rsidR="00787289" w:rsidRPr="001B7160">
        <w:rPr>
          <w:sz w:val="20"/>
        </w:rPr>
        <w:t>§§ 22.317, 22.911(a)-(c), 22.913(</w:t>
      </w:r>
      <w:r w:rsidR="00A51741" w:rsidRPr="001B7160">
        <w:rPr>
          <w:sz w:val="20"/>
        </w:rPr>
        <w:t xml:space="preserve">a), (c), </w:t>
      </w:r>
      <w:r w:rsidR="00787289" w:rsidRPr="001B7160">
        <w:rPr>
          <w:sz w:val="20"/>
        </w:rPr>
        <w:t>(f), 22.947, and 22.953(c)</w:t>
      </w:r>
      <w:r w:rsidR="0061104B" w:rsidRPr="001B7160">
        <w:rPr>
          <w:sz w:val="20"/>
        </w:rPr>
        <w:t>.</w:t>
      </w:r>
      <w:r w:rsidR="00043183" w:rsidRPr="001B7160">
        <w:rPr>
          <w:sz w:val="20"/>
        </w:rPr>
        <w:t xml:space="preserve">  </w:t>
      </w:r>
    </w:p>
  </w:footnote>
  <w:footnote w:id="3">
    <w:p w14:paraId="1D286917" w14:textId="1A7E6332" w:rsidR="006C1C2F" w:rsidRPr="001B7160" w:rsidRDefault="006C1C2F" w:rsidP="006C1C2F">
      <w:pPr>
        <w:pStyle w:val="FootnoteText"/>
        <w:rPr>
          <w:sz w:val="20"/>
        </w:rPr>
      </w:pPr>
      <w:r w:rsidRPr="001B7160">
        <w:rPr>
          <w:rStyle w:val="FootnoteReference"/>
          <w:sz w:val="20"/>
        </w:rPr>
        <w:footnoteRef/>
      </w:r>
      <w:r w:rsidRPr="001B7160">
        <w:rPr>
          <w:sz w:val="20"/>
        </w:rPr>
        <w:t xml:space="preserve"> The Com</w:t>
      </w:r>
      <w:r w:rsidR="0061104B" w:rsidRPr="001B7160">
        <w:rPr>
          <w:sz w:val="20"/>
        </w:rPr>
        <w:t xml:space="preserve">mission published </w:t>
      </w:r>
      <w:r w:rsidR="00350B88" w:rsidRPr="001B7160">
        <w:rPr>
          <w:sz w:val="20"/>
        </w:rPr>
        <w:t xml:space="preserve">notice of OMB’s </w:t>
      </w:r>
      <w:r w:rsidRPr="001B7160">
        <w:rPr>
          <w:sz w:val="20"/>
        </w:rPr>
        <w:t xml:space="preserve">approvals </w:t>
      </w:r>
      <w:r w:rsidR="00F276FE" w:rsidRPr="001B7160">
        <w:rPr>
          <w:sz w:val="20"/>
        </w:rPr>
        <w:t xml:space="preserve">and the Effective Date </w:t>
      </w:r>
      <w:r w:rsidRPr="001B7160">
        <w:rPr>
          <w:sz w:val="20"/>
        </w:rPr>
        <w:t xml:space="preserve">in the </w:t>
      </w:r>
      <w:r w:rsidRPr="001B7160">
        <w:rPr>
          <w:i/>
          <w:sz w:val="20"/>
        </w:rPr>
        <w:t xml:space="preserve">Federal Register </w:t>
      </w:r>
      <w:r w:rsidR="00324706" w:rsidRPr="001B7160">
        <w:rPr>
          <w:sz w:val="20"/>
        </w:rPr>
        <w:t>on November 24,</w:t>
      </w:r>
      <w:r w:rsidRPr="001B7160">
        <w:rPr>
          <w:sz w:val="20"/>
        </w:rPr>
        <w:t xml:space="preserve"> 2017</w:t>
      </w:r>
      <w:r w:rsidR="00F276FE" w:rsidRPr="001B7160">
        <w:rPr>
          <w:sz w:val="20"/>
        </w:rPr>
        <w:t xml:space="preserve">, explaining also that OMB </w:t>
      </w:r>
      <w:r w:rsidRPr="001B7160">
        <w:rPr>
          <w:sz w:val="20"/>
        </w:rPr>
        <w:t>approved corresponding revisions to FCC Form 601, FCC Application for Radio Service Authorization.</w:t>
      </w:r>
      <w:r w:rsidR="00F276FE" w:rsidRPr="001B7160">
        <w:rPr>
          <w:sz w:val="20"/>
        </w:rPr>
        <w:t xml:space="preserve">  </w:t>
      </w:r>
      <w:r w:rsidR="00DA6941" w:rsidRPr="001B7160">
        <w:rPr>
          <w:sz w:val="20"/>
        </w:rPr>
        <w:t>82 Fed. Reg. 55766</w:t>
      </w:r>
      <w:r w:rsidR="00324706" w:rsidRPr="001B7160">
        <w:rPr>
          <w:sz w:val="20"/>
        </w:rPr>
        <w:t xml:space="preserve"> (Nov. 24, 2017).</w:t>
      </w:r>
      <w:r w:rsidR="00A01421" w:rsidRPr="001B7160">
        <w:rPr>
          <w:sz w:val="20"/>
        </w:rPr>
        <w:t xml:space="preserve">  The vast majority of Cellular filings are made electronically in the Commission’s Universal Licensing System, rather than on paper; revised Form 601, including revised Schedule F, will therefore serve primarily as a reference when preparing electronic filings.</w:t>
      </w:r>
    </w:p>
  </w:footnote>
  <w:footnote w:id="4">
    <w:p w14:paraId="783ADD99" w14:textId="145D5AD6" w:rsidR="006C1C2F" w:rsidRPr="001B7160" w:rsidRDefault="006C1C2F" w:rsidP="006C1C2F">
      <w:pPr>
        <w:pStyle w:val="FootnoteText"/>
        <w:rPr>
          <w:sz w:val="20"/>
        </w:rPr>
      </w:pPr>
      <w:r w:rsidRPr="001B7160">
        <w:rPr>
          <w:rStyle w:val="FootnoteReference"/>
          <w:sz w:val="20"/>
        </w:rPr>
        <w:footnoteRef/>
      </w:r>
      <w:r w:rsidRPr="001B7160">
        <w:rPr>
          <w:sz w:val="20"/>
        </w:rPr>
        <w:t xml:space="preserve"> </w:t>
      </w:r>
      <w:r w:rsidRPr="001B7160">
        <w:rPr>
          <w:i/>
          <w:sz w:val="20"/>
        </w:rPr>
        <w:t xml:space="preserve">See </w:t>
      </w:r>
      <w:r w:rsidR="0061104B" w:rsidRPr="001B7160">
        <w:rPr>
          <w:i/>
          <w:sz w:val="20"/>
        </w:rPr>
        <w:t>Second R&amp;O</w:t>
      </w:r>
      <w:r w:rsidR="0061104B" w:rsidRPr="001B7160">
        <w:rPr>
          <w:sz w:val="20"/>
        </w:rPr>
        <w:t xml:space="preserve">, </w:t>
      </w:r>
      <w:r w:rsidR="00AC11EC" w:rsidRPr="001B7160">
        <w:rPr>
          <w:sz w:val="20"/>
        </w:rPr>
        <w:t xml:space="preserve">32 FCC Rcd at 2535-43 </w:t>
      </w:r>
      <w:r w:rsidR="0061104B" w:rsidRPr="001B7160">
        <w:rPr>
          <w:sz w:val="20"/>
        </w:rPr>
        <w:t>(paras.</w:t>
      </w:r>
      <w:r w:rsidR="00EB72E0" w:rsidRPr="001B7160">
        <w:rPr>
          <w:sz w:val="20"/>
        </w:rPr>
        <w:t xml:space="preserve"> </w:t>
      </w:r>
      <w:r w:rsidR="00AC11EC" w:rsidRPr="001B7160">
        <w:rPr>
          <w:sz w:val="20"/>
        </w:rPr>
        <w:t>38-64).</w:t>
      </w:r>
      <w:r w:rsidRPr="001B7160">
        <w:rPr>
          <w:sz w:val="20"/>
        </w:rPr>
        <w:t xml:space="preserve">  </w:t>
      </w:r>
    </w:p>
  </w:footnote>
  <w:footnote w:id="5">
    <w:p w14:paraId="397D19A0" w14:textId="1D2FF3AC" w:rsidR="00CC255D" w:rsidRPr="001B7160" w:rsidRDefault="00CC255D" w:rsidP="00CC255D">
      <w:pPr>
        <w:pStyle w:val="FootnoteText"/>
        <w:rPr>
          <w:sz w:val="20"/>
        </w:rPr>
      </w:pPr>
      <w:r w:rsidRPr="001B7160">
        <w:rPr>
          <w:rStyle w:val="FootnoteReference"/>
          <w:sz w:val="20"/>
        </w:rPr>
        <w:footnoteRef/>
      </w:r>
      <w:r w:rsidRPr="001B7160">
        <w:rPr>
          <w:sz w:val="20"/>
        </w:rPr>
        <w:t xml:space="preserve"> </w:t>
      </w:r>
      <w:r w:rsidR="00AD5F43" w:rsidRPr="001B7160">
        <w:rPr>
          <w:i/>
          <w:sz w:val="20"/>
        </w:rPr>
        <w:t>See id.</w:t>
      </w:r>
      <w:r w:rsidR="00AD5F43" w:rsidRPr="001B7160">
        <w:rPr>
          <w:sz w:val="20"/>
        </w:rPr>
        <w:t>, 32 FCC Rcd at 2557-61, paras. 107-120.</w:t>
      </w:r>
      <w:r w:rsidR="00806721" w:rsidRPr="001B7160">
        <w:rPr>
          <w:sz w:val="20"/>
        </w:rPr>
        <w:t xml:space="preserve">  </w:t>
      </w:r>
      <w:r w:rsidR="003F4C3B" w:rsidRPr="001B7160">
        <w:rPr>
          <w:sz w:val="20"/>
        </w:rPr>
        <w:t>Cellular filings submitted on or after the Effective Date to notify the Commission of permanent discontinuance of operations at an individual cell site or a reduction in coverage within the CGSA (</w:t>
      </w:r>
      <w:r w:rsidR="003F4C3B" w:rsidRPr="001B7160">
        <w:rPr>
          <w:i/>
          <w:sz w:val="20"/>
        </w:rPr>
        <w:t>see</w:t>
      </w:r>
      <w:r w:rsidR="003F4C3B" w:rsidRPr="001B7160">
        <w:rPr>
          <w:sz w:val="20"/>
        </w:rPr>
        <w:t xml:space="preserve"> 47 CFR §§ 22.317, 22.947, and 22.953(c)) will be dismissed as unnecessary.</w:t>
      </w:r>
    </w:p>
  </w:footnote>
  <w:footnote w:id="6">
    <w:p w14:paraId="1A1D08C0" w14:textId="77777777" w:rsidR="002F6115" w:rsidRPr="001B7160" w:rsidRDefault="002F6115">
      <w:pPr>
        <w:pStyle w:val="FootnoteText"/>
        <w:rPr>
          <w:sz w:val="20"/>
        </w:rPr>
      </w:pPr>
      <w:r w:rsidRPr="001B7160">
        <w:rPr>
          <w:rStyle w:val="FootnoteReference"/>
          <w:sz w:val="20"/>
        </w:rPr>
        <w:footnoteRef/>
      </w:r>
      <w:r w:rsidRPr="001B7160">
        <w:rPr>
          <w:sz w:val="20"/>
        </w:rPr>
        <w:t xml:space="preserve"> </w:t>
      </w:r>
      <w:r w:rsidR="00B63450" w:rsidRPr="001B7160">
        <w:rPr>
          <w:i/>
          <w:sz w:val="20"/>
        </w:rPr>
        <w:t>See Second R&amp;O</w:t>
      </w:r>
      <w:r w:rsidR="00B63450" w:rsidRPr="001B7160">
        <w:rPr>
          <w:sz w:val="20"/>
        </w:rPr>
        <w:t xml:space="preserve">, 32 FCC Rcd at 2529-30, para. 25.  </w:t>
      </w:r>
      <w:r w:rsidR="00B63450" w:rsidRPr="001B7160">
        <w:rPr>
          <w:i/>
          <w:sz w:val="20"/>
        </w:rPr>
        <w:t>See also id</w:t>
      </w:r>
      <w:r w:rsidR="00B63450" w:rsidRPr="001B7160">
        <w:rPr>
          <w:sz w:val="20"/>
        </w:rPr>
        <w:t>. at 2537-38, n.181, paras. 48-49.</w:t>
      </w:r>
    </w:p>
  </w:footnote>
  <w:footnote w:id="7">
    <w:p w14:paraId="66E56AE4" w14:textId="7A5351D0" w:rsidR="00EC36AB" w:rsidRPr="001B7160" w:rsidRDefault="00EC36AB">
      <w:pPr>
        <w:pStyle w:val="FootnoteText"/>
        <w:rPr>
          <w:sz w:val="20"/>
        </w:rPr>
      </w:pPr>
      <w:r w:rsidRPr="001B7160">
        <w:rPr>
          <w:rStyle w:val="FootnoteReference"/>
          <w:sz w:val="20"/>
        </w:rPr>
        <w:footnoteRef/>
      </w:r>
      <w:r w:rsidRPr="001B7160">
        <w:rPr>
          <w:sz w:val="20"/>
        </w:rPr>
        <w:t xml:space="preserve"> </w:t>
      </w:r>
      <w:r w:rsidR="00FA273D" w:rsidRPr="001B7160">
        <w:rPr>
          <w:i/>
          <w:sz w:val="20"/>
        </w:rPr>
        <w:t>Second R&amp;O</w:t>
      </w:r>
      <w:r w:rsidR="00FA273D" w:rsidRPr="001B7160">
        <w:rPr>
          <w:sz w:val="20"/>
        </w:rPr>
        <w:t>, 32 FCC Rcd at 2538</w:t>
      </w:r>
      <w:r w:rsidRPr="001B7160">
        <w:rPr>
          <w:sz w:val="20"/>
        </w:rPr>
        <w:t>, para. 49</w:t>
      </w:r>
      <w:r w:rsidRPr="001B7160">
        <w:rPr>
          <w:i/>
          <w:sz w:val="20"/>
        </w:rPr>
        <w:t>.</w:t>
      </w:r>
      <w:r w:rsidR="00D129B4" w:rsidRPr="001B7160">
        <w:rPr>
          <w:i/>
          <w:sz w:val="20"/>
        </w:rPr>
        <w:t xml:space="preserve"> </w:t>
      </w:r>
      <w:r w:rsidR="00D129B4" w:rsidRPr="001B7160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F4D6" w14:textId="77777777" w:rsidR="00B12CDE" w:rsidRDefault="00B12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2C76" w14:textId="77777777" w:rsidR="00B12CDE" w:rsidRDefault="00B12C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ED4D" w14:textId="77777777" w:rsidR="00C41AE0" w:rsidRDefault="005C7D2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2BE7C609" wp14:editId="75A50203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EBB">
      <w:rPr>
        <w:rFonts w:ascii="News Gothic MT" w:hAnsi="News Gothic MT"/>
        <w:b/>
        <w:kern w:val="28"/>
        <w:sz w:val="96"/>
      </w:rPr>
      <w:t>PUBLIC NOTICE</w:t>
    </w:r>
  </w:p>
  <w:p w14:paraId="7D5F9F0D" w14:textId="77777777" w:rsidR="00C41AE0" w:rsidRDefault="0073788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4B1683" wp14:editId="19AB8F50">
              <wp:simplePos x="0" y="0"/>
              <wp:positionH relativeFrom="column">
                <wp:posOffset>3595642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B101D" w14:textId="77777777" w:rsidR="00C41AE0" w:rsidRDefault="006A7EB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6960FB6" w14:textId="77777777" w:rsidR="00C41AE0" w:rsidRDefault="006A7EB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2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2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5E59787" w14:textId="77777777" w:rsidR="00C41AE0" w:rsidRDefault="006A7EB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3F2EAC9" w14:textId="77777777" w:rsidR="00C41AE0" w:rsidRDefault="00C41AE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564B16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83.1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" o:allowincell="f" stroked="f">
              <v:textbox inset=",0,,0">
                <w:txbxContent>
                  <w:p w14:paraId="4DAB101D" w14:textId="77777777" w:rsidR="00C41AE0" w:rsidRDefault="006A7EB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36960FB6" w14:textId="77777777" w:rsidR="00C41AE0" w:rsidRDefault="006A7EB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5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5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5E59787" w14:textId="77777777" w:rsidR="00C41AE0" w:rsidRDefault="006A7EB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43F2EAC9" w14:textId="77777777" w:rsidR="00C41AE0" w:rsidRDefault="00C41AE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5A59CDE" wp14:editId="1D7FE251">
              <wp:simplePos x="0" y="0"/>
              <wp:positionH relativeFrom="column">
                <wp:posOffset>-88265</wp:posOffset>
              </wp:positionH>
              <wp:positionV relativeFrom="paragraph">
                <wp:posOffset>31115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69EC2" w14:textId="77777777" w:rsidR="00C41AE0" w:rsidRDefault="006A7EB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4552D39" w14:textId="77777777" w:rsidR="00C41AE0" w:rsidRDefault="006A7EB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2B4DF1D" w14:textId="77777777" w:rsidR="00C41AE0" w:rsidRDefault="006A7EB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 w14:anchorId="65A59CDE" id="Text Box 2" o:spid="_x0000_s1027" type="#_x0000_t202" style="position:absolute;left:0;text-align:left;margin-left:-6.95pt;margin-top:2.4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" o:allowincell="f" stroked="f">
              <v:textbox>
                <w:txbxContent>
                  <w:p w14:paraId="23969EC2" w14:textId="77777777" w:rsidR="00C41AE0" w:rsidRDefault="006A7EB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64552D39" w14:textId="77777777" w:rsidR="00C41AE0" w:rsidRDefault="006A7EB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32B4DF1D" w14:textId="77777777" w:rsidR="00C41AE0" w:rsidRDefault="006A7EB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5C7D25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1A05F5" wp14:editId="57635B40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5148668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 w:rsidR="009075E9">
      <w:rPr>
        <w:rFonts w:ascii="Arial" w:hAnsi="Arial"/>
        <w:b/>
        <w:sz w:val="28"/>
      </w:rPr>
      <w:t xml:space="preserve">rev. </w:t>
    </w:r>
  </w:p>
  <w:p w14:paraId="5865AE22" w14:textId="77777777" w:rsidR="00C41AE0" w:rsidRPr="00785BB9" w:rsidRDefault="00C41AE0" w:rsidP="0061318E">
    <w:pPr>
      <w:pStyle w:val="Header"/>
      <w:tabs>
        <w:tab w:val="clear" w:pos="4320"/>
        <w:tab w:val="clear" w:pos="8640"/>
        <w:tab w:val="left" w:pos="1080"/>
      </w:tabs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FF8"/>
    <w:multiLevelType w:val="hybridMultilevel"/>
    <w:tmpl w:val="7C2E764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106182D"/>
    <w:multiLevelType w:val="hybridMultilevel"/>
    <w:tmpl w:val="6008A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8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25"/>
    <w:rsid w:val="000069AB"/>
    <w:rsid w:val="00013BCC"/>
    <w:rsid w:val="00014121"/>
    <w:rsid w:val="00017890"/>
    <w:rsid w:val="00027D6A"/>
    <w:rsid w:val="00031357"/>
    <w:rsid w:val="0004252D"/>
    <w:rsid w:val="00043183"/>
    <w:rsid w:val="0004386A"/>
    <w:rsid w:val="000574D9"/>
    <w:rsid w:val="00057F48"/>
    <w:rsid w:val="00061D31"/>
    <w:rsid w:val="000660E3"/>
    <w:rsid w:val="00066516"/>
    <w:rsid w:val="00074D3D"/>
    <w:rsid w:val="00075C20"/>
    <w:rsid w:val="00094C8A"/>
    <w:rsid w:val="00097C97"/>
    <w:rsid w:val="000A0381"/>
    <w:rsid w:val="000B3B0D"/>
    <w:rsid w:val="000C1C51"/>
    <w:rsid w:val="000C4099"/>
    <w:rsid w:val="000D7719"/>
    <w:rsid w:val="000F7C75"/>
    <w:rsid w:val="00110299"/>
    <w:rsid w:val="001133F2"/>
    <w:rsid w:val="00122C8F"/>
    <w:rsid w:val="001344DA"/>
    <w:rsid w:val="001356F4"/>
    <w:rsid w:val="001401F6"/>
    <w:rsid w:val="001421E0"/>
    <w:rsid w:val="00152A2C"/>
    <w:rsid w:val="0015517D"/>
    <w:rsid w:val="00173C33"/>
    <w:rsid w:val="00175969"/>
    <w:rsid w:val="00182A11"/>
    <w:rsid w:val="00194A6F"/>
    <w:rsid w:val="001973E4"/>
    <w:rsid w:val="001B185F"/>
    <w:rsid w:val="001B5B31"/>
    <w:rsid w:val="001B7160"/>
    <w:rsid w:val="001C0131"/>
    <w:rsid w:val="001C62C8"/>
    <w:rsid w:val="001D081D"/>
    <w:rsid w:val="001E323B"/>
    <w:rsid w:val="001E76FD"/>
    <w:rsid w:val="001E7BB8"/>
    <w:rsid w:val="002140A6"/>
    <w:rsid w:val="00215378"/>
    <w:rsid w:val="002176E5"/>
    <w:rsid w:val="002213A5"/>
    <w:rsid w:val="00225281"/>
    <w:rsid w:val="00237086"/>
    <w:rsid w:val="00257F12"/>
    <w:rsid w:val="0026172F"/>
    <w:rsid w:val="00263999"/>
    <w:rsid w:val="002754E2"/>
    <w:rsid w:val="00296EEE"/>
    <w:rsid w:val="002C1216"/>
    <w:rsid w:val="002C3B9C"/>
    <w:rsid w:val="002C7F5A"/>
    <w:rsid w:val="002D747D"/>
    <w:rsid w:val="002E5F22"/>
    <w:rsid w:val="002E7646"/>
    <w:rsid w:val="002F0DB1"/>
    <w:rsid w:val="002F6115"/>
    <w:rsid w:val="00307DF6"/>
    <w:rsid w:val="00324706"/>
    <w:rsid w:val="00326E4E"/>
    <w:rsid w:val="00333A0C"/>
    <w:rsid w:val="00335ED9"/>
    <w:rsid w:val="003373BF"/>
    <w:rsid w:val="00350B88"/>
    <w:rsid w:val="00356E89"/>
    <w:rsid w:val="00367121"/>
    <w:rsid w:val="003767EA"/>
    <w:rsid w:val="0038054C"/>
    <w:rsid w:val="003810C0"/>
    <w:rsid w:val="00386CF4"/>
    <w:rsid w:val="00390CBA"/>
    <w:rsid w:val="003A49DB"/>
    <w:rsid w:val="003C7A27"/>
    <w:rsid w:val="003D305B"/>
    <w:rsid w:val="003D714D"/>
    <w:rsid w:val="003E0CA0"/>
    <w:rsid w:val="003E4C59"/>
    <w:rsid w:val="003F4C3B"/>
    <w:rsid w:val="003F7C76"/>
    <w:rsid w:val="004020B8"/>
    <w:rsid w:val="00402EB8"/>
    <w:rsid w:val="0042461D"/>
    <w:rsid w:val="004278EC"/>
    <w:rsid w:val="00431133"/>
    <w:rsid w:val="004523EC"/>
    <w:rsid w:val="004609D1"/>
    <w:rsid w:val="004616F6"/>
    <w:rsid w:val="004617BC"/>
    <w:rsid w:val="004623ED"/>
    <w:rsid w:val="00463F59"/>
    <w:rsid w:val="00466B3F"/>
    <w:rsid w:val="00474BA4"/>
    <w:rsid w:val="00477F95"/>
    <w:rsid w:val="00493D77"/>
    <w:rsid w:val="0049625C"/>
    <w:rsid w:val="004B1162"/>
    <w:rsid w:val="004C2DF5"/>
    <w:rsid w:val="004D3B26"/>
    <w:rsid w:val="004E203F"/>
    <w:rsid w:val="004F3F9F"/>
    <w:rsid w:val="0050475A"/>
    <w:rsid w:val="00520ACC"/>
    <w:rsid w:val="00540F7F"/>
    <w:rsid w:val="005529C3"/>
    <w:rsid w:val="005540FE"/>
    <w:rsid w:val="005544F8"/>
    <w:rsid w:val="00560BBD"/>
    <w:rsid w:val="00566ACA"/>
    <w:rsid w:val="00573219"/>
    <w:rsid w:val="00573640"/>
    <w:rsid w:val="00586BAA"/>
    <w:rsid w:val="00593116"/>
    <w:rsid w:val="005B0DFF"/>
    <w:rsid w:val="005B3BEC"/>
    <w:rsid w:val="005B6912"/>
    <w:rsid w:val="005B74B2"/>
    <w:rsid w:val="005C351A"/>
    <w:rsid w:val="005C7D25"/>
    <w:rsid w:val="005D35EE"/>
    <w:rsid w:val="005F1786"/>
    <w:rsid w:val="0061104B"/>
    <w:rsid w:val="0061318E"/>
    <w:rsid w:val="006360EA"/>
    <w:rsid w:val="00641588"/>
    <w:rsid w:val="00654CB6"/>
    <w:rsid w:val="00664CA0"/>
    <w:rsid w:val="0066734E"/>
    <w:rsid w:val="00670D1B"/>
    <w:rsid w:val="0067388B"/>
    <w:rsid w:val="0067543B"/>
    <w:rsid w:val="00681046"/>
    <w:rsid w:val="00683776"/>
    <w:rsid w:val="006A7C6E"/>
    <w:rsid w:val="006A7EBB"/>
    <w:rsid w:val="006B39F3"/>
    <w:rsid w:val="006C1C2F"/>
    <w:rsid w:val="007103C9"/>
    <w:rsid w:val="00711684"/>
    <w:rsid w:val="00712179"/>
    <w:rsid w:val="00721E2B"/>
    <w:rsid w:val="00737884"/>
    <w:rsid w:val="00746C88"/>
    <w:rsid w:val="00750F8D"/>
    <w:rsid w:val="00754CF6"/>
    <w:rsid w:val="00757237"/>
    <w:rsid w:val="00761E5A"/>
    <w:rsid w:val="00775A79"/>
    <w:rsid w:val="0077765A"/>
    <w:rsid w:val="00782BEF"/>
    <w:rsid w:val="00785048"/>
    <w:rsid w:val="00785BB9"/>
    <w:rsid w:val="00787289"/>
    <w:rsid w:val="0079215E"/>
    <w:rsid w:val="00793D31"/>
    <w:rsid w:val="007B227A"/>
    <w:rsid w:val="007B2F71"/>
    <w:rsid w:val="007B7912"/>
    <w:rsid w:val="007C05EC"/>
    <w:rsid w:val="007C55CA"/>
    <w:rsid w:val="007D265F"/>
    <w:rsid w:val="007D6F0D"/>
    <w:rsid w:val="007E03FD"/>
    <w:rsid w:val="007E63B5"/>
    <w:rsid w:val="00806721"/>
    <w:rsid w:val="00806C1C"/>
    <w:rsid w:val="00823F9B"/>
    <w:rsid w:val="00830067"/>
    <w:rsid w:val="0083660F"/>
    <w:rsid w:val="008441F5"/>
    <w:rsid w:val="00844259"/>
    <w:rsid w:val="00845D00"/>
    <w:rsid w:val="00850593"/>
    <w:rsid w:val="00853A80"/>
    <w:rsid w:val="00854250"/>
    <w:rsid w:val="008613DB"/>
    <w:rsid w:val="008627B1"/>
    <w:rsid w:val="00892FF0"/>
    <w:rsid w:val="0089540F"/>
    <w:rsid w:val="008A17C9"/>
    <w:rsid w:val="008A5F5F"/>
    <w:rsid w:val="008C6829"/>
    <w:rsid w:val="008D3F89"/>
    <w:rsid w:val="008D6ADB"/>
    <w:rsid w:val="008E13D0"/>
    <w:rsid w:val="008F3F2D"/>
    <w:rsid w:val="009012FC"/>
    <w:rsid w:val="009075E9"/>
    <w:rsid w:val="009129F6"/>
    <w:rsid w:val="00913726"/>
    <w:rsid w:val="00914AB9"/>
    <w:rsid w:val="00914DAD"/>
    <w:rsid w:val="0091732E"/>
    <w:rsid w:val="009203E1"/>
    <w:rsid w:val="009352A2"/>
    <w:rsid w:val="0094226E"/>
    <w:rsid w:val="009519C2"/>
    <w:rsid w:val="009538A5"/>
    <w:rsid w:val="009609FC"/>
    <w:rsid w:val="00970867"/>
    <w:rsid w:val="009715EB"/>
    <w:rsid w:val="00971AA9"/>
    <w:rsid w:val="00987010"/>
    <w:rsid w:val="009940DF"/>
    <w:rsid w:val="009A2CCA"/>
    <w:rsid w:val="009C1DA0"/>
    <w:rsid w:val="009C5256"/>
    <w:rsid w:val="009D30F3"/>
    <w:rsid w:val="009F1871"/>
    <w:rsid w:val="009F2F31"/>
    <w:rsid w:val="009F3720"/>
    <w:rsid w:val="009F469A"/>
    <w:rsid w:val="009F6158"/>
    <w:rsid w:val="009F7414"/>
    <w:rsid w:val="00A01421"/>
    <w:rsid w:val="00A018C0"/>
    <w:rsid w:val="00A05BB8"/>
    <w:rsid w:val="00A05C1F"/>
    <w:rsid w:val="00A1106A"/>
    <w:rsid w:val="00A11D07"/>
    <w:rsid w:val="00A13CC8"/>
    <w:rsid w:val="00A30401"/>
    <w:rsid w:val="00A41F2A"/>
    <w:rsid w:val="00A46300"/>
    <w:rsid w:val="00A513E9"/>
    <w:rsid w:val="00A51741"/>
    <w:rsid w:val="00A5263B"/>
    <w:rsid w:val="00A5272D"/>
    <w:rsid w:val="00A5551D"/>
    <w:rsid w:val="00A61340"/>
    <w:rsid w:val="00A64AD2"/>
    <w:rsid w:val="00A67D08"/>
    <w:rsid w:val="00A7388B"/>
    <w:rsid w:val="00A9132B"/>
    <w:rsid w:val="00A957AD"/>
    <w:rsid w:val="00A96044"/>
    <w:rsid w:val="00A968F7"/>
    <w:rsid w:val="00AA2878"/>
    <w:rsid w:val="00AA5A3B"/>
    <w:rsid w:val="00AB04DC"/>
    <w:rsid w:val="00AB56CC"/>
    <w:rsid w:val="00AB6E31"/>
    <w:rsid w:val="00AC11EC"/>
    <w:rsid w:val="00AC277B"/>
    <w:rsid w:val="00AD416B"/>
    <w:rsid w:val="00AD5A1D"/>
    <w:rsid w:val="00AD5DB7"/>
    <w:rsid w:val="00AD5F43"/>
    <w:rsid w:val="00AE60CC"/>
    <w:rsid w:val="00AF0888"/>
    <w:rsid w:val="00AF0A97"/>
    <w:rsid w:val="00AF7DD0"/>
    <w:rsid w:val="00B12CDE"/>
    <w:rsid w:val="00B14343"/>
    <w:rsid w:val="00B157F1"/>
    <w:rsid w:val="00B302EF"/>
    <w:rsid w:val="00B30D35"/>
    <w:rsid w:val="00B51E2E"/>
    <w:rsid w:val="00B63450"/>
    <w:rsid w:val="00B6512E"/>
    <w:rsid w:val="00B937CD"/>
    <w:rsid w:val="00B95D45"/>
    <w:rsid w:val="00BA0B8E"/>
    <w:rsid w:val="00BA3554"/>
    <w:rsid w:val="00BA643C"/>
    <w:rsid w:val="00BB2EC5"/>
    <w:rsid w:val="00BE5F65"/>
    <w:rsid w:val="00C01865"/>
    <w:rsid w:val="00C109C7"/>
    <w:rsid w:val="00C22973"/>
    <w:rsid w:val="00C331FD"/>
    <w:rsid w:val="00C35133"/>
    <w:rsid w:val="00C37F06"/>
    <w:rsid w:val="00C41AE0"/>
    <w:rsid w:val="00C57784"/>
    <w:rsid w:val="00C62FB2"/>
    <w:rsid w:val="00C7336D"/>
    <w:rsid w:val="00C73E7D"/>
    <w:rsid w:val="00C75F34"/>
    <w:rsid w:val="00C847FE"/>
    <w:rsid w:val="00CA0FAA"/>
    <w:rsid w:val="00CA77AB"/>
    <w:rsid w:val="00CB1414"/>
    <w:rsid w:val="00CB2ABE"/>
    <w:rsid w:val="00CB39D3"/>
    <w:rsid w:val="00CC255D"/>
    <w:rsid w:val="00CC428B"/>
    <w:rsid w:val="00CC7587"/>
    <w:rsid w:val="00CD0B78"/>
    <w:rsid w:val="00CE64B7"/>
    <w:rsid w:val="00CF13CF"/>
    <w:rsid w:val="00CF4270"/>
    <w:rsid w:val="00CF629B"/>
    <w:rsid w:val="00D00A2B"/>
    <w:rsid w:val="00D0648F"/>
    <w:rsid w:val="00D077DB"/>
    <w:rsid w:val="00D129B4"/>
    <w:rsid w:val="00D16424"/>
    <w:rsid w:val="00D167CA"/>
    <w:rsid w:val="00D16FE9"/>
    <w:rsid w:val="00D22FB1"/>
    <w:rsid w:val="00D26CF5"/>
    <w:rsid w:val="00D3329A"/>
    <w:rsid w:val="00D363E6"/>
    <w:rsid w:val="00D41D0A"/>
    <w:rsid w:val="00D561E9"/>
    <w:rsid w:val="00D65132"/>
    <w:rsid w:val="00D77882"/>
    <w:rsid w:val="00D85503"/>
    <w:rsid w:val="00D90684"/>
    <w:rsid w:val="00D97A4C"/>
    <w:rsid w:val="00DA6941"/>
    <w:rsid w:val="00DB1E83"/>
    <w:rsid w:val="00DB2865"/>
    <w:rsid w:val="00DB6C87"/>
    <w:rsid w:val="00DC1963"/>
    <w:rsid w:val="00DC5097"/>
    <w:rsid w:val="00DC698D"/>
    <w:rsid w:val="00DC726B"/>
    <w:rsid w:val="00DE6F9F"/>
    <w:rsid w:val="00DF6BB9"/>
    <w:rsid w:val="00E06994"/>
    <w:rsid w:val="00E139B5"/>
    <w:rsid w:val="00E14C64"/>
    <w:rsid w:val="00E21027"/>
    <w:rsid w:val="00E2346B"/>
    <w:rsid w:val="00E242E1"/>
    <w:rsid w:val="00E26C7A"/>
    <w:rsid w:val="00E27401"/>
    <w:rsid w:val="00E30790"/>
    <w:rsid w:val="00E3153D"/>
    <w:rsid w:val="00E500D8"/>
    <w:rsid w:val="00E56D48"/>
    <w:rsid w:val="00E613DE"/>
    <w:rsid w:val="00E67A2A"/>
    <w:rsid w:val="00E73A0B"/>
    <w:rsid w:val="00EB184C"/>
    <w:rsid w:val="00EB2AB8"/>
    <w:rsid w:val="00EB72E0"/>
    <w:rsid w:val="00EC0A03"/>
    <w:rsid w:val="00EC2F25"/>
    <w:rsid w:val="00EC36AB"/>
    <w:rsid w:val="00EC7C3A"/>
    <w:rsid w:val="00ED43F5"/>
    <w:rsid w:val="00EE40B7"/>
    <w:rsid w:val="00EE43CA"/>
    <w:rsid w:val="00EF1F7C"/>
    <w:rsid w:val="00F059EB"/>
    <w:rsid w:val="00F1507A"/>
    <w:rsid w:val="00F246A4"/>
    <w:rsid w:val="00F276FE"/>
    <w:rsid w:val="00F34ACA"/>
    <w:rsid w:val="00F34DCB"/>
    <w:rsid w:val="00F40BB0"/>
    <w:rsid w:val="00F4307B"/>
    <w:rsid w:val="00F503FF"/>
    <w:rsid w:val="00F51F02"/>
    <w:rsid w:val="00F54053"/>
    <w:rsid w:val="00F54F61"/>
    <w:rsid w:val="00F57F4A"/>
    <w:rsid w:val="00F60872"/>
    <w:rsid w:val="00F6131C"/>
    <w:rsid w:val="00F63E2A"/>
    <w:rsid w:val="00F6587B"/>
    <w:rsid w:val="00F67704"/>
    <w:rsid w:val="00F67732"/>
    <w:rsid w:val="00F67815"/>
    <w:rsid w:val="00F744A1"/>
    <w:rsid w:val="00F84CCD"/>
    <w:rsid w:val="00F923CA"/>
    <w:rsid w:val="00FA273D"/>
    <w:rsid w:val="00FA645D"/>
    <w:rsid w:val="00FB56B2"/>
    <w:rsid w:val="00FD0EF8"/>
    <w:rsid w:val="00FD1B5C"/>
    <w:rsid w:val="00FD6699"/>
    <w:rsid w:val="00FD7216"/>
    <w:rsid w:val="00FE12AF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F1F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13C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C59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AB04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13C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C59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AB04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shafran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ith.harper@fcc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2327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2014-12-08T19:50:00Z</cp:lastPrinted>
  <dcterms:created xsi:type="dcterms:W3CDTF">2017-11-30T14:29:00Z</dcterms:created>
  <dcterms:modified xsi:type="dcterms:W3CDTF">2017-11-30T14:29:00Z</dcterms:modified>
  <cp:category> </cp:category>
  <cp:contentStatus> </cp:contentStatus>
</cp:coreProperties>
</file>