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40" w:rsidRPr="005675BC" w:rsidRDefault="00FD3BE6" w:rsidP="00ED5340">
      <w:pPr>
        <w:tabs>
          <w:tab w:val="left" w:pos="-1440"/>
          <w:tab w:val="left" w:pos="-720"/>
          <w:tab w:val="left" w:pos="4788"/>
          <w:tab w:val="left" w:pos="5040"/>
          <w:tab w:val="left" w:pos="6480"/>
        </w:tabs>
        <w:suppressAutoHyphens/>
        <w:jc w:val="both"/>
        <w:outlineLvl w:val="0"/>
        <w:rPr>
          <w:b/>
          <w:color w:val="000000"/>
          <w:sz w:val="22"/>
          <w:szCs w:val="22"/>
        </w:rPr>
      </w:pPr>
      <w:bookmarkStart w:id="0" w:name="_GoBack"/>
      <w:bookmarkEnd w:id="0"/>
      <w:r w:rsidRPr="00600276">
        <w:rPr>
          <w:sz w:val="22"/>
          <w:szCs w:val="22"/>
        </w:rPr>
        <w:t xml:space="preserve">                                                  </w:t>
      </w:r>
      <w:r w:rsidRPr="00600276">
        <w:rPr>
          <w:sz w:val="22"/>
          <w:szCs w:val="22"/>
        </w:rPr>
        <w:tab/>
      </w:r>
      <w:r w:rsidRPr="00600276">
        <w:rPr>
          <w:sz w:val="22"/>
          <w:szCs w:val="22"/>
        </w:rPr>
        <w:tab/>
      </w:r>
      <w:r w:rsidRPr="00600276">
        <w:rPr>
          <w:sz w:val="22"/>
          <w:szCs w:val="22"/>
        </w:rPr>
        <w:tab/>
      </w:r>
      <w:r w:rsidR="00ED5340" w:rsidRPr="002A6D87">
        <w:rPr>
          <w:b/>
          <w:color w:val="000000"/>
          <w:sz w:val="22"/>
          <w:szCs w:val="22"/>
        </w:rPr>
        <w:t xml:space="preserve">DA </w:t>
      </w:r>
      <w:r w:rsidR="002A6D87" w:rsidRPr="002A6D87">
        <w:rPr>
          <w:b/>
          <w:color w:val="000000"/>
          <w:sz w:val="22"/>
          <w:szCs w:val="22"/>
        </w:rPr>
        <w:t>17-1147</w:t>
      </w:r>
    </w:p>
    <w:p w:rsidR="00ED5340" w:rsidRPr="007E7140" w:rsidRDefault="00ED5340" w:rsidP="00ED5340">
      <w:pPr>
        <w:tabs>
          <w:tab w:val="left" w:pos="-1440"/>
          <w:tab w:val="left" w:pos="-720"/>
          <w:tab w:val="left" w:pos="4788"/>
          <w:tab w:val="left" w:pos="5040"/>
          <w:tab w:val="left" w:pos="6480"/>
        </w:tabs>
        <w:suppressAutoHyphens/>
        <w:outlineLvl w:val="0"/>
        <w:rPr>
          <w:b/>
          <w:i/>
          <w:color w:val="000000"/>
          <w:sz w:val="22"/>
          <w:szCs w:val="22"/>
        </w:rPr>
      </w:pPr>
      <w:r>
        <w:rPr>
          <w:b/>
          <w:i/>
          <w:color w:val="000000"/>
          <w:sz w:val="22"/>
          <w:szCs w:val="22"/>
        </w:rPr>
        <w:tab/>
      </w:r>
      <w:r>
        <w:rPr>
          <w:b/>
          <w:i/>
          <w:color w:val="000000"/>
          <w:sz w:val="22"/>
          <w:szCs w:val="22"/>
        </w:rPr>
        <w:tab/>
      </w:r>
      <w:r>
        <w:rPr>
          <w:b/>
          <w:i/>
          <w:color w:val="000000"/>
          <w:sz w:val="22"/>
          <w:szCs w:val="22"/>
        </w:rPr>
        <w:tab/>
      </w:r>
      <w:r w:rsidRPr="007E7140">
        <w:rPr>
          <w:b/>
          <w:i/>
          <w:color w:val="000000"/>
          <w:sz w:val="22"/>
          <w:szCs w:val="22"/>
        </w:rPr>
        <w:t>In Reply Refer to:</w:t>
      </w:r>
    </w:p>
    <w:p w:rsidR="00ED5340" w:rsidRPr="005675BC" w:rsidRDefault="00ED5340" w:rsidP="00ED5340">
      <w:pPr>
        <w:tabs>
          <w:tab w:val="left" w:pos="0"/>
          <w:tab w:val="left" w:pos="6480"/>
        </w:tabs>
        <w:suppressAutoHyphens/>
        <w:outlineLvl w:val="0"/>
        <w:rPr>
          <w:color w:val="000000"/>
          <w:sz w:val="22"/>
          <w:szCs w:val="22"/>
        </w:rPr>
      </w:pPr>
      <w:r w:rsidRPr="005675BC">
        <w:rPr>
          <w:color w:val="000000"/>
          <w:sz w:val="22"/>
          <w:szCs w:val="22"/>
        </w:rPr>
        <w:tab/>
      </w:r>
      <w:r w:rsidRPr="005675BC">
        <w:rPr>
          <w:b/>
          <w:sz w:val="22"/>
          <w:szCs w:val="22"/>
        </w:rPr>
        <w:t>1800B3-CEG</w:t>
      </w:r>
    </w:p>
    <w:p w:rsidR="00ED5340" w:rsidRPr="007E7140" w:rsidRDefault="00ED5340" w:rsidP="00ED5340">
      <w:pPr>
        <w:tabs>
          <w:tab w:val="left" w:pos="0"/>
          <w:tab w:val="left" w:pos="6480"/>
        </w:tabs>
        <w:suppressAutoHyphens/>
        <w:outlineLvl w:val="0"/>
        <w:rPr>
          <w:color w:val="000000"/>
          <w:sz w:val="22"/>
          <w:szCs w:val="22"/>
        </w:rPr>
      </w:pPr>
      <w:r w:rsidRPr="005675BC">
        <w:rPr>
          <w:color w:val="000000"/>
          <w:sz w:val="22"/>
          <w:szCs w:val="22"/>
        </w:rPr>
        <w:tab/>
      </w:r>
      <w:r w:rsidR="003F7116">
        <w:rPr>
          <w:color w:val="000000"/>
          <w:sz w:val="22"/>
          <w:szCs w:val="22"/>
        </w:rPr>
        <w:t>Released: November 29, 2017</w:t>
      </w:r>
    </w:p>
    <w:p w:rsidR="00ED5340" w:rsidRPr="00AD6D71" w:rsidRDefault="00ED5340" w:rsidP="00ED5340">
      <w:pPr>
        <w:tabs>
          <w:tab w:val="left" w:pos="-1440"/>
          <w:tab w:val="left" w:pos="-720"/>
          <w:tab w:val="left" w:pos="4788"/>
          <w:tab w:val="left" w:pos="5040"/>
          <w:tab w:val="left" w:pos="6480"/>
        </w:tabs>
        <w:suppressAutoHyphens/>
        <w:outlineLvl w:val="0"/>
      </w:pPr>
      <w:r>
        <w:tab/>
      </w:r>
    </w:p>
    <w:p w:rsidR="0036020A" w:rsidRDefault="0036020A" w:rsidP="00CC3156">
      <w:pPr>
        <w:tabs>
          <w:tab w:val="left" w:pos="0"/>
          <w:tab w:val="left" w:pos="6480"/>
        </w:tabs>
        <w:suppressAutoHyphens/>
        <w:outlineLvl w:val="0"/>
        <w:rPr>
          <w:sz w:val="22"/>
          <w:szCs w:val="22"/>
        </w:rPr>
      </w:pPr>
    </w:p>
    <w:p w:rsidR="00066687" w:rsidRDefault="007A2C33" w:rsidP="00066687">
      <w:pPr>
        <w:tabs>
          <w:tab w:val="left" w:pos="0"/>
        </w:tabs>
        <w:suppressAutoHyphens/>
        <w:ind w:left="5040" w:hanging="5040"/>
        <w:rPr>
          <w:sz w:val="22"/>
          <w:szCs w:val="22"/>
        </w:rPr>
      </w:pPr>
      <w:r>
        <w:rPr>
          <w:sz w:val="22"/>
          <w:szCs w:val="22"/>
        </w:rPr>
        <w:t>Coe W. Ramsey, Esq.</w:t>
      </w:r>
    </w:p>
    <w:p w:rsidR="00066687" w:rsidRDefault="00066687" w:rsidP="00066687">
      <w:pPr>
        <w:tabs>
          <w:tab w:val="left" w:pos="0"/>
        </w:tabs>
        <w:suppressAutoHyphens/>
        <w:ind w:left="5040" w:hanging="5040"/>
        <w:rPr>
          <w:sz w:val="22"/>
          <w:szCs w:val="22"/>
        </w:rPr>
      </w:pPr>
      <w:r>
        <w:rPr>
          <w:sz w:val="22"/>
          <w:szCs w:val="22"/>
        </w:rPr>
        <w:t>Brooks, Pierce, McLendon, Humphrey &amp; Leonard, L.L.P.</w:t>
      </w:r>
    </w:p>
    <w:p w:rsidR="00066687" w:rsidRDefault="00066687" w:rsidP="00066687">
      <w:pPr>
        <w:tabs>
          <w:tab w:val="left" w:pos="0"/>
        </w:tabs>
        <w:suppressAutoHyphens/>
        <w:ind w:left="5040" w:hanging="5040"/>
        <w:rPr>
          <w:sz w:val="22"/>
          <w:szCs w:val="22"/>
        </w:rPr>
      </w:pPr>
      <w:r>
        <w:rPr>
          <w:sz w:val="22"/>
          <w:szCs w:val="22"/>
        </w:rPr>
        <w:t>PO Box 1800</w:t>
      </w:r>
    </w:p>
    <w:p w:rsidR="00066687" w:rsidRDefault="00066687" w:rsidP="00066687">
      <w:pPr>
        <w:tabs>
          <w:tab w:val="left" w:pos="0"/>
        </w:tabs>
        <w:suppressAutoHyphens/>
        <w:ind w:left="5040" w:hanging="5040"/>
        <w:rPr>
          <w:sz w:val="22"/>
          <w:szCs w:val="22"/>
        </w:rPr>
      </w:pPr>
      <w:r>
        <w:rPr>
          <w:sz w:val="22"/>
          <w:szCs w:val="22"/>
        </w:rPr>
        <w:t>Raleigh, NC 27602</w:t>
      </w:r>
    </w:p>
    <w:p w:rsidR="00066687" w:rsidRDefault="00066687" w:rsidP="00066687">
      <w:pPr>
        <w:tabs>
          <w:tab w:val="left" w:pos="0"/>
        </w:tabs>
        <w:suppressAutoHyphens/>
        <w:ind w:left="5040" w:hanging="5040"/>
        <w:rPr>
          <w:sz w:val="22"/>
          <w:szCs w:val="22"/>
        </w:rPr>
      </w:pPr>
    </w:p>
    <w:p w:rsidR="003448F8" w:rsidRDefault="003448F8" w:rsidP="0013452C">
      <w:pPr>
        <w:tabs>
          <w:tab w:val="left" w:pos="0"/>
        </w:tabs>
        <w:suppressAutoHyphens/>
        <w:ind w:left="5040" w:hanging="5040"/>
        <w:rPr>
          <w:sz w:val="22"/>
          <w:szCs w:val="22"/>
        </w:rPr>
      </w:pPr>
      <w:r>
        <w:rPr>
          <w:sz w:val="22"/>
          <w:szCs w:val="22"/>
        </w:rPr>
        <w:t>Steven L. White</w:t>
      </w:r>
    </w:p>
    <w:p w:rsidR="005F0F17" w:rsidRDefault="00A223DB" w:rsidP="0013452C">
      <w:pPr>
        <w:tabs>
          <w:tab w:val="left" w:pos="0"/>
        </w:tabs>
        <w:suppressAutoHyphens/>
        <w:ind w:left="5040" w:hanging="5040"/>
        <w:rPr>
          <w:sz w:val="22"/>
          <w:szCs w:val="22"/>
        </w:rPr>
      </w:pPr>
      <w:r>
        <w:rPr>
          <w:sz w:val="22"/>
          <w:szCs w:val="22"/>
        </w:rPr>
        <w:t>Triangle Access Broadcasting, Inc.</w:t>
      </w:r>
    </w:p>
    <w:p w:rsidR="007346C5" w:rsidRDefault="00A223DB" w:rsidP="0013452C">
      <w:pPr>
        <w:tabs>
          <w:tab w:val="left" w:pos="0"/>
        </w:tabs>
        <w:suppressAutoHyphens/>
        <w:ind w:left="5040" w:hanging="5040"/>
        <w:rPr>
          <w:sz w:val="22"/>
          <w:szCs w:val="22"/>
        </w:rPr>
      </w:pPr>
      <w:r>
        <w:rPr>
          <w:sz w:val="22"/>
          <w:szCs w:val="22"/>
        </w:rPr>
        <w:t>7813 Highlandview Cir.</w:t>
      </w:r>
    </w:p>
    <w:p w:rsidR="00A223DB" w:rsidRDefault="00A223DB" w:rsidP="0013452C">
      <w:pPr>
        <w:tabs>
          <w:tab w:val="left" w:pos="0"/>
        </w:tabs>
        <w:suppressAutoHyphens/>
        <w:ind w:left="5040" w:hanging="5040"/>
        <w:rPr>
          <w:sz w:val="22"/>
          <w:szCs w:val="22"/>
        </w:rPr>
      </w:pPr>
      <w:r>
        <w:rPr>
          <w:sz w:val="22"/>
          <w:szCs w:val="22"/>
        </w:rPr>
        <w:t>Raleigh, NC 27613</w:t>
      </w:r>
    </w:p>
    <w:p w:rsidR="00A223DB" w:rsidRDefault="00A223DB" w:rsidP="0013452C">
      <w:pPr>
        <w:tabs>
          <w:tab w:val="left" w:pos="0"/>
        </w:tabs>
        <w:suppressAutoHyphens/>
        <w:ind w:left="5040" w:hanging="5040"/>
        <w:rPr>
          <w:sz w:val="22"/>
          <w:szCs w:val="22"/>
        </w:rPr>
      </w:pPr>
    </w:p>
    <w:p w:rsidR="00C914D8" w:rsidRDefault="00FD3BE6" w:rsidP="007346C5">
      <w:pPr>
        <w:tabs>
          <w:tab w:val="left" w:pos="0"/>
          <w:tab w:val="left" w:pos="5760"/>
        </w:tabs>
        <w:suppressAutoHyphens/>
        <w:ind w:left="5760" w:hanging="720"/>
        <w:rPr>
          <w:b/>
          <w:sz w:val="22"/>
          <w:szCs w:val="22"/>
        </w:rPr>
      </w:pPr>
      <w:r w:rsidRPr="00A17337">
        <w:rPr>
          <w:b/>
          <w:sz w:val="22"/>
          <w:szCs w:val="22"/>
        </w:rPr>
        <w:t>In re:</w:t>
      </w:r>
      <w:r w:rsidRPr="00A17337">
        <w:rPr>
          <w:b/>
          <w:sz w:val="22"/>
          <w:szCs w:val="22"/>
        </w:rPr>
        <w:tab/>
      </w:r>
      <w:r w:rsidR="00C914D8">
        <w:rPr>
          <w:b/>
          <w:sz w:val="22"/>
          <w:szCs w:val="22"/>
        </w:rPr>
        <w:t>W251CA, Rolesville, North Carolina</w:t>
      </w:r>
    </w:p>
    <w:p w:rsidR="00C914D8" w:rsidRDefault="00C914D8" w:rsidP="007346C5">
      <w:pPr>
        <w:tabs>
          <w:tab w:val="left" w:pos="0"/>
          <w:tab w:val="left" w:pos="5760"/>
        </w:tabs>
        <w:suppressAutoHyphens/>
        <w:ind w:left="5760" w:hanging="720"/>
        <w:rPr>
          <w:sz w:val="22"/>
          <w:szCs w:val="22"/>
        </w:rPr>
      </w:pPr>
      <w:r>
        <w:rPr>
          <w:b/>
          <w:sz w:val="22"/>
          <w:szCs w:val="22"/>
        </w:rPr>
        <w:tab/>
      </w:r>
      <w:r>
        <w:rPr>
          <w:sz w:val="22"/>
          <w:szCs w:val="22"/>
        </w:rPr>
        <w:t>File Nos. BMPFT-20150326AAS</w:t>
      </w:r>
    </w:p>
    <w:p w:rsidR="00734568" w:rsidRDefault="00734568" w:rsidP="007346C5">
      <w:pPr>
        <w:tabs>
          <w:tab w:val="left" w:pos="0"/>
          <w:tab w:val="left" w:pos="5760"/>
        </w:tabs>
        <w:suppressAutoHyphens/>
        <w:ind w:left="5760" w:hanging="720"/>
        <w:rPr>
          <w:sz w:val="22"/>
          <w:szCs w:val="22"/>
        </w:rPr>
      </w:pPr>
      <w:r>
        <w:rPr>
          <w:sz w:val="22"/>
          <w:szCs w:val="22"/>
        </w:rPr>
        <w:tab/>
      </w:r>
      <w:r>
        <w:rPr>
          <w:sz w:val="22"/>
          <w:szCs w:val="22"/>
        </w:rPr>
        <w:tab/>
        <w:t xml:space="preserve">   BMPFT-20150724ABS</w:t>
      </w:r>
    </w:p>
    <w:p w:rsidR="0032435B" w:rsidRDefault="0032435B" w:rsidP="007346C5">
      <w:pPr>
        <w:tabs>
          <w:tab w:val="left" w:pos="0"/>
          <w:tab w:val="left" w:pos="5760"/>
        </w:tabs>
        <w:suppressAutoHyphens/>
        <w:ind w:left="5760" w:hanging="720"/>
        <w:rPr>
          <w:sz w:val="22"/>
          <w:szCs w:val="22"/>
        </w:rPr>
      </w:pPr>
      <w:r>
        <w:rPr>
          <w:sz w:val="22"/>
          <w:szCs w:val="22"/>
        </w:rPr>
        <w:tab/>
      </w:r>
      <w:r>
        <w:rPr>
          <w:sz w:val="22"/>
          <w:szCs w:val="22"/>
        </w:rPr>
        <w:tab/>
        <w:t xml:space="preserve">   BLFT-20151112LPM</w:t>
      </w:r>
    </w:p>
    <w:p w:rsidR="00C914D8" w:rsidRPr="00C914D8" w:rsidRDefault="00734568" w:rsidP="00734568">
      <w:pPr>
        <w:tabs>
          <w:tab w:val="left" w:pos="0"/>
          <w:tab w:val="left" w:pos="5760"/>
        </w:tabs>
        <w:suppressAutoHyphens/>
        <w:ind w:left="5760" w:hanging="720"/>
        <w:rPr>
          <w:sz w:val="22"/>
          <w:szCs w:val="22"/>
        </w:rPr>
      </w:pPr>
      <w:r>
        <w:rPr>
          <w:sz w:val="22"/>
          <w:szCs w:val="22"/>
        </w:rPr>
        <w:tab/>
      </w:r>
      <w:r w:rsidRPr="00734568">
        <w:rPr>
          <w:sz w:val="22"/>
          <w:szCs w:val="22"/>
        </w:rPr>
        <w:t xml:space="preserve">Facility ID No. </w:t>
      </w:r>
      <w:r>
        <w:rPr>
          <w:sz w:val="22"/>
          <w:szCs w:val="22"/>
        </w:rPr>
        <w:t>143057</w:t>
      </w:r>
    </w:p>
    <w:p w:rsidR="00C914D8" w:rsidRDefault="00C914D8" w:rsidP="007346C5">
      <w:pPr>
        <w:tabs>
          <w:tab w:val="left" w:pos="0"/>
          <w:tab w:val="left" w:pos="5760"/>
        </w:tabs>
        <w:suppressAutoHyphens/>
        <w:ind w:left="5760" w:hanging="720"/>
        <w:rPr>
          <w:b/>
          <w:sz w:val="22"/>
          <w:szCs w:val="22"/>
        </w:rPr>
      </w:pPr>
    </w:p>
    <w:p w:rsidR="000307B3" w:rsidRPr="00A17337" w:rsidRDefault="00C914D8" w:rsidP="007346C5">
      <w:pPr>
        <w:tabs>
          <w:tab w:val="left" w:pos="0"/>
          <w:tab w:val="left" w:pos="5760"/>
        </w:tabs>
        <w:suppressAutoHyphens/>
        <w:ind w:left="5760" w:hanging="720"/>
        <w:rPr>
          <w:b/>
          <w:sz w:val="22"/>
          <w:szCs w:val="22"/>
        </w:rPr>
      </w:pPr>
      <w:r>
        <w:rPr>
          <w:b/>
          <w:sz w:val="22"/>
          <w:szCs w:val="22"/>
        </w:rPr>
        <w:tab/>
      </w:r>
      <w:r w:rsidR="00096C16">
        <w:rPr>
          <w:b/>
          <w:sz w:val="22"/>
          <w:szCs w:val="22"/>
        </w:rPr>
        <w:t>W</w:t>
      </w:r>
      <w:r w:rsidR="001F59C3">
        <w:rPr>
          <w:b/>
          <w:sz w:val="22"/>
          <w:szCs w:val="22"/>
        </w:rPr>
        <w:t xml:space="preserve">254AS, </w:t>
      </w:r>
      <w:r w:rsidR="005F6150">
        <w:rPr>
          <w:b/>
          <w:sz w:val="22"/>
          <w:szCs w:val="22"/>
        </w:rPr>
        <w:t>Rolesville, North Carolina</w:t>
      </w:r>
    </w:p>
    <w:p w:rsidR="006E1E97" w:rsidRDefault="000939E5" w:rsidP="001634A9">
      <w:pPr>
        <w:tabs>
          <w:tab w:val="left" w:pos="0"/>
          <w:tab w:val="left" w:pos="5400"/>
        </w:tabs>
        <w:suppressAutoHyphens/>
        <w:ind w:left="5400" w:hanging="720"/>
        <w:rPr>
          <w:sz w:val="22"/>
          <w:szCs w:val="22"/>
        </w:rPr>
      </w:pPr>
      <w:r w:rsidRPr="00600276">
        <w:rPr>
          <w:sz w:val="22"/>
          <w:szCs w:val="22"/>
        </w:rPr>
        <w:tab/>
      </w:r>
      <w:r w:rsidR="00610DD6">
        <w:rPr>
          <w:sz w:val="22"/>
          <w:szCs w:val="22"/>
        </w:rPr>
        <w:tab/>
      </w:r>
      <w:r w:rsidR="004E0B53" w:rsidRPr="00600276">
        <w:rPr>
          <w:sz w:val="22"/>
          <w:szCs w:val="22"/>
        </w:rPr>
        <w:t>File No</w:t>
      </w:r>
      <w:r w:rsidR="00C914D8">
        <w:rPr>
          <w:sz w:val="22"/>
          <w:szCs w:val="22"/>
        </w:rPr>
        <w:t>s</w:t>
      </w:r>
      <w:r w:rsidR="004E0B53" w:rsidRPr="00600276">
        <w:rPr>
          <w:sz w:val="22"/>
          <w:szCs w:val="22"/>
        </w:rPr>
        <w:t>.</w:t>
      </w:r>
      <w:r w:rsidR="006E1E97">
        <w:rPr>
          <w:sz w:val="22"/>
          <w:szCs w:val="22"/>
        </w:rPr>
        <w:t xml:space="preserve"> BPFT-20150326AAW</w:t>
      </w:r>
      <w:r w:rsidR="004E0B53" w:rsidRPr="00600276">
        <w:rPr>
          <w:sz w:val="22"/>
          <w:szCs w:val="22"/>
        </w:rPr>
        <w:t xml:space="preserve"> </w:t>
      </w:r>
    </w:p>
    <w:p w:rsidR="004E0B53" w:rsidRDefault="006E1E97" w:rsidP="001634A9">
      <w:pPr>
        <w:tabs>
          <w:tab w:val="left" w:pos="0"/>
          <w:tab w:val="left" w:pos="5400"/>
        </w:tabs>
        <w:suppressAutoHyphens/>
        <w:ind w:left="5400" w:hanging="720"/>
        <w:rPr>
          <w:sz w:val="22"/>
          <w:szCs w:val="22"/>
        </w:rPr>
      </w:pPr>
      <w:r>
        <w:rPr>
          <w:sz w:val="22"/>
          <w:szCs w:val="22"/>
        </w:rPr>
        <w:tab/>
      </w:r>
      <w:r>
        <w:rPr>
          <w:sz w:val="22"/>
          <w:szCs w:val="22"/>
        </w:rPr>
        <w:tab/>
      </w:r>
      <w:r>
        <w:rPr>
          <w:sz w:val="22"/>
          <w:szCs w:val="22"/>
        </w:rPr>
        <w:tab/>
        <w:t xml:space="preserve">   </w:t>
      </w:r>
      <w:r w:rsidR="005F6150">
        <w:rPr>
          <w:sz w:val="22"/>
          <w:szCs w:val="22"/>
        </w:rPr>
        <w:t>BLFT-20151112LPR</w:t>
      </w:r>
    </w:p>
    <w:p w:rsidR="005F6150" w:rsidRDefault="004E0B53" w:rsidP="00734568">
      <w:pPr>
        <w:tabs>
          <w:tab w:val="left" w:pos="0"/>
          <w:tab w:val="left" w:pos="5400"/>
        </w:tabs>
        <w:suppressAutoHyphens/>
        <w:ind w:left="5400" w:hanging="720"/>
        <w:rPr>
          <w:sz w:val="22"/>
          <w:szCs w:val="22"/>
        </w:rPr>
      </w:pPr>
      <w:r>
        <w:rPr>
          <w:sz w:val="22"/>
          <w:szCs w:val="22"/>
        </w:rPr>
        <w:tab/>
      </w:r>
      <w:r w:rsidR="00610DD6">
        <w:rPr>
          <w:sz w:val="22"/>
          <w:szCs w:val="22"/>
        </w:rPr>
        <w:tab/>
      </w:r>
      <w:r w:rsidR="000939E5" w:rsidRPr="00600276">
        <w:rPr>
          <w:sz w:val="22"/>
          <w:szCs w:val="22"/>
        </w:rPr>
        <w:t xml:space="preserve">Facility ID No. </w:t>
      </w:r>
      <w:r w:rsidR="005F6150">
        <w:rPr>
          <w:sz w:val="22"/>
          <w:szCs w:val="22"/>
        </w:rPr>
        <w:t>143226</w:t>
      </w:r>
    </w:p>
    <w:p w:rsidR="00B94B61" w:rsidRDefault="00B94B61" w:rsidP="00734568">
      <w:pPr>
        <w:tabs>
          <w:tab w:val="left" w:pos="0"/>
          <w:tab w:val="left" w:pos="5400"/>
        </w:tabs>
        <w:suppressAutoHyphens/>
        <w:ind w:left="5400" w:hanging="720"/>
        <w:rPr>
          <w:sz w:val="22"/>
          <w:szCs w:val="22"/>
        </w:rPr>
      </w:pPr>
    </w:p>
    <w:p w:rsidR="00B94B61" w:rsidRPr="00B94B61" w:rsidRDefault="00B94B61" w:rsidP="00B94B61">
      <w:pPr>
        <w:contextualSpacing/>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94B61">
        <w:rPr>
          <w:b/>
          <w:sz w:val="22"/>
          <w:szCs w:val="22"/>
        </w:rPr>
        <w:t>W228CZ, Cary, NC</w:t>
      </w:r>
    </w:p>
    <w:p w:rsidR="00B94B61" w:rsidRDefault="00B94B61" w:rsidP="00B94B61">
      <w:pPr>
        <w:contextualSpacing/>
        <w:rPr>
          <w:sz w:val="22"/>
          <w:szCs w:val="22"/>
        </w:rPr>
      </w:pPr>
      <w:r w:rsidRPr="001C3AC2">
        <w:rPr>
          <w:sz w:val="22"/>
          <w:szCs w:val="22"/>
        </w:rPr>
        <w:tab/>
      </w:r>
      <w:r w:rsidRPr="001C3AC2">
        <w:rPr>
          <w:sz w:val="22"/>
          <w:szCs w:val="22"/>
        </w:rPr>
        <w:tab/>
      </w:r>
      <w:r w:rsidRPr="001C3AC2">
        <w:rPr>
          <w:sz w:val="22"/>
          <w:szCs w:val="22"/>
        </w:rPr>
        <w:tab/>
      </w:r>
      <w:r w:rsidRPr="001C3AC2">
        <w:rPr>
          <w:sz w:val="22"/>
          <w:szCs w:val="22"/>
        </w:rPr>
        <w:tab/>
      </w:r>
      <w:r w:rsidRPr="001C3AC2">
        <w:rPr>
          <w:sz w:val="22"/>
          <w:szCs w:val="22"/>
        </w:rPr>
        <w:tab/>
      </w:r>
      <w:r w:rsidRPr="001C3AC2">
        <w:rPr>
          <w:sz w:val="22"/>
          <w:szCs w:val="22"/>
        </w:rPr>
        <w:tab/>
      </w:r>
      <w:r w:rsidRPr="001C3AC2">
        <w:rPr>
          <w:sz w:val="22"/>
          <w:szCs w:val="22"/>
        </w:rPr>
        <w:tab/>
      </w:r>
      <w:r>
        <w:rPr>
          <w:sz w:val="22"/>
          <w:szCs w:val="22"/>
        </w:rPr>
        <w:tab/>
        <w:t>File No. BLFT-20161220AAZ</w:t>
      </w:r>
    </w:p>
    <w:p w:rsidR="00B94B61" w:rsidRPr="00600276" w:rsidRDefault="00B94B61" w:rsidP="00B94B61">
      <w:pPr>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Facility ID No. 156763</w:t>
      </w:r>
    </w:p>
    <w:p w:rsidR="004E0B53" w:rsidRDefault="000939E5" w:rsidP="001634A9">
      <w:pPr>
        <w:tabs>
          <w:tab w:val="left" w:pos="0"/>
          <w:tab w:val="left" w:pos="5400"/>
        </w:tabs>
        <w:suppressAutoHyphens/>
        <w:ind w:left="5400" w:hanging="720"/>
        <w:rPr>
          <w:sz w:val="22"/>
          <w:szCs w:val="22"/>
        </w:rPr>
      </w:pPr>
      <w:r w:rsidRPr="00600276">
        <w:rPr>
          <w:sz w:val="22"/>
          <w:szCs w:val="22"/>
        </w:rPr>
        <w:tab/>
      </w:r>
      <w:r w:rsidR="0013452C">
        <w:rPr>
          <w:sz w:val="22"/>
          <w:szCs w:val="22"/>
        </w:rPr>
        <w:tab/>
      </w:r>
    </w:p>
    <w:p w:rsidR="00B45D71" w:rsidRDefault="004E0B53" w:rsidP="001634A9">
      <w:pPr>
        <w:tabs>
          <w:tab w:val="left" w:pos="0"/>
          <w:tab w:val="left" w:pos="5400"/>
        </w:tabs>
        <w:suppressAutoHyphens/>
        <w:ind w:left="5400" w:hanging="720"/>
        <w:rPr>
          <w:b/>
          <w:sz w:val="22"/>
          <w:szCs w:val="22"/>
        </w:rPr>
      </w:pPr>
      <w:r>
        <w:rPr>
          <w:sz w:val="22"/>
          <w:szCs w:val="22"/>
        </w:rPr>
        <w:tab/>
      </w:r>
      <w:r w:rsidR="00610DD6">
        <w:rPr>
          <w:sz w:val="22"/>
          <w:szCs w:val="22"/>
        </w:rPr>
        <w:tab/>
      </w:r>
      <w:r w:rsidR="00B45D71">
        <w:rPr>
          <w:b/>
          <w:sz w:val="22"/>
          <w:szCs w:val="22"/>
        </w:rPr>
        <w:t>Petition</w:t>
      </w:r>
      <w:r w:rsidR="00734568">
        <w:rPr>
          <w:b/>
          <w:sz w:val="22"/>
          <w:szCs w:val="22"/>
        </w:rPr>
        <w:t>s</w:t>
      </w:r>
      <w:r w:rsidR="00B45D71">
        <w:rPr>
          <w:b/>
          <w:sz w:val="22"/>
          <w:szCs w:val="22"/>
        </w:rPr>
        <w:t xml:space="preserve"> for Reconsideration</w:t>
      </w:r>
    </w:p>
    <w:p w:rsidR="006F0D9F" w:rsidRPr="00600276" w:rsidRDefault="00FD3BE6" w:rsidP="001634A9">
      <w:pPr>
        <w:tabs>
          <w:tab w:val="left" w:pos="0"/>
        </w:tabs>
        <w:suppressAutoHyphens/>
        <w:outlineLvl w:val="0"/>
        <w:rPr>
          <w:b/>
          <w:sz w:val="22"/>
          <w:szCs w:val="22"/>
        </w:rPr>
      </w:pPr>
      <w:r w:rsidRPr="00600276">
        <w:rPr>
          <w:sz w:val="22"/>
          <w:szCs w:val="22"/>
        </w:rPr>
        <w:t>Dear Counsel</w:t>
      </w:r>
      <w:r w:rsidR="008E51CA">
        <w:rPr>
          <w:sz w:val="22"/>
          <w:szCs w:val="22"/>
        </w:rPr>
        <w:t>:</w:t>
      </w:r>
    </w:p>
    <w:p w:rsidR="006F0D9F" w:rsidRPr="00600276" w:rsidRDefault="006F0D9F" w:rsidP="001634A9">
      <w:pPr>
        <w:tabs>
          <w:tab w:val="left" w:pos="0"/>
        </w:tabs>
        <w:suppressAutoHyphens/>
        <w:rPr>
          <w:sz w:val="22"/>
          <w:szCs w:val="22"/>
        </w:rPr>
      </w:pPr>
    </w:p>
    <w:p w:rsidR="006F0D9F" w:rsidRPr="00600276" w:rsidRDefault="00CA4878" w:rsidP="001634A9">
      <w:pPr>
        <w:autoSpaceDE w:val="0"/>
        <w:autoSpaceDN w:val="0"/>
        <w:adjustRightInd w:val="0"/>
        <w:ind w:firstLine="720"/>
        <w:rPr>
          <w:sz w:val="22"/>
          <w:szCs w:val="22"/>
        </w:rPr>
      </w:pPr>
      <w:r>
        <w:rPr>
          <w:sz w:val="22"/>
          <w:szCs w:val="22"/>
        </w:rPr>
        <w:t>We have before us</w:t>
      </w:r>
      <w:r w:rsidR="004548B4">
        <w:rPr>
          <w:sz w:val="22"/>
          <w:szCs w:val="22"/>
        </w:rPr>
        <w:t xml:space="preserve"> </w:t>
      </w:r>
      <w:r w:rsidR="00197C9A">
        <w:rPr>
          <w:sz w:val="22"/>
          <w:szCs w:val="22"/>
        </w:rPr>
        <w:t>t</w:t>
      </w:r>
      <w:r w:rsidR="00090C27">
        <w:rPr>
          <w:sz w:val="22"/>
          <w:szCs w:val="22"/>
        </w:rPr>
        <w:t>wo petitions for reconsideration</w:t>
      </w:r>
      <w:r w:rsidR="005033AD">
        <w:rPr>
          <w:rStyle w:val="FootnoteReference"/>
          <w:sz w:val="22"/>
          <w:szCs w:val="22"/>
        </w:rPr>
        <w:footnoteReference w:id="1"/>
      </w:r>
      <w:r w:rsidR="005033AD">
        <w:rPr>
          <w:sz w:val="22"/>
          <w:szCs w:val="22"/>
        </w:rPr>
        <w:t xml:space="preserve"> </w:t>
      </w:r>
      <w:r w:rsidR="00090C27">
        <w:rPr>
          <w:sz w:val="22"/>
          <w:szCs w:val="22"/>
        </w:rPr>
        <w:t xml:space="preserve">(Rolesville Modification Petitions) </w:t>
      </w:r>
      <w:r w:rsidR="00FD6C84">
        <w:rPr>
          <w:sz w:val="22"/>
          <w:szCs w:val="22"/>
        </w:rPr>
        <w:t>filed by Triangle Access Broadcasting</w:t>
      </w:r>
      <w:r w:rsidR="003224E9">
        <w:rPr>
          <w:sz w:val="22"/>
          <w:szCs w:val="22"/>
        </w:rPr>
        <w:t>, Inc.</w:t>
      </w:r>
      <w:r w:rsidR="00FD6C84">
        <w:rPr>
          <w:sz w:val="22"/>
          <w:szCs w:val="22"/>
        </w:rPr>
        <w:t xml:space="preserve"> (Triangle)</w:t>
      </w:r>
      <w:r w:rsidR="00865837">
        <w:rPr>
          <w:sz w:val="22"/>
          <w:szCs w:val="22"/>
        </w:rPr>
        <w:t>,</w:t>
      </w:r>
      <w:r w:rsidR="00ED79F3">
        <w:rPr>
          <w:sz w:val="22"/>
          <w:szCs w:val="22"/>
        </w:rPr>
        <w:t xml:space="preserve"> </w:t>
      </w:r>
      <w:r w:rsidR="00FD6C84">
        <w:rPr>
          <w:sz w:val="22"/>
          <w:szCs w:val="22"/>
        </w:rPr>
        <w:t xml:space="preserve">seeking reconsideration </w:t>
      </w:r>
      <w:r w:rsidR="00090C27">
        <w:rPr>
          <w:sz w:val="22"/>
          <w:szCs w:val="22"/>
        </w:rPr>
        <w:t xml:space="preserve">of the April 28, 2015, grant </w:t>
      </w:r>
      <w:r w:rsidR="00FD6C84">
        <w:rPr>
          <w:sz w:val="22"/>
          <w:szCs w:val="22"/>
        </w:rPr>
        <w:t xml:space="preserve">by the Audio Division, Media Bureau (Bureau) </w:t>
      </w:r>
      <w:r w:rsidR="00090C27">
        <w:rPr>
          <w:sz w:val="22"/>
          <w:szCs w:val="22"/>
        </w:rPr>
        <w:t xml:space="preserve">of </w:t>
      </w:r>
      <w:r w:rsidR="005033AD">
        <w:rPr>
          <w:sz w:val="22"/>
          <w:szCs w:val="22"/>
        </w:rPr>
        <w:t>the above-referenced</w:t>
      </w:r>
      <w:r w:rsidR="00090C27">
        <w:rPr>
          <w:sz w:val="22"/>
          <w:szCs w:val="22"/>
        </w:rPr>
        <w:t xml:space="preserve"> modification</w:t>
      </w:r>
      <w:r w:rsidR="005033AD">
        <w:rPr>
          <w:sz w:val="22"/>
          <w:szCs w:val="22"/>
        </w:rPr>
        <w:t xml:space="preserve"> applications </w:t>
      </w:r>
      <w:r w:rsidR="0068074D">
        <w:rPr>
          <w:sz w:val="22"/>
          <w:szCs w:val="22"/>
        </w:rPr>
        <w:t xml:space="preserve">(Rolesville Modification Applications) </w:t>
      </w:r>
      <w:r w:rsidR="00FD6C84">
        <w:rPr>
          <w:sz w:val="22"/>
          <w:szCs w:val="22"/>
        </w:rPr>
        <w:t>for</w:t>
      </w:r>
      <w:r w:rsidR="005033AD">
        <w:rPr>
          <w:sz w:val="22"/>
          <w:szCs w:val="22"/>
        </w:rPr>
        <w:t xml:space="preserve"> FM translator stations </w:t>
      </w:r>
      <w:bookmarkStart w:id="1" w:name="_Hlk499646932"/>
      <w:r w:rsidR="005033AD" w:rsidRPr="00734568">
        <w:rPr>
          <w:sz w:val="22"/>
          <w:szCs w:val="22"/>
        </w:rPr>
        <w:t xml:space="preserve">W251CA </w:t>
      </w:r>
      <w:r w:rsidR="005033AD">
        <w:rPr>
          <w:sz w:val="22"/>
          <w:szCs w:val="22"/>
        </w:rPr>
        <w:t xml:space="preserve">and W254AS, both Rolesville, North Carolina </w:t>
      </w:r>
      <w:bookmarkEnd w:id="1"/>
      <w:r w:rsidR="005033AD">
        <w:rPr>
          <w:sz w:val="22"/>
          <w:szCs w:val="22"/>
        </w:rPr>
        <w:t>(</w:t>
      </w:r>
      <w:r w:rsidR="0055771C">
        <w:rPr>
          <w:sz w:val="22"/>
          <w:szCs w:val="22"/>
        </w:rPr>
        <w:t>Rolesville Translators</w:t>
      </w:r>
      <w:r w:rsidR="005033AD">
        <w:rPr>
          <w:sz w:val="22"/>
          <w:szCs w:val="22"/>
        </w:rPr>
        <w:t>)</w:t>
      </w:r>
      <w:r w:rsidR="0068074D">
        <w:rPr>
          <w:sz w:val="22"/>
          <w:szCs w:val="22"/>
        </w:rPr>
        <w:t>,</w:t>
      </w:r>
      <w:r w:rsidR="00FD6C84" w:rsidRPr="00FD6C84">
        <w:rPr>
          <w:sz w:val="22"/>
          <w:szCs w:val="22"/>
        </w:rPr>
        <w:t xml:space="preserve"> </w:t>
      </w:r>
      <w:r w:rsidR="00FD6C84">
        <w:rPr>
          <w:sz w:val="22"/>
          <w:szCs w:val="22"/>
        </w:rPr>
        <w:t>filed by Eastern Airwaves, LLC (Eastern Airwaves) and FM 102.9 LLC (FM 102.9), respectively (collectively, Curtis Licensees)</w:t>
      </w:r>
      <w:r w:rsidR="0068074D">
        <w:rPr>
          <w:sz w:val="22"/>
          <w:szCs w:val="22"/>
        </w:rPr>
        <w:t>,</w:t>
      </w:r>
      <w:r w:rsidR="00FD6C84">
        <w:rPr>
          <w:sz w:val="22"/>
          <w:szCs w:val="22"/>
        </w:rPr>
        <w:t xml:space="preserve"> </w:t>
      </w:r>
      <w:r w:rsidR="00DB660B">
        <w:rPr>
          <w:sz w:val="22"/>
          <w:szCs w:val="22"/>
        </w:rPr>
        <w:t>and related pleadings</w:t>
      </w:r>
      <w:r w:rsidR="00090C27">
        <w:rPr>
          <w:sz w:val="22"/>
          <w:szCs w:val="22"/>
        </w:rPr>
        <w:t>.</w:t>
      </w:r>
      <w:r w:rsidR="00090C27">
        <w:rPr>
          <w:rStyle w:val="FootnoteReference"/>
          <w:sz w:val="22"/>
          <w:szCs w:val="22"/>
        </w:rPr>
        <w:footnoteReference w:id="2"/>
      </w:r>
      <w:r w:rsidR="00090C27">
        <w:rPr>
          <w:sz w:val="22"/>
          <w:szCs w:val="22"/>
        </w:rPr>
        <w:t xml:space="preserve"> </w:t>
      </w:r>
      <w:r w:rsidR="005033AD">
        <w:rPr>
          <w:sz w:val="22"/>
          <w:szCs w:val="22"/>
        </w:rPr>
        <w:t xml:space="preserve"> </w:t>
      </w:r>
      <w:r w:rsidR="00791D4C">
        <w:rPr>
          <w:sz w:val="22"/>
          <w:szCs w:val="22"/>
        </w:rPr>
        <w:t xml:space="preserve">We also have </w:t>
      </w:r>
      <w:r w:rsidR="005033AD">
        <w:rPr>
          <w:sz w:val="22"/>
          <w:szCs w:val="22"/>
        </w:rPr>
        <w:t xml:space="preserve">two </w:t>
      </w:r>
      <w:r w:rsidR="005033AD">
        <w:rPr>
          <w:sz w:val="22"/>
          <w:szCs w:val="22"/>
        </w:rPr>
        <w:lastRenderedPageBreak/>
        <w:t>petitions for reconsideration (</w:t>
      </w:r>
      <w:r w:rsidR="005033AD" w:rsidRPr="003C3120">
        <w:rPr>
          <w:sz w:val="22"/>
          <w:szCs w:val="22"/>
        </w:rPr>
        <w:t xml:space="preserve">Rolesville </w:t>
      </w:r>
      <w:r w:rsidR="005033AD">
        <w:rPr>
          <w:sz w:val="22"/>
          <w:szCs w:val="22"/>
        </w:rPr>
        <w:t>License Petitions) filed by Triangle</w:t>
      </w:r>
      <w:r w:rsidR="0068074D" w:rsidRPr="0068074D">
        <w:rPr>
          <w:sz w:val="22"/>
          <w:szCs w:val="22"/>
        </w:rPr>
        <w:t xml:space="preserve"> </w:t>
      </w:r>
      <w:r w:rsidR="0068074D">
        <w:rPr>
          <w:sz w:val="22"/>
          <w:szCs w:val="22"/>
        </w:rPr>
        <w:t>on December 14, 2016,</w:t>
      </w:r>
      <w:r w:rsidR="005033AD">
        <w:rPr>
          <w:sz w:val="22"/>
          <w:szCs w:val="22"/>
        </w:rPr>
        <w:t xml:space="preserve"> seeking reconsideration of the November 29, 2016, grant of the above-referenced applications for licenses to cover the </w:t>
      </w:r>
      <w:r w:rsidR="0055771C">
        <w:rPr>
          <w:sz w:val="22"/>
          <w:szCs w:val="22"/>
        </w:rPr>
        <w:t>Rolesville Translators</w:t>
      </w:r>
      <w:r w:rsidR="005033AD">
        <w:rPr>
          <w:sz w:val="22"/>
          <w:szCs w:val="22"/>
        </w:rPr>
        <w:t xml:space="preserve"> (Rolesville License Applications), and related pleadings.</w:t>
      </w:r>
      <w:r w:rsidR="005033AD">
        <w:rPr>
          <w:rStyle w:val="FootnoteReference"/>
          <w:sz w:val="22"/>
          <w:szCs w:val="22"/>
        </w:rPr>
        <w:footnoteReference w:id="3"/>
      </w:r>
      <w:r w:rsidR="005033AD">
        <w:rPr>
          <w:sz w:val="22"/>
          <w:szCs w:val="22"/>
        </w:rPr>
        <w:t xml:space="preserve">  </w:t>
      </w:r>
      <w:r w:rsidR="00B94B61">
        <w:rPr>
          <w:sz w:val="22"/>
          <w:szCs w:val="22"/>
        </w:rPr>
        <w:t xml:space="preserve">Finally, we have a petition for reconsideration </w:t>
      </w:r>
      <w:r w:rsidR="00502C69">
        <w:rPr>
          <w:sz w:val="22"/>
          <w:szCs w:val="22"/>
        </w:rPr>
        <w:t xml:space="preserve">(Cary License Petition) </w:t>
      </w:r>
      <w:r w:rsidR="00B94B61">
        <w:rPr>
          <w:sz w:val="22"/>
          <w:szCs w:val="22"/>
        </w:rPr>
        <w:t>filed by Triangle on January 31, 2017, seeking reconsidera</w:t>
      </w:r>
      <w:r w:rsidR="00403083">
        <w:rPr>
          <w:sz w:val="22"/>
          <w:szCs w:val="22"/>
        </w:rPr>
        <w:t>tion of the grant of the above-referenced</w:t>
      </w:r>
      <w:r w:rsidR="00B94B61">
        <w:rPr>
          <w:sz w:val="22"/>
          <w:szCs w:val="22"/>
        </w:rPr>
        <w:t xml:space="preserve"> application </w:t>
      </w:r>
      <w:r w:rsidR="0068074D">
        <w:rPr>
          <w:sz w:val="22"/>
          <w:szCs w:val="22"/>
        </w:rPr>
        <w:t xml:space="preserve">to license FM translator </w:t>
      </w:r>
      <w:r w:rsidR="00092B20">
        <w:rPr>
          <w:sz w:val="22"/>
          <w:szCs w:val="22"/>
        </w:rPr>
        <w:t xml:space="preserve">station </w:t>
      </w:r>
      <w:r w:rsidR="0068074D">
        <w:rPr>
          <w:sz w:val="22"/>
          <w:szCs w:val="22"/>
        </w:rPr>
        <w:t>W228CA, Cary, North Carolina (</w:t>
      </w:r>
      <w:r w:rsidR="0055771C">
        <w:rPr>
          <w:sz w:val="22"/>
          <w:szCs w:val="22"/>
        </w:rPr>
        <w:t>Cary Translator</w:t>
      </w:r>
      <w:r w:rsidR="0068074D">
        <w:rPr>
          <w:sz w:val="22"/>
          <w:szCs w:val="22"/>
        </w:rPr>
        <w:t>) (</w:t>
      </w:r>
      <w:r w:rsidR="00092B20">
        <w:rPr>
          <w:sz w:val="22"/>
          <w:szCs w:val="22"/>
        </w:rPr>
        <w:t xml:space="preserve">collectively </w:t>
      </w:r>
      <w:r w:rsidR="0068074D">
        <w:rPr>
          <w:sz w:val="22"/>
          <w:szCs w:val="22"/>
        </w:rPr>
        <w:t xml:space="preserve">with the </w:t>
      </w:r>
      <w:r w:rsidR="0055771C">
        <w:rPr>
          <w:sz w:val="22"/>
          <w:szCs w:val="22"/>
        </w:rPr>
        <w:t>Rolesville Translators</w:t>
      </w:r>
      <w:r w:rsidR="0068074D">
        <w:rPr>
          <w:sz w:val="22"/>
          <w:szCs w:val="22"/>
        </w:rPr>
        <w:t xml:space="preserve">, </w:t>
      </w:r>
      <w:r w:rsidR="0055771C">
        <w:rPr>
          <w:sz w:val="22"/>
          <w:szCs w:val="22"/>
        </w:rPr>
        <w:t>Translators</w:t>
      </w:r>
      <w:r w:rsidR="0068074D">
        <w:rPr>
          <w:sz w:val="22"/>
          <w:szCs w:val="22"/>
        </w:rPr>
        <w:t xml:space="preserve">), </w:t>
      </w:r>
      <w:r w:rsidR="00403083">
        <w:rPr>
          <w:sz w:val="22"/>
          <w:szCs w:val="22"/>
        </w:rPr>
        <w:t xml:space="preserve">filed by Eastern Airwaves on </w:t>
      </w:r>
      <w:r w:rsidR="0015158E">
        <w:rPr>
          <w:sz w:val="22"/>
          <w:szCs w:val="22"/>
        </w:rPr>
        <w:t>December 20, 2016</w:t>
      </w:r>
      <w:r w:rsidR="003016E3">
        <w:rPr>
          <w:sz w:val="22"/>
          <w:szCs w:val="22"/>
        </w:rPr>
        <w:t xml:space="preserve"> (Cary License Application)</w:t>
      </w:r>
      <w:r w:rsidR="0055771C">
        <w:rPr>
          <w:sz w:val="22"/>
          <w:szCs w:val="22"/>
        </w:rPr>
        <w:t>, and related pleadings</w:t>
      </w:r>
      <w:r w:rsidR="00B94B61">
        <w:rPr>
          <w:sz w:val="22"/>
          <w:szCs w:val="22"/>
        </w:rPr>
        <w:t>.</w:t>
      </w:r>
      <w:r w:rsidR="00502C69">
        <w:rPr>
          <w:rStyle w:val="FootnoteReference"/>
          <w:sz w:val="22"/>
          <w:szCs w:val="22"/>
        </w:rPr>
        <w:footnoteReference w:id="4"/>
      </w:r>
      <w:r w:rsidR="00B94B61">
        <w:rPr>
          <w:sz w:val="22"/>
          <w:szCs w:val="22"/>
        </w:rPr>
        <w:t xml:space="preserve">  </w:t>
      </w:r>
      <w:r w:rsidR="00E65CD2" w:rsidRPr="0072481A">
        <w:rPr>
          <w:sz w:val="22"/>
          <w:szCs w:val="22"/>
        </w:rPr>
        <w:t>For the reasons discussed below, we</w:t>
      </w:r>
      <w:r w:rsidR="008F1656" w:rsidRPr="0072481A">
        <w:rPr>
          <w:sz w:val="22"/>
          <w:szCs w:val="22"/>
        </w:rPr>
        <w:t xml:space="preserve"> </w:t>
      </w:r>
      <w:r w:rsidR="007346C5">
        <w:rPr>
          <w:sz w:val="22"/>
          <w:szCs w:val="22"/>
        </w:rPr>
        <w:t>deny</w:t>
      </w:r>
      <w:r w:rsidR="0072481A">
        <w:rPr>
          <w:sz w:val="22"/>
          <w:szCs w:val="22"/>
        </w:rPr>
        <w:t xml:space="preserve"> </w:t>
      </w:r>
      <w:r w:rsidR="004548B4">
        <w:rPr>
          <w:sz w:val="22"/>
          <w:szCs w:val="22"/>
        </w:rPr>
        <w:t xml:space="preserve">the </w:t>
      </w:r>
      <w:r w:rsidR="00502C69">
        <w:rPr>
          <w:sz w:val="22"/>
          <w:szCs w:val="22"/>
        </w:rPr>
        <w:t xml:space="preserve">Rolesville </w:t>
      </w:r>
      <w:r w:rsidR="004548B4">
        <w:rPr>
          <w:sz w:val="22"/>
          <w:szCs w:val="22"/>
        </w:rPr>
        <w:t>Modification</w:t>
      </w:r>
      <w:r w:rsidR="007E5F99">
        <w:rPr>
          <w:sz w:val="22"/>
          <w:szCs w:val="22"/>
        </w:rPr>
        <w:t xml:space="preserve"> Petitions, the Rolesville</w:t>
      </w:r>
      <w:r w:rsidR="004548B4">
        <w:rPr>
          <w:sz w:val="22"/>
          <w:szCs w:val="22"/>
        </w:rPr>
        <w:t xml:space="preserve"> License Petitions</w:t>
      </w:r>
      <w:r w:rsidR="007E5F99">
        <w:rPr>
          <w:sz w:val="22"/>
          <w:szCs w:val="22"/>
        </w:rPr>
        <w:t>, and</w:t>
      </w:r>
      <w:r w:rsidR="00502C69">
        <w:rPr>
          <w:sz w:val="22"/>
          <w:szCs w:val="22"/>
        </w:rPr>
        <w:t xml:space="preserve"> the Cary License Petition</w:t>
      </w:r>
      <w:r w:rsidR="0068074D">
        <w:rPr>
          <w:sz w:val="22"/>
          <w:szCs w:val="22"/>
        </w:rPr>
        <w:t>, and uphold the grants of the above-referenced applications</w:t>
      </w:r>
      <w:r w:rsidR="0072481A">
        <w:rPr>
          <w:sz w:val="22"/>
          <w:szCs w:val="22"/>
        </w:rPr>
        <w:t xml:space="preserve">.  </w:t>
      </w:r>
    </w:p>
    <w:p w:rsidR="006F0D9F" w:rsidRPr="00600276" w:rsidRDefault="00FD3BE6" w:rsidP="001634A9">
      <w:pPr>
        <w:widowControl w:val="0"/>
        <w:autoSpaceDE w:val="0"/>
        <w:autoSpaceDN w:val="0"/>
        <w:adjustRightInd w:val="0"/>
        <w:rPr>
          <w:sz w:val="22"/>
          <w:szCs w:val="22"/>
        </w:rPr>
      </w:pPr>
      <w:r w:rsidRPr="00600276">
        <w:rPr>
          <w:sz w:val="22"/>
          <w:szCs w:val="22"/>
        </w:rPr>
        <w:tab/>
      </w:r>
      <w:r w:rsidR="00575097">
        <w:rPr>
          <w:sz w:val="22"/>
          <w:szCs w:val="22"/>
        </w:rPr>
        <w:t xml:space="preserve"> </w:t>
      </w:r>
    </w:p>
    <w:p w:rsidR="008B67DE" w:rsidRDefault="00E35E21" w:rsidP="008371C3">
      <w:pPr>
        <w:ind w:firstLine="720"/>
        <w:rPr>
          <w:sz w:val="22"/>
          <w:szCs w:val="22"/>
        </w:rPr>
      </w:pPr>
      <w:r w:rsidRPr="00600276">
        <w:rPr>
          <w:b/>
          <w:sz w:val="22"/>
          <w:szCs w:val="22"/>
        </w:rPr>
        <w:t>Background.</w:t>
      </w:r>
      <w:r w:rsidR="00240E07">
        <w:rPr>
          <w:b/>
          <w:sz w:val="22"/>
          <w:szCs w:val="22"/>
        </w:rPr>
        <w:t xml:space="preserve">  </w:t>
      </w:r>
      <w:r w:rsidR="0068373C">
        <w:rPr>
          <w:sz w:val="22"/>
          <w:szCs w:val="22"/>
        </w:rPr>
        <w:t xml:space="preserve">On </w:t>
      </w:r>
      <w:r w:rsidR="006B46D3">
        <w:rPr>
          <w:sz w:val="22"/>
          <w:szCs w:val="22"/>
        </w:rPr>
        <w:t>November 24, 2014, Eastern Airwaves filed an application for a minor modification to</w:t>
      </w:r>
      <w:r w:rsidR="0055771C">
        <w:rPr>
          <w:sz w:val="22"/>
          <w:szCs w:val="22"/>
        </w:rPr>
        <w:t xml:space="preserve"> the Cary Translator </w:t>
      </w:r>
      <w:r w:rsidR="006B46D3">
        <w:rPr>
          <w:sz w:val="22"/>
          <w:szCs w:val="22"/>
        </w:rPr>
        <w:t>construction permit, specifying a new trans</w:t>
      </w:r>
      <w:r w:rsidR="005E14D2">
        <w:rPr>
          <w:sz w:val="22"/>
          <w:szCs w:val="22"/>
        </w:rPr>
        <w:t xml:space="preserve">lator site, channel change, and </w:t>
      </w:r>
      <w:r w:rsidR="006B46D3">
        <w:rPr>
          <w:sz w:val="22"/>
          <w:szCs w:val="22"/>
        </w:rPr>
        <w:t>effective radiated power (ERP)</w:t>
      </w:r>
      <w:r w:rsidR="003016E3">
        <w:rPr>
          <w:sz w:val="22"/>
          <w:szCs w:val="22"/>
        </w:rPr>
        <w:t xml:space="preserve"> (Cary</w:t>
      </w:r>
      <w:r w:rsidR="006B46D3">
        <w:rPr>
          <w:sz w:val="22"/>
          <w:szCs w:val="22"/>
        </w:rPr>
        <w:t xml:space="preserve"> Modification Application)</w:t>
      </w:r>
      <w:r w:rsidR="00E779DF">
        <w:rPr>
          <w:sz w:val="22"/>
          <w:szCs w:val="22"/>
        </w:rPr>
        <w:t>, which was</w:t>
      </w:r>
      <w:r w:rsidR="00E779DF" w:rsidRPr="00E779DF">
        <w:rPr>
          <w:sz w:val="22"/>
          <w:szCs w:val="22"/>
        </w:rPr>
        <w:t xml:space="preserve"> </w:t>
      </w:r>
      <w:r w:rsidR="00E779DF" w:rsidRPr="003016E3">
        <w:rPr>
          <w:sz w:val="22"/>
          <w:szCs w:val="22"/>
        </w:rPr>
        <w:t>granted on December 22, 2014.</w:t>
      </w:r>
      <w:r w:rsidR="00E779DF">
        <w:rPr>
          <w:rStyle w:val="FootnoteReference"/>
          <w:sz w:val="22"/>
          <w:szCs w:val="22"/>
        </w:rPr>
        <w:footnoteReference w:id="5"/>
      </w:r>
      <w:r w:rsidR="006B46D3">
        <w:rPr>
          <w:sz w:val="22"/>
          <w:szCs w:val="22"/>
        </w:rPr>
        <w:t xml:space="preserve">  </w:t>
      </w:r>
      <w:r w:rsidR="007346C5" w:rsidRPr="007346C5">
        <w:rPr>
          <w:sz w:val="22"/>
          <w:szCs w:val="22"/>
        </w:rPr>
        <w:t xml:space="preserve">On </w:t>
      </w:r>
      <w:r w:rsidR="000B164B">
        <w:rPr>
          <w:sz w:val="22"/>
          <w:szCs w:val="22"/>
        </w:rPr>
        <w:t>March 26, 2015,</w:t>
      </w:r>
      <w:r w:rsidR="007346C5">
        <w:rPr>
          <w:sz w:val="22"/>
          <w:szCs w:val="22"/>
        </w:rPr>
        <w:t xml:space="preserve"> </w:t>
      </w:r>
      <w:r w:rsidR="000B164B">
        <w:rPr>
          <w:sz w:val="22"/>
          <w:szCs w:val="22"/>
        </w:rPr>
        <w:t xml:space="preserve">the </w:t>
      </w:r>
      <w:r w:rsidR="000C5799">
        <w:rPr>
          <w:sz w:val="22"/>
          <w:szCs w:val="22"/>
        </w:rPr>
        <w:t>Curtis Licensees</w:t>
      </w:r>
      <w:r w:rsidR="007346C5">
        <w:rPr>
          <w:sz w:val="22"/>
          <w:szCs w:val="22"/>
        </w:rPr>
        <w:t xml:space="preserve"> filed the </w:t>
      </w:r>
      <w:r w:rsidR="003016E3">
        <w:rPr>
          <w:sz w:val="22"/>
          <w:szCs w:val="22"/>
        </w:rPr>
        <w:t xml:space="preserve">Rolesville </w:t>
      </w:r>
      <w:r w:rsidR="007346C5">
        <w:rPr>
          <w:sz w:val="22"/>
          <w:szCs w:val="22"/>
        </w:rPr>
        <w:t>Modification Application</w:t>
      </w:r>
      <w:r w:rsidR="00A46982">
        <w:rPr>
          <w:sz w:val="22"/>
          <w:szCs w:val="22"/>
        </w:rPr>
        <w:t>s</w:t>
      </w:r>
      <w:r w:rsidR="007346C5">
        <w:rPr>
          <w:sz w:val="22"/>
          <w:szCs w:val="22"/>
        </w:rPr>
        <w:t xml:space="preserve">, </w:t>
      </w:r>
      <w:r w:rsidR="00E779DF">
        <w:rPr>
          <w:sz w:val="22"/>
          <w:szCs w:val="22"/>
        </w:rPr>
        <w:t>specifying</w:t>
      </w:r>
      <w:r w:rsidR="001649D6">
        <w:rPr>
          <w:sz w:val="22"/>
          <w:szCs w:val="22"/>
        </w:rPr>
        <w:t xml:space="preserve"> new</w:t>
      </w:r>
      <w:r w:rsidR="007346C5">
        <w:rPr>
          <w:sz w:val="22"/>
          <w:szCs w:val="22"/>
        </w:rPr>
        <w:t xml:space="preserve"> transmitter </w:t>
      </w:r>
      <w:r w:rsidR="006B46D3">
        <w:rPr>
          <w:sz w:val="22"/>
          <w:szCs w:val="22"/>
        </w:rPr>
        <w:t>sites</w:t>
      </w:r>
      <w:r w:rsidR="007346C5">
        <w:rPr>
          <w:sz w:val="22"/>
          <w:szCs w:val="22"/>
        </w:rPr>
        <w:t>,</w:t>
      </w:r>
      <w:r w:rsidR="001649D6">
        <w:rPr>
          <w:sz w:val="22"/>
          <w:szCs w:val="22"/>
        </w:rPr>
        <w:t xml:space="preserve"> channels, and</w:t>
      </w:r>
      <w:r w:rsidR="007346C5">
        <w:rPr>
          <w:sz w:val="22"/>
          <w:szCs w:val="22"/>
        </w:rPr>
        <w:t xml:space="preserve"> </w:t>
      </w:r>
      <w:r w:rsidR="001649D6">
        <w:rPr>
          <w:sz w:val="22"/>
          <w:szCs w:val="22"/>
        </w:rPr>
        <w:t xml:space="preserve">ERP </w:t>
      </w:r>
      <w:r w:rsidR="003016E3">
        <w:rPr>
          <w:sz w:val="22"/>
          <w:szCs w:val="22"/>
        </w:rPr>
        <w:t xml:space="preserve">for the </w:t>
      </w:r>
      <w:r w:rsidR="003224E9">
        <w:rPr>
          <w:sz w:val="22"/>
          <w:szCs w:val="22"/>
        </w:rPr>
        <w:t xml:space="preserve">two </w:t>
      </w:r>
      <w:r w:rsidR="0055771C">
        <w:rPr>
          <w:sz w:val="22"/>
          <w:szCs w:val="22"/>
        </w:rPr>
        <w:t>Rolesville Translators</w:t>
      </w:r>
      <w:r w:rsidR="007346C5">
        <w:rPr>
          <w:sz w:val="22"/>
          <w:szCs w:val="22"/>
        </w:rPr>
        <w:t xml:space="preserve">.  </w:t>
      </w:r>
      <w:r w:rsidR="00E779DF">
        <w:rPr>
          <w:sz w:val="22"/>
          <w:szCs w:val="22"/>
        </w:rPr>
        <w:t xml:space="preserve">The </w:t>
      </w:r>
      <w:r w:rsidR="00E779DF" w:rsidRPr="00E779DF">
        <w:rPr>
          <w:sz w:val="22"/>
          <w:szCs w:val="22"/>
        </w:rPr>
        <w:t xml:space="preserve">Rolesville </w:t>
      </w:r>
      <w:r w:rsidR="00E779DF">
        <w:rPr>
          <w:sz w:val="22"/>
          <w:szCs w:val="22"/>
        </w:rPr>
        <w:t xml:space="preserve">and Cary </w:t>
      </w:r>
      <w:r w:rsidR="003016E3">
        <w:rPr>
          <w:sz w:val="22"/>
          <w:szCs w:val="22"/>
        </w:rPr>
        <w:t>Modification Applications specified co-owned station WQDR-FM, Raleigh, North Carolina (WQDR) as th</w:t>
      </w:r>
      <w:r w:rsidR="007B3177">
        <w:rPr>
          <w:sz w:val="22"/>
          <w:szCs w:val="22"/>
        </w:rPr>
        <w:t>e primary station.</w:t>
      </w:r>
      <w:r w:rsidR="007B3177">
        <w:rPr>
          <w:rStyle w:val="FootnoteReference"/>
          <w:sz w:val="22"/>
          <w:szCs w:val="22"/>
        </w:rPr>
        <w:footnoteReference w:id="6"/>
      </w:r>
      <w:r w:rsidR="007B3177">
        <w:rPr>
          <w:sz w:val="22"/>
          <w:szCs w:val="22"/>
        </w:rPr>
        <w:t xml:space="preserve">  </w:t>
      </w:r>
      <w:r w:rsidR="00186568">
        <w:rPr>
          <w:sz w:val="22"/>
          <w:szCs w:val="22"/>
        </w:rPr>
        <w:t>On March 31</w:t>
      </w:r>
      <w:r w:rsidR="000B164B">
        <w:rPr>
          <w:sz w:val="22"/>
          <w:szCs w:val="22"/>
        </w:rPr>
        <w:t xml:space="preserve">, 2015, the </w:t>
      </w:r>
      <w:r w:rsidR="003016E3">
        <w:rPr>
          <w:sz w:val="22"/>
          <w:szCs w:val="22"/>
        </w:rPr>
        <w:t xml:space="preserve">Rolesville </w:t>
      </w:r>
      <w:r w:rsidR="000B164B">
        <w:rPr>
          <w:sz w:val="22"/>
          <w:szCs w:val="22"/>
        </w:rPr>
        <w:t>Modification Applications were placed on public notice as accepted for filing.</w:t>
      </w:r>
      <w:r w:rsidR="000B164B">
        <w:rPr>
          <w:rStyle w:val="FootnoteReference"/>
          <w:sz w:val="22"/>
          <w:szCs w:val="22"/>
        </w:rPr>
        <w:footnoteReference w:id="7"/>
      </w:r>
      <w:r w:rsidR="000B164B">
        <w:rPr>
          <w:sz w:val="22"/>
          <w:szCs w:val="22"/>
        </w:rPr>
        <w:t xml:space="preserve">  </w:t>
      </w:r>
      <w:r w:rsidR="007346C5">
        <w:rPr>
          <w:sz w:val="22"/>
          <w:szCs w:val="22"/>
        </w:rPr>
        <w:t xml:space="preserve">On </w:t>
      </w:r>
      <w:r w:rsidR="00A46982">
        <w:rPr>
          <w:sz w:val="22"/>
          <w:szCs w:val="22"/>
        </w:rPr>
        <w:t xml:space="preserve">April 28, 2015, the Audio Division, Media Bureau (Bureau), granted </w:t>
      </w:r>
      <w:r w:rsidR="00186568">
        <w:rPr>
          <w:sz w:val="22"/>
          <w:szCs w:val="22"/>
        </w:rPr>
        <w:t xml:space="preserve">the </w:t>
      </w:r>
      <w:r w:rsidR="003016E3">
        <w:rPr>
          <w:sz w:val="22"/>
          <w:szCs w:val="22"/>
        </w:rPr>
        <w:t xml:space="preserve">Rolesville </w:t>
      </w:r>
      <w:r w:rsidR="00A46982">
        <w:rPr>
          <w:sz w:val="22"/>
          <w:szCs w:val="22"/>
        </w:rPr>
        <w:t>Modification Applications.</w:t>
      </w:r>
      <w:r w:rsidR="00FB08D1">
        <w:rPr>
          <w:rStyle w:val="FootnoteReference"/>
          <w:sz w:val="22"/>
          <w:szCs w:val="22"/>
        </w:rPr>
        <w:footnoteReference w:id="8"/>
      </w:r>
      <w:r w:rsidR="00A46982">
        <w:rPr>
          <w:sz w:val="22"/>
          <w:szCs w:val="22"/>
        </w:rPr>
        <w:t xml:space="preserve">  The same day, Triangle filed the </w:t>
      </w:r>
      <w:r w:rsidR="003016E3">
        <w:rPr>
          <w:sz w:val="22"/>
          <w:szCs w:val="22"/>
        </w:rPr>
        <w:t xml:space="preserve">Rolesville </w:t>
      </w:r>
      <w:r w:rsidR="00A46982">
        <w:rPr>
          <w:sz w:val="22"/>
          <w:szCs w:val="22"/>
        </w:rPr>
        <w:t>Modification Petitions</w:t>
      </w:r>
      <w:r w:rsidR="001F0275">
        <w:rPr>
          <w:sz w:val="22"/>
          <w:szCs w:val="22"/>
        </w:rPr>
        <w:t>.</w:t>
      </w:r>
      <w:r w:rsidR="00A46982">
        <w:rPr>
          <w:sz w:val="22"/>
          <w:szCs w:val="22"/>
        </w:rPr>
        <w:t xml:space="preserve">  </w:t>
      </w:r>
      <w:r w:rsidR="00D32294">
        <w:rPr>
          <w:sz w:val="22"/>
          <w:szCs w:val="22"/>
        </w:rPr>
        <w:t xml:space="preserve">On August 26, 2015, </w:t>
      </w:r>
      <w:r w:rsidR="007F00E8">
        <w:rPr>
          <w:sz w:val="22"/>
          <w:szCs w:val="22"/>
        </w:rPr>
        <w:t xml:space="preserve">WQDR-FM commenced </w:t>
      </w:r>
      <w:r w:rsidR="00E779DF">
        <w:rPr>
          <w:sz w:val="22"/>
          <w:szCs w:val="22"/>
        </w:rPr>
        <w:t>in-band on-channel</w:t>
      </w:r>
      <w:r w:rsidR="00853C9D">
        <w:rPr>
          <w:sz w:val="22"/>
          <w:szCs w:val="22"/>
        </w:rPr>
        <w:t xml:space="preserve"> </w:t>
      </w:r>
      <w:r w:rsidR="007F00E8">
        <w:rPr>
          <w:sz w:val="22"/>
          <w:szCs w:val="22"/>
        </w:rPr>
        <w:t>digital operations.</w:t>
      </w:r>
      <w:r w:rsidR="007F00E8">
        <w:rPr>
          <w:rStyle w:val="FootnoteReference"/>
          <w:sz w:val="22"/>
          <w:szCs w:val="22"/>
        </w:rPr>
        <w:footnoteReference w:id="9"/>
      </w:r>
      <w:r w:rsidR="007F00E8">
        <w:rPr>
          <w:sz w:val="22"/>
          <w:szCs w:val="22"/>
        </w:rPr>
        <w:t xml:space="preserve">  </w:t>
      </w:r>
      <w:r w:rsidR="000B164B">
        <w:rPr>
          <w:sz w:val="22"/>
          <w:szCs w:val="22"/>
        </w:rPr>
        <w:t xml:space="preserve">On November 12, 2015, the </w:t>
      </w:r>
      <w:r w:rsidR="000C5799">
        <w:rPr>
          <w:sz w:val="22"/>
          <w:szCs w:val="22"/>
        </w:rPr>
        <w:t>Curtis Licensees</w:t>
      </w:r>
      <w:r w:rsidR="00186568">
        <w:rPr>
          <w:sz w:val="22"/>
          <w:szCs w:val="22"/>
        </w:rPr>
        <w:t xml:space="preserve"> filed the </w:t>
      </w:r>
      <w:r w:rsidR="00496F3F">
        <w:rPr>
          <w:sz w:val="22"/>
          <w:szCs w:val="22"/>
        </w:rPr>
        <w:t xml:space="preserve">Rolesville </w:t>
      </w:r>
      <w:r w:rsidR="00186568">
        <w:rPr>
          <w:sz w:val="22"/>
          <w:szCs w:val="22"/>
        </w:rPr>
        <w:t>License Applications</w:t>
      </w:r>
      <w:r w:rsidR="001F0275">
        <w:rPr>
          <w:sz w:val="22"/>
          <w:szCs w:val="22"/>
        </w:rPr>
        <w:t>, which were placed on public notice as accepted for filing on November 16, 2015.</w:t>
      </w:r>
      <w:r w:rsidR="001F0275">
        <w:rPr>
          <w:rStyle w:val="FootnoteReference"/>
          <w:sz w:val="22"/>
          <w:szCs w:val="22"/>
        </w:rPr>
        <w:footnoteReference w:id="10"/>
      </w:r>
      <w:r w:rsidR="00186568">
        <w:rPr>
          <w:sz w:val="22"/>
          <w:szCs w:val="22"/>
        </w:rPr>
        <w:t xml:space="preserve">  </w:t>
      </w:r>
      <w:r w:rsidR="001F0275">
        <w:rPr>
          <w:sz w:val="22"/>
          <w:szCs w:val="22"/>
        </w:rPr>
        <w:t xml:space="preserve">The </w:t>
      </w:r>
      <w:r w:rsidR="00496F3F">
        <w:rPr>
          <w:sz w:val="22"/>
          <w:szCs w:val="22"/>
        </w:rPr>
        <w:t xml:space="preserve">Rolesville </w:t>
      </w:r>
      <w:r w:rsidR="001F0275">
        <w:rPr>
          <w:sz w:val="22"/>
          <w:szCs w:val="22"/>
        </w:rPr>
        <w:t xml:space="preserve">License Applications were granted on November 29, 2016, with public notice of grant </w:t>
      </w:r>
      <w:r w:rsidR="00F57714">
        <w:rPr>
          <w:sz w:val="22"/>
          <w:szCs w:val="22"/>
        </w:rPr>
        <w:t xml:space="preserve">issued </w:t>
      </w:r>
      <w:r w:rsidR="001F0275">
        <w:rPr>
          <w:sz w:val="22"/>
          <w:szCs w:val="22"/>
        </w:rPr>
        <w:t>on December 2, 2016.</w:t>
      </w:r>
      <w:r w:rsidR="001F0275">
        <w:rPr>
          <w:rStyle w:val="FootnoteReference"/>
          <w:sz w:val="22"/>
          <w:szCs w:val="22"/>
        </w:rPr>
        <w:footnoteReference w:id="11"/>
      </w:r>
      <w:r w:rsidR="001F0275">
        <w:rPr>
          <w:sz w:val="22"/>
          <w:szCs w:val="22"/>
        </w:rPr>
        <w:t xml:space="preserve">  </w:t>
      </w:r>
      <w:r w:rsidR="00186568">
        <w:rPr>
          <w:sz w:val="22"/>
          <w:szCs w:val="22"/>
        </w:rPr>
        <w:t xml:space="preserve">On December 14, 2016, Triangle filed the </w:t>
      </w:r>
      <w:r w:rsidR="00867DF8">
        <w:rPr>
          <w:sz w:val="22"/>
          <w:szCs w:val="22"/>
        </w:rPr>
        <w:t xml:space="preserve">Rolesville </w:t>
      </w:r>
      <w:r w:rsidR="00186568">
        <w:rPr>
          <w:sz w:val="22"/>
          <w:szCs w:val="22"/>
        </w:rPr>
        <w:t xml:space="preserve">License Petitions. </w:t>
      </w:r>
      <w:r w:rsidR="005F3026">
        <w:rPr>
          <w:sz w:val="22"/>
          <w:szCs w:val="22"/>
        </w:rPr>
        <w:t xml:space="preserve"> </w:t>
      </w:r>
    </w:p>
    <w:p w:rsidR="008B67DE" w:rsidRDefault="008B67DE" w:rsidP="008371C3">
      <w:pPr>
        <w:ind w:firstLine="720"/>
        <w:rPr>
          <w:sz w:val="22"/>
          <w:szCs w:val="22"/>
        </w:rPr>
      </w:pPr>
    </w:p>
    <w:p w:rsidR="008371C3" w:rsidRDefault="005F3026" w:rsidP="008371C3">
      <w:pPr>
        <w:ind w:firstLine="720"/>
        <w:rPr>
          <w:sz w:val="22"/>
          <w:szCs w:val="22"/>
        </w:rPr>
      </w:pPr>
      <w:r>
        <w:rPr>
          <w:sz w:val="22"/>
          <w:szCs w:val="22"/>
        </w:rPr>
        <w:t xml:space="preserve">On December 20, 2016, Eastern Airwaves filed the Cary License Application.  </w:t>
      </w:r>
      <w:r w:rsidR="00496F3F">
        <w:rPr>
          <w:sz w:val="22"/>
          <w:szCs w:val="22"/>
        </w:rPr>
        <w:t>On December 23, 2016, public notice of the Cary License Application’s acceptance for filing was issued.</w:t>
      </w:r>
      <w:r w:rsidR="00496F3F">
        <w:rPr>
          <w:rStyle w:val="FootnoteReference"/>
          <w:sz w:val="22"/>
          <w:szCs w:val="22"/>
        </w:rPr>
        <w:footnoteReference w:id="12"/>
      </w:r>
      <w:r w:rsidR="00496F3F">
        <w:rPr>
          <w:sz w:val="22"/>
          <w:szCs w:val="22"/>
        </w:rPr>
        <w:t xml:space="preserve">  </w:t>
      </w:r>
      <w:r w:rsidR="008D40CE">
        <w:rPr>
          <w:sz w:val="22"/>
          <w:szCs w:val="22"/>
        </w:rPr>
        <w:t xml:space="preserve">On December </w:t>
      </w:r>
      <w:r w:rsidR="008D40CE">
        <w:rPr>
          <w:sz w:val="22"/>
          <w:szCs w:val="22"/>
        </w:rPr>
        <w:lastRenderedPageBreak/>
        <w:t>30, 2016, the Bureau granted the Cary License Application.</w:t>
      </w:r>
      <w:r w:rsidR="008D40CE">
        <w:rPr>
          <w:rStyle w:val="FootnoteReference"/>
          <w:sz w:val="22"/>
          <w:szCs w:val="22"/>
        </w:rPr>
        <w:footnoteReference w:id="13"/>
      </w:r>
      <w:r w:rsidR="008D40CE">
        <w:rPr>
          <w:sz w:val="22"/>
          <w:szCs w:val="22"/>
        </w:rPr>
        <w:t xml:space="preserve">  </w:t>
      </w:r>
      <w:r w:rsidR="00BD3412">
        <w:rPr>
          <w:sz w:val="22"/>
          <w:szCs w:val="22"/>
        </w:rPr>
        <w:t xml:space="preserve">On January 31, 2017, Triangle filed </w:t>
      </w:r>
      <w:r w:rsidR="005646F8">
        <w:rPr>
          <w:sz w:val="22"/>
          <w:szCs w:val="22"/>
        </w:rPr>
        <w:t>the Cary License Petition.</w:t>
      </w:r>
      <w:r w:rsidR="00C756E5">
        <w:rPr>
          <w:sz w:val="22"/>
          <w:szCs w:val="22"/>
        </w:rPr>
        <w:t xml:space="preserve">  The Cary Translator did not commence broadcasting until February 3, 2017.</w:t>
      </w:r>
      <w:r w:rsidR="00C756E5">
        <w:rPr>
          <w:rStyle w:val="FootnoteReference"/>
          <w:sz w:val="22"/>
          <w:szCs w:val="22"/>
        </w:rPr>
        <w:footnoteReference w:id="14"/>
      </w:r>
    </w:p>
    <w:p w:rsidR="00A44AE7" w:rsidRDefault="00A44AE7" w:rsidP="008371C3">
      <w:pPr>
        <w:ind w:firstLine="720"/>
        <w:rPr>
          <w:sz w:val="22"/>
          <w:szCs w:val="22"/>
        </w:rPr>
      </w:pPr>
    </w:p>
    <w:p w:rsidR="00AA79B5" w:rsidRDefault="00AA79B5" w:rsidP="005E280E">
      <w:pPr>
        <w:ind w:firstLine="720"/>
        <w:rPr>
          <w:sz w:val="22"/>
          <w:szCs w:val="22"/>
        </w:rPr>
      </w:pPr>
      <w:r>
        <w:rPr>
          <w:i/>
          <w:sz w:val="22"/>
          <w:szCs w:val="22"/>
        </w:rPr>
        <w:t>Procedural issues</w:t>
      </w:r>
      <w:r w:rsidR="00232EDB">
        <w:rPr>
          <w:i/>
          <w:sz w:val="22"/>
          <w:szCs w:val="22"/>
        </w:rPr>
        <w:t xml:space="preserve">.  </w:t>
      </w:r>
      <w:r w:rsidR="003224E9">
        <w:rPr>
          <w:sz w:val="22"/>
          <w:szCs w:val="22"/>
        </w:rPr>
        <w:t xml:space="preserve">Triangle is the licensee of station WRLY-LP, Raleigh, North Carolina (WRLY-LP).  </w:t>
      </w:r>
      <w:r w:rsidR="005C11F9">
        <w:rPr>
          <w:sz w:val="22"/>
          <w:szCs w:val="22"/>
        </w:rPr>
        <w:t xml:space="preserve">Triangle </w:t>
      </w:r>
      <w:r w:rsidR="005F1062">
        <w:rPr>
          <w:sz w:val="22"/>
          <w:szCs w:val="22"/>
        </w:rPr>
        <w:t>claim</w:t>
      </w:r>
      <w:r w:rsidR="008F0A8F">
        <w:rPr>
          <w:sz w:val="22"/>
          <w:szCs w:val="22"/>
        </w:rPr>
        <w:t>s standing as a “direct economic competitor to the licensee of common primary input channel, WQDR-FM.”</w:t>
      </w:r>
      <w:r w:rsidR="008F0A8F">
        <w:rPr>
          <w:rStyle w:val="FootnoteReference"/>
          <w:sz w:val="22"/>
          <w:szCs w:val="22"/>
        </w:rPr>
        <w:footnoteReference w:id="15"/>
      </w:r>
      <w:r w:rsidR="004C5492">
        <w:rPr>
          <w:sz w:val="22"/>
          <w:szCs w:val="22"/>
        </w:rPr>
        <w:t xml:space="preserve">  </w:t>
      </w:r>
      <w:r w:rsidR="005C11F9">
        <w:rPr>
          <w:sz w:val="22"/>
          <w:szCs w:val="22"/>
        </w:rPr>
        <w:t xml:space="preserve">Specifically, Triangle states that it operates in the “same Raleigh-Durham Nielsen Audio radio market as WQDR-FM . . . </w:t>
      </w:r>
      <w:r w:rsidR="00910742">
        <w:rPr>
          <w:sz w:val="22"/>
          <w:szCs w:val="22"/>
        </w:rPr>
        <w:t>[</w:t>
      </w:r>
      <w:r w:rsidR="005C11F9">
        <w:rPr>
          <w:sz w:val="22"/>
          <w:szCs w:val="22"/>
        </w:rPr>
        <w:t>and</w:t>
      </w:r>
      <w:r w:rsidR="00910742">
        <w:rPr>
          <w:sz w:val="22"/>
          <w:szCs w:val="22"/>
        </w:rPr>
        <w:t>]</w:t>
      </w:r>
      <w:r w:rsidR="005C11F9">
        <w:rPr>
          <w:sz w:val="22"/>
          <w:szCs w:val="22"/>
        </w:rPr>
        <w:t xml:space="preserve"> competes </w:t>
      </w:r>
      <w:r w:rsidR="00DA53D2">
        <w:rPr>
          <w:sz w:val="22"/>
          <w:szCs w:val="22"/>
        </w:rPr>
        <w:t>for</w:t>
      </w:r>
      <w:r w:rsidR="005C11F9">
        <w:rPr>
          <w:sz w:val="22"/>
          <w:szCs w:val="22"/>
        </w:rPr>
        <w:t xml:space="preserve"> its funds in the same area </w:t>
      </w:r>
      <w:r w:rsidR="00DA53D2">
        <w:rPr>
          <w:sz w:val="22"/>
          <w:szCs w:val="22"/>
        </w:rPr>
        <w:t>a</w:t>
      </w:r>
      <w:r w:rsidR="005C11F9">
        <w:rPr>
          <w:sz w:val="22"/>
          <w:szCs w:val="22"/>
        </w:rPr>
        <w:t>s WQDR-FM’s 60 dBµ contour encompasses WRLY-LP’s 60 dBµ contour.”</w:t>
      </w:r>
      <w:r w:rsidR="005C11F9">
        <w:rPr>
          <w:rStyle w:val="FootnoteReference"/>
          <w:sz w:val="22"/>
          <w:szCs w:val="22"/>
        </w:rPr>
        <w:footnoteReference w:id="16"/>
      </w:r>
      <w:r w:rsidR="00496F3F">
        <w:rPr>
          <w:sz w:val="22"/>
          <w:szCs w:val="22"/>
        </w:rPr>
        <w:t xml:space="preserve">  </w:t>
      </w:r>
      <w:r>
        <w:rPr>
          <w:sz w:val="22"/>
          <w:szCs w:val="22"/>
        </w:rPr>
        <w:t>Triangle states that it could not have pa</w:t>
      </w:r>
      <w:r w:rsidR="00F57714">
        <w:rPr>
          <w:sz w:val="22"/>
          <w:szCs w:val="22"/>
        </w:rPr>
        <w:t>rticipated in the Cary License p</w:t>
      </w:r>
      <w:r>
        <w:rPr>
          <w:sz w:val="22"/>
          <w:szCs w:val="22"/>
        </w:rPr>
        <w:t xml:space="preserve">roceeding earlier because the Cary License Application was granted only seven days after public notice that it was accepted for filing and </w:t>
      </w:r>
      <w:r w:rsidR="005C14ED">
        <w:rPr>
          <w:sz w:val="22"/>
          <w:szCs w:val="22"/>
        </w:rPr>
        <w:t xml:space="preserve">because </w:t>
      </w:r>
      <w:r>
        <w:rPr>
          <w:sz w:val="22"/>
          <w:szCs w:val="22"/>
        </w:rPr>
        <w:t xml:space="preserve">the “fact that the </w:t>
      </w:r>
      <w:r w:rsidR="00910742">
        <w:rPr>
          <w:sz w:val="22"/>
          <w:szCs w:val="22"/>
        </w:rPr>
        <w:t>[</w:t>
      </w:r>
      <w:r>
        <w:rPr>
          <w:sz w:val="22"/>
          <w:szCs w:val="22"/>
        </w:rPr>
        <w:t>Cary</w:t>
      </w:r>
      <w:r w:rsidR="00910742">
        <w:rPr>
          <w:sz w:val="22"/>
          <w:szCs w:val="22"/>
        </w:rPr>
        <w:t>]</w:t>
      </w:r>
      <w:r>
        <w:rPr>
          <w:sz w:val="22"/>
          <w:szCs w:val="22"/>
        </w:rPr>
        <w:t xml:space="preserve"> Translator would remain silent could not have been known or presented before grant of the [Cary License</w:t>
      </w:r>
      <w:r w:rsidR="00910742">
        <w:rPr>
          <w:sz w:val="22"/>
          <w:szCs w:val="22"/>
        </w:rPr>
        <w:t>]</w:t>
      </w:r>
      <w:r>
        <w:rPr>
          <w:sz w:val="22"/>
          <w:szCs w:val="22"/>
        </w:rPr>
        <w:t xml:space="preserve"> Application.”</w:t>
      </w:r>
      <w:r>
        <w:rPr>
          <w:rStyle w:val="FootnoteReference"/>
          <w:sz w:val="22"/>
          <w:szCs w:val="22"/>
        </w:rPr>
        <w:footnoteReference w:id="17"/>
      </w:r>
    </w:p>
    <w:p w:rsidR="00AA79B5" w:rsidRDefault="00AA79B5" w:rsidP="005E280E">
      <w:pPr>
        <w:ind w:firstLine="720"/>
        <w:rPr>
          <w:sz w:val="22"/>
          <w:szCs w:val="22"/>
        </w:rPr>
      </w:pPr>
    </w:p>
    <w:p w:rsidR="00C93D30" w:rsidRDefault="00F87646" w:rsidP="00C93D30">
      <w:pPr>
        <w:ind w:firstLine="720"/>
        <w:rPr>
          <w:sz w:val="22"/>
          <w:szCs w:val="22"/>
        </w:rPr>
      </w:pPr>
      <w:r>
        <w:rPr>
          <w:sz w:val="22"/>
          <w:szCs w:val="22"/>
        </w:rPr>
        <w:t xml:space="preserve">In response, the </w:t>
      </w:r>
      <w:r w:rsidR="000C5799">
        <w:rPr>
          <w:sz w:val="22"/>
          <w:szCs w:val="22"/>
        </w:rPr>
        <w:t>Curtis Licensees</w:t>
      </w:r>
      <w:r>
        <w:rPr>
          <w:sz w:val="22"/>
          <w:szCs w:val="22"/>
        </w:rPr>
        <w:t xml:space="preserve"> argue that Triangle lacks standing</w:t>
      </w:r>
      <w:r w:rsidR="00AA79B5">
        <w:rPr>
          <w:sz w:val="22"/>
          <w:szCs w:val="22"/>
        </w:rPr>
        <w:t xml:space="preserve"> to challenge the </w:t>
      </w:r>
      <w:r w:rsidR="00A347D7">
        <w:rPr>
          <w:sz w:val="22"/>
          <w:szCs w:val="22"/>
        </w:rPr>
        <w:t xml:space="preserve">Rolesville </w:t>
      </w:r>
      <w:r w:rsidR="00AA79B5">
        <w:rPr>
          <w:sz w:val="22"/>
          <w:szCs w:val="22"/>
        </w:rPr>
        <w:t>Modificatio</w:t>
      </w:r>
      <w:r w:rsidR="00F57714">
        <w:rPr>
          <w:sz w:val="22"/>
          <w:szCs w:val="22"/>
        </w:rPr>
        <w:t>n Applications because Triangle</w:t>
      </w:r>
      <w:r w:rsidR="00AA79B5">
        <w:rPr>
          <w:sz w:val="22"/>
          <w:szCs w:val="22"/>
        </w:rPr>
        <w:t xml:space="preserve"> </w:t>
      </w:r>
      <w:r>
        <w:rPr>
          <w:sz w:val="22"/>
          <w:szCs w:val="22"/>
        </w:rPr>
        <w:t>failed to “make a concrete showing that it is</w:t>
      </w:r>
      <w:r w:rsidR="00EB7CC1">
        <w:rPr>
          <w:sz w:val="22"/>
          <w:szCs w:val="22"/>
        </w:rPr>
        <w:t>,</w:t>
      </w:r>
      <w:r>
        <w:rPr>
          <w:sz w:val="22"/>
          <w:szCs w:val="22"/>
        </w:rPr>
        <w:t xml:space="preserve"> in fact</w:t>
      </w:r>
      <w:r w:rsidR="00EB7CC1">
        <w:rPr>
          <w:sz w:val="22"/>
          <w:szCs w:val="22"/>
        </w:rPr>
        <w:t>,</w:t>
      </w:r>
      <w:r>
        <w:rPr>
          <w:sz w:val="22"/>
          <w:szCs w:val="22"/>
        </w:rPr>
        <w:t xml:space="preserve"> likely to suffer financial injury as a result of the </w:t>
      </w:r>
      <w:r w:rsidR="00EB7CC1">
        <w:rPr>
          <w:sz w:val="22"/>
          <w:szCs w:val="22"/>
        </w:rPr>
        <w:t>grant of the Applications.</w:t>
      </w:r>
      <w:r>
        <w:rPr>
          <w:sz w:val="22"/>
          <w:szCs w:val="22"/>
        </w:rPr>
        <w:t>”</w:t>
      </w:r>
      <w:r w:rsidR="00EB7CC1">
        <w:rPr>
          <w:rStyle w:val="FootnoteReference"/>
          <w:sz w:val="22"/>
          <w:szCs w:val="22"/>
        </w:rPr>
        <w:footnoteReference w:id="18"/>
      </w:r>
      <w:r>
        <w:rPr>
          <w:sz w:val="22"/>
          <w:szCs w:val="22"/>
        </w:rPr>
        <w:t xml:space="preserve"> </w:t>
      </w:r>
      <w:r w:rsidR="00EB7CC1">
        <w:rPr>
          <w:sz w:val="22"/>
          <w:szCs w:val="22"/>
        </w:rPr>
        <w:t xml:space="preserve"> Curtis Licensees </w:t>
      </w:r>
      <w:r w:rsidR="00133966">
        <w:rPr>
          <w:sz w:val="22"/>
          <w:szCs w:val="22"/>
        </w:rPr>
        <w:t>contend that</w:t>
      </w:r>
      <w:r w:rsidR="00EB7CC1">
        <w:rPr>
          <w:sz w:val="22"/>
          <w:szCs w:val="22"/>
        </w:rPr>
        <w:t xml:space="preserve">, </w:t>
      </w:r>
      <w:r>
        <w:rPr>
          <w:sz w:val="22"/>
          <w:szCs w:val="22"/>
        </w:rPr>
        <w:t>as a noncommercial educational (NCE) licensee, Triangle can</w:t>
      </w:r>
      <w:r w:rsidR="00133966">
        <w:rPr>
          <w:sz w:val="22"/>
          <w:szCs w:val="22"/>
        </w:rPr>
        <w:t>not</w:t>
      </w:r>
      <w:r w:rsidR="00EB7CC1">
        <w:rPr>
          <w:sz w:val="22"/>
          <w:szCs w:val="22"/>
        </w:rPr>
        <w:t xml:space="preserve"> be a direct</w:t>
      </w:r>
      <w:r>
        <w:rPr>
          <w:sz w:val="22"/>
          <w:szCs w:val="22"/>
        </w:rPr>
        <w:t xml:space="preserve"> economic competitor of the </w:t>
      </w:r>
      <w:r w:rsidR="0055771C">
        <w:rPr>
          <w:sz w:val="22"/>
          <w:szCs w:val="22"/>
        </w:rPr>
        <w:t>Translators</w:t>
      </w:r>
      <w:r>
        <w:rPr>
          <w:sz w:val="22"/>
          <w:szCs w:val="22"/>
        </w:rPr>
        <w:t>.</w:t>
      </w:r>
      <w:r>
        <w:rPr>
          <w:rStyle w:val="FootnoteReference"/>
          <w:sz w:val="22"/>
          <w:szCs w:val="22"/>
        </w:rPr>
        <w:footnoteReference w:id="19"/>
      </w:r>
      <w:r>
        <w:rPr>
          <w:sz w:val="22"/>
          <w:szCs w:val="22"/>
        </w:rPr>
        <w:t xml:space="preserve">  </w:t>
      </w:r>
      <w:r w:rsidR="004C2EF5">
        <w:rPr>
          <w:sz w:val="22"/>
          <w:szCs w:val="22"/>
        </w:rPr>
        <w:t xml:space="preserve">In addition, </w:t>
      </w:r>
      <w:r w:rsidR="000C5799">
        <w:rPr>
          <w:sz w:val="22"/>
          <w:szCs w:val="22"/>
        </w:rPr>
        <w:t>Curtis Licensees</w:t>
      </w:r>
      <w:r>
        <w:rPr>
          <w:sz w:val="22"/>
          <w:szCs w:val="22"/>
        </w:rPr>
        <w:t xml:space="preserve"> </w:t>
      </w:r>
      <w:r w:rsidR="003938A8">
        <w:rPr>
          <w:sz w:val="22"/>
          <w:szCs w:val="22"/>
        </w:rPr>
        <w:t>describe the</w:t>
      </w:r>
      <w:r>
        <w:rPr>
          <w:sz w:val="22"/>
          <w:szCs w:val="22"/>
        </w:rPr>
        <w:t xml:space="preserve"> </w:t>
      </w:r>
      <w:r w:rsidR="003224E9">
        <w:rPr>
          <w:sz w:val="22"/>
          <w:szCs w:val="22"/>
        </w:rPr>
        <w:t xml:space="preserve">Rolesville </w:t>
      </w:r>
      <w:r>
        <w:rPr>
          <w:sz w:val="22"/>
          <w:szCs w:val="22"/>
        </w:rPr>
        <w:t>Modification Petitions a</w:t>
      </w:r>
      <w:r w:rsidR="003938A8">
        <w:rPr>
          <w:sz w:val="22"/>
          <w:szCs w:val="22"/>
        </w:rPr>
        <w:t>s</w:t>
      </w:r>
      <w:r>
        <w:rPr>
          <w:sz w:val="22"/>
          <w:szCs w:val="22"/>
        </w:rPr>
        <w:t xml:space="preserve"> “moot” because they were filed “too late” and “did not demonstrate any error or omission in the Bureau’s grant of the [</w:t>
      </w:r>
      <w:r w:rsidR="003224E9">
        <w:rPr>
          <w:sz w:val="22"/>
          <w:szCs w:val="22"/>
        </w:rPr>
        <w:t xml:space="preserve">Rolesville </w:t>
      </w:r>
      <w:r>
        <w:rPr>
          <w:sz w:val="22"/>
          <w:szCs w:val="22"/>
        </w:rPr>
        <w:t>Modification Applications].”</w:t>
      </w:r>
      <w:r>
        <w:rPr>
          <w:rStyle w:val="FootnoteReference"/>
          <w:sz w:val="22"/>
          <w:szCs w:val="22"/>
        </w:rPr>
        <w:footnoteReference w:id="20"/>
      </w:r>
      <w:r>
        <w:rPr>
          <w:sz w:val="22"/>
          <w:szCs w:val="22"/>
        </w:rPr>
        <w:t xml:space="preserve">  </w:t>
      </w:r>
      <w:r w:rsidR="00133966">
        <w:rPr>
          <w:sz w:val="22"/>
          <w:szCs w:val="22"/>
        </w:rPr>
        <w:t>Moreover, according to the Curtis Licensees, rescission of the grants would “strip [Curtis Licensees] of the protection from a delayed adverse decision . . . [causing them to] suffer financial losses of the monies spent on constructing and operating the [Translators].”</w:t>
      </w:r>
      <w:r w:rsidR="00133966">
        <w:rPr>
          <w:rStyle w:val="FootnoteReference"/>
          <w:sz w:val="22"/>
          <w:szCs w:val="22"/>
        </w:rPr>
        <w:footnoteReference w:id="21"/>
      </w:r>
      <w:r w:rsidR="00133966">
        <w:rPr>
          <w:sz w:val="22"/>
          <w:szCs w:val="22"/>
        </w:rPr>
        <w:t xml:space="preserve">  Finally, t</w:t>
      </w:r>
      <w:r w:rsidR="00C93D30">
        <w:rPr>
          <w:sz w:val="22"/>
          <w:szCs w:val="22"/>
        </w:rPr>
        <w:t xml:space="preserve">he </w:t>
      </w:r>
      <w:r w:rsidR="000C5799">
        <w:rPr>
          <w:sz w:val="22"/>
          <w:szCs w:val="22"/>
        </w:rPr>
        <w:t>Curtis Licensees</w:t>
      </w:r>
      <w:r w:rsidR="00C93D30">
        <w:rPr>
          <w:sz w:val="22"/>
          <w:szCs w:val="22"/>
        </w:rPr>
        <w:t xml:space="preserve"> argue that the </w:t>
      </w:r>
      <w:r w:rsidR="00997294">
        <w:rPr>
          <w:sz w:val="22"/>
          <w:szCs w:val="22"/>
        </w:rPr>
        <w:t xml:space="preserve">Rolesville </w:t>
      </w:r>
      <w:r w:rsidR="00C93D30">
        <w:rPr>
          <w:sz w:val="22"/>
          <w:szCs w:val="22"/>
        </w:rPr>
        <w:t>Modification Petitions should be “considered dismissed” under Section 1.106(j) of the Commission’s Rules, which states that “[w]</w:t>
      </w:r>
      <w:r w:rsidR="00C93D30" w:rsidRPr="00397554">
        <w:rPr>
          <w:sz w:val="22"/>
          <w:szCs w:val="22"/>
        </w:rPr>
        <w:t xml:space="preserve">here the petition for reconsideration relates to an instrument of authorization granted without hearing, the Commission or designated authority will </w:t>
      </w:r>
      <w:r w:rsidR="006B5F51">
        <w:rPr>
          <w:sz w:val="22"/>
          <w:szCs w:val="22"/>
        </w:rPr>
        <w:t>[</w:t>
      </w:r>
      <w:r w:rsidR="006B5F51" w:rsidRPr="006B5F51">
        <w:rPr>
          <w:sz w:val="22"/>
          <w:szCs w:val="22"/>
        </w:rPr>
        <w:t>grant the petition for reconsideration in whole or in part or deny or dismiss the petition</w:t>
      </w:r>
      <w:r w:rsidR="006B5F51">
        <w:rPr>
          <w:sz w:val="22"/>
          <w:szCs w:val="22"/>
        </w:rPr>
        <w:t>]</w:t>
      </w:r>
      <w:r w:rsidR="00C93D30" w:rsidRPr="00397554">
        <w:rPr>
          <w:sz w:val="22"/>
          <w:szCs w:val="22"/>
        </w:rPr>
        <w:t xml:space="preserve"> within 90 days after the petition is filed.</w:t>
      </w:r>
      <w:r w:rsidR="00C93D30">
        <w:rPr>
          <w:sz w:val="22"/>
          <w:szCs w:val="22"/>
        </w:rPr>
        <w:t>”</w:t>
      </w:r>
      <w:r w:rsidR="00C93D30">
        <w:rPr>
          <w:rStyle w:val="FootnoteReference"/>
          <w:sz w:val="22"/>
          <w:szCs w:val="22"/>
        </w:rPr>
        <w:footnoteReference w:id="22"/>
      </w:r>
      <w:r w:rsidR="00C93D30">
        <w:rPr>
          <w:sz w:val="22"/>
          <w:szCs w:val="22"/>
        </w:rPr>
        <w:t xml:space="preserve">  </w:t>
      </w:r>
    </w:p>
    <w:p w:rsidR="00C93D30" w:rsidRDefault="00C93D30" w:rsidP="00C93D30">
      <w:pPr>
        <w:ind w:firstLine="720"/>
        <w:rPr>
          <w:sz w:val="22"/>
          <w:szCs w:val="22"/>
        </w:rPr>
      </w:pPr>
    </w:p>
    <w:p w:rsidR="00C93D30" w:rsidRDefault="00133966" w:rsidP="00C93D30">
      <w:pPr>
        <w:ind w:firstLine="720"/>
        <w:rPr>
          <w:sz w:val="22"/>
          <w:szCs w:val="22"/>
        </w:rPr>
      </w:pPr>
      <w:r>
        <w:rPr>
          <w:sz w:val="22"/>
          <w:szCs w:val="22"/>
        </w:rPr>
        <w:t>In the License Replies</w:t>
      </w:r>
      <w:r w:rsidR="00C93D30">
        <w:rPr>
          <w:sz w:val="22"/>
          <w:szCs w:val="22"/>
        </w:rPr>
        <w:t>, Triangle contends that Section 1.106(j) does not prescribe a “particular disposition where action is not taken within 90 days” and that a petition to deny “should only be resolved by an act of the Commission or delegated authority, not by inaction.”</w:t>
      </w:r>
      <w:r w:rsidR="00C93D30">
        <w:rPr>
          <w:rStyle w:val="FootnoteReference"/>
          <w:sz w:val="22"/>
          <w:szCs w:val="22"/>
        </w:rPr>
        <w:footnoteReference w:id="23"/>
      </w:r>
      <w:r>
        <w:rPr>
          <w:sz w:val="22"/>
          <w:szCs w:val="22"/>
        </w:rPr>
        <w:t xml:space="preserve">  It</w:t>
      </w:r>
      <w:r w:rsidR="00D96239">
        <w:rPr>
          <w:sz w:val="22"/>
          <w:szCs w:val="22"/>
        </w:rPr>
        <w:t xml:space="preserve"> also</w:t>
      </w:r>
      <w:r w:rsidR="00C93D30">
        <w:rPr>
          <w:sz w:val="22"/>
          <w:szCs w:val="22"/>
        </w:rPr>
        <w:t xml:space="preserve"> argues that the </w:t>
      </w:r>
      <w:r w:rsidR="000C5799">
        <w:rPr>
          <w:sz w:val="22"/>
          <w:szCs w:val="22"/>
        </w:rPr>
        <w:t>Curtis Licensees</w:t>
      </w:r>
      <w:r w:rsidR="00C93D30">
        <w:rPr>
          <w:sz w:val="22"/>
          <w:szCs w:val="22"/>
        </w:rPr>
        <w:t xml:space="preserve"> were on notice of the pending </w:t>
      </w:r>
      <w:r w:rsidR="00F57714">
        <w:rPr>
          <w:sz w:val="22"/>
          <w:szCs w:val="22"/>
        </w:rPr>
        <w:t xml:space="preserve">Rolesville </w:t>
      </w:r>
      <w:r w:rsidR="00C93D30">
        <w:rPr>
          <w:sz w:val="22"/>
          <w:szCs w:val="22"/>
        </w:rPr>
        <w:t xml:space="preserve">Modification Petitions and thus </w:t>
      </w:r>
      <w:r w:rsidR="00D96239">
        <w:rPr>
          <w:sz w:val="22"/>
          <w:szCs w:val="22"/>
        </w:rPr>
        <w:t xml:space="preserve">carried out </w:t>
      </w:r>
      <w:r>
        <w:rPr>
          <w:sz w:val="22"/>
          <w:szCs w:val="22"/>
        </w:rPr>
        <w:t>any</w:t>
      </w:r>
      <w:r w:rsidR="00D96239">
        <w:rPr>
          <w:sz w:val="22"/>
          <w:szCs w:val="22"/>
        </w:rPr>
        <w:t xml:space="preserve"> modifications </w:t>
      </w:r>
      <w:r w:rsidR="00C93D30">
        <w:rPr>
          <w:sz w:val="22"/>
          <w:szCs w:val="22"/>
        </w:rPr>
        <w:t xml:space="preserve">solely at their own risk.  </w:t>
      </w:r>
    </w:p>
    <w:p w:rsidR="005C11F9" w:rsidRDefault="005C11F9" w:rsidP="00997159">
      <w:pPr>
        <w:rPr>
          <w:sz w:val="22"/>
          <w:szCs w:val="22"/>
        </w:rPr>
      </w:pPr>
    </w:p>
    <w:p w:rsidR="00B8132B" w:rsidRDefault="004E10BD" w:rsidP="005E280E">
      <w:pPr>
        <w:ind w:firstLine="720"/>
        <w:rPr>
          <w:sz w:val="22"/>
          <w:szCs w:val="22"/>
        </w:rPr>
      </w:pPr>
      <w:r>
        <w:rPr>
          <w:i/>
          <w:sz w:val="22"/>
          <w:szCs w:val="22"/>
        </w:rPr>
        <w:t xml:space="preserve">Technical </w:t>
      </w:r>
      <w:r w:rsidR="00A32D96">
        <w:rPr>
          <w:i/>
          <w:sz w:val="22"/>
          <w:szCs w:val="22"/>
        </w:rPr>
        <w:t>need rule</w:t>
      </w:r>
      <w:r w:rsidR="00C0433E">
        <w:rPr>
          <w:i/>
          <w:sz w:val="22"/>
          <w:szCs w:val="22"/>
        </w:rPr>
        <w:t xml:space="preserve">.  </w:t>
      </w:r>
      <w:r w:rsidR="004C5492">
        <w:rPr>
          <w:sz w:val="22"/>
          <w:szCs w:val="22"/>
        </w:rPr>
        <w:t xml:space="preserve">Triangle’s primary objection </w:t>
      </w:r>
      <w:r w:rsidR="00997294">
        <w:rPr>
          <w:sz w:val="22"/>
          <w:szCs w:val="22"/>
        </w:rPr>
        <w:t xml:space="preserve">to the Rolesville and Cary Modification Applications </w:t>
      </w:r>
      <w:r w:rsidR="005F1062">
        <w:rPr>
          <w:sz w:val="22"/>
          <w:szCs w:val="22"/>
        </w:rPr>
        <w:t xml:space="preserve">is that </w:t>
      </w:r>
      <w:r w:rsidR="00F57714">
        <w:rPr>
          <w:sz w:val="22"/>
          <w:szCs w:val="22"/>
        </w:rPr>
        <w:t>the Curtis Licensees failed</w:t>
      </w:r>
      <w:r w:rsidR="00133966">
        <w:rPr>
          <w:sz w:val="22"/>
          <w:szCs w:val="22"/>
        </w:rPr>
        <w:t xml:space="preserve"> to include a showing of technical need</w:t>
      </w:r>
      <w:r w:rsidR="00F57714">
        <w:rPr>
          <w:sz w:val="22"/>
          <w:szCs w:val="22"/>
        </w:rPr>
        <w:t>,</w:t>
      </w:r>
      <w:r w:rsidR="00133966" w:rsidRPr="00133966">
        <w:rPr>
          <w:sz w:val="22"/>
          <w:szCs w:val="22"/>
        </w:rPr>
        <w:t xml:space="preserve"> </w:t>
      </w:r>
      <w:r w:rsidR="00F57714">
        <w:rPr>
          <w:sz w:val="22"/>
          <w:szCs w:val="22"/>
        </w:rPr>
        <w:t xml:space="preserve">in violation of Section 74.1232(b) of the Rules, which requires such a showing </w:t>
      </w:r>
      <w:r w:rsidR="00133966">
        <w:rPr>
          <w:sz w:val="22"/>
          <w:szCs w:val="22"/>
        </w:rPr>
        <w:t>for multiple translators licensed to the same applicant and serv</w:t>
      </w:r>
      <w:r w:rsidR="00F57714">
        <w:rPr>
          <w:sz w:val="22"/>
          <w:szCs w:val="22"/>
        </w:rPr>
        <w:t>ing substantially the same area</w:t>
      </w:r>
      <w:r w:rsidR="008371C3">
        <w:rPr>
          <w:sz w:val="22"/>
          <w:szCs w:val="22"/>
        </w:rPr>
        <w:t>.</w:t>
      </w:r>
      <w:r w:rsidR="005F1062">
        <w:rPr>
          <w:rStyle w:val="FootnoteReference"/>
          <w:sz w:val="22"/>
          <w:szCs w:val="22"/>
        </w:rPr>
        <w:footnoteReference w:id="24"/>
      </w:r>
      <w:r w:rsidR="005F1062">
        <w:rPr>
          <w:sz w:val="22"/>
          <w:szCs w:val="22"/>
        </w:rPr>
        <w:t xml:space="preserve">  </w:t>
      </w:r>
      <w:r w:rsidR="00AA79B5">
        <w:rPr>
          <w:sz w:val="22"/>
          <w:szCs w:val="22"/>
        </w:rPr>
        <w:t xml:space="preserve">The technical need exhibit submitted with the </w:t>
      </w:r>
      <w:r w:rsidR="00F57714">
        <w:rPr>
          <w:sz w:val="22"/>
          <w:szCs w:val="22"/>
        </w:rPr>
        <w:t xml:space="preserve">Rolesville </w:t>
      </w:r>
      <w:r w:rsidR="00AA79B5">
        <w:rPr>
          <w:sz w:val="22"/>
          <w:szCs w:val="22"/>
        </w:rPr>
        <w:t xml:space="preserve">Modification Applications, according to Triangle, does not satisfy this requirement </w:t>
      </w:r>
      <w:r w:rsidR="0042692F">
        <w:rPr>
          <w:sz w:val="22"/>
          <w:szCs w:val="22"/>
        </w:rPr>
        <w:t xml:space="preserve">because it does not </w:t>
      </w:r>
      <w:r w:rsidR="00133966">
        <w:rPr>
          <w:sz w:val="22"/>
          <w:szCs w:val="22"/>
        </w:rPr>
        <w:t>discuss</w:t>
      </w:r>
      <w:r w:rsidR="0042692F">
        <w:rPr>
          <w:sz w:val="22"/>
          <w:szCs w:val="22"/>
        </w:rPr>
        <w:t xml:space="preserve"> the quality of the received signal or include a description of terrain obstructions.</w:t>
      </w:r>
      <w:r w:rsidR="0042692F">
        <w:rPr>
          <w:rStyle w:val="FootnoteReference"/>
          <w:sz w:val="22"/>
          <w:szCs w:val="22"/>
        </w:rPr>
        <w:footnoteReference w:id="25"/>
      </w:r>
      <w:r w:rsidR="0042692F">
        <w:rPr>
          <w:sz w:val="22"/>
          <w:szCs w:val="22"/>
        </w:rPr>
        <w:t xml:space="preserve">  </w:t>
      </w:r>
      <w:r w:rsidR="00AA79B5">
        <w:rPr>
          <w:sz w:val="22"/>
          <w:szCs w:val="22"/>
        </w:rPr>
        <w:t xml:space="preserve">Triangle </w:t>
      </w:r>
      <w:r w:rsidR="00D83CBC">
        <w:rPr>
          <w:sz w:val="22"/>
          <w:szCs w:val="22"/>
        </w:rPr>
        <w:t xml:space="preserve">also </w:t>
      </w:r>
      <w:r w:rsidR="00AA79B5">
        <w:rPr>
          <w:sz w:val="22"/>
          <w:szCs w:val="22"/>
        </w:rPr>
        <w:t xml:space="preserve">argues that </w:t>
      </w:r>
      <w:r w:rsidR="00997294">
        <w:rPr>
          <w:sz w:val="22"/>
          <w:szCs w:val="22"/>
        </w:rPr>
        <w:t>the Curtis Licensees</w:t>
      </w:r>
      <w:r w:rsidR="00AA79B5">
        <w:rPr>
          <w:sz w:val="22"/>
          <w:szCs w:val="22"/>
        </w:rPr>
        <w:t>’ tec</w:t>
      </w:r>
      <w:r w:rsidR="00D83CBC">
        <w:rPr>
          <w:sz w:val="22"/>
          <w:szCs w:val="22"/>
        </w:rPr>
        <w:t xml:space="preserve">hnical need showing </w:t>
      </w:r>
      <w:r w:rsidR="00997294">
        <w:rPr>
          <w:sz w:val="22"/>
          <w:szCs w:val="22"/>
        </w:rPr>
        <w:t xml:space="preserve">must </w:t>
      </w:r>
      <w:r w:rsidR="00AA79B5">
        <w:rPr>
          <w:sz w:val="22"/>
          <w:szCs w:val="22"/>
        </w:rPr>
        <w:t xml:space="preserve">include </w:t>
      </w:r>
      <w:r w:rsidR="00997294">
        <w:rPr>
          <w:sz w:val="22"/>
          <w:szCs w:val="22"/>
        </w:rPr>
        <w:t xml:space="preserve">additional </w:t>
      </w:r>
      <w:r w:rsidR="00AA79B5">
        <w:rPr>
          <w:sz w:val="22"/>
          <w:szCs w:val="22"/>
        </w:rPr>
        <w:t xml:space="preserve">co-owned translators that do not overlap the </w:t>
      </w:r>
      <w:r w:rsidR="00133966">
        <w:rPr>
          <w:sz w:val="22"/>
          <w:szCs w:val="22"/>
        </w:rPr>
        <w:t xml:space="preserve">60 dBµ contours of the </w:t>
      </w:r>
      <w:r w:rsidR="0055771C">
        <w:rPr>
          <w:sz w:val="22"/>
          <w:szCs w:val="22"/>
        </w:rPr>
        <w:t>Translators</w:t>
      </w:r>
      <w:r w:rsidR="00AA79B5">
        <w:rPr>
          <w:sz w:val="22"/>
          <w:szCs w:val="22"/>
        </w:rPr>
        <w:t xml:space="preserve"> but are </w:t>
      </w:r>
      <w:r w:rsidR="00133966">
        <w:rPr>
          <w:sz w:val="22"/>
          <w:szCs w:val="22"/>
        </w:rPr>
        <w:t xml:space="preserve">located </w:t>
      </w:r>
      <w:r w:rsidR="00AA79B5">
        <w:rPr>
          <w:sz w:val="22"/>
          <w:szCs w:val="22"/>
        </w:rPr>
        <w:t>within WQDR’s 60 dBµ contour.</w:t>
      </w:r>
      <w:r w:rsidR="00AA79B5">
        <w:rPr>
          <w:rStyle w:val="FootnoteReference"/>
          <w:sz w:val="22"/>
          <w:szCs w:val="22"/>
        </w:rPr>
        <w:footnoteReference w:id="26"/>
      </w:r>
      <w:r w:rsidR="00491E22">
        <w:rPr>
          <w:sz w:val="22"/>
          <w:szCs w:val="22"/>
        </w:rPr>
        <w:t xml:space="preserve">  </w:t>
      </w:r>
      <w:r w:rsidR="00D83CBC">
        <w:rPr>
          <w:sz w:val="22"/>
          <w:szCs w:val="22"/>
        </w:rPr>
        <w:t>Triangle</w:t>
      </w:r>
      <w:r w:rsidR="00ED5340">
        <w:rPr>
          <w:sz w:val="22"/>
          <w:szCs w:val="22"/>
        </w:rPr>
        <w:t xml:space="preserve"> further argues that</w:t>
      </w:r>
      <w:r w:rsidR="00D83CBC">
        <w:rPr>
          <w:sz w:val="22"/>
          <w:szCs w:val="22"/>
        </w:rPr>
        <w:t xml:space="preserve"> rebroadc</w:t>
      </w:r>
      <w:r w:rsidR="00ED5340">
        <w:rPr>
          <w:sz w:val="22"/>
          <w:szCs w:val="22"/>
        </w:rPr>
        <w:t>ast of a digital subchannel violates the terms of an</w:t>
      </w:r>
      <w:r w:rsidR="00997294">
        <w:rPr>
          <w:sz w:val="22"/>
          <w:szCs w:val="22"/>
        </w:rPr>
        <w:t>y</w:t>
      </w:r>
      <w:r w:rsidR="00ED5340">
        <w:rPr>
          <w:sz w:val="22"/>
          <w:szCs w:val="22"/>
        </w:rPr>
        <w:t xml:space="preserve"> authorization that </w:t>
      </w:r>
      <w:r w:rsidR="00D83CBC">
        <w:rPr>
          <w:sz w:val="22"/>
          <w:szCs w:val="22"/>
        </w:rPr>
        <w:t>specif</w:t>
      </w:r>
      <w:r w:rsidR="00ED5340">
        <w:rPr>
          <w:sz w:val="22"/>
          <w:szCs w:val="22"/>
        </w:rPr>
        <w:t>ies</w:t>
      </w:r>
      <w:r w:rsidR="00D83CBC">
        <w:rPr>
          <w:sz w:val="22"/>
          <w:szCs w:val="22"/>
        </w:rPr>
        <w:t xml:space="preserve"> only the primary station.</w:t>
      </w:r>
      <w:r w:rsidR="00D83CBC">
        <w:rPr>
          <w:rStyle w:val="FootnoteReference"/>
          <w:sz w:val="22"/>
          <w:szCs w:val="22"/>
        </w:rPr>
        <w:footnoteReference w:id="27"/>
      </w:r>
      <w:r w:rsidR="00D83CBC">
        <w:rPr>
          <w:sz w:val="22"/>
          <w:szCs w:val="22"/>
        </w:rPr>
        <w:t xml:space="preserve">  </w:t>
      </w:r>
      <w:r w:rsidR="00C93D30">
        <w:rPr>
          <w:sz w:val="22"/>
          <w:szCs w:val="22"/>
        </w:rPr>
        <w:t xml:space="preserve">Triangle </w:t>
      </w:r>
      <w:r w:rsidR="00ED0C99">
        <w:rPr>
          <w:sz w:val="22"/>
          <w:szCs w:val="22"/>
        </w:rPr>
        <w:t xml:space="preserve">alleges that W251CA, WQDR HD-3, and </w:t>
      </w:r>
      <w:r w:rsidR="00941383">
        <w:rPr>
          <w:sz w:val="22"/>
          <w:szCs w:val="22"/>
        </w:rPr>
        <w:t>AM station WPTF, Raleigh, North Carolina,</w:t>
      </w:r>
      <w:r w:rsidR="00941383">
        <w:rPr>
          <w:rStyle w:val="FootnoteReference"/>
          <w:sz w:val="22"/>
          <w:szCs w:val="22"/>
        </w:rPr>
        <w:footnoteReference w:id="28"/>
      </w:r>
      <w:r w:rsidR="00941383">
        <w:rPr>
          <w:sz w:val="22"/>
          <w:szCs w:val="22"/>
        </w:rPr>
        <w:t xml:space="preserve"> broadcast the same programming to the same area</w:t>
      </w:r>
      <w:r w:rsidR="00C93D30">
        <w:rPr>
          <w:sz w:val="22"/>
          <w:szCs w:val="22"/>
        </w:rPr>
        <w:t>.</w:t>
      </w:r>
      <w:r w:rsidR="00C93D30">
        <w:rPr>
          <w:rStyle w:val="FootnoteReference"/>
          <w:sz w:val="22"/>
          <w:szCs w:val="22"/>
        </w:rPr>
        <w:footnoteReference w:id="29"/>
      </w:r>
      <w:r w:rsidR="00C93D30">
        <w:rPr>
          <w:sz w:val="22"/>
          <w:szCs w:val="22"/>
        </w:rPr>
        <w:t xml:space="preserve"> </w:t>
      </w:r>
      <w:r w:rsidR="00593B08">
        <w:rPr>
          <w:sz w:val="22"/>
          <w:szCs w:val="22"/>
        </w:rPr>
        <w:t xml:space="preserve"> The public interest is not served, Triangle argues, by “identical programming [] being served to this area using three channels of limited spectrum.”</w:t>
      </w:r>
      <w:r w:rsidR="00593B08">
        <w:rPr>
          <w:rStyle w:val="FootnoteReference"/>
          <w:sz w:val="22"/>
          <w:szCs w:val="22"/>
        </w:rPr>
        <w:footnoteReference w:id="30"/>
      </w:r>
      <w:r w:rsidR="00647CF4">
        <w:rPr>
          <w:sz w:val="22"/>
          <w:szCs w:val="22"/>
        </w:rPr>
        <w:t xml:space="preserve">  </w:t>
      </w:r>
      <w:r w:rsidR="00D74F3F">
        <w:rPr>
          <w:sz w:val="22"/>
          <w:szCs w:val="22"/>
        </w:rPr>
        <w:t xml:space="preserve">Triangle </w:t>
      </w:r>
      <w:r w:rsidR="00AA79B5">
        <w:rPr>
          <w:sz w:val="22"/>
          <w:szCs w:val="22"/>
        </w:rPr>
        <w:t>concludes</w:t>
      </w:r>
      <w:r w:rsidR="00D74F3F">
        <w:rPr>
          <w:sz w:val="22"/>
          <w:szCs w:val="22"/>
        </w:rPr>
        <w:t xml:space="preserve"> that the </w:t>
      </w:r>
      <w:r w:rsidR="000C5799">
        <w:rPr>
          <w:sz w:val="22"/>
          <w:szCs w:val="22"/>
        </w:rPr>
        <w:t>Curtis Licensees</w:t>
      </w:r>
      <w:r w:rsidR="00D74F3F">
        <w:rPr>
          <w:sz w:val="22"/>
          <w:szCs w:val="22"/>
        </w:rPr>
        <w:t xml:space="preserve"> </w:t>
      </w:r>
      <w:r w:rsidR="00AA79B5">
        <w:rPr>
          <w:sz w:val="22"/>
          <w:szCs w:val="22"/>
        </w:rPr>
        <w:t xml:space="preserve">have </w:t>
      </w:r>
      <w:r w:rsidR="00491E22">
        <w:rPr>
          <w:sz w:val="22"/>
          <w:szCs w:val="22"/>
        </w:rPr>
        <w:t xml:space="preserve">no </w:t>
      </w:r>
      <w:r w:rsidR="00D74F3F">
        <w:rPr>
          <w:sz w:val="22"/>
          <w:szCs w:val="22"/>
        </w:rPr>
        <w:t xml:space="preserve">technical need for the </w:t>
      </w:r>
      <w:r w:rsidR="0055771C">
        <w:rPr>
          <w:sz w:val="22"/>
          <w:szCs w:val="22"/>
        </w:rPr>
        <w:t>Translators</w:t>
      </w:r>
      <w:r w:rsidR="00D74F3F">
        <w:rPr>
          <w:sz w:val="22"/>
          <w:szCs w:val="22"/>
        </w:rPr>
        <w:t xml:space="preserve"> but </w:t>
      </w:r>
      <w:r w:rsidR="00C756E5">
        <w:rPr>
          <w:sz w:val="22"/>
          <w:szCs w:val="22"/>
        </w:rPr>
        <w:t xml:space="preserve">rather </w:t>
      </w:r>
      <w:r w:rsidR="00D74F3F">
        <w:rPr>
          <w:sz w:val="22"/>
          <w:szCs w:val="22"/>
        </w:rPr>
        <w:t xml:space="preserve">are attempting to “create at least one </w:t>
      </w:r>
      <w:r w:rsidR="00D74F3F">
        <w:rPr>
          <w:i/>
          <w:sz w:val="22"/>
          <w:szCs w:val="22"/>
        </w:rPr>
        <w:t xml:space="preserve">de facto </w:t>
      </w:r>
      <w:r w:rsidR="00D74F3F">
        <w:rPr>
          <w:sz w:val="22"/>
          <w:szCs w:val="22"/>
        </w:rPr>
        <w:t>FM station via a network of translators.”</w:t>
      </w:r>
      <w:r w:rsidR="00D74F3F">
        <w:rPr>
          <w:rStyle w:val="FootnoteReference"/>
          <w:sz w:val="22"/>
          <w:szCs w:val="22"/>
        </w:rPr>
        <w:footnoteReference w:id="31"/>
      </w:r>
      <w:r w:rsidR="001A600A">
        <w:rPr>
          <w:sz w:val="22"/>
          <w:szCs w:val="22"/>
        </w:rPr>
        <w:t xml:space="preserve">  </w:t>
      </w:r>
    </w:p>
    <w:p w:rsidR="00C0433E" w:rsidRDefault="00C0433E" w:rsidP="005E280E">
      <w:pPr>
        <w:ind w:firstLine="720"/>
        <w:rPr>
          <w:sz w:val="22"/>
          <w:szCs w:val="22"/>
        </w:rPr>
      </w:pPr>
    </w:p>
    <w:p w:rsidR="00C0433E" w:rsidRDefault="005C0064" w:rsidP="00597661">
      <w:pPr>
        <w:ind w:firstLine="720"/>
        <w:rPr>
          <w:sz w:val="22"/>
          <w:szCs w:val="22"/>
        </w:rPr>
      </w:pPr>
      <w:r>
        <w:rPr>
          <w:sz w:val="22"/>
          <w:szCs w:val="22"/>
        </w:rPr>
        <w:t>T</w:t>
      </w:r>
      <w:r w:rsidR="00D87E22">
        <w:rPr>
          <w:sz w:val="22"/>
          <w:szCs w:val="22"/>
        </w:rPr>
        <w:t xml:space="preserve">he </w:t>
      </w:r>
      <w:r w:rsidR="000C5799">
        <w:rPr>
          <w:sz w:val="22"/>
          <w:szCs w:val="22"/>
        </w:rPr>
        <w:t>Curtis Licensees</w:t>
      </w:r>
      <w:r w:rsidR="00597661">
        <w:rPr>
          <w:sz w:val="22"/>
          <w:szCs w:val="22"/>
        </w:rPr>
        <w:t xml:space="preserve"> emphasize that they are</w:t>
      </w:r>
      <w:r w:rsidR="005D171D">
        <w:rPr>
          <w:sz w:val="22"/>
          <w:szCs w:val="22"/>
        </w:rPr>
        <w:t>, as a general rule,</w:t>
      </w:r>
      <w:r w:rsidR="00597661">
        <w:rPr>
          <w:sz w:val="22"/>
          <w:szCs w:val="22"/>
        </w:rPr>
        <w:t xml:space="preserve"> permitted to rebroadcast digital subchannels on FM translators.</w:t>
      </w:r>
      <w:r w:rsidR="00597661">
        <w:rPr>
          <w:rStyle w:val="FootnoteReference"/>
          <w:sz w:val="22"/>
          <w:szCs w:val="22"/>
        </w:rPr>
        <w:footnoteReference w:id="32"/>
      </w:r>
      <w:r w:rsidR="00A32D96">
        <w:rPr>
          <w:sz w:val="22"/>
          <w:szCs w:val="22"/>
        </w:rPr>
        <w:t xml:space="preserve"> </w:t>
      </w:r>
      <w:r w:rsidR="00597661">
        <w:rPr>
          <w:sz w:val="22"/>
          <w:szCs w:val="22"/>
        </w:rPr>
        <w:t xml:space="preserve"> They claim</w:t>
      </w:r>
      <w:r>
        <w:rPr>
          <w:sz w:val="22"/>
          <w:szCs w:val="22"/>
        </w:rPr>
        <w:t xml:space="preserve"> that</w:t>
      </w:r>
      <w:r w:rsidR="002D77FD">
        <w:rPr>
          <w:sz w:val="22"/>
          <w:szCs w:val="22"/>
        </w:rPr>
        <w:t xml:space="preserve"> </w:t>
      </w:r>
      <w:r w:rsidR="00B84323">
        <w:rPr>
          <w:sz w:val="22"/>
          <w:szCs w:val="22"/>
        </w:rPr>
        <w:t>they provided</w:t>
      </w:r>
      <w:r w:rsidR="002D77FD">
        <w:rPr>
          <w:sz w:val="22"/>
          <w:szCs w:val="22"/>
        </w:rPr>
        <w:t xml:space="preserve"> a technical need showing</w:t>
      </w:r>
      <w:r w:rsidR="00997294">
        <w:rPr>
          <w:sz w:val="22"/>
          <w:szCs w:val="22"/>
        </w:rPr>
        <w:t>,</w:t>
      </w:r>
      <w:r w:rsidR="00B84323">
        <w:rPr>
          <w:sz w:val="22"/>
          <w:szCs w:val="22"/>
        </w:rPr>
        <w:t xml:space="preserve"> in Exhibit 16 </w:t>
      </w:r>
      <w:r w:rsidR="00997294">
        <w:rPr>
          <w:sz w:val="22"/>
          <w:szCs w:val="22"/>
        </w:rPr>
        <w:t>of</w:t>
      </w:r>
      <w:r w:rsidR="00B84323">
        <w:rPr>
          <w:sz w:val="22"/>
          <w:szCs w:val="22"/>
        </w:rPr>
        <w:t xml:space="preserve"> the Rolesville Modification Applications</w:t>
      </w:r>
      <w:r w:rsidR="00597661">
        <w:rPr>
          <w:sz w:val="22"/>
          <w:szCs w:val="22"/>
        </w:rPr>
        <w:t>.</w:t>
      </w:r>
      <w:r w:rsidR="00B84323">
        <w:rPr>
          <w:rStyle w:val="FootnoteReference"/>
          <w:sz w:val="22"/>
          <w:szCs w:val="22"/>
        </w:rPr>
        <w:footnoteReference w:id="33"/>
      </w:r>
      <w:r w:rsidR="001527C5">
        <w:rPr>
          <w:sz w:val="22"/>
          <w:szCs w:val="22"/>
        </w:rPr>
        <w:t xml:space="preserve"> </w:t>
      </w:r>
      <w:r w:rsidR="00597661">
        <w:rPr>
          <w:sz w:val="22"/>
          <w:szCs w:val="22"/>
        </w:rPr>
        <w:t xml:space="preserve"> In its entirety, Exhibit 16 </w:t>
      </w:r>
      <w:r w:rsidR="00C756E5">
        <w:rPr>
          <w:sz w:val="22"/>
          <w:szCs w:val="22"/>
        </w:rPr>
        <w:t>reads</w:t>
      </w:r>
      <w:r w:rsidR="00597661">
        <w:rPr>
          <w:sz w:val="22"/>
          <w:szCs w:val="22"/>
        </w:rPr>
        <w:t>: “</w:t>
      </w:r>
      <w:r w:rsidR="00597661" w:rsidRPr="00597661">
        <w:rPr>
          <w:sz w:val="22"/>
          <w:szCs w:val="22"/>
        </w:rPr>
        <w:t>This application is one of a coordinated pair of two applications listing the same</w:t>
      </w:r>
      <w:r w:rsidR="00597661">
        <w:rPr>
          <w:sz w:val="22"/>
          <w:szCs w:val="22"/>
        </w:rPr>
        <w:t xml:space="preserve"> </w:t>
      </w:r>
      <w:r w:rsidR="00597661" w:rsidRPr="00597661">
        <w:rPr>
          <w:sz w:val="22"/>
          <w:szCs w:val="22"/>
        </w:rPr>
        <w:t>primary station, WQDR, and the same general coverage area. The intent for these applications</w:t>
      </w:r>
      <w:r w:rsidR="00597661">
        <w:rPr>
          <w:sz w:val="22"/>
          <w:szCs w:val="22"/>
        </w:rPr>
        <w:t xml:space="preserve"> </w:t>
      </w:r>
      <w:r w:rsidR="00597661" w:rsidRPr="00597661">
        <w:rPr>
          <w:sz w:val="22"/>
          <w:szCs w:val="22"/>
        </w:rPr>
        <w:t>is to broadcast different HD Radio subchannels. The primary signals to be rebroadcast are not</w:t>
      </w:r>
      <w:r w:rsidR="00597661">
        <w:rPr>
          <w:sz w:val="22"/>
          <w:szCs w:val="22"/>
        </w:rPr>
        <w:t xml:space="preserve"> </w:t>
      </w:r>
      <w:r w:rsidR="00597661" w:rsidRPr="00597661">
        <w:rPr>
          <w:sz w:val="22"/>
          <w:szCs w:val="22"/>
        </w:rPr>
        <w:t>the same. These two applications therefore are not providing duplicate coverage.</w:t>
      </w:r>
      <w:r w:rsidR="00597661">
        <w:rPr>
          <w:sz w:val="22"/>
          <w:szCs w:val="22"/>
        </w:rPr>
        <w:t>”</w:t>
      </w:r>
      <w:r w:rsidR="00597661">
        <w:rPr>
          <w:rStyle w:val="FootnoteReference"/>
          <w:sz w:val="22"/>
          <w:szCs w:val="22"/>
        </w:rPr>
        <w:footnoteReference w:id="34"/>
      </w:r>
      <w:r w:rsidR="00597661">
        <w:rPr>
          <w:sz w:val="22"/>
          <w:szCs w:val="22"/>
        </w:rPr>
        <w:t xml:space="preserve">  </w:t>
      </w:r>
      <w:r w:rsidR="008B22FF" w:rsidRPr="00724401">
        <w:rPr>
          <w:sz w:val="22"/>
          <w:szCs w:val="22"/>
        </w:rPr>
        <w:t>By letter dated July 1</w:t>
      </w:r>
      <w:r w:rsidR="003224E9">
        <w:rPr>
          <w:sz w:val="22"/>
          <w:szCs w:val="22"/>
        </w:rPr>
        <w:t>8</w:t>
      </w:r>
      <w:r w:rsidR="008B22FF" w:rsidRPr="00724401">
        <w:rPr>
          <w:sz w:val="22"/>
          <w:szCs w:val="22"/>
        </w:rPr>
        <w:t>, 2017, the Curtis Licensees</w:t>
      </w:r>
      <w:r w:rsidR="008B22FF">
        <w:rPr>
          <w:sz w:val="22"/>
          <w:szCs w:val="22"/>
        </w:rPr>
        <w:t xml:space="preserve"> confirmed</w:t>
      </w:r>
      <w:r w:rsidR="008B22FF" w:rsidRPr="00724401">
        <w:rPr>
          <w:sz w:val="22"/>
          <w:szCs w:val="22"/>
        </w:rPr>
        <w:t xml:space="preserve"> that W251CA </w:t>
      </w:r>
      <w:r w:rsidR="008B22FF">
        <w:rPr>
          <w:sz w:val="22"/>
          <w:szCs w:val="22"/>
        </w:rPr>
        <w:t xml:space="preserve">rebroadcasts </w:t>
      </w:r>
      <w:r w:rsidR="008B22FF" w:rsidRPr="00724401">
        <w:rPr>
          <w:sz w:val="22"/>
          <w:szCs w:val="22"/>
        </w:rPr>
        <w:t>WQDR HD2 and W254AS rebroadcast</w:t>
      </w:r>
      <w:r w:rsidR="008B22FF">
        <w:rPr>
          <w:sz w:val="22"/>
          <w:szCs w:val="22"/>
        </w:rPr>
        <w:t>s</w:t>
      </w:r>
      <w:r w:rsidR="008B22FF" w:rsidRPr="00724401">
        <w:rPr>
          <w:sz w:val="22"/>
          <w:szCs w:val="22"/>
        </w:rPr>
        <w:t xml:space="preserve"> </w:t>
      </w:r>
      <w:r w:rsidR="008B22FF">
        <w:rPr>
          <w:sz w:val="22"/>
          <w:szCs w:val="22"/>
        </w:rPr>
        <w:t>WQDR HD3</w:t>
      </w:r>
      <w:r w:rsidR="008B22FF" w:rsidRPr="00724401">
        <w:rPr>
          <w:sz w:val="22"/>
          <w:szCs w:val="22"/>
        </w:rPr>
        <w:t>.</w:t>
      </w:r>
      <w:r w:rsidR="008B22FF">
        <w:rPr>
          <w:rStyle w:val="FootnoteReference"/>
          <w:sz w:val="22"/>
          <w:szCs w:val="22"/>
        </w:rPr>
        <w:footnoteReference w:id="35"/>
      </w:r>
      <w:r w:rsidR="008B22FF" w:rsidRPr="00724401">
        <w:rPr>
          <w:sz w:val="22"/>
          <w:szCs w:val="22"/>
        </w:rPr>
        <w:t xml:space="preserve">  </w:t>
      </w:r>
      <w:r w:rsidR="00B9641E">
        <w:rPr>
          <w:sz w:val="22"/>
          <w:szCs w:val="22"/>
        </w:rPr>
        <w:t>Regarding compliance with the terms of their authorizations, t</w:t>
      </w:r>
      <w:r w:rsidR="00597661">
        <w:rPr>
          <w:sz w:val="22"/>
          <w:szCs w:val="22"/>
        </w:rPr>
        <w:t xml:space="preserve">he </w:t>
      </w:r>
      <w:r w:rsidR="000C5799">
        <w:rPr>
          <w:sz w:val="22"/>
          <w:szCs w:val="22"/>
        </w:rPr>
        <w:t>Curtis Licensees</w:t>
      </w:r>
      <w:r w:rsidR="00D83CBC">
        <w:rPr>
          <w:sz w:val="22"/>
          <w:szCs w:val="22"/>
        </w:rPr>
        <w:t xml:space="preserve"> </w:t>
      </w:r>
      <w:r w:rsidR="00D36772">
        <w:rPr>
          <w:sz w:val="22"/>
          <w:szCs w:val="22"/>
        </w:rPr>
        <w:t>argue</w:t>
      </w:r>
      <w:r w:rsidR="00E363C6">
        <w:rPr>
          <w:sz w:val="22"/>
          <w:szCs w:val="22"/>
        </w:rPr>
        <w:t xml:space="preserve"> that </w:t>
      </w:r>
      <w:r w:rsidR="00597661">
        <w:rPr>
          <w:sz w:val="22"/>
          <w:szCs w:val="22"/>
        </w:rPr>
        <w:t>re</w:t>
      </w:r>
      <w:r w:rsidR="00E363C6">
        <w:rPr>
          <w:sz w:val="22"/>
          <w:szCs w:val="22"/>
        </w:rPr>
        <w:t>broadcast</w:t>
      </w:r>
      <w:r w:rsidR="00597661">
        <w:rPr>
          <w:sz w:val="22"/>
          <w:szCs w:val="22"/>
        </w:rPr>
        <w:t>ing HD sub</w:t>
      </w:r>
      <w:r w:rsidR="00E363C6">
        <w:rPr>
          <w:sz w:val="22"/>
          <w:szCs w:val="22"/>
        </w:rPr>
        <w:t xml:space="preserve">channels of the primary station does not </w:t>
      </w:r>
      <w:r w:rsidR="00597661">
        <w:rPr>
          <w:sz w:val="22"/>
          <w:szCs w:val="22"/>
        </w:rPr>
        <w:t xml:space="preserve">impermissibly </w:t>
      </w:r>
      <w:r w:rsidR="00E363C6">
        <w:rPr>
          <w:sz w:val="22"/>
          <w:szCs w:val="22"/>
        </w:rPr>
        <w:t>“switch” the primary station.</w:t>
      </w:r>
      <w:r w:rsidR="00D83CBC">
        <w:rPr>
          <w:rStyle w:val="FootnoteReference"/>
          <w:sz w:val="22"/>
          <w:szCs w:val="22"/>
        </w:rPr>
        <w:footnoteReference w:id="36"/>
      </w:r>
      <w:r w:rsidR="00D83CBC">
        <w:rPr>
          <w:sz w:val="22"/>
          <w:szCs w:val="22"/>
        </w:rPr>
        <w:t xml:space="preserve">  </w:t>
      </w:r>
      <w:r w:rsidR="00B9641E">
        <w:rPr>
          <w:sz w:val="22"/>
          <w:szCs w:val="22"/>
        </w:rPr>
        <w:t xml:space="preserve">Finally, </w:t>
      </w:r>
      <w:r w:rsidR="00C5371D">
        <w:rPr>
          <w:sz w:val="22"/>
          <w:szCs w:val="22"/>
        </w:rPr>
        <w:t>a</w:t>
      </w:r>
      <w:r w:rsidR="00184F30">
        <w:rPr>
          <w:sz w:val="22"/>
          <w:szCs w:val="22"/>
        </w:rPr>
        <w:t xml:space="preserve"> showing of technical need is not necessary, according to the Curtis Licensees, </w:t>
      </w:r>
      <w:r w:rsidR="00C756E5">
        <w:rPr>
          <w:sz w:val="22"/>
          <w:szCs w:val="22"/>
        </w:rPr>
        <w:t xml:space="preserve">for </w:t>
      </w:r>
      <w:r w:rsidR="00997294">
        <w:rPr>
          <w:sz w:val="22"/>
          <w:szCs w:val="22"/>
        </w:rPr>
        <w:t xml:space="preserve">any </w:t>
      </w:r>
      <w:r w:rsidR="00C756E5">
        <w:rPr>
          <w:sz w:val="22"/>
          <w:szCs w:val="22"/>
        </w:rPr>
        <w:t>application</w:t>
      </w:r>
      <w:r w:rsidR="00997294">
        <w:rPr>
          <w:sz w:val="22"/>
          <w:szCs w:val="22"/>
        </w:rPr>
        <w:t>, such as the Cary Modification Application,</w:t>
      </w:r>
      <w:r w:rsidR="00C756E5">
        <w:rPr>
          <w:sz w:val="22"/>
          <w:szCs w:val="22"/>
        </w:rPr>
        <w:t xml:space="preserve"> not involving </w:t>
      </w:r>
      <w:r w:rsidR="00997294">
        <w:rPr>
          <w:sz w:val="22"/>
          <w:szCs w:val="22"/>
        </w:rPr>
        <w:t xml:space="preserve">contour </w:t>
      </w:r>
      <w:r w:rsidR="00184F30">
        <w:rPr>
          <w:sz w:val="22"/>
          <w:szCs w:val="22"/>
        </w:rPr>
        <w:t>overlap between the subject translators.</w:t>
      </w:r>
      <w:r w:rsidR="00184F30">
        <w:rPr>
          <w:rStyle w:val="FootnoteReference"/>
          <w:sz w:val="22"/>
          <w:szCs w:val="22"/>
        </w:rPr>
        <w:footnoteReference w:id="37"/>
      </w:r>
      <w:r w:rsidR="00184F30">
        <w:rPr>
          <w:sz w:val="22"/>
          <w:szCs w:val="22"/>
        </w:rPr>
        <w:t xml:space="preserve">  </w:t>
      </w:r>
    </w:p>
    <w:p w:rsidR="000B43B2" w:rsidRDefault="000B43B2" w:rsidP="005E280E">
      <w:pPr>
        <w:ind w:firstLine="720"/>
        <w:rPr>
          <w:sz w:val="22"/>
          <w:szCs w:val="22"/>
        </w:rPr>
      </w:pPr>
    </w:p>
    <w:p w:rsidR="00E0287C" w:rsidRDefault="00601FC1" w:rsidP="00A32D96">
      <w:pPr>
        <w:ind w:firstLine="720"/>
        <w:rPr>
          <w:sz w:val="22"/>
          <w:szCs w:val="22"/>
        </w:rPr>
      </w:pPr>
      <w:r>
        <w:rPr>
          <w:i/>
          <w:sz w:val="22"/>
          <w:szCs w:val="22"/>
        </w:rPr>
        <w:t>Cary Translator s</w:t>
      </w:r>
      <w:r w:rsidR="00C0433E">
        <w:rPr>
          <w:i/>
          <w:sz w:val="22"/>
          <w:szCs w:val="22"/>
        </w:rPr>
        <w:t xml:space="preserve">ilence.  </w:t>
      </w:r>
      <w:r w:rsidR="000B43B2">
        <w:rPr>
          <w:sz w:val="22"/>
          <w:szCs w:val="22"/>
        </w:rPr>
        <w:t xml:space="preserve">Triangle argues that the </w:t>
      </w:r>
      <w:r w:rsidR="00C756E5">
        <w:rPr>
          <w:sz w:val="22"/>
          <w:szCs w:val="22"/>
        </w:rPr>
        <w:t xml:space="preserve">silence </w:t>
      </w:r>
      <w:r w:rsidR="00997294">
        <w:rPr>
          <w:sz w:val="22"/>
          <w:szCs w:val="22"/>
        </w:rPr>
        <w:t xml:space="preserve">of the Cary Translator </w:t>
      </w:r>
      <w:r w:rsidR="00C756E5">
        <w:rPr>
          <w:sz w:val="22"/>
          <w:szCs w:val="22"/>
        </w:rPr>
        <w:t>between</w:t>
      </w:r>
      <w:r w:rsidR="00997294">
        <w:rPr>
          <w:sz w:val="22"/>
          <w:szCs w:val="22"/>
        </w:rPr>
        <w:t xml:space="preserve"> the</w:t>
      </w:r>
      <w:r w:rsidR="00C756E5">
        <w:rPr>
          <w:sz w:val="22"/>
          <w:szCs w:val="22"/>
        </w:rPr>
        <w:t xml:space="preserve"> filing of the Cary License Application and </w:t>
      </w:r>
      <w:r w:rsidR="00997294">
        <w:rPr>
          <w:sz w:val="22"/>
          <w:szCs w:val="22"/>
        </w:rPr>
        <w:t xml:space="preserve">the </w:t>
      </w:r>
      <w:r w:rsidR="00C756E5">
        <w:rPr>
          <w:sz w:val="22"/>
          <w:szCs w:val="22"/>
        </w:rPr>
        <w:t>commencement of broadcast operations on February 3, 201</w:t>
      </w:r>
      <w:r w:rsidR="00997294">
        <w:rPr>
          <w:sz w:val="22"/>
          <w:szCs w:val="22"/>
        </w:rPr>
        <w:t>7, violated</w:t>
      </w:r>
      <w:r w:rsidR="00C756E5">
        <w:rPr>
          <w:sz w:val="22"/>
          <w:szCs w:val="22"/>
        </w:rPr>
        <w:t xml:space="preserve"> </w:t>
      </w:r>
      <w:r w:rsidR="000B43B2">
        <w:rPr>
          <w:sz w:val="22"/>
          <w:szCs w:val="22"/>
        </w:rPr>
        <w:t>the minimum operating schedules set out in Section 73.1740 of the Rules.</w:t>
      </w:r>
      <w:r w:rsidR="000B43B2">
        <w:rPr>
          <w:rStyle w:val="FootnoteReference"/>
          <w:sz w:val="22"/>
          <w:szCs w:val="22"/>
        </w:rPr>
        <w:footnoteReference w:id="38"/>
      </w:r>
      <w:r w:rsidR="000B43B2">
        <w:rPr>
          <w:sz w:val="22"/>
          <w:szCs w:val="22"/>
        </w:rPr>
        <w:t xml:space="preserve">  </w:t>
      </w:r>
      <w:r w:rsidR="00C0433E">
        <w:rPr>
          <w:sz w:val="22"/>
          <w:szCs w:val="22"/>
        </w:rPr>
        <w:t xml:space="preserve">In response, </w:t>
      </w:r>
      <w:r w:rsidR="00C756E5">
        <w:rPr>
          <w:sz w:val="22"/>
          <w:szCs w:val="22"/>
        </w:rPr>
        <w:t xml:space="preserve">Eastern Airwaves </w:t>
      </w:r>
      <w:r w:rsidR="00AC0165">
        <w:rPr>
          <w:sz w:val="22"/>
          <w:szCs w:val="22"/>
        </w:rPr>
        <w:t xml:space="preserve">argues that; (1) </w:t>
      </w:r>
      <w:r w:rsidR="00C756E5">
        <w:rPr>
          <w:sz w:val="22"/>
          <w:szCs w:val="22"/>
        </w:rPr>
        <w:t xml:space="preserve">translators </w:t>
      </w:r>
      <w:r w:rsidR="00C756E5" w:rsidRPr="00291E49">
        <w:rPr>
          <w:sz w:val="22"/>
          <w:szCs w:val="22"/>
        </w:rPr>
        <w:t>may</w:t>
      </w:r>
      <w:r w:rsidR="00C756E5">
        <w:rPr>
          <w:i/>
          <w:sz w:val="22"/>
          <w:szCs w:val="22"/>
        </w:rPr>
        <w:t xml:space="preserve">, </w:t>
      </w:r>
      <w:r w:rsidR="00C756E5">
        <w:rPr>
          <w:sz w:val="22"/>
          <w:szCs w:val="22"/>
        </w:rPr>
        <w:t>but are not required to, commence operations upon filing a license application</w:t>
      </w:r>
      <w:r w:rsidR="00AC0165">
        <w:rPr>
          <w:sz w:val="22"/>
          <w:szCs w:val="22"/>
        </w:rPr>
        <w:t>;</w:t>
      </w:r>
      <w:r w:rsidR="00C756E5">
        <w:rPr>
          <w:rStyle w:val="FootnoteReference"/>
          <w:sz w:val="22"/>
          <w:szCs w:val="22"/>
        </w:rPr>
        <w:footnoteReference w:id="39"/>
      </w:r>
      <w:r w:rsidR="00C756E5">
        <w:rPr>
          <w:sz w:val="22"/>
          <w:szCs w:val="22"/>
        </w:rPr>
        <w:t xml:space="preserve"> </w:t>
      </w:r>
      <w:r w:rsidR="00AC0165">
        <w:rPr>
          <w:sz w:val="22"/>
          <w:szCs w:val="22"/>
        </w:rPr>
        <w:t>(2) it was “not required to adhere to any regular schedule of operations” under Section 74.1263(a) of the Rules;</w:t>
      </w:r>
      <w:r w:rsidR="00AC0165">
        <w:rPr>
          <w:rStyle w:val="FootnoteReference"/>
          <w:sz w:val="22"/>
          <w:szCs w:val="22"/>
        </w:rPr>
        <w:footnoteReference w:id="40"/>
      </w:r>
      <w:r w:rsidR="00AC0165">
        <w:rPr>
          <w:sz w:val="22"/>
          <w:szCs w:val="22"/>
        </w:rPr>
        <w:t xml:space="preserve"> and (3) </w:t>
      </w:r>
      <w:r w:rsidR="00C0433E">
        <w:rPr>
          <w:sz w:val="22"/>
          <w:szCs w:val="22"/>
        </w:rPr>
        <w:t>“</w:t>
      </w:r>
      <w:r w:rsidR="00AC0165">
        <w:rPr>
          <w:sz w:val="22"/>
          <w:szCs w:val="22"/>
        </w:rPr>
        <w:t>at the time Eastern Airwaves filed the [Cary License] Application, the Station was in satisfactory operating condition and ready for regular operation</w:t>
      </w:r>
      <w:r>
        <w:rPr>
          <w:sz w:val="22"/>
          <w:szCs w:val="22"/>
        </w:rPr>
        <w:t>.</w:t>
      </w:r>
      <w:r w:rsidR="00C0433E">
        <w:rPr>
          <w:sz w:val="22"/>
          <w:szCs w:val="22"/>
        </w:rPr>
        <w:t>”</w:t>
      </w:r>
      <w:r w:rsidR="00C0433E">
        <w:rPr>
          <w:rStyle w:val="FootnoteReference"/>
          <w:sz w:val="22"/>
          <w:szCs w:val="22"/>
        </w:rPr>
        <w:footnoteReference w:id="41"/>
      </w:r>
      <w:r>
        <w:rPr>
          <w:sz w:val="22"/>
          <w:szCs w:val="22"/>
        </w:rPr>
        <w:t xml:space="preserve"> </w:t>
      </w:r>
      <w:r w:rsidR="00AC0165">
        <w:rPr>
          <w:sz w:val="22"/>
          <w:szCs w:val="22"/>
        </w:rPr>
        <w:t xml:space="preserve"> However</w:t>
      </w:r>
      <w:r w:rsidR="00C0433E">
        <w:rPr>
          <w:sz w:val="22"/>
          <w:szCs w:val="22"/>
        </w:rPr>
        <w:t xml:space="preserve">, Eastern Airwaves admits that it “inadvertently failed to notify the Commission that the </w:t>
      </w:r>
      <w:r w:rsidR="00515963">
        <w:rPr>
          <w:sz w:val="22"/>
          <w:szCs w:val="22"/>
        </w:rPr>
        <w:t>[Cary Translator]</w:t>
      </w:r>
      <w:r w:rsidR="00C0433E">
        <w:rPr>
          <w:sz w:val="22"/>
          <w:szCs w:val="22"/>
        </w:rPr>
        <w:t xml:space="preserve"> was no</w:t>
      </w:r>
      <w:r w:rsidR="00320500">
        <w:rPr>
          <w:sz w:val="22"/>
          <w:szCs w:val="22"/>
        </w:rPr>
        <w:t>t</w:t>
      </w:r>
      <w:r w:rsidR="00C0433E">
        <w:rPr>
          <w:sz w:val="22"/>
          <w:szCs w:val="22"/>
        </w:rPr>
        <w:t xml:space="preserve"> on the air </w:t>
      </w:r>
      <w:r>
        <w:rPr>
          <w:sz w:val="22"/>
          <w:szCs w:val="22"/>
        </w:rPr>
        <w:t xml:space="preserve">[until February 3, 2017] </w:t>
      </w:r>
      <w:r w:rsidR="00C0433E">
        <w:rPr>
          <w:sz w:val="22"/>
          <w:szCs w:val="22"/>
        </w:rPr>
        <w:t>pending implementation of the alternative feed.”</w:t>
      </w:r>
      <w:r w:rsidR="00C0433E">
        <w:rPr>
          <w:rStyle w:val="FootnoteReference"/>
          <w:sz w:val="22"/>
          <w:szCs w:val="22"/>
        </w:rPr>
        <w:footnoteReference w:id="42"/>
      </w:r>
      <w:r w:rsidR="00515963">
        <w:rPr>
          <w:sz w:val="22"/>
          <w:szCs w:val="22"/>
        </w:rPr>
        <w:t xml:space="preserve"> </w:t>
      </w:r>
    </w:p>
    <w:p w:rsidR="00240E07" w:rsidRDefault="00240E07" w:rsidP="00DF1ADD">
      <w:pPr>
        <w:rPr>
          <w:b/>
          <w:sz w:val="22"/>
          <w:szCs w:val="22"/>
        </w:rPr>
      </w:pPr>
    </w:p>
    <w:p w:rsidR="001E73A1" w:rsidRDefault="00E35E21" w:rsidP="000D2BEC">
      <w:pPr>
        <w:ind w:firstLine="720"/>
        <w:rPr>
          <w:sz w:val="22"/>
          <w:szCs w:val="22"/>
        </w:rPr>
      </w:pPr>
      <w:r w:rsidRPr="00600276">
        <w:rPr>
          <w:b/>
          <w:sz w:val="22"/>
          <w:szCs w:val="22"/>
        </w:rPr>
        <w:t>Discussion</w:t>
      </w:r>
      <w:r w:rsidR="00994358" w:rsidRPr="00600276">
        <w:rPr>
          <w:b/>
          <w:sz w:val="22"/>
          <w:szCs w:val="22"/>
        </w:rPr>
        <w:t xml:space="preserve">.  </w:t>
      </w:r>
      <w:r w:rsidR="001E73A1" w:rsidRPr="00A0339B">
        <w:rPr>
          <w:sz w:val="22"/>
          <w:szCs w:val="22"/>
        </w:rPr>
        <w:t xml:space="preserve">The Commission will consider a </w:t>
      </w:r>
      <w:r w:rsidR="001E73A1" w:rsidRPr="005D0B84">
        <w:rPr>
          <w:rStyle w:val="term1"/>
          <w:b w:val="0"/>
          <w:sz w:val="22"/>
          <w:szCs w:val="22"/>
        </w:rPr>
        <w:t>petition</w:t>
      </w:r>
      <w:r w:rsidR="001E73A1" w:rsidRPr="005D0B84">
        <w:rPr>
          <w:sz w:val="22"/>
          <w:szCs w:val="22"/>
        </w:rPr>
        <w:t xml:space="preserve"> for </w:t>
      </w:r>
      <w:r w:rsidR="001E73A1" w:rsidRPr="005D0B84">
        <w:rPr>
          <w:rStyle w:val="term1"/>
          <w:b w:val="0"/>
          <w:sz w:val="22"/>
          <w:szCs w:val="22"/>
        </w:rPr>
        <w:t>reconsideration</w:t>
      </w:r>
      <w:r w:rsidR="001E73A1" w:rsidRPr="005D0B84">
        <w:rPr>
          <w:sz w:val="22"/>
          <w:szCs w:val="22"/>
        </w:rPr>
        <w:t xml:space="preserve"> only</w:t>
      </w:r>
      <w:r w:rsidR="001E73A1" w:rsidRPr="00A0339B">
        <w:rPr>
          <w:sz w:val="22"/>
          <w:szCs w:val="22"/>
        </w:rPr>
        <w:t xml:space="preserve"> when the petitioner shows either a material error in the Commission's original order</w:t>
      </w:r>
      <w:r w:rsidR="00606BA8">
        <w:rPr>
          <w:sz w:val="22"/>
          <w:szCs w:val="22"/>
        </w:rPr>
        <w:t xml:space="preserve"> or raises </w:t>
      </w:r>
      <w:r w:rsidR="001E73A1" w:rsidRPr="00A0339B">
        <w:rPr>
          <w:sz w:val="22"/>
          <w:szCs w:val="22"/>
        </w:rPr>
        <w:t>facts not known or existing at the time of the petitioner's last opp</w:t>
      </w:r>
      <w:r w:rsidR="00606BA8">
        <w:rPr>
          <w:sz w:val="22"/>
          <w:szCs w:val="22"/>
        </w:rPr>
        <w:t>ortunity to present them</w:t>
      </w:r>
      <w:r w:rsidR="001E73A1" w:rsidRPr="00A0339B">
        <w:rPr>
          <w:sz w:val="22"/>
          <w:szCs w:val="22"/>
        </w:rPr>
        <w:t>.</w:t>
      </w:r>
      <w:r w:rsidR="001E73A1" w:rsidRPr="00A0339B">
        <w:rPr>
          <w:rStyle w:val="FootnoteReference"/>
          <w:sz w:val="22"/>
          <w:szCs w:val="22"/>
        </w:rPr>
        <w:footnoteReference w:id="43"/>
      </w:r>
      <w:r w:rsidR="001E73A1" w:rsidRPr="00A0339B">
        <w:rPr>
          <w:sz w:val="22"/>
          <w:szCs w:val="22"/>
        </w:rPr>
        <w:t xml:space="preserve">  </w:t>
      </w:r>
      <w:r w:rsidR="00B45B26">
        <w:rPr>
          <w:sz w:val="22"/>
          <w:szCs w:val="22"/>
        </w:rPr>
        <w:t>With respect to</w:t>
      </w:r>
      <w:r w:rsidR="00A351D1">
        <w:rPr>
          <w:sz w:val="22"/>
          <w:szCs w:val="22"/>
        </w:rPr>
        <w:t xml:space="preserve"> the Rolesville and Cary License Applications, </w:t>
      </w:r>
      <w:r w:rsidR="00590699">
        <w:rPr>
          <w:sz w:val="22"/>
          <w:szCs w:val="22"/>
        </w:rPr>
        <w:t>the Curtis Licensees are</w:t>
      </w:r>
      <w:r w:rsidR="008B67DE" w:rsidRPr="008B67DE">
        <w:rPr>
          <w:sz w:val="22"/>
          <w:szCs w:val="22"/>
        </w:rPr>
        <w:t xml:space="preserve"> entitled to a high degree of protection and a presumption that the public interest determination made during the </w:t>
      </w:r>
      <w:r w:rsidR="001149A3">
        <w:rPr>
          <w:sz w:val="22"/>
          <w:szCs w:val="22"/>
        </w:rPr>
        <w:t xml:space="preserve">underlying </w:t>
      </w:r>
      <w:r w:rsidR="008B67DE" w:rsidRPr="008B67DE">
        <w:rPr>
          <w:sz w:val="22"/>
          <w:szCs w:val="22"/>
        </w:rPr>
        <w:t>construction permit proceeding</w:t>
      </w:r>
      <w:r w:rsidR="001149A3">
        <w:rPr>
          <w:sz w:val="22"/>
          <w:szCs w:val="22"/>
        </w:rPr>
        <w:t>s</w:t>
      </w:r>
      <w:r w:rsidR="008B67DE" w:rsidRPr="008B67DE">
        <w:rPr>
          <w:sz w:val="22"/>
          <w:szCs w:val="22"/>
        </w:rPr>
        <w:t xml:space="preserve"> continues in effect unless circumstances have arisen th</w:t>
      </w:r>
      <w:r w:rsidR="001149A3">
        <w:rPr>
          <w:sz w:val="22"/>
          <w:szCs w:val="22"/>
        </w:rPr>
        <w:t xml:space="preserve">at would make operation of the </w:t>
      </w:r>
      <w:r w:rsidR="0055771C">
        <w:rPr>
          <w:sz w:val="22"/>
          <w:szCs w:val="22"/>
        </w:rPr>
        <w:t>Translators</w:t>
      </w:r>
      <w:r w:rsidR="008B67DE" w:rsidRPr="008B67DE">
        <w:rPr>
          <w:sz w:val="22"/>
          <w:szCs w:val="22"/>
        </w:rPr>
        <w:t xml:space="preserve"> against the public interest.</w:t>
      </w:r>
      <w:r w:rsidR="001149A3">
        <w:rPr>
          <w:rStyle w:val="FootnoteReference"/>
          <w:sz w:val="22"/>
          <w:szCs w:val="22"/>
        </w:rPr>
        <w:footnoteReference w:id="44"/>
      </w:r>
      <w:r w:rsidR="008B67DE" w:rsidRPr="008B67DE">
        <w:rPr>
          <w:sz w:val="22"/>
          <w:szCs w:val="22"/>
        </w:rPr>
        <w:t xml:space="preserve">  We are traditionally reluctant to designate license applications for hearing in these circumstances and, in most instances, consider the grant of such application to follow almost automatically from the issuance of a construction permit and the completion of construction in accordance therewith.</w:t>
      </w:r>
      <w:r w:rsidR="001149A3">
        <w:rPr>
          <w:rStyle w:val="FootnoteReference"/>
          <w:sz w:val="22"/>
          <w:szCs w:val="22"/>
        </w:rPr>
        <w:footnoteReference w:id="45"/>
      </w:r>
      <w:r w:rsidR="00CE5578">
        <w:rPr>
          <w:sz w:val="22"/>
          <w:szCs w:val="22"/>
        </w:rPr>
        <w:t xml:space="preserve">  </w:t>
      </w:r>
    </w:p>
    <w:p w:rsidR="00F37418" w:rsidRDefault="00F37418" w:rsidP="00F37418">
      <w:pPr>
        <w:ind w:firstLine="720"/>
        <w:rPr>
          <w:sz w:val="22"/>
          <w:szCs w:val="22"/>
        </w:rPr>
      </w:pPr>
    </w:p>
    <w:p w:rsidR="00F37418" w:rsidRDefault="00B63C96" w:rsidP="008F472B">
      <w:pPr>
        <w:ind w:firstLine="720"/>
        <w:rPr>
          <w:sz w:val="22"/>
          <w:szCs w:val="22"/>
        </w:rPr>
      </w:pPr>
      <w:r>
        <w:rPr>
          <w:i/>
          <w:sz w:val="22"/>
          <w:szCs w:val="22"/>
        </w:rPr>
        <w:t>Standing.</w:t>
      </w:r>
      <w:r>
        <w:rPr>
          <w:sz w:val="22"/>
          <w:szCs w:val="22"/>
        </w:rPr>
        <w:t xml:space="preserve"> </w:t>
      </w:r>
      <w:r w:rsidR="0034195F">
        <w:rPr>
          <w:sz w:val="22"/>
          <w:szCs w:val="22"/>
        </w:rPr>
        <w:t xml:space="preserve"> </w:t>
      </w:r>
      <w:r w:rsidR="00BA7E5C" w:rsidRPr="00BA7E5C">
        <w:rPr>
          <w:sz w:val="22"/>
          <w:szCs w:val="22"/>
        </w:rPr>
        <w:t xml:space="preserve">In the broadcast regulatory context, </w:t>
      </w:r>
      <w:bookmarkStart w:id="2" w:name="ctx6"/>
      <w:bookmarkEnd w:id="2"/>
      <w:r w:rsidR="00BA7E5C" w:rsidRPr="00BA7E5C">
        <w:rPr>
          <w:noProof/>
          <w:sz w:val="22"/>
          <w:szCs w:val="22"/>
        </w:rPr>
        <w:drawing>
          <wp:inline distT="0" distB="0" distL="0" distR="0" wp14:anchorId="4D3553C6" wp14:editId="79EBAACF">
            <wp:extent cx="9525" cy="9525"/>
            <wp:effectExtent l="0" t="0" r="0" b="0"/>
            <wp:docPr id="33" name="Picture 33"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revious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A7E5C" w:rsidRPr="00BA7E5C">
        <w:rPr>
          <w:sz w:val="22"/>
          <w:szCs w:val="22"/>
        </w:rPr>
        <w:t>standing</w:t>
      </w:r>
      <w:r w:rsidR="00BA7E5C" w:rsidRPr="00BA7E5C">
        <w:rPr>
          <w:noProof/>
          <w:sz w:val="22"/>
          <w:szCs w:val="22"/>
        </w:rPr>
        <w:drawing>
          <wp:inline distT="0" distB="0" distL="0" distR="0" wp14:anchorId="11DB9EC3" wp14:editId="67C5DD7D">
            <wp:extent cx="9525" cy="9525"/>
            <wp:effectExtent l="0" t="0" r="0" b="0"/>
            <wp:docPr id="32" name="Picture 32"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A7E5C" w:rsidRPr="00BA7E5C">
        <w:rPr>
          <w:sz w:val="22"/>
          <w:szCs w:val="22"/>
        </w:rPr>
        <w:t xml:space="preserve"> is generally shown in one of three ways: (1) as a </w:t>
      </w:r>
      <w:bookmarkStart w:id="3" w:name="ctx7"/>
      <w:bookmarkEnd w:id="3"/>
      <w:r w:rsidR="00BA7E5C" w:rsidRPr="00BA7E5C">
        <w:rPr>
          <w:noProof/>
          <w:sz w:val="22"/>
          <w:szCs w:val="22"/>
        </w:rPr>
        <w:drawing>
          <wp:inline distT="0" distB="0" distL="0" distR="0" wp14:anchorId="31664B6C" wp14:editId="76C83DB8">
            <wp:extent cx="9525" cy="9525"/>
            <wp:effectExtent l="0" t="0" r="0" b="0"/>
            <wp:docPr id="31" name="Picture 31"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revious hit">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A7E5C" w:rsidRPr="00BA7E5C">
        <w:rPr>
          <w:sz w:val="22"/>
          <w:szCs w:val="22"/>
        </w:rPr>
        <w:t>competitor</w:t>
      </w:r>
      <w:r w:rsidR="00BA7E5C" w:rsidRPr="00BA7E5C">
        <w:rPr>
          <w:noProof/>
          <w:sz w:val="22"/>
          <w:szCs w:val="22"/>
        </w:rPr>
        <w:drawing>
          <wp:inline distT="0" distB="0" distL="0" distR="0" wp14:anchorId="3C684AFF" wp14:editId="0E8B3B0E">
            <wp:extent cx="9525" cy="9525"/>
            <wp:effectExtent l="0" t="0" r="0" b="0"/>
            <wp:docPr id="30" name="Picture 30"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next hit">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A7E5C" w:rsidRPr="00BA7E5C">
        <w:rPr>
          <w:sz w:val="22"/>
          <w:szCs w:val="22"/>
        </w:rPr>
        <w:t xml:space="preserve"> in the market subject to signal </w:t>
      </w:r>
      <w:bookmarkStart w:id="4" w:name="ctx8"/>
      <w:bookmarkEnd w:id="4"/>
      <w:r w:rsidR="00BA7E5C" w:rsidRPr="00BA7E5C">
        <w:rPr>
          <w:noProof/>
          <w:sz w:val="22"/>
          <w:szCs w:val="22"/>
        </w:rPr>
        <w:drawing>
          <wp:inline distT="0" distB="0" distL="0" distR="0" wp14:anchorId="0811ED89" wp14:editId="7D299419">
            <wp:extent cx="9525" cy="9525"/>
            <wp:effectExtent l="0" t="0" r="0" b="0"/>
            <wp:docPr id="29" name="Picture 29"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revious hit">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A7E5C" w:rsidRPr="00BA7E5C">
        <w:rPr>
          <w:sz w:val="22"/>
          <w:szCs w:val="22"/>
        </w:rPr>
        <w:t>interference</w:t>
      </w:r>
      <w:r w:rsidR="00BA7E5C" w:rsidRPr="00BA7E5C">
        <w:rPr>
          <w:noProof/>
          <w:sz w:val="22"/>
          <w:szCs w:val="22"/>
        </w:rPr>
        <w:drawing>
          <wp:inline distT="0" distB="0" distL="0" distR="0" wp14:anchorId="32D24C87" wp14:editId="403BD2B8">
            <wp:extent cx="9525" cy="9525"/>
            <wp:effectExtent l="0" t="0" r="0" b="0"/>
            <wp:docPr id="28" name="Picture 28"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next hit">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A7E5C" w:rsidRPr="00BA7E5C">
        <w:rPr>
          <w:sz w:val="22"/>
          <w:szCs w:val="22"/>
        </w:rPr>
        <w:t xml:space="preserve">; (2) as a </w:t>
      </w:r>
      <w:bookmarkStart w:id="5" w:name="ctx9"/>
      <w:bookmarkEnd w:id="5"/>
      <w:r w:rsidR="00BA7E5C" w:rsidRPr="00BA7E5C">
        <w:rPr>
          <w:noProof/>
          <w:sz w:val="22"/>
          <w:szCs w:val="22"/>
        </w:rPr>
        <w:drawing>
          <wp:inline distT="0" distB="0" distL="0" distR="0" wp14:anchorId="48CEB3E1" wp14:editId="7224DEFE">
            <wp:extent cx="9525" cy="9525"/>
            <wp:effectExtent l="0" t="0" r="0" b="0"/>
            <wp:docPr id="27" name="Picture 27" descr="previous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revious hit">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A7E5C" w:rsidRPr="00BA7E5C">
        <w:rPr>
          <w:sz w:val="22"/>
          <w:szCs w:val="22"/>
        </w:rPr>
        <w:t>competitor</w:t>
      </w:r>
      <w:r w:rsidR="00BA7E5C" w:rsidRPr="00BA7E5C">
        <w:rPr>
          <w:noProof/>
          <w:sz w:val="22"/>
          <w:szCs w:val="22"/>
        </w:rPr>
        <w:drawing>
          <wp:inline distT="0" distB="0" distL="0" distR="0" wp14:anchorId="3CD79A9A" wp14:editId="7061F47E">
            <wp:extent cx="9525" cy="9525"/>
            <wp:effectExtent l="0" t="0" r="0" b="0"/>
            <wp:docPr id="26" name="Picture 26"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next hit">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A7E5C" w:rsidRPr="00BA7E5C">
        <w:rPr>
          <w:sz w:val="22"/>
          <w:szCs w:val="22"/>
        </w:rPr>
        <w:t xml:space="preserve"> in the market subject to economic harm; or (3) as a resident of the station's service area or regular listener of the station.</w:t>
      </w:r>
      <w:bookmarkStart w:id="6" w:name="a0k7n4g8n9_ref"/>
      <w:bookmarkEnd w:id="6"/>
      <w:r w:rsidR="0034195F">
        <w:rPr>
          <w:rStyle w:val="FootnoteReference"/>
          <w:sz w:val="22"/>
          <w:szCs w:val="22"/>
        </w:rPr>
        <w:footnoteReference w:id="46"/>
      </w:r>
      <w:r w:rsidR="0034195F">
        <w:rPr>
          <w:sz w:val="22"/>
          <w:szCs w:val="22"/>
        </w:rPr>
        <w:t xml:space="preserve"> </w:t>
      </w:r>
      <w:r w:rsidR="00BA7E5C" w:rsidRPr="00BA7E5C">
        <w:rPr>
          <w:sz w:val="22"/>
          <w:szCs w:val="22"/>
        </w:rPr>
        <w:t xml:space="preserve"> </w:t>
      </w:r>
      <w:r w:rsidR="00784D5F">
        <w:rPr>
          <w:sz w:val="22"/>
          <w:szCs w:val="22"/>
        </w:rPr>
        <w:t>The Commission has held that noncommercial and commercial licensees in the same market are competitors for the purposes of administrative standing.</w:t>
      </w:r>
      <w:r w:rsidR="00784D5F">
        <w:rPr>
          <w:rStyle w:val="FootnoteReference"/>
          <w:sz w:val="22"/>
          <w:szCs w:val="22"/>
        </w:rPr>
        <w:footnoteReference w:id="47"/>
      </w:r>
      <w:r w:rsidR="00784D5F">
        <w:rPr>
          <w:sz w:val="22"/>
          <w:szCs w:val="22"/>
        </w:rPr>
        <w:t xml:space="preserve">  </w:t>
      </w:r>
      <w:r w:rsidR="00601FC1">
        <w:rPr>
          <w:sz w:val="22"/>
          <w:szCs w:val="22"/>
        </w:rPr>
        <w:t>A</w:t>
      </w:r>
      <w:r w:rsidR="0048474D" w:rsidRPr="0048474D">
        <w:rPr>
          <w:sz w:val="22"/>
          <w:szCs w:val="22"/>
        </w:rPr>
        <w:t xml:space="preserve"> petitioner</w:t>
      </w:r>
      <w:r w:rsidR="0034195F">
        <w:rPr>
          <w:sz w:val="22"/>
          <w:szCs w:val="22"/>
        </w:rPr>
        <w:t xml:space="preserve"> whose standing is based on </w:t>
      </w:r>
      <w:r w:rsidR="00784D5F">
        <w:rPr>
          <w:sz w:val="22"/>
          <w:szCs w:val="22"/>
        </w:rPr>
        <w:t xml:space="preserve">competitor </w:t>
      </w:r>
      <w:r w:rsidR="0034195F">
        <w:rPr>
          <w:sz w:val="22"/>
          <w:szCs w:val="22"/>
        </w:rPr>
        <w:t xml:space="preserve">status </w:t>
      </w:r>
      <w:r w:rsidR="00784D5F">
        <w:rPr>
          <w:sz w:val="22"/>
          <w:szCs w:val="22"/>
        </w:rPr>
        <w:t xml:space="preserve">is not </w:t>
      </w:r>
      <w:r w:rsidR="00AB4F7E">
        <w:rPr>
          <w:sz w:val="22"/>
          <w:szCs w:val="22"/>
        </w:rPr>
        <w:t xml:space="preserve">also </w:t>
      </w:r>
      <w:r w:rsidR="00784D5F">
        <w:rPr>
          <w:sz w:val="22"/>
          <w:szCs w:val="22"/>
        </w:rPr>
        <w:t xml:space="preserve">required to meet the stricter three-prong test for judicial review in a federal court; specifically, it </w:t>
      </w:r>
      <w:r w:rsidR="0048474D" w:rsidRPr="0048474D">
        <w:rPr>
          <w:sz w:val="22"/>
          <w:szCs w:val="22"/>
        </w:rPr>
        <w:t>“does not need to demonstrate that it will suffer a direct injur</w:t>
      </w:r>
      <w:r w:rsidR="0034195F">
        <w:rPr>
          <w:sz w:val="22"/>
          <w:szCs w:val="22"/>
        </w:rPr>
        <w:t>y from grant” of an application</w:t>
      </w:r>
      <w:r w:rsidR="00AC7302" w:rsidRPr="00AC7302">
        <w:rPr>
          <w:sz w:val="22"/>
          <w:szCs w:val="22"/>
        </w:rPr>
        <w:t xml:space="preserve"> to establish standing under Section 309(d) of the Act.</w:t>
      </w:r>
      <w:r w:rsidR="00F37418">
        <w:rPr>
          <w:rStyle w:val="FootnoteReference"/>
          <w:sz w:val="22"/>
          <w:szCs w:val="22"/>
        </w:rPr>
        <w:footnoteReference w:id="48"/>
      </w:r>
      <w:r w:rsidR="00F37418">
        <w:rPr>
          <w:sz w:val="22"/>
          <w:szCs w:val="22"/>
        </w:rPr>
        <w:t xml:space="preserve">  </w:t>
      </w:r>
      <w:r w:rsidR="000E4C98">
        <w:rPr>
          <w:sz w:val="22"/>
          <w:szCs w:val="22"/>
        </w:rPr>
        <w:t xml:space="preserve">The case cited by </w:t>
      </w:r>
      <w:r w:rsidR="000C5799">
        <w:rPr>
          <w:sz w:val="22"/>
          <w:szCs w:val="22"/>
        </w:rPr>
        <w:t>Curtis Licensees</w:t>
      </w:r>
      <w:r w:rsidR="000E4C98">
        <w:rPr>
          <w:sz w:val="22"/>
          <w:szCs w:val="22"/>
        </w:rPr>
        <w:t xml:space="preserve">, </w:t>
      </w:r>
      <w:r w:rsidR="000E4C98">
        <w:rPr>
          <w:i/>
          <w:sz w:val="22"/>
          <w:szCs w:val="22"/>
        </w:rPr>
        <w:t>K</w:t>
      </w:r>
      <w:r w:rsidR="00EB7CC1">
        <w:rPr>
          <w:i/>
          <w:sz w:val="22"/>
          <w:szCs w:val="22"/>
        </w:rPr>
        <w:t>ERM</w:t>
      </w:r>
      <w:r w:rsidR="000E4C98">
        <w:rPr>
          <w:sz w:val="22"/>
          <w:szCs w:val="22"/>
        </w:rPr>
        <w:t xml:space="preserve">, illustrates this </w:t>
      </w:r>
      <w:r w:rsidR="00AD4381">
        <w:rPr>
          <w:sz w:val="22"/>
          <w:szCs w:val="22"/>
        </w:rPr>
        <w:t>distinction</w:t>
      </w:r>
      <w:r w:rsidR="000E4C98">
        <w:rPr>
          <w:sz w:val="22"/>
          <w:szCs w:val="22"/>
        </w:rPr>
        <w:t xml:space="preserve">.  In that </w:t>
      </w:r>
      <w:r w:rsidR="00784D5F">
        <w:rPr>
          <w:sz w:val="22"/>
          <w:szCs w:val="22"/>
        </w:rPr>
        <w:t>proceeding</w:t>
      </w:r>
      <w:r w:rsidR="000E4C98">
        <w:rPr>
          <w:sz w:val="22"/>
          <w:szCs w:val="22"/>
        </w:rPr>
        <w:t xml:space="preserve">, the </w:t>
      </w:r>
      <w:r w:rsidR="00E61E75">
        <w:rPr>
          <w:sz w:val="22"/>
          <w:szCs w:val="22"/>
        </w:rPr>
        <w:t>Commission</w:t>
      </w:r>
      <w:r w:rsidR="00784D5F">
        <w:rPr>
          <w:sz w:val="22"/>
          <w:szCs w:val="22"/>
        </w:rPr>
        <w:t xml:space="preserve"> </w:t>
      </w:r>
      <w:r w:rsidR="00E61E75">
        <w:rPr>
          <w:sz w:val="22"/>
          <w:szCs w:val="22"/>
        </w:rPr>
        <w:t>granted administrative standing as a competitor to a party</w:t>
      </w:r>
      <w:r w:rsidR="00AD4381">
        <w:rPr>
          <w:sz w:val="22"/>
          <w:szCs w:val="22"/>
        </w:rPr>
        <w:t xml:space="preserve"> that </w:t>
      </w:r>
      <w:r w:rsidR="00E61E75">
        <w:rPr>
          <w:sz w:val="22"/>
          <w:szCs w:val="22"/>
        </w:rPr>
        <w:t xml:space="preserve">was later </w:t>
      </w:r>
      <w:r w:rsidR="000E4C98">
        <w:rPr>
          <w:sz w:val="22"/>
          <w:szCs w:val="22"/>
        </w:rPr>
        <w:t xml:space="preserve">denied Article III standing </w:t>
      </w:r>
      <w:r w:rsidR="00E61E75">
        <w:rPr>
          <w:sz w:val="22"/>
          <w:szCs w:val="22"/>
        </w:rPr>
        <w:t xml:space="preserve">by </w:t>
      </w:r>
      <w:r w:rsidR="00AD4381">
        <w:rPr>
          <w:sz w:val="22"/>
          <w:szCs w:val="22"/>
        </w:rPr>
        <w:t>the reviewing</w:t>
      </w:r>
      <w:r w:rsidR="00E61E75">
        <w:rPr>
          <w:sz w:val="22"/>
          <w:szCs w:val="22"/>
        </w:rPr>
        <w:t xml:space="preserve"> federal court.</w:t>
      </w:r>
      <w:r w:rsidR="000E4C98">
        <w:rPr>
          <w:rStyle w:val="FootnoteReference"/>
          <w:sz w:val="22"/>
          <w:szCs w:val="22"/>
        </w:rPr>
        <w:footnoteReference w:id="49"/>
      </w:r>
      <w:r w:rsidR="000E4C98">
        <w:rPr>
          <w:sz w:val="22"/>
          <w:szCs w:val="22"/>
        </w:rPr>
        <w:t xml:space="preserve">  Here, </w:t>
      </w:r>
      <w:r w:rsidR="00DC18E7">
        <w:rPr>
          <w:sz w:val="22"/>
          <w:szCs w:val="22"/>
        </w:rPr>
        <w:t xml:space="preserve">as the licensee of WRLY-LP, a station </w:t>
      </w:r>
      <w:r>
        <w:rPr>
          <w:sz w:val="22"/>
          <w:szCs w:val="22"/>
        </w:rPr>
        <w:t>within the boundaries of</w:t>
      </w:r>
      <w:r w:rsidR="00F25447">
        <w:rPr>
          <w:sz w:val="22"/>
          <w:szCs w:val="22"/>
        </w:rPr>
        <w:t xml:space="preserve"> the </w:t>
      </w:r>
      <w:r>
        <w:rPr>
          <w:sz w:val="22"/>
          <w:szCs w:val="22"/>
        </w:rPr>
        <w:t xml:space="preserve">Greensboro-Raleigh-Winston Salem-Durham-High Point Nielsen Arbitron Metro (in fact, </w:t>
      </w:r>
      <w:r w:rsidR="00DC18E7">
        <w:rPr>
          <w:sz w:val="22"/>
          <w:szCs w:val="22"/>
        </w:rPr>
        <w:t xml:space="preserve">within the </w:t>
      </w:r>
      <w:r w:rsidR="00E61E75">
        <w:rPr>
          <w:sz w:val="22"/>
          <w:szCs w:val="22"/>
        </w:rPr>
        <w:t>60 dBµ</w:t>
      </w:r>
      <w:r w:rsidR="00DC18E7">
        <w:rPr>
          <w:sz w:val="22"/>
          <w:szCs w:val="22"/>
        </w:rPr>
        <w:t xml:space="preserve"> signal con</w:t>
      </w:r>
      <w:r>
        <w:rPr>
          <w:sz w:val="22"/>
          <w:szCs w:val="22"/>
        </w:rPr>
        <w:t>tour of primary station WQDR-FM),</w:t>
      </w:r>
      <w:r w:rsidR="00DC18E7">
        <w:rPr>
          <w:sz w:val="22"/>
          <w:szCs w:val="22"/>
        </w:rPr>
        <w:t xml:space="preserve"> </w:t>
      </w:r>
      <w:r w:rsidR="000E4C98">
        <w:rPr>
          <w:sz w:val="22"/>
          <w:szCs w:val="22"/>
        </w:rPr>
        <w:t xml:space="preserve">Triangle has </w:t>
      </w:r>
      <w:r w:rsidR="00101092">
        <w:rPr>
          <w:sz w:val="22"/>
          <w:szCs w:val="22"/>
        </w:rPr>
        <w:t xml:space="preserve">administrative </w:t>
      </w:r>
      <w:r w:rsidR="000E4C98">
        <w:rPr>
          <w:sz w:val="22"/>
          <w:szCs w:val="22"/>
        </w:rPr>
        <w:t>standing</w:t>
      </w:r>
      <w:r w:rsidR="003224E9">
        <w:rPr>
          <w:sz w:val="22"/>
          <w:szCs w:val="22"/>
        </w:rPr>
        <w:t xml:space="preserve"> based on its status</w:t>
      </w:r>
      <w:r w:rsidR="000E4C98">
        <w:rPr>
          <w:sz w:val="22"/>
          <w:szCs w:val="22"/>
        </w:rPr>
        <w:t xml:space="preserve"> as a competitor in the relevant market</w:t>
      </w:r>
      <w:r w:rsidR="00AB4F7E">
        <w:rPr>
          <w:sz w:val="22"/>
          <w:szCs w:val="22"/>
        </w:rPr>
        <w:t>.</w:t>
      </w:r>
      <w:r w:rsidR="00AB4F7E">
        <w:rPr>
          <w:rStyle w:val="FootnoteReference"/>
          <w:sz w:val="22"/>
          <w:szCs w:val="22"/>
        </w:rPr>
        <w:footnoteReference w:id="50"/>
      </w:r>
      <w:r w:rsidR="00AB4F7E">
        <w:rPr>
          <w:sz w:val="22"/>
          <w:szCs w:val="22"/>
        </w:rPr>
        <w:t xml:space="preserve">  </w:t>
      </w:r>
      <w:r w:rsidR="00601FC1">
        <w:rPr>
          <w:sz w:val="22"/>
          <w:szCs w:val="22"/>
        </w:rPr>
        <w:t>T</w:t>
      </w:r>
      <w:r w:rsidR="00F87646">
        <w:rPr>
          <w:sz w:val="22"/>
          <w:szCs w:val="22"/>
        </w:rPr>
        <w:t xml:space="preserve">here is no merit to the </w:t>
      </w:r>
      <w:r w:rsidR="000C5799">
        <w:rPr>
          <w:sz w:val="22"/>
          <w:szCs w:val="22"/>
        </w:rPr>
        <w:t>Curtis Licensees</w:t>
      </w:r>
      <w:r w:rsidR="00F87646">
        <w:rPr>
          <w:sz w:val="22"/>
          <w:szCs w:val="22"/>
        </w:rPr>
        <w:t xml:space="preserve">’ argument that </w:t>
      </w:r>
      <w:r w:rsidR="002C536B">
        <w:rPr>
          <w:sz w:val="22"/>
          <w:szCs w:val="22"/>
        </w:rPr>
        <w:t xml:space="preserve">the </w:t>
      </w:r>
      <w:r w:rsidR="0055771C">
        <w:rPr>
          <w:sz w:val="22"/>
          <w:szCs w:val="22"/>
        </w:rPr>
        <w:t>licensees</w:t>
      </w:r>
      <w:r w:rsidR="00F87646">
        <w:rPr>
          <w:sz w:val="22"/>
          <w:szCs w:val="22"/>
        </w:rPr>
        <w:t xml:space="preserve"> </w:t>
      </w:r>
      <w:r w:rsidR="0055771C">
        <w:rPr>
          <w:sz w:val="22"/>
          <w:szCs w:val="22"/>
        </w:rPr>
        <w:t xml:space="preserve">of NCE stations </w:t>
      </w:r>
      <w:r w:rsidR="004C2EF5">
        <w:rPr>
          <w:sz w:val="22"/>
          <w:szCs w:val="22"/>
        </w:rPr>
        <w:t>lack</w:t>
      </w:r>
      <w:r w:rsidR="00F87646">
        <w:rPr>
          <w:sz w:val="22"/>
          <w:szCs w:val="22"/>
        </w:rPr>
        <w:t xml:space="preserve"> standing </w:t>
      </w:r>
      <w:r w:rsidR="004C2EF5">
        <w:rPr>
          <w:sz w:val="22"/>
          <w:szCs w:val="22"/>
        </w:rPr>
        <w:t xml:space="preserve">simply </w:t>
      </w:r>
      <w:r w:rsidR="00F87646">
        <w:rPr>
          <w:sz w:val="22"/>
          <w:szCs w:val="22"/>
        </w:rPr>
        <w:t xml:space="preserve">because they operate on a </w:t>
      </w:r>
      <w:r w:rsidR="004C2EF5">
        <w:rPr>
          <w:sz w:val="22"/>
          <w:szCs w:val="22"/>
        </w:rPr>
        <w:t>noncommercial</w:t>
      </w:r>
      <w:r w:rsidR="00F87646">
        <w:rPr>
          <w:sz w:val="22"/>
          <w:szCs w:val="22"/>
        </w:rPr>
        <w:t xml:space="preserve"> basis.  </w:t>
      </w:r>
      <w:r w:rsidR="0055771C">
        <w:rPr>
          <w:sz w:val="22"/>
          <w:szCs w:val="22"/>
        </w:rPr>
        <w:t xml:space="preserve">NCE </w:t>
      </w:r>
      <w:r w:rsidR="003224E9">
        <w:rPr>
          <w:sz w:val="22"/>
          <w:szCs w:val="22"/>
        </w:rPr>
        <w:t>l</w:t>
      </w:r>
      <w:r w:rsidR="0055771C">
        <w:rPr>
          <w:sz w:val="22"/>
          <w:szCs w:val="22"/>
        </w:rPr>
        <w:t xml:space="preserve">icensees </w:t>
      </w:r>
      <w:r w:rsidR="00515963">
        <w:rPr>
          <w:sz w:val="22"/>
          <w:szCs w:val="22"/>
        </w:rPr>
        <w:t xml:space="preserve">can and </w:t>
      </w:r>
      <w:r w:rsidR="00F87646">
        <w:rPr>
          <w:sz w:val="22"/>
          <w:szCs w:val="22"/>
        </w:rPr>
        <w:t>do</w:t>
      </w:r>
      <w:r w:rsidR="00515963">
        <w:rPr>
          <w:sz w:val="22"/>
          <w:szCs w:val="22"/>
        </w:rPr>
        <w:t xml:space="preserve"> routinely </w:t>
      </w:r>
      <w:r w:rsidR="00F87646">
        <w:rPr>
          <w:sz w:val="22"/>
          <w:szCs w:val="22"/>
        </w:rPr>
        <w:t>participate in licensing proceedings</w:t>
      </w:r>
      <w:r w:rsidR="002C536B">
        <w:rPr>
          <w:sz w:val="22"/>
          <w:szCs w:val="22"/>
        </w:rPr>
        <w:t xml:space="preserve"> involving commercial licensees</w:t>
      </w:r>
      <w:r w:rsidR="00F87646">
        <w:rPr>
          <w:sz w:val="22"/>
          <w:szCs w:val="22"/>
        </w:rPr>
        <w:t>.</w:t>
      </w:r>
      <w:r w:rsidR="00F87646">
        <w:rPr>
          <w:rStyle w:val="FootnoteReference"/>
          <w:sz w:val="22"/>
          <w:szCs w:val="22"/>
        </w:rPr>
        <w:footnoteReference w:id="51"/>
      </w:r>
      <w:r w:rsidR="00F57714">
        <w:rPr>
          <w:sz w:val="22"/>
          <w:szCs w:val="22"/>
        </w:rPr>
        <w:t xml:space="preserve">  Finally, we find that the expeditious grant of the Cary License Application effectively precluded Triangle from participating earlier in that proceeding.</w:t>
      </w:r>
      <w:r w:rsidR="00F57714">
        <w:rPr>
          <w:rStyle w:val="FootnoteReference"/>
          <w:sz w:val="22"/>
          <w:szCs w:val="22"/>
        </w:rPr>
        <w:footnoteReference w:id="52"/>
      </w:r>
    </w:p>
    <w:p w:rsidR="001A7E37" w:rsidRDefault="001A7E37" w:rsidP="008F472B">
      <w:pPr>
        <w:ind w:firstLine="720"/>
        <w:rPr>
          <w:sz w:val="22"/>
          <w:szCs w:val="22"/>
        </w:rPr>
      </w:pPr>
    </w:p>
    <w:p w:rsidR="001A7E37" w:rsidRPr="004379E6" w:rsidRDefault="004379E6" w:rsidP="001A7E37">
      <w:pPr>
        <w:ind w:firstLine="720"/>
        <w:rPr>
          <w:sz w:val="22"/>
          <w:szCs w:val="22"/>
        </w:rPr>
      </w:pPr>
      <w:r>
        <w:rPr>
          <w:i/>
          <w:sz w:val="22"/>
          <w:szCs w:val="22"/>
        </w:rPr>
        <w:t xml:space="preserve">90-day rule.  </w:t>
      </w:r>
      <w:r w:rsidR="00AD4381">
        <w:rPr>
          <w:sz w:val="22"/>
          <w:szCs w:val="22"/>
        </w:rPr>
        <w:t>While</w:t>
      </w:r>
      <w:r w:rsidR="001A7E37" w:rsidRPr="004379E6">
        <w:rPr>
          <w:sz w:val="22"/>
          <w:szCs w:val="22"/>
        </w:rPr>
        <w:t xml:space="preserve"> the Commission </w:t>
      </w:r>
      <w:r w:rsidR="00AD4381">
        <w:rPr>
          <w:sz w:val="22"/>
          <w:szCs w:val="22"/>
        </w:rPr>
        <w:t>“</w:t>
      </w:r>
      <w:r w:rsidR="001A7E37" w:rsidRPr="004379E6">
        <w:rPr>
          <w:sz w:val="22"/>
          <w:szCs w:val="22"/>
        </w:rPr>
        <w:t>endeavors to act on all timely and proper requests for reconsideration at all levels of authority as quickly as practicable,</w:t>
      </w:r>
      <w:r w:rsidR="00AD4381">
        <w:rPr>
          <w:sz w:val="22"/>
          <w:szCs w:val="22"/>
        </w:rPr>
        <w:t>”</w:t>
      </w:r>
      <w:r w:rsidR="00D534CE">
        <w:rPr>
          <w:rStyle w:val="FootnoteReference"/>
          <w:sz w:val="22"/>
          <w:szCs w:val="22"/>
        </w:rPr>
        <w:footnoteReference w:id="53"/>
      </w:r>
      <w:r w:rsidR="00AD4381">
        <w:rPr>
          <w:sz w:val="22"/>
          <w:szCs w:val="22"/>
        </w:rPr>
        <w:t xml:space="preserve"> it is well settled that it retains </w:t>
      </w:r>
      <w:r w:rsidR="001A7E37" w:rsidRPr="004379E6">
        <w:rPr>
          <w:sz w:val="22"/>
          <w:szCs w:val="22"/>
        </w:rPr>
        <w:t>the authority and the obligation to act even where the statutory ninety-day limit has passed.</w:t>
      </w:r>
      <w:r w:rsidR="00AD4381">
        <w:rPr>
          <w:rStyle w:val="FootnoteReference"/>
          <w:sz w:val="22"/>
          <w:szCs w:val="22"/>
        </w:rPr>
        <w:footnoteReference w:id="54"/>
      </w:r>
      <w:r w:rsidR="001A7E37" w:rsidRPr="004379E6">
        <w:rPr>
          <w:sz w:val="22"/>
          <w:szCs w:val="22"/>
        </w:rPr>
        <w:t xml:space="preserve"> </w:t>
      </w:r>
      <w:r w:rsidR="00D534CE">
        <w:rPr>
          <w:sz w:val="22"/>
          <w:szCs w:val="22"/>
        </w:rPr>
        <w:t xml:space="preserve"> Therefore—even </w:t>
      </w:r>
      <w:r w:rsidR="00C37AFF">
        <w:rPr>
          <w:sz w:val="22"/>
          <w:szCs w:val="22"/>
        </w:rPr>
        <w:t xml:space="preserve">assuming that the 90-day limit applies to </w:t>
      </w:r>
      <w:r w:rsidR="00601FC1">
        <w:rPr>
          <w:sz w:val="22"/>
          <w:szCs w:val="22"/>
        </w:rPr>
        <w:t>pleadings</w:t>
      </w:r>
      <w:r w:rsidR="00C37AFF">
        <w:rPr>
          <w:sz w:val="22"/>
          <w:szCs w:val="22"/>
        </w:rPr>
        <w:t xml:space="preserve"> that are </w:t>
      </w:r>
      <w:r w:rsidR="009C522A">
        <w:rPr>
          <w:sz w:val="22"/>
          <w:szCs w:val="22"/>
        </w:rPr>
        <w:t xml:space="preserve">later </w:t>
      </w:r>
      <w:r w:rsidR="00C37AFF">
        <w:rPr>
          <w:sz w:val="22"/>
          <w:szCs w:val="22"/>
        </w:rPr>
        <w:t>construed as petitions for recon</w:t>
      </w:r>
      <w:r w:rsidR="00D534CE">
        <w:rPr>
          <w:sz w:val="22"/>
          <w:szCs w:val="22"/>
        </w:rPr>
        <w:t>sideration due to</w:t>
      </w:r>
      <w:r w:rsidR="00601FC1">
        <w:rPr>
          <w:sz w:val="22"/>
          <w:szCs w:val="22"/>
        </w:rPr>
        <w:t xml:space="preserve"> the</w:t>
      </w:r>
      <w:r w:rsidR="00D534CE">
        <w:rPr>
          <w:sz w:val="22"/>
          <w:szCs w:val="22"/>
        </w:rPr>
        <w:t xml:space="preserve"> </w:t>
      </w:r>
      <w:r w:rsidR="009C522A">
        <w:rPr>
          <w:sz w:val="22"/>
          <w:szCs w:val="22"/>
        </w:rPr>
        <w:t>time of filing</w:t>
      </w:r>
      <w:r w:rsidR="00D534CE">
        <w:rPr>
          <w:sz w:val="22"/>
          <w:szCs w:val="22"/>
        </w:rPr>
        <w:t xml:space="preserve">—we reject </w:t>
      </w:r>
      <w:r w:rsidR="00601FC1">
        <w:rPr>
          <w:sz w:val="22"/>
          <w:szCs w:val="22"/>
        </w:rPr>
        <w:t>the Curtis Licensees</w:t>
      </w:r>
      <w:r w:rsidR="00D534CE">
        <w:rPr>
          <w:sz w:val="22"/>
          <w:szCs w:val="22"/>
        </w:rPr>
        <w:t xml:space="preserve">’ contention that </w:t>
      </w:r>
      <w:r w:rsidR="00997294">
        <w:rPr>
          <w:sz w:val="22"/>
          <w:szCs w:val="22"/>
        </w:rPr>
        <w:t xml:space="preserve">any of the subject </w:t>
      </w:r>
      <w:r w:rsidR="00D534CE">
        <w:rPr>
          <w:sz w:val="22"/>
          <w:szCs w:val="22"/>
        </w:rPr>
        <w:t>Petitions should be “considered dismissed” under Secti</w:t>
      </w:r>
      <w:r w:rsidR="00997294">
        <w:rPr>
          <w:sz w:val="22"/>
          <w:szCs w:val="22"/>
        </w:rPr>
        <w:t>on 1.106</w:t>
      </w:r>
      <w:r w:rsidR="00D534CE">
        <w:rPr>
          <w:sz w:val="22"/>
          <w:szCs w:val="22"/>
        </w:rPr>
        <w:t xml:space="preserve">(j) of Rules or Section 405(b)(1) of the Act. </w:t>
      </w:r>
    </w:p>
    <w:p w:rsidR="00F37418" w:rsidRDefault="00F37418" w:rsidP="00D534CE">
      <w:pPr>
        <w:rPr>
          <w:sz w:val="22"/>
          <w:szCs w:val="22"/>
        </w:rPr>
      </w:pPr>
    </w:p>
    <w:p w:rsidR="00B701CE" w:rsidRDefault="004379E6" w:rsidP="00AB5E73">
      <w:pPr>
        <w:ind w:firstLine="720"/>
        <w:rPr>
          <w:sz w:val="22"/>
          <w:szCs w:val="22"/>
        </w:rPr>
      </w:pPr>
      <w:r>
        <w:rPr>
          <w:i/>
          <w:sz w:val="22"/>
          <w:szCs w:val="22"/>
        </w:rPr>
        <w:t xml:space="preserve">Technical need rule.  </w:t>
      </w:r>
      <w:r w:rsidR="002A6FC0">
        <w:rPr>
          <w:sz w:val="22"/>
          <w:szCs w:val="22"/>
        </w:rPr>
        <w:t xml:space="preserve">Section 74.1232(b) </w:t>
      </w:r>
      <w:r w:rsidR="008F472B" w:rsidRPr="002A6FC0">
        <w:rPr>
          <w:sz w:val="22"/>
          <w:szCs w:val="22"/>
        </w:rPr>
        <w:t xml:space="preserve">is a </w:t>
      </w:r>
      <w:r w:rsidR="008F472B">
        <w:rPr>
          <w:sz w:val="22"/>
          <w:szCs w:val="22"/>
        </w:rPr>
        <w:t>“</w:t>
      </w:r>
      <w:r w:rsidR="008F472B" w:rsidRPr="002A6FC0">
        <w:rPr>
          <w:sz w:val="22"/>
          <w:szCs w:val="22"/>
        </w:rPr>
        <w:t>spectrum efficiency rule based on our experience that parties rarely need such multiple translators</w:t>
      </w:r>
      <w:r w:rsidR="008F472B">
        <w:rPr>
          <w:sz w:val="22"/>
          <w:szCs w:val="22"/>
        </w:rPr>
        <w:t>.”</w:t>
      </w:r>
      <w:r w:rsidR="008F472B">
        <w:rPr>
          <w:rStyle w:val="FootnoteReference"/>
          <w:sz w:val="22"/>
          <w:szCs w:val="22"/>
        </w:rPr>
        <w:footnoteReference w:id="55"/>
      </w:r>
      <w:r w:rsidR="008F472B">
        <w:rPr>
          <w:sz w:val="22"/>
          <w:szCs w:val="22"/>
        </w:rPr>
        <w:t xml:space="preserve">  In relevant part, it provides that “[m]</w:t>
      </w:r>
      <w:r w:rsidR="002A6FC0" w:rsidRPr="002A6FC0">
        <w:rPr>
          <w:sz w:val="22"/>
          <w:szCs w:val="22"/>
        </w:rPr>
        <w:t>ore than one FM translator may be licensed to the same applicant, whether or not such translators serve substantially the same area, upon an appropriate showing of technical nee</w:t>
      </w:r>
      <w:r w:rsidR="008F472B">
        <w:rPr>
          <w:sz w:val="22"/>
          <w:szCs w:val="22"/>
        </w:rPr>
        <w:t xml:space="preserve">d for such additional stations.”  </w:t>
      </w:r>
      <w:r w:rsidR="00853C9D">
        <w:rPr>
          <w:sz w:val="22"/>
          <w:szCs w:val="22"/>
        </w:rPr>
        <w:t xml:space="preserve">The Commission has interpreted Section 74.1232(b) to require a technical need showing </w:t>
      </w:r>
      <w:r w:rsidR="00801CB7">
        <w:rPr>
          <w:sz w:val="22"/>
          <w:szCs w:val="22"/>
        </w:rPr>
        <w:t xml:space="preserve">only </w:t>
      </w:r>
      <w:r w:rsidR="00853C9D">
        <w:rPr>
          <w:sz w:val="22"/>
          <w:szCs w:val="22"/>
        </w:rPr>
        <w:t xml:space="preserve">when </w:t>
      </w:r>
      <w:r w:rsidR="00D1676E">
        <w:rPr>
          <w:sz w:val="22"/>
          <w:szCs w:val="22"/>
        </w:rPr>
        <w:t xml:space="preserve">the same party proposes to own more than one translator </w:t>
      </w:r>
      <w:r w:rsidR="00266C8B">
        <w:rPr>
          <w:sz w:val="22"/>
          <w:szCs w:val="22"/>
        </w:rPr>
        <w:t xml:space="preserve">rebroadcasting the same signal and </w:t>
      </w:r>
      <w:r w:rsidR="00D1676E">
        <w:rPr>
          <w:sz w:val="22"/>
          <w:szCs w:val="22"/>
        </w:rPr>
        <w:t>serving substantially the same area</w:t>
      </w:r>
      <w:r w:rsidR="00853C9D">
        <w:rPr>
          <w:sz w:val="22"/>
          <w:szCs w:val="22"/>
        </w:rPr>
        <w:t>.</w:t>
      </w:r>
      <w:r w:rsidR="00853C9D">
        <w:rPr>
          <w:rStyle w:val="FootnoteReference"/>
          <w:sz w:val="22"/>
          <w:szCs w:val="22"/>
        </w:rPr>
        <w:footnoteReference w:id="56"/>
      </w:r>
      <w:r w:rsidR="00853C9D">
        <w:rPr>
          <w:sz w:val="22"/>
          <w:szCs w:val="22"/>
        </w:rPr>
        <w:t xml:space="preserve">  </w:t>
      </w:r>
      <w:r w:rsidR="00D1676E">
        <w:rPr>
          <w:sz w:val="22"/>
          <w:szCs w:val="22"/>
        </w:rPr>
        <w:t>“Substantially the same area</w:t>
      </w:r>
      <w:r w:rsidR="009C522A">
        <w:rPr>
          <w:sz w:val="22"/>
          <w:szCs w:val="22"/>
        </w:rPr>
        <w:t xml:space="preserve">” </w:t>
      </w:r>
      <w:r w:rsidR="00997294">
        <w:rPr>
          <w:sz w:val="22"/>
          <w:szCs w:val="22"/>
        </w:rPr>
        <w:t xml:space="preserve">is generally applied by </w:t>
      </w:r>
      <w:r w:rsidR="0046674F">
        <w:rPr>
          <w:sz w:val="22"/>
          <w:szCs w:val="22"/>
        </w:rPr>
        <w:t>Bureau</w:t>
      </w:r>
      <w:r w:rsidR="009C522A">
        <w:rPr>
          <w:sz w:val="22"/>
          <w:szCs w:val="22"/>
        </w:rPr>
        <w:t xml:space="preserve"> </w:t>
      </w:r>
      <w:r w:rsidR="00997294">
        <w:rPr>
          <w:sz w:val="22"/>
          <w:szCs w:val="22"/>
        </w:rPr>
        <w:t xml:space="preserve">engineering staff </w:t>
      </w:r>
      <w:r w:rsidR="009C522A">
        <w:rPr>
          <w:sz w:val="22"/>
          <w:szCs w:val="22"/>
        </w:rPr>
        <w:t xml:space="preserve">as a </w:t>
      </w:r>
      <w:r w:rsidR="00E306A5">
        <w:rPr>
          <w:sz w:val="22"/>
          <w:szCs w:val="22"/>
        </w:rPr>
        <w:t>more than 50 percent overlap in the subject translators’ 60 dBu signal contour</w:t>
      </w:r>
      <w:r w:rsidR="00985E0E">
        <w:rPr>
          <w:sz w:val="22"/>
          <w:szCs w:val="22"/>
        </w:rPr>
        <w:t>s</w:t>
      </w:r>
      <w:r w:rsidR="00D1676E">
        <w:rPr>
          <w:sz w:val="22"/>
          <w:szCs w:val="22"/>
        </w:rPr>
        <w:t>.</w:t>
      </w:r>
      <w:r w:rsidR="00D1676E">
        <w:rPr>
          <w:rStyle w:val="FootnoteReference"/>
          <w:sz w:val="22"/>
          <w:szCs w:val="22"/>
        </w:rPr>
        <w:footnoteReference w:id="57"/>
      </w:r>
      <w:r w:rsidR="00E306A5">
        <w:rPr>
          <w:sz w:val="22"/>
          <w:szCs w:val="22"/>
        </w:rPr>
        <w:t xml:space="preserve">  </w:t>
      </w:r>
    </w:p>
    <w:p w:rsidR="00A85DA2" w:rsidRDefault="00A85DA2" w:rsidP="008F472B">
      <w:pPr>
        <w:ind w:firstLine="720"/>
        <w:rPr>
          <w:sz w:val="22"/>
          <w:szCs w:val="22"/>
        </w:rPr>
      </w:pPr>
    </w:p>
    <w:p w:rsidR="000B289B" w:rsidRDefault="000B289B" w:rsidP="000B289B">
      <w:pPr>
        <w:ind w:firstLine="720"/>
        <w:rPr>
          <w:sz w:val="22"/>
          <w:szCs w:val="22"/>
        </w:rPr>
      </w:pPr>
      <w:r>
        <w:rPr>
          <w:sz w:val="22"/>
          <w:szCs w:val="22"/>
        </w:rPr>
        <w:t xml:space="preserve">As a preliminary matter, </w:t>
      </w:r>
      <w:r w:rsidR="00253ED5">
        <w:rPr>
          <w:sz w:val="22"/>
          <w:szCs w:val="22"/>
        </w:rPr>
        <w:t xml:space="preserve">we confirm that, </w:t>
      </w:r>
      <w:r w:rsidR="00985E0E">
        <w:rPr>
          <w:sz w:val="22"/>
          <w:szCs w:val="22"/>
        </w:rPr>
        <w:t>generally</w:t>
      </w:r>
      <w:r w:rsidR="00253ED5">
        <w:rPr>
          <w:sz w:val="22"/>
          <w:szCs w:val="22"/>
        </w:rPr>
        <w:t xml:space="preserve">, </w:t>
      </w:r>
      <w:r w:rsidR="0046674F">
        <w:rPr>
          <w:sz w:val="22"/>
          <w:szCs w:val="22"/>
        </w:rPr>
        <w:t xml:space="preserve">a </w:t>
      </w:r>
      <w:r w:rsidR="00253ED5">
        <w:rPr>
          <w:sz w:val="22"/>
          <w:szCs w:val="22"/>
        </w:rPr>
        <w:t>licensee</w:t>
      </w:r>
      <w:r w:rsidR="0046674F">
        <w:rPr>
          <w:sz w:val="22"/>
          <w:szCs w:val="22"/>
        </w:rPr>
        <w:t xml:space="preserve"> may use its additional digital bit rate capacity as it wishes</w:t>
      </w:r>
      <w:r w:rsidR="0046674F">
        <w:rPr>
          <w:rStyle w:val="FootnoteReference"/>
          <w:sz w:val="22"/>
          <w:szCs w:val="22"/>
        </w:rPr>
        <w:footnoteReference w:id="58"/>
      </w:r>
      <w:r w:rsidR="0046674F">
        <w:rPr>
          <w:sz w:val="22"/>
          <w:szCs w:val="22"/>
        </w:rPr>
        <w:t xml:space="preserve"> and is</w:t>
      </w:r>
      <w:r w:rsidR="005E6CE0">
        <w:rPr>
          <w:sz w:val="22"/>
          <w:szCs w:val="22"/>
        </w:rPr>
        <w:t xml:space="preserve"> permitted to use FM translators to rebroadcast digital </w:t>
      </w:r>
      <w:r w:rsidR="003F4382">
        <w:rPr>
          <w:sz w:val="22"/>
          <w:szCs w:val="22"/>
        </w:rPr>
        <w:t>signals</w:t>
      </w:r>
      <w:r w:rsidR="0046674F">
        <w:rPr>
          <w:sz w:val="22"/>
          <w:szCs w:val="22"/>
        </w:rPr>
        <w:t>.</w:t>
      </w:r>
      <w:r w:rsidR="005E6CE0">
        <w:rPr>
          <w:rStyle w:val="FootnoteReference"/>
          <w:sz w:val="22"/>
          <w:szCs w:val="22"/>
        </w:rPr>
        <w:footnoteReference w:id="59"/>
      </w:r>
      <w:r w:rsidR="005E6CE0">
        <w:rPr>
          <w:sz w:val="22"/>
          <w:szCs w:val="22"/>
        </w:rPr>
        <w:t xml:space="preserve"> </w:t>
      </w:r>
      <w:r w:rsidR="00253ED5">
        <w:rPr>
          <w:sz w:val="22"/>
          <w:szCs w:val="22"/>
        </w:rPr>
        <w:t xml:space="preserve"> </w:t>
      </w:r>
      <w:r w:rsidR="0046674F">
        <w:rPr>
          <w:sz w:val="22"/>
          <w:szCs w:val="22"/>
        </w:rPr>
        <w:t>T</w:t>
      </w:r>
      <w:r w:rsidR="00E03AB8">
        <w:rPr>
          <w:sz w:val="22"/>
          <w:szCs w:val="22"/>
        </w:rPr>
        <w:t>he Commission has rejected arguments that rebroadcasting digital subchannels over FM translators impermissibly creates “new FM stations” in the subject market.</w:t>
      </w:r>
      <w:r w:rsidR="00E03AB8">
        <w:rPr>
          <w:rStyle w:val="FootnoteReference"/>
          <w:sz w:val="22"/>
          <w:szCs w:val="22"/>
        </w:rPr>
        <w:footnoteReference w:id="60"/>
      </w:r>
      <w:r w:rsidR="00E03AB8">
        <w:rPr>
          <w:sz w:val="22"/>
          <w:szCs w:val="22"/>
        </w:rPr>
        <w:t xml:space="preserve">  </w:t>
      </w:r>
      <w:r w:rsidR="00253ED5">
        <w:rPr>
          <w:sz w:val="22"/>
          <w:szCs w:val="22"/>
        </w:rPr>
        <w:t xml:space="preserve">However, the Commission has not </w:t>
      </w:r>
      <w:r w:rsidR="0046674F">
        <w:rPr>
          <w:sz w:val="22"/>
          <w:szCs w:val="22"/>
        </w:rPr>
        <w:t xml:space="preserve">yet </w:t>
      </w:r>
      <w:r w:rsidR="00253ED5">
        <w:rPr>
          <w:sz w:val="22"/>
          <w:szCs w:val="22"/>
        </w:rPr>
        <w:t xml:space="preserve">adopted specific rules </w:t>
      </w:r>
      <w:r w:rsidR="00E03AB8">
        <w:rPr>
          <w:sz w:val="22"/>
          <w:szCs w:val="22"/>
        </w:rPr>
        <w:t>governing</w:t>
      </w:r>
      <w:r w:rsidR="00253ED5">
        <w:rPr>
          <w:sz w:val="22"/>
          <w:szCs w:val="22"/>
        </w:rPr>
        <w:t xml:space="preserve"> the </w:t>
      </w:r>
      <w:r w:rsidR="00E03AB8">
        <w:rPr>
          <w:sz w:val="22"/>
          <w:szCs w:val="22"/>
        </w:rPr>
        <w:t xml:space="preserve">technical details of </w:t>
      </w:r>
      <w:r w:rsidR="00253ED5">
        <w:rPr>
          <w:sz w:val="22"/>
          <w:szCs w:val="22"/>
        </w:rPr>
        <w:t>rebroadcast</w:t>
      </w:r>
      <w:r w:rsidR="00E03AB8">
        <w:rPr>
          <w:sz w:val="22"/>
          <w:szCs w:val="22"/>
        </w:rPr>
        <w:t xml:space="preserve">ing </w:t>
      </w:r>
      <w:r w:rsidR="00253ED5">
        <w:rPr>
          <w:sz w:val="22"/>
          <w:szCs w:val="22"/>
        </w:rPr>
        <w:t>digital subchannels over FM translators.</w:t>
      </w:r>
      <w:r w:rsidR="00E03AB8">
        <w:rPr>
          <w:sz w:val="22"/>
          <w:szCs w:val="22"/>
        </w:rPr>
        <w:t xml:space="preserve"> </w:t>
      </w:r>
      <w:r w:rsidR="00253ED5">
        <w:rPr>
          <w:sz w:val="22"/>
          <w:szCs w:val="22"/>
        </w:rPr>
        <w:t xml:space="preserve"> In 2007, the Commission </w:t>
      </w:r>
      <w:r w:rsidR="0046674F">
        <w:rPr>
          <w:sz w:val="22"/>
          <w:szCs w:val="22"/>
        </w:rPr>
        <w:t>stated</w:t>
      </w:r>
      <w:r w:rsidR="00253ED5">
        <w:rPr>
          <w:sz w:val="22"/>
          <w:szCs w:val="22"/>
        </w:rPr>
        <w:t xml:space="preserve"> that a fuller record was needed before promulgating specific rules regarding </w:t>
      </w:r>
      <w:r w:rsidR="00253ED5" w:rsidRPr="00991721">
        <w:rPr>
          <w:sz w:val="22"/>
          <w:szCs w:val="22"/>
        </w:rPr>
        <w:t>“use of FM translators and boosters to rebroadca</w:t>
      </w:r>
      <w:r w:rsidR="00253ED5">
        <w:rPr>
          <w:sz w:val="22"/>
          <w:szCs w:val="22"/>
        </w:rPr>
        <w:t>st multiplexed audio streams.”</w:t>
      </w:r>
      <w:r w:rsidR="00253ED5">
        <w:rPr>
          <w:rStyle w:val="FootnoteReference"/>
          <w:sz w:val="22"/>
          <w:szCs w:val="22"/>
        </w:rPr>
        <w:footnoteReference w:id="61"/>
      </w:r>
      <w:r w:rsidR="00D36772">
        <w:rPr>
          <w:sz w:val="22"/>
          <w:szCs w:val="22"/>
        </w:rPr>
        <w:t xml:space="preserve">  P</w:t>
      </w:r>
      <w:r w:rsidR="00253ED5">
        <w:rPr>
          <w:sz w:val="22"/>
          <w:szCs w:val="22"/>
        </w:rPr>
        <w:t xml:space="preserve">ending further Commission action on this matter, we rely on existing rules and precedent to dispose of the </w:t>
      </w:r>
      <w:r w:rsidR="00D36772">
        <w:rPr>
          <w:sz w:val="22"/>
          <w:szCs w:val="22"/>
        </w:rPr>
        <w:t>subject</w:t>
      </w:r>
      <w:r w:rsidR="00253ED5">
        <w:rPr>
          <w:sz w:val="22"/>
          <w:szCs w:val="22"/>
        </w:rPr>
        <w:t xml:space="preserve"> </w:t>
      </w:r>
      <w:r w:rsidR="00D36772">
        <w:rPr>
          <w:sz w:val="22"/>
          <w:szCs w:val="22"/>
        </w:rPr>
        <w:t>Applications and Petitions, as follows</w:t>
      </w:r>
      <w:r w:rsidR="00253ED5">
        <w:rPr>
          <w:sz w:val="22"/>
          <w:szCs w:val="22"/>
        </w:rPr>
        <w:t>.</w:t>
      </w:r>
    </w:p>
    <w:p w:rsidR="000B289B" w:rsidRDefault="000B289B" w:rsidP="000B289B">
      <w:pPr>
        <w:ind w:firstLine="720"/>
        <w:rPr>
          <w:sz w:val="22"/>
          <w:szCs w:val="22"/>
        </w:rPr>
      </w:pPr>
    </w:p>
    <w:p w:rsidR="008D3CFF" w:rsidRDefault="000B289B" w:rsidP="005E6CE0">
      <w:pPr>
        <w:ind w:firstLine="720"/>
        <w:rPr>
          <w:sz w:val="22"/>
          <w:szCs w:val="22"/>
        </w:rPr>
      </w:pPr>
      <w:r>
        <w:rPr>
          <w:sz w:val="22"/>
          <w:szCs w:val="22"/>
        </w:rPr>
        <w:t xml:space="preserve">When the Commission adopted </w:t>
      </w:r>
      <w:r w:rsidR="003F4382">
        <w:rPr>
          <w:sz w:val="22"/>
          <w:szCs w:val="22"/>
        </w:rPr>
        <w:t>Section 74.1232(b)</w:t>
      </w:r>
      <w:r>
        <w:rPr>
          <w:sz w:val="22"/>
          <w:szCs w:val="22"/>
        </w:rPr>
        <w:t xml:space="preserve"> in 1970, </w:t>
      </w:r>
      <w:r w:rsidR="003F4382">
        <w:rPr>
          <w:sz w:val="22"/>
          <w:szCs w:val="22"/>
        </w:rPr>
        <w:t>it explained that</w:t>
      </w:r>
      <w:r>
        <w:rPr>
          <w:sz w:val="22"/>
          <w:szCs w:val="22"/>
        </w:rPr>
        <w:t xml:space="preserve"> “</w:t>
      </w:r>
      <w:r w:rsidRPr="00E63C08">
        <w:rPr>
          <w:sz w:val="22"/>
          <w:szCs w:val="22"/>
        </w:rPr>
        <w:t xml:space="preserve">need will be presumed where the translators will rebroadcast different primary stations; a showing of need will be required only where the </w:t>
      </w:r>
      <w:r w:rsidRPr="000B289B">
        <w:rPr>
          <w:b/>
          <w:i/>
          <w:sz w:val="22"/>
          <w:szCs w:val="22"/>
        </w:rPr>
        <w:t>same programming</w:t>
      </w:r>
      <w:r w:rsidRPr="00E63C08">
        <w:rPr>
          <w:sz w:val="22"/>
          <w:szCs w:val="22"/>
        </w:rPr>
        <w:t xml:space="preserve"> would be provided to substantially the </w:t>
      </w:r>
      <w:r w:rsidRPr="000B289B">
        <w:rPr>
          <w:b/>
          <w:i/>
          <w:sz w:val="22"/>
          <w:szCs w:val="22"/>
        </w:rPr>
        <w:t xml:space="preserve">same area </w:t>
      </w:r>
      <w:r w:rsidRPr="00E63C08">
        <w:rPr>
          <w:sz w:val="22"/>
          <w:szCs w:val="22"/>
        </w:rPr>
        <w:t>or where the question of need is raised by a party in interest who objects to grant of the application and makes a prima facie showing of the lack of need for the proposed new FM translator.</w:t>
      </w:r>
      <w:r>
        <w:rPr>
          <w:sz w:val="22"/>
          <w:szCs w:val="22"/>
        </w:rPr>
        <w:t>”</w:t>
      </w:r>
      <w:r>
        <w:rPr>
          <w:rStyle w:val="FootnoteReference"/>
          <w:sz w:val="22"/>
          <w:szCs w:val="22"/>
        </w:rPr>
        <w:footnoteReference w:id="62"/>
      </w:r>
      <w:r>
        <w:rPr>
          <w:sz w:val="22"/>
          <w:szCs w:val="22"/>
        </w:rPr>
        <w:t xml:space="preserve">  </w:t>
      </w:r>
      <w:r w:rsidR="003F4382">
        <w:rPr>
          <w:sz w:val="22"/>
          <w:szCs w:val="22"/>
        </w:rPr>
        <w:t>Similarly</w:t>
      </w:r>
      <w:r>
        <w:rPr>
          <w:sz w:val="22"/>
          <w:szCs w:val="22"/>
        </w:rPr>
        <w:t xml:space="preserve">, </w:t>
      </w:r>
      <w:r w:rsidR="00D36772">
        <w:rPr>
          <w:sz w:val="22"/>
          <w:szCs w:val="22"/>
        </w:rPr>
        <w:t xml:space="preserve">when applying the technical need rules </w:t>
      </w:r>
      <w:r w:rsidR="003F4382">
        <w:rPr>
          <w:sz w:val="22"/>
          <w:szCs w:val="22"/>
        </w:rPr>
        <w:t>in the</w:t>
      </w:r>
      <w:r w:rsidR="00D36772">
        <w:rPr>
          <w:sz w:val="22"/>
          <w:szCs w:val="22"/>
        </w:rPr>
        <w:t xml:space="preserve"> context of the</w:t>
      </w:r>
      <w:r w:rsidR="003F4382">
        <w:rPr>
          <w:sz w:val="22"/>
          <w:szCs w:val="22"/>
        </w:rPr>
        <w:t xml:space="preserve"> FCC Form 349 (for a new or modified translator station), </w:t>
      </w:r>
      <w:r w:rsidR="00137079">
        <w:rPr>
          <w:sz w:val="22"/>
          <w:szCs w:val="22"/>
        </w:rPr>
        <w:t xml:space="preserve">the Commission </w:t>
      </w:r>
      <w:r w:rsidR="00D36772">
        <w:rPr>
          <w:sz w:val="22"/>
          <w:szCs w:val="22"/>
        </w:rPr>
        <w:t xml:space="preserve">requires </w:t>
      </w:r>
      <w:r w:rsidR="003F4382">
        <w:rPr>
          <w:sz w:val="22"/>
          <w:szCs w:val="22"/>
        </w:rPr>
        <w:t>applicants to certify that they do not have “</w:t>
      </w:r>
      <w:r w:rsidR="003F4382" w:rsidRPr="00AB5E73">
        <w:rPr>
          <w:sz w:val="22"/>
          <w:szCs w:val="22"/>
        </w:rPr>
        <w:t>any interest in an</w:t>
      </w:r>
      <w:r w:rsidR="003F4382">
        <w:rPr>
          <w:sz w:val="22"/>
          <w:szCs w:val="22"/>
        </w:rPr>
        <w:t xml:space="preserve"> </w:t>
      </w:r>
      <w:r w:rsidR="003F4382" w:rsidRPr="00AB5E73">
        <w:rPr>
          <w:sz w:val="22"/>
          <w:szCs w:val="22"/>
        </w:rPr>
        <w:t xml:space="preserve">application or an authorization for an FM translator station that </w:t>
      </w:r>
      <w:r w:rsidR="003F4382" w:rsidRPr="003F4382">
        <w:rPr>
          <w:b/>
          <w:i/>
          <w:sz w:val="22"/>
          <w:szCs w:val="22"/>
        </w:rPr>
        <w:t>serves substantially the same area</w:t>
      </w:r>
      <w:r w:rsidR="003F4382" w:rsidRPr="00AB5E73">
        <w:rPr>
          <w:sz w:val="22"/>
          <w:szCs w:val="22"/>
        </w:rPr>
        <w:t xml:space="preserve"> and rebroadcasts the </w:t>
      </w:r>
      <w:r w:rsidR="003F4382" w:rsidRPr="003F4382">
        <w:rPr>
          <w:b/>
          <w:i/>
          <w:sz w:val="22"/>
          <w:szCs w:val="22"/>
        </w:rPr>
        <w:t>same signal</w:t>
      </w:r>
      <w:r w:rsidR="003F4382" w:rsidRPr="00AB5E73">
        <w:rPr>
          <w:sz w:val="22"/>
          <w:szCs w:val="22"/>
        </w:rPr>
        <w:t xml:space="preserve"> as the proposed FM translator station</w:t>
      </w:r>
      <w:r w:rsidR="003F4382">
        <w:rPr>
          <w:sz w:val="22"/>
          <w:szCs w:val="22"/>
        </w:rPr>
        <w:t>.”</w:t>
      </w:r>
      <w:r w:rsidR="003F4382">
        <w:rPr>
          <w:rStyle w:val="FootnoteReference"/>
          <w:sz w:val="22"/>
          <w:szCs w:val="22"/>
        </w:rPr>
        <w:footnoteReference w:id="63"/>
      </w:r>
      <w:r w:rsidR="003F4382">
        <w:rPr>
          <w:sz w:val="22"/>
          <w:szCs w:val="22"/>
        </w:rPr>
        <w:t xml:space="preserve">  </w:t>
      </w:r>
      <w:r w:rsidR="009E2E48">
        <w:rPr>
          <w:sz w:val="22"/>
          <w:szCs w:val="22"/>
        </w:rPr>
        <w:t>Based on this precedent</w:t>
      </w:r>
      <w:r w:rsidR="00772F1A">
        <w:rPr>
          <w:sz w:val="22"/>
          <w:szCs w:val="22"/>
        </w:rPr>
        <w:t>, we conclude that</w:t>
      </w:r>
      <w:r w:rsidR="003F4382">
        <w:rPr>
          <w:sz w:val="22"/>
          <w:szCs w:val="22"/>
        </w:rPr>
        <w:t xml:space="preserve"> the technical need rule applies </w:t>
      </w:r>
      <w:r w:rsidR="00377C08">
        <w:rPr>
          <w:sz w:val="22"/>
          <w:szCs w:val="22"/>
        </w:rPr>
        <w:t xml:space="preserve">only </w:t>
      </w:r>
      <w:r w:rsidR="00137079">
        <w:rPr>
          <w:sz w:val="22"/>
          <w:szCs w:val="22"/>
        </w:rPr>
        <w:t>when</w:t>
      </w:r>
      <w:r w:rsidR="003F4382">
        <w:rPr>
          <w:sz w:val="22"/>
          <w:szCs w:val="22"/>
        </w:rPr>
        <w:t xml:space="preserve"> the </w:t>
      </w:r>
      <w:r w:rsidR="00E03AB8">
        <w:rPr>
          <w:sz w:val="22"/>
          <w:szCs w:val="22"/>
        </w:rPr>
        <w:t>“</w:t>
      </w:r>
      <w:r w:rsidR="003F4382">
        <w:rPr>
          <w:sz w:val="22"/>
          <w:szCs w:val="22"/>
        </w:rPr>
        <w:t>same programming</w:t>
      </w:r>
      <w:r w:rsidR="00E03AB8">
        <w:rPr>
          <w:sz w:val="22"/>
          <w:szCs w:val="22"/>
        </w:rPr>
        <w:t>” or “</w:t>
      </w:r>
      <w:r w:rsidR="003F4382">
        <w:rPr>
          <w:sz w:val="22"/>
          <w:szCs w:val="22"/>
        </w:rPr>
        <w:t>same signal</w:t>
      </w:r>
      <w:r w:rsidR="00E03AB8">
        <w:rPr>
          <w:sz w:val="22"/>
          <w:szCs w:val="22"/>
        </w:rPr>
        <w:t>”</w:t>
      </w:r>
      <w:r w:rsidR="003F4382">
        <w:rPr>
          <w:sz w:val="22"/>
          <w:szCs w:val="22"/>
        </w:rPr>
        <w:t xml:space="preserve"> is implicated.  </w:t>
      </w:r>
      <w:r w:rsidR="00772F1A">
        <w:rPr>
          <w:sz w:val="22"/>
          <w:szCs w:val="22"/>
        </w:rPr>
        <w:t>With the advent of digital audio broadcasting, each primary station is capable of broadcasting multiple individual programming streams.  B</w:t>
      </w:r>
      <w:r w:rsidR="00D36772">
        <w:rPr>
          <w:sz w:val="22"/>
          <w:szCs w:val="22"/>
        </w:rPr>
        <w:t>ecause each</w:t>
      </w:r>
      <w:r w:rsidR="00377C08">
        <w:rPr>
          <w:sz w:val="22"/>
          <w:szCs w:val="22"/>
        </w:rPr>
        <w:t xml:space="preserve"> FM translator can rebroadcast </w:t>
      </w:r>
      <w:r w:rsidR="00985E0E">
        <w:rPr>
          <w:sz w:val="22"/>
          <w:szCs w:val="22"/>
        </w:rPr>
        <w:t xml:space="preserve">the signal from only </w:t>
      </w:r>
      <w:r w:rsidR="00E03AB8">
        <w:rPr>
          <w:sz w:val="22"/>
          <w:szCs w:val="22"/>
        </w:rPr>
        <w:t>one</w:t>
      </w:r>
      <w:r w:rsidR="00377C08">
        <w:rPr>
          <w:sz w:val="22"/>
          <w:szCs w:val="22"/>
        </w:rPr>
        <w:t xml:space="preserve"> </w:t>
      </w:r>
      <w:r w:rsidR="00772F1A">
        <w:rPr>
          <w:sz w:val="22"/>
          <w:szCs w:val="22"/>
        </w:rPr>
        <w:t>such digital subchannel</w:t>
      </w:r>
      <w:r w:rsidR="00985E0E">
        <w:rPr>
          <w:sz w:val="22"/>
          <w:szCs w:val="22"/>
        </w:rPr>
        <w:t>,</w:t>
      </w:r>
      <w:r w:rsidR="00F12EB9">
        <w:rPr>
          <w:sz w:val="22"/>
          <w:szCs w:val="22"/>
        </w:rPr>
        <w:t xml:space="preserve"> </w:t>
      </w:r>
      <w:r w:rsidR="00377C08">
        <w:rPr>
          <w:sz w:val="22"/>
          <w:szCs w:val="22"/>
        </w:rPr>
        <w:t>it is logical to conclude that each digital subchannel</w:t>
      </w:r>
      <w:r w:rsidR="00F12EB9">
        <w:rPr>
          <w:sz w:val="22"/>
          <w:szCs w:val="22"/>
        </w:rPr>
        <w:t>, rather than the primary station’s signal as a whole,</w:t>
      </w:r>
      <w:r w:rsidR="00377C08">
        <w:rPr>
          <w:sz w:val="22"/>
          <w:szCs w:val="22"/>
        </w:rPr>
        <w:t xml:space="preserve"> constitutes a</w:t>
      </w:r>
      <w:r w:rsidR="00772F1A">
        <w:rPr>
          <w:sz w:val="22"/>
          <w:szCs w:val="22"/>
        </w:rPr>
        <w:t xml:space="preserve"> </w:t>
      </w:r>
      <w:r w:rsidR="00377C08">
        <w:rPr>
          <w:sz w:val="22"/>
          <w:szCs w:val="22"/>
        </w:rPr>
        <w:t>“signal” for the purposes of the technical ne</w:t>
      </w:r>
      <w:r w:rsidR="00137079">
        <w:rPr>
          <w:sz w:val="22"/>
          <w:szCs w:val="22"/>
        </w:rPr>
        <w:t>ed rule.</w:t>
      </w:r>
      <w:r w:rsidR="00E77CF4">
        <w:rPr>
          <w:sz w:val="22"/>
          <w:szCs w:val="22"/>
        </w:rPr>
        <w:t xml:space="preserve">  </w:t>
      </w:r>
      <w:r w:rsidR="00772F1A">
        <w:rPr>
          <w:sz w:val="22"/>
          <w:szCs w:val="22"/>
        </w:rPr>
        <w:t>This conclusion is consistent with</w:t>
      </w:r>
      <w:r w:rsidR="00137079">
        <w:rPr>
          <w:sz w:val="22"/>
          <w:szCs w:val="22"/>
        </w:rPr>
        <w:t xml:space="preserve"> </w:t>
      </w:r>
      <w:r w:rsidR="00772F1A">
        <w:rPr>
          <w:sz w:val="22"/>
          <w:szCs w:val="22"/>
        </w:rPr>
        <w:t>t</w:t>
      </w:r>
      <w:r w:rsidR="00E03AB8">
        <w:rPr>
          <w:sz w:val="22"/>
          <w:szCs w:val="22"/>
        </w:rPr>
        <w:t xml:space="preserve">he definition of </w:t>
      </w:r>
      <w:r w:rsidR="00772F1A">
        <w:rPr>
          <w:sz w:val="22"/>
          <w:szCs w:val="22"/>
        </w:rPr>
        <w:t>a translator as a station that r</w:t>
      </w:r>
      <w:r w:rsidR="00137079">
        <w:rPr>
          <w:sz w:val="22"/>
          <w:szCs w:val="22"/>
        </w:rPr>
        <w:t>ebroadcast</w:t>
      </w:r>
      <w:r w:rsidR="00772F1A">
        <w:rPr>
          <w:sz w:val="22"/>
          <w:szCs w:val="22"/>
        </w:rPr>
        <w:t>s</w:t>
      </w:r>
      <w:r w:rsidR="00137079">
        <w:rPr>
          <w:sz w:val="22"/>
          <w:szCs w:val="22"/>
        </w:rPr>
        <w:t xml:space="preserve"> the “</w:t>
      </w:r>
      <w:r w:rsidR="00137079" w:rsidRPr="00137079">
        <w:rPr>
          <w:b/>
          <w:i/>
          <w:sz w:val="22"/>
          <w:szCs w:val="22"/>
        </w:rPr>
        <w:t>signals</w:t>
      </w:r>
      <w:r w:rsidR="00137079" w:rsidRPr="00137079">
        <w:rPr>
          <w:sz w:val="22"/>
          <w:szCs w:val="22"/>
        </w:rPr>
        <w:t xml:space="preserve"> of an AM or FM radio broadcast station</w:t>
      </w:r>
      <w:r w:rsidR="009E2E48">
        <w:rPr>
          <w:sz w:val="22"/>
          <w:szCs w:val="22"/>
        </w:rPr>
        <w:t>,</w:t>
      </w:r>
      <w:r w:rsidR="00772F1A">
        <w:rPr>
          <w:sz w:val="22"/>
          <w:szCs w:val="22"/>
        </w:rPr>
        <w:t>”</w:t>
      </w:r>
      <w:r w:rsidR="009E2E48">
        <w:rPr>
          <w:sz w:val="22"/>
          <w:szCs w:val="22"/>
        </w:rPr>
        <w:t xml:space="preserve"> as opposed to</w:t>
      </w:r>
      <w:r w:rsidR="00F12EB9">
        <w:rPr>
          <w:sz w:val="22"/>
          <w:szCs w:val="22"/>
        </w:rPr>
        <w:t xml:space="preserve"> rebroadcasting the “station</w:t>
      </w:r>
      <w:r w:rsidR="009E2E48">
        <w:rPr>
          <w:sz w:val="22"/>
          <w:szCs w:val="22"/>
        </w:rPr>
        <w:t>.”</w:t>
      </w:r>
      <w:r w:rsidR="00137079">
        <w:rPr>
          <w:rStyle w:val="FootnoteReference"/>
          <w:sz w:val="22"/>
          <w:szCs w:val="22"/>
        </w:rPr>
        <w:footnoteReference w:id="64"/>
      </w:r>
      <w:r w:rsidR="00137079">
        <w:rPr>
          <w:sz w:val="22"/>
          <w:szCs w:val="22"/>
        </w:rPr>
        <w:t xml:space="preserve">  </w:t>
      </w:r>
      <w:r w:rsidR="009E2E48">
        <w:rPr>
          <w:sz w:val="22"/>
          <w:szCs w:val="22"/>
        </w:rPr>
        <w:t>For these reasons</w:t>
      </w:r>
      <w:r w:rsidR="00F12EB9">
        <w:rPr>
          <w:sz w:val="22"/>
          <w:szCs w:val="22"/>
        </w:rPr>
        <w:t xml:space="preserve">, we find that </w:t>
      </w:r>
      <w:r w:rsidR="004D12D3">
        <w:rPr>
          <w:sz w:val="22"/>
          <w:szCs w:val="22"/>
        </w:rPr>
        <w:t xml:space="preserve">a showing of technical need is not necessary for the Curtis Licensees to rebroadcast </w:t>
      </w:r>
      <w:r w:rsidR="004D12D3" w:rsidRPr="00F12EB9">
        <w:rPr>
          <w:i/>
          <w:sz w:val="22"/>
          <w:szCs w:val="22"/>
        </w:rPr>
        <w:t>different</w:t>
      </w:r>
      <w:r w:rsidR="004D12D3">
        <w:rPr>
          <w:sz w:val="22"/>
          <w:szCs w:val="22"/>
        </w:rPr>
        <w:t xml:space="preserve"> digital subchannels on the subject </w:t>
      </w:r>
      <w:r w:rsidR="0055771C">
        <w:rPr>
          <w:sz w:val="22"/>
          <w:szCs w:val="22"/>
        </w:rPr>
        <w:t>Translators</w:t>
      </w:r>
      <w:r w:rsidR="004D12D3">
        <w:rPr>
          <w:sz w:val="22"/>
          <w:szCs w:val="22"/>
        </w:rPr>
        <w:t xml:space="preserve">, </w:t>
      </w:r>
      <w:r w:rsidR="00F12EB9">
        <w:rPr>
          <w:sz w:val="22"/>
          <w:szCs w:val="22"/>
        </w:rPr>
        <w:t>whether or not those Translators</w:t>
      </w:r>
      <w:r w:rsidR="004D12D3">
        <w:rPr>
          <w:sz w:val="22"/>
          <w:szCs w:val="22"/>
        </w:rPr>
        <w:t xml:space="preserve"> overlap by more than 50 percent.</w:t>
      </w:r>
      <w:r w:rsidR="004D12D3">
        <w:rPr>
          <w:rStyle w:val="FootnoteReference"/>
          <w:sz w:val="22"/>
          <w:szCs w:val="22"/>
        </w:rPr>
        <w:footnoteReference w:id="65"/>
      </w:r>
      <w:r w:rsidR="004D12D3">
        <w:rPr>
          <w:sz w:val="22"/>
          <w:szCs w:val="22"/>
        </w:rPr>
        <w:t xml:space="preserve"> </w:t>
      </w:r>
    </w:p>
    <w:p w:rsidR="003B3913" w:rsidRDefault="003B3913" w:rsidP="00E77CF4">
      <w:pPr>
        <w:rPr>
          <w:sz w:val="22"/>
          <w:szCs w:val="22"/>
        </w:rPr>
      </w:pPr>
    </w:p>
    <w:p w:rsidR="00B2137B" w:rsidRDefault="00E77CF4" w:rsidP="00E77CF4">
      <w:pPr>
        <w:rPr>
          <w:sz w:val="22"/>
          <w:szCs w:val="22"/>
        </w:rPr>
      </w:pPr>
      <w:r>
        <w:rPr>
          <w:sz w:val="22"/>
          <w:szCs w:val="22"/>
        </w:rPr>
        <w:tab/>
        <w:t>However,</w:t>
      </w:r>
      <w:r w:rsidRPr="00E77CF4">
        <w:rPr>
          <w:sz w:val="22"/>
          <w:szCs w:val="22"/>
        </w:rPr>
        <w:t xml:space="preserve"> we </w:t>
      </w:r>
      <w:r w:rsidR="00B75BA1">
        <w:rPr>
          <w:sz w:val="22"/>
          <w:szCs w:val="22"/>
        </w:rPr>
        <w:t>emphasize that a technical need showing is necessary when</w:t>
      </w:r>
      <w:r w:rsidR="004D12D3">
        <w:rPr>
          <w:sz w:val="22"/>
          <w:szCs w:val="22"/>
        </w:rPr>
        <w:t>ever</w:t>
      </w:r>
      <w:r w:rsidR="00B75BA1">
        <w:rPr>
          <w:sz w:val="22"/>
          <w:szCs w:val="22"/>
        </w:rPr>
        <w:t xml:space="preserve"> the same party seeks to rebroadcast the same </w:t>
      </w:r>
      <w:r>
        <w:rPr>
          <w:sz w:val="22"/>
          <w:szCs w:val="22"/>
        </w:rPr>
        <w:t xml:space="preserve">signal—e.g., the same </w:t>
      </w:r>
      <w:r w:rsidR="00B75BA1">
        <w:rPr>
          <w:sz w:val="22"/>
          <w:szCs w:val="22"/>
        </w:rPr>
        <w:t>digital subchannel</w:t>
      </w:r>
      <w:r>
        <w:rPr>
          <w:sz w:val="22"/>
          <w:szCs w:val="22"/>
        </w:rPr>
        <w:t>—on more than one translator serving substantially the s</w:t>
      </w:r>
      <w:r w:rsidR="00B75BA1">
        <w:rPr>
          <w:sz w:val="22"/>
          <w:szCs w:val="22"/>
        </w:rPr>
        <w:t>ame area</w:t>
      </w:r>
      <w:r>
        <w:rPr>
          <w:sz w:val="22"/>
          <w:szCs w:val="22"/>
        </w:rPr>
        <w:t xml:space="preserve">.  </w:t>
      </w:r>
      <w:r w:rsidR="004D12D3">
        <w:rPr>
          <w:sz w:val="22"/>
          <w:szCs w:val="22"/>
        </w:rPr>
        <w:t>Our rules require a</w:t>
      </w:r>
      <w:r w:rsidR="0010617D">
        <w:rPr>
          <w:sz w:val="22"/>
          <w:szCs w:val="22"/>
        </w:rPr>
        <w:t xml:space="preserve"> translator</w:t>
      </w:r>
      <w:r w:rsidR="0010617D" w:rsidRPr="0010617D">
        <w:rPr>
          <w:sz w:val="22"/>
          <w:szCs w:val="22"/>
        </w:rPr>
        <w:t xml:space="preserve"> permittee or licensee </w:t>
      </w:r>
      <w:r w:rsidR="004D12D3">
        <w:rPr>
          <w:sz w:val="22"/>
          <w:szCs w:val="22"/>
        </w:rPr>
        <w:t>to</w:t>
      </w:r>
      <w:r w:rsidR="0010617D" w:rsidRPr="0010617D">
        <w:rPr>
          <w:sz w:val="22"/>
          <w:szCs w:val="22"/>
        </w:rPr>
        <w:t xml:space="preserve"> submit </w:t>
      </w:r>
      <w:bookmarkStart w:id="8" w:name="ctx1"/>
      <w:bookmarkEnd w:id="8"/>
      <w:r w:rsidR="004D12D3">
        <w:rPr>
          <w:sz w:val="22"/>
          <w:szCs w:val="22"/>
        </w:rPr>
        <w:t xml:space="preserve">a </w:t>
      </w:r>
      <w:r w:rsidR="0010617D" w:rsidRPr="0010617D">
        <w:rPr>
          <w:noProof/>
          <w:sz w:val="22"/>
          <w:szCs w:val="22"/>
        </w:rPr>
        <w:drawing>
          <wp:inline distT="0" distB="0" distL="0" distR="0" wp14:anchorId="0F6FB53B" wp14:editId="6D84C800">
            <wp:extent cx="9525" cy="9525"/>
            <wp:effectExtent l="0" t="0" r="0" b="0"/>
            <wp:docPr id="14" name="Picture 14" descr="previous hit">
              <a:hlinkClick xmlns:a="http://schemas.openxmlformats.org/drawingml/2006/main" r:id="rId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evious hit">
                      <a:hlinkClick r:id="rId17"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0617D" w:rsidRPr="0010617D">
        <w:rPr>
          <w:sz w:val="22"/>
          <w:szCs w:val="22"/>
        </w:rPr>
        <w:t>written</w:t>
      </w:r>
      <w:r w:rsidR="0010617D" w:rsidRPr="0010617D">
        <w:rPr>
          <w:noProof/>
          <w:sz w:val="22"/>
          <w:szCs w:val="22"/>
        </w:rPr>
        <w:drawing>
          <wp:inline distT="0" distB="0" distL="0" distR="0" wp14:anchorId="4B884504" wp14:editId="4C5876B3">
            <wp:extent cx="9525" cy="9525"/>
            <wp:effectExtent l="0" t="0" r="0" b="0"/>
            <wp:docPr id="13" name="Picture 13" descr="next h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xt hit">
                      <a:hlinkClick r:id="rId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0617D" w:rsidRPr="0010617D">
        <w:rPr>
          <w:sz w:val="22"/>
          <w:szCs w:val="22"/>
        </w:rPr>
        <w:t xml:space="preserve"> notification of any </w:t>
      </w:r>
      <w:bookmarkStart w:id="9" w:name="ctx2"/>
      <w:bookmarkEnd w:id="9"/>
      <w:r w:rsidR="0010617D" w:rsidRPr="0010617D">
        <w:rPr>
          <w:noProof/>
          <w:sz w:val="22"/>
          <w:szCs w:val="22"/>
        </w:rPr>
        <w:drawing>
          <wp:inline distT="0" distB="0" distL="0" distR="0" wp14:anchorId="45CC8737" wp14:editId="1B8A69BF">
            <wp:extent cx="9525" cy="9525"/>
            <wp:effectExtent l="0" t="0" r="0" b="0"/>
            <wp:docPr id="11" name="Picture 11" descr="previous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evious hit">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0617D" w:rsidRPr="0010617D">
        <w:rPr>
          <w:sz w:val="22"/>
          <w:szCs w:val="22"/>
        </w:rPr>
        <w:t>change</w:t>
      </w:r>
      <w:r w:rsidR="0010617D" w:rsidRPr="0010617D">
        <w:rPr>
          <w:noProof/>
          <w:sz w:val="22"/>
          <w:szCs w:val="22"/>
        </w:rPr>
        <w:drawing>
          <wp:inline distT="0" distB="0" distL="0" distR="0" wp14:anchorId="526C1DE0" wp14:editId="1205485A">
            <wp:extent cx="9525" cy="9525"/>
            <wp:effectExtent l="0" t="0" r="0" b="0"/>
            <wp:docPr id="10" name="Picture 10" descr="next h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ext hit">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0617D" w:rsidRPr="0010617D">
        <w:rPr>
          <w:sz w:val="22"/>
          <w:szCs w:val="22"/>
        </w:rPr>
        <w:t xml:space="preserve"> in </w:t>
      </w:r>
      <w:bookmarkStart w:id="10" w:name="ctx3"/>
      <w:bookmarkEnd w:id="10"/>
      <w:r w:rsidR="0010617D" w:rsidRPr="0010617D">
        <w:rPr>
          <w:noProof/>
          <w:sz w:val="22"/>
          <w:szCs w:val="22"/>
        </w:rPr>
        <w:drawing>
          <wp:inline distT="0" distB="0" distL="0" distR="0" wp14:anchorId="18C2EC80" wp14:editId="379D4CC6">
            <wp:extent cx="9525" cy="9525"/>
            <wp:effectExtent l="0" t="0" r="0" b="0"/>
            <wp:docPr id="9" name="Picture 9" descr="previous hi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evious hit">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0617D" w:rsidRPr="0010617D">
        <w:rPr>
          <w:sz w:val="22"/>
          <w:szCs w:val="22"/>
        </w:rPr>
        <w:t>primary</w:t>
      </w:r>
      <w:r w:rsidR="0010617D" w:rsidRPr="0010617D">
        <w:rPr>
          <w:noProof/>
          <w:sz w:val="22"/>
          <w:szCs w:val="22"/>
        </w:rPr>
        <w:drawing>
          <wp:inline distT="0" distB="0" distL="0" distR="0" wp14:anchorId="08F7A0FA" wp14:editId="2C8341B6">
            <wp:extent cx="9525" cy="9525"/>
            <wp:effectExtent l="0" t="0" r="0" b="0"/>
            <wp:docPr id="8" name="Picture 8" descr="next h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xt hit">
                      <a:hlinkClick r:id="rId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0617D" w:rsidRPr="0010617D">
        <w:rPr>
          <w:sz w:val="22"/>
          <w:szCs w:val="22"/>
        </w:rPr>
        <w:t xml:space="preserve"> station designation</w:t>
      </w:r>
      <w:r w:rsidR="001F6F5C">
        <w:rPr>
          <w:sz w:val="22"/>
          <w:szCs w:val="22"/>
        </w:rPr>
        <w:t xml:space="preserve">, so that </w:t>
      </w:r>
      <w:r w:rsidR="003B3913">
        <w:rPr>
          <w:sz w:val="22"/>
          <w:szCs w:val="22"/>
        </w:rPr>
        <w:t xml:space="preserve">Bureau </w:t>
      </w:r>
      <w:r w:rsidR="001F6F5C">
        <w:rPr>
          <w:sz w:val="22"/>
          <w:szCs w:val="22"/>
        </w:rPr>
        <w:t>staff can</w:t>
      </w:r>
      <w:r w:rsidR="001F6F5C" w:rsidRPr="001F6F5C">
        <w:rPr>
          <w:sz w:val="22"/>
          <w:szCs w:val="22"/>
        </w:rPr>
        <w:t xml:space="preserve"> </w:t>
      </w:r>
      <w:r w:rsidR="001F6F5C" w:rsidRPr="00D3027C">
        <w:rPr>
          <w:sz w:val="22"/>
          <w:szCs w:val="22"/>
        </w:rPr>
        <w:t>verify that the change complies with the Commission's translator rules</w:t>
      </w:r>
      <w:r w:rsidR="001F6F5C">
        <w:rPr>
          <w:sz w:val="22"/>
          <w:szCs w:val="22"/>
        </w:rPr>
        <w:t xml:space="preserve"> (</w:t>
      </w:r>
      <w:r w:rsidR="001F6F5C" w:rsidRPr="00D3027C">
        <w:rPr>
          <w:sz w:val="22"/>
          <w:szCs w:val="22"/>
        </w:rPr>
        <w:t xml:space="preserve">such as </w:t>
      </w:r>
      <w:r w:rsidR="001F6F5C">
        <w:rPr>
          <w:sz w:val="22"/>
          <w:szCs w:val="22"/>
        </w:rPr>
        <w:t xml:space="preserve">the </w:t>
      </w:r>
      <w:r w:rsidR="001F6F5C" w:rsidRPr="00D3027C">
        <w:rPr>
          <w:sz w:val="22"/>
          <w:szCs w:val="22"/>
        </w:rPr>
        <w:t xml:space="preserve">signal delivery </w:t>
      </w:r>
      <w:r w:rsidR="001F6F5C">
        <w:rPr>
          <w:sz w:val="22"/>
          <w:szCs w:val="22"/>
        </w:rPr>
        <w:t xml:space="preserve">and technical need </w:t>
      </w:r>
      <w:r w:rsidR="00247E8B">
        <w:rPr>
          <w:sz w:val="22"/>
          <w:szCs w:val="22"/>
        </w:rPr>
        <w:t>r</w:t>
      </w:r>
      <w:r w:rsidR="00F12EB9">
        <w:rPr>
          <w:sz w:val="22"/>
          <w:szCs w:val="22"/>
        </w:rPr>
        <w:t>ules</w:t>
      </w:r>
      <w:r w:rsidR="001F6F5C">
        <w:rPr>
          <w:sz w:val="22"/>
          <w:szCs w:val="22"/>
        </w:rPr>
        <w:t>).</w:t>
      </w:r>
      <w:r w:rsidR="001F6F5C">
        <w:rPr>
          <w:rStyle w:val="FootnoteReference"/>
          <w:sz w:val="22"/>
          <w:szCs w:val="22"/>
        </w:rPr>
        <w:footnoteReference w:id="66"/>
      </w:r>
      <w:r w:rsidR="00B75BA1">
        <w:rPr>
          <w:sz w:val="22"/>
          <w:szCs w:val="22"/>
        </w:rPr>
        <w:t xml:space="preserve">  </w:t>
      </w:r>
      <w:r w:rsidR="00F12EB9">
        <w:rPr>
          <w:sz w:val="22"/>
          <w:szCs w:val="22"/>
        </w:rPr>
        <w:t>Under this requirement, if the Curtis Licensees seek in the future to</w:t>
      </w:r>
      <w:r w:rsidR="00253ED5">
        <w:rPr>
          <w:sz w:val="22"/>
          <w:szCs w:val="22"/>
        </w:rPr>
        <w:t xml:space="preserve"> </w:t>
      </w:r>
      <w:r w:rsidR="001F6F5C">
        <w:rPr>
          <w:sz w:val="22"/>
          <w:szCs w:val="22"/>
        </w:rPr>
        <w:t xml:space="preserve">change </w:t>
      </w:r>
      <w:r w:rsidR="004D12D3">
        <w:rPr>
          <w:sz w:val="22"/>
          <w:szCs w:val="22"/>
        </w:rPr>
        <w:t xml:space="preserve">any of </w:t>
      </w:r>
      <w:r w:rsidR="001F6F5C">
        <w:rPr>
          <w:sz w:val="22"/>
          <w:szCs w:val="22"/>
        </w:rPr>
        <w:t xml:space="preserve">the primary signals </w:t>
      </w:r>
      <w:r w:rsidR="00985E0E">
        <w:rPr>
          <w:sz w:val="22"/>
          <w:szCs w:val="22"/>
        </w:rPr>
        <w:t xml:space="preserve">being retransmitted </w:t>
      </w:r>
      <w:r w:rsidR="001F6F5C">
        <w:rPr>
          <w:sz w:val="22"/>
          <w:szCs w:val="22"/>
        </w:rPr>
        <w:t xml:space="preserve">so that </w:t>
      </w:r>
      <w:r w:rsidR="004D12D3">
        <w:rPr>
          <w:sz w:val="22"/>
          <w:szCs w:val="22"/>
        </w:rPr>
        <w:t>more than one co-owned translator will rebroadcast the same digital subchannel to substantially the same area</w:t>
      </w:r>
      <w:r w:rsidR="0010617D">
        <w:rPr>
          <w:sz w:val="22"/>
          <w:szCs w:val="22"/>
        </w:rPr>
        <w:t xml:space="preserve">, </w:t>
      </w:r>
      <w:r w:rsidR="004D12D3">
        <w:rPr>
          <w:sz w:val="22"/>
          <w:szCs w:val="22"/>
        </w:rPr>
        <w:t>they</w:t>
      </w:r>
      <w:r w:rsidR="0010617D">
        <w:rPr>
          <w:sz w:val="22"/>
          <w:szCs w:val="22"/>
        </w:rPr>
        <w:t xml:space="preserve"> must submit</w:t>
      </w:r>
      <w:r w:rsidR="00253ED5">
        <w:rPr>
          <w:sz w:val="22"/>
          <w:szCs w:val="22"/>
        </w:rPr>
        <w:t xml:space="preserve"> </w:t>
      </w:r>
      <w:r w:rsidR="0010617D">
        <w:rPr>
          <w:sz w:val="22"/>
          <w:szCs w:val="22"/>
        </w:rPr>
        <w:t xml:space="preserve">a </w:t>
      </w:r>
      <w:r w:rsidR="001F6F5C">
        <w:rPr>
          <w:sz w:val="22"/>
          <w:szCs w:val="22"/>
        </w:rPr>
        <w:t xml:space="preserve">notification letter </w:t>
      </w:r>
      <w:r w:rsidR="004D12D3">
        <w:rPr>
          <w:sz w:val="22"/>
          <w:szCs w:val="22"/>
        </w:rPr>
        <w:t>containing</w:t>
      </w:r>
      <w:r w:rsidR="001F6F5C">
        <w:rPr>
          <w:sz w:val="22"/>
          <w:szCs w:val="22"/>
        </w:rPr>
        <w:t xml:space="preserve"> </w:t>
      </w:r>
      <w:r w:rsidR="00247E8B">
        <w:rPr>
          <w:sz w:val="22"/>
          <w:szCs w:val="22"/>
        </w:rPr>
        <w:t xml:space="preserve">a </w:t>
      </w:r>
      <w:r w:rsidR="0010617D">
        <w:rPr>
          <w:sz w:val="22"/>
          <w:szCs w:val="22"/>
        </w:rPr>
        <w:t>technical need showing so</w:t>
      </w:r>
      <w:r w:rsidR="004D12D3">
        <w:rPr>
          <w:sz w:val="22"/>
          <w:szCs w:val="22"/>
        </w:rPr>
        <w:t xml:space="preserve"> that</w:t>
      </w:r>
      <w:r w:rsidR="0010617D">
        <w:rPr>
          <w:sz w:val="22"/>
          <w:szCs w:val="22"/>
        </w:rPr>
        <w:t xml:space="preserve"> </w:t>
      </w:r>
      <w:r w:rsidR="003B3913">
        <w:rPr>
          <w:sz w:val="22"/>
          <w:szCs w:val="22"/>
        </w:rPr>
        <w:t>the Bureau can ascertain</w:t>
      </w:r>
      <w:r w:rsidR="00247E8B">
        <w:rPr>
          <w:sz w:val="22"/>
          <w:szCs w:val="22"/>
        </w:rPr>
        <w:t xml:space="preserve"> </w:t>
      </w:r>
      <w:r w:rsidR="0010617D">
        <w:rPr>
          <w:sz w:val="22"/>
          <w:szCs w:val="22"/>
        </w:rPr>
        <w:t xml:space="preserve">compliance with Section 74.1232(b). </w:t>
      </w:r>
      <w:r w:rsidR="0062706C">
        <w:rPr>
          <w:sz w:val="22"/>
          <w:szCs w:val="22"/>
        </w:rPr>
        <w:t xml:space="preserve"> We remind the Curtis Licensees that “</w:t>
      </w:r>
      <w:r w:rsidR="009E2E48">
        <w:rPr>
          <w:sz w:val="22"/>
          <w:szCs w:val="22"/>
        </w:rPr>
        <w:t xml:space="preserve">technical </w:t>
      </w:r>
      <w:r w:rsidR="0062706C">
        <w:rPr>
          <w:sz w:val="22"/>
          <w:szCs w:val="22"/>
        </w:rPr>
        <w:t>n</w:t>
      </w:r>
      <w:r w:rsidR="0062706C" w:rsidRPr="002A6FC0">
        <w:rPr>
          <w:sz w:val="22"/>
          <w:szCs w:val="22"/>
        </w:rPr>
        <w:t>eed</w:t>
      </w:r>
      <w:r w:rsidR="0062706C">
        <w:rPr>
          <w:sz w:val="22"/>
          <w:szCs w:val="22"/>
        </w:rPr>
        <w:t>”</w:t>
      </w:r>
      <w:r w:rsidR="0062706C" w:rsidRPr="002A6FC0">
        <w:rPr>
          <w:sz w:val="22"/>
          <w:szCs w:val="22"/>
        </w:rPr>
        <w:t xml:space="preserve"> </w:t>
      </w:r>
      <w:r w:rsidR="0062706C">
        <w:rPr>
          <w:sz w:val="22"/>
          <w:szCs w:val="22"/>
        </w:rPr>
        <w:t xml:space="preserve">for the purposes of this rule </w:t>
      </w:r>
      <w:r w:rsidR="0062706C" w:rsidRPr="002A6FC0">
        <w:rPr>
          <w:sz w:val="22"/>
          <w:szCs w:val="22"/>
        </w:rPr>
        <w:t xml:space="preserve">refers to the </w:t>
      </w:r>
      <w:r w:rsidR="0062706C">
        <w:rPr>
          <w:sz w:val="22"/>
          <w:szCs w:val="22"/>
        </w:rPr>
        <w:t>“</w:t>
      </w:r>
      <w:r w:rsidR="0062706C" w:rsidRPr="002A6FC0">
        <w:rPr>
          <w:sz w:val="22"/>
          <w:szCs w:val="22"/>
        </w:rPr>
        <w:t>quality of the signal received and not to the programming content, format, or transmission needs of an area.</w:t>
      </w:r>
      <w:r w:rsidR="0062706C">
        <w:rPr>
          <w:sz w:val="22"/>
          <w:szCs w:val="22"/>
        </w:rPr>
        <w:t>”</w:t>
      </w:r>
      <w:r w:rsidR="0062706C">
        <w:rPr>
          <w:rStyle w:val="FootnoteReference"/>
          <w:sz w:val="22"/>
          <w:szCs w:val="22"/>
        </w:rPr>
        <w:footnoteReference w:id="67"/>
      </w:r>
      <w:r w:rsidR="0062706C">
        <w:rPr>
          <w:sz w:val="22"/>
          <w:szCs w:val="22"/>
        </w:rPr>
        <w:t xml:space="preserve">  </w:t>
      </w:r>
    </w:p>
    <w:p w:rsidR="00030642" w:rsidRDefault="00030642" w:rsidP="00247E8B">
      <w:pPr>
        <w:ind w:firstLine="720"/>
        <w:rPr>
          <w:sz w:val="22"/>
          <w:szCs w:val="22"/>
        </w:rPr>
      </w:pPr>
    </w:p>
    <w:p w:rsidR="00030642" w:rsidRPr="00030642" w:rsidRDefault="009E2E48" w:rsidP="00247E8B">
      <w:pPr>
        <w:ind w:firstLine="720"/>
        <w:rPr>
          <w:sz w:val="22"/>
          <w:szCs w:val="22"/>
        </w:rPr>
      </w:pPr>
      <w:r>
        <w:rPr>
          <w:i/>
          <w:sz w:val="22"/>
          <w:szCs w:val="22"/>
        </w:rPr>
        <w:t>Cary Translator s</w:t>
      </w:r>
      <w:r w:rsidR="00030642">
        <w:rPr>
          <w:i/>
          <w:sz w:val="22"/>
          <w:szCs w:val="22"/>
        </w:rPr>
        <w:t>ilence</w:t>
      </w:r>
      <w:r w:rsidR="00030642">
        <w:rPr>
          <w:sz w:val="22"/>
          <w:szCs w:val="22"/>
        </w:rPr>
        <w:t xml:space="preserve">. </w:t>
      </w:r>
      <w:r w:rsidR="005D171D">
        <w:rPr>
          <w:sz w:val="22"/>
          <w:szCs w:val="22"/>
        </w:rPr>
        <w:t xml:space="preserve">Although the Curtis Licensees are correct that the licensee of an FM translator station is not required to adhere to any regular schedule of operation, </w:t>
      </w:r>
      <w:r w:rsidR="00E24C6F" w:rsidRPr="00E24C6F">
        <w:rPr>
          <w:sz w:val="22"/>
          <w:szCs w:val="22"/>
        </w:rPr>
        <w:t>Secti</w:t>
      </w:r>
      <w:r w:rsidR="00E24C6F">
        <w:rPr>
          <w:sz w:val="22"/>
          <w:szCs w:val="22"/>
        </w:rPr>
        <w:t>on 74.1263(c</w:t>
      </w:r>
      <w:r w:rsidR="00E24C6F" w:rsidRPr="00E24C6F">
        <w:rPr>
          <w:sz w:val="22"/>
          <w:szCs w:val="22"/>
        </w:rPr>
        <w:t xml:space="preserve">) </w:t>
      </w:r>
      <w:r w:rsidR="00E24C6F">
        <w:rPr>
          <w:sz w:val="22"/>
          <w:szCs w:val="22"/>
        </w:rPr>
        <w:t xml:space="preserve">of the Rules </w:t>
      </w:r>
      <w:r w:rsidR="00E24C6F" w:rsidRPr="00E24C6F">
        <w:rPr>
          <w:sz w:val="22"/>
          <w:szCs w:val="22"/>
        </w:rPr>
        <w:t xml:space="preserve">requires an FM </w:t>
      </w:r>
      <w:r w:rsidR="00E24C6F">
        <w:rPr>
          <w:sz w:val="22"/>
          <w:szCs w:val="22"/>
        </w:rPr>
        <w:t>t</w:t>
      </w:r>
      <w:r w:rsidR="00E24C6F" w:rsidRPr="00E24C6F">
        <w:rPr>
          <w:sz w:val="22"/>
          <w:szCs w:val="22"/>
        </w:rPr>
        <w:t>ranslator licensee to notify the Commission of its intent to discontinue operations for 30 or more consecutive days.</w:t>
      </w:r>
      <w:r w:rsidR="00E24C6F">
        <w:rPr>
          <w:rStyle w:val="FootnoteReference"/>
          <w:sz w:val="22"/>
          <w:szCs w:val="22"/>
        </w:rPr>
        <w:footnoteReference w:id="68"/>
      </w:r>
      <w:r w:rsidR="00E24C6F" w:rsidRPr="00E24C6F">
        <w:rPr>
          <w:sz w:val="22"/>
          <w:szCs w:val="22"/>
        </w:rPr>
        <w:t xml:space="preserve"> </w:t>
      </w:r>
      <w:r w:rsidR="00E24C6F">
        <w:rPr>
          <w:sz w:val="22"/>
          <w:szCs w:val="22"/>
        </w:rPr>
        <w:t xml:space="preserve"> </w:t>
      </w:r>
      <w:r w:rsidR="00E24C6F" w:rsidRPr="00E24C6F">
        <w:rPr>
          <w:sz w:val="22"/>
          <w:szCs w:val="22"/>
        </w:rPr>
        <w:t>Notification must be made within 10 days of the date on which the station first discontinues operation, and Commission approval is required for such discontinued operation to continue beyond 30 days</w:t>
      </w:r>
      <w:r w:rsidR="00E24C6F">
        <w:rPr>
          <w:sz w:val="22"/>
          <w:szCs w:val="22"/>
        </w:rPr>
        <w:t xml:space="preserve">.  </w:t>
      </w:r>
      <w:r w:rsidR="00475FB3" w:rsidRPr="00475FB3">
        <w:rPr>
          <w:sz w:val="22"/>
          <w:szCs w:val="22"/>
        </w:rPr>
        <w:t xml:space="preserve">FM translator or booster stations that are silent for 30 or more consecutive days </w:t>
      </w:r>
      <w:r w:rsidR="00475FB3">
        <w:rPr>
          <w:sz w:val="22"/>
          <w:szCs w:val="22"/>
        </w:rPr>
        <w:t xml:space="preserve">without STA </w:t>
      </w:r>
      <w:r w:rsidR="00475FB3" w:rsidRPr="00475FB3">
        <w:rPr>
          <w:sz w:val="22"/>
          <w:szCs w:val="22"/>
        </w:rPr>
        <w:t>are considered to have permanently discontinued operations and the station's authorizations can be cancelled at the Commission's discretion.</w:t>
      </w:r>
      <w:r w:rsidR="0039301A">
        <w:rPr>
          <w:rStyle w:val="FootnoteReference"/>
          <w:sz w:val="22"/>
          <w:szCs w:val="22"/>
        </w:rPr>
        <w:footnoteReference w:id="69"/>
      </w:r>
      <w:r w:rsidR="0039301A" w:rsidRPr="0039301A">
        <w:rPr>
          <w:sz w:val="22"/>
          <w:szCs w:val="22"/>
        </w:rPr>
        <w:t xml:space="preserve"> </w:t>
      </w:r>
      <w:r w:rsidR="0039301A">
        <w:rPr>
          <w:sz w:val="22"/>
          <w:szCs w:val="22"/>
        </w:rPr>
        <w:t xml:space="preserve"> </w:t>
      </w:r>
      <w:r w:rsidR="00D12CF2">
        <w:rPr>
          <w:sz w:val="22"/>
          <w:szCs w:val="22"/>
        </w:rPr>
        <w:t>A</w:t>
      </w:r>
      <w:r w:rsidR="00ED79F3">
        <w:rPr>
          <w:sz w:val="22"/>
          <w:szCs w:val="22"/>
        </w:rPr>
        <w:t xml:space="preserve"> period of </w:t>
      </w:r>
      <w:r w:rsidR="00F12EB9">
        <w:rPr>
          <w:sz w:val="22"/>
          <w:szCs w:val="22"/>
        </w:rPr>
        <w:t>s</w:t>
      </w:r>
      <w:r w:rsidR="009E4305">
        <w:rPr>
          <w:sz w:val="22"/>
          <w:szCs w:val="22"/>
        </w:rPr>
        <w:t xml:space="preserve">ilence immediately following </w:t>
      </w:r>
      <w:r w:rsidR="00985E0E">
        <w:rPr>
          <w:sz w:val="22"/>
          <w:szCs w:val="22"/>
        </w:rPr>
        <w:t xml:space="preserve">license grant </w:t>
      </w:r>
      <w:r w:rsidR="00ED79F3">
        <w:rPr>
          <w:sz w:val="22"/>
          <w:szCs w:val="22"/>
        </w:rPr>
        <w:t>may</w:t>
      </w:r>
      <w:r w:rsidR="009E4305">
        <w:rPr>
          <w:sz w:val="22"/>
          <w:szCs w:val="22"/>
        </w:rPr>
        <w:t xml:space="preserve"> raise concerns </w:t>
      </w:r>
      <w:r w:rsidR="00ED79F3">
        <w:rPr>
          <w:sz w:val="22"/>
          <w:szCs w:val="22"/>
        </w:rPr>
        <w:t>whether</w:t>
      </w:r>
      <w:r w:rsidR="009E4305">
        <w:rPr>
          <w:sz w:val="22"/>
          <w:szCs w:val="22"/>
        </w:rPr>
        <w:t xml:space="preserve"> the </w:t>
      </w:r>
      <w:r w:rsidR="00ED79F3">
        <w:rPr>
          <w:sz w:val="22"/>
          <w:szCs w:val="22"/>
        </w:rPr>
        <w:t xml:space="preserve">subject translator station was in fact </w:t>
      </w:r>
      <w:r w:rsidR="009E4305">
        <w:rPr>
          <w:sz w:val="22"/>
          <w:szCs w:val="22"/>
        </w:rPr>
        <w:t xml:space="preserve">fully built and ready for operation.  </w:t>
      </w:r>
      <w:r w:rsidR="0039301A">
        <w:rPr>
          <w:sz w:val="22"/>
          <w:szCs w:val="22"/>
        </w:rPr>
        <w:t xml:space="preserve">In this case, </w:t>
      </w:r>
      <w:r w:rsidR="009E4305">
        <w:rPr>
          <w:sz w:val="22"/>
          <w:szCs w:val="22"/>
        </w:rPr>
        <w:t xml:space="preserve">we do not find that the totality of circumstances </w:t>
      </w:r>
      <w:r>
        <w:rPr>
          <w:sz w:val="22"/>
          <w:szCs w:val="22"/>
        </w:rPr>
        <w:t>indicates</w:t>
      </w:r>
      <w:r w:rsidR="009E4305">
        <w:rPr>
          <w:sz w:val="22"/>
          <w:szCs w:val="22"/>
        </w:rPr>
        <w:t xml:space="preserve"> that the Cary Translator was not timely constructed as authorized.  </w:t>
      </w:r>
      <w:r w:rsidR="00813845">
        <w:rPr>
          <w:sz w:val="22"/>
          <w:szCs w:val="22"/>
        </w:rPr>
        <w:t>Moreover, we find that Eastern Airwaves’ failure to notify the Commission within 10 days of the discontinuance of operation, or to obtain Commission approval for the month it was silent after authorization, does not rise to the level of requiring a forfeiture or other formal sanction.  In this respect</w:t>
      </w:r>
      <w:r w:rsidR="00E57380">
        <w:rPr>
          <w:sz w:val="22"/>
          <w:szCs w:val="22"/>
        </w:rPr>
        <w:t>,</w:t>
      </w:r>
      <w:r w:rsidR="00813845">
        <w:rPr>
          <w:sz w:val="22"/>
          <w:szCs w:val="22"/>
        </w:rPr>
        <w:t xml:space="preserve"> we take into account the length and severity of the offense, as well as the fact that </w:t>
      </w:r>
      <w:r w:rsidR="00E57380">
        <w:rPr>
          <w:sz w:val="22"/>
          <w:szCs w:val="22"/>
        </w:rPr>
        <w:t xml:space="preserve">public notice of the grant of the Cary Translator’s license did not issue until January 5, 2017, less than 30 days before the station commenced operation on February 3, 2017.  However, </w:t>
      </w:r>
      <w:r w:rsidR="00813845">
        <w:rPr>
          <w:sz w:val="22"/>
          <w:szCs w:val="22"/>
        </w:rPr>
        <w:t>we caution Eastern Airw</w:t>
      </w:r>
      <w:r w:rsidR="00ED79F3">
        <w:rPr>
          <w:sz w:val="22"/>
          <w:szCs w:val="22"/>
        </w:rPr>
        <w:t>aves to be more attentive to these requirements in the future</w:t>
      </w:r>
      <w:r w:rsidR="00813845">
        <w:rPr>
          <w:sz w:val="22"/>
          <w:szCs w:val="22"/>
        </w:rPr>
        <w:t xml:space="preserve">. </w:t>
      </w:r>
    </w:p>
    <w:p w:rsidR="005242F4" w:rsidRDefault="005242F4" w:rsidP="008F472B">
      <w:pPr>
        <w:rPr>
          <w:sz w:val="22"/>
          <w:szCs w:val="22"/>
        </w:rPr>
      </w:pPr>
    </w:p>
    <w:p w:rsidR="00ED79F3" w:rsidRDefault="00351D2D" w:rsidP="001634A9">
      <w:pPr>
        <w:rPr>
          <w:sz w:val="22"/>
          <w:szCs w:val="22"/>
        </w:rPr>
      </w:pPr>
      <w:r w:rsidRPr="00600276">
        <w:rPr>
          <w:b/>
          <w:sz w:val="22"/>
          <w:szCs w:val="22"/>
          <w:shd w:val="clear" w:color="auto" w:fill="FFFFFF"/>
        </w:rPr>
        <w:t xml:space="preserve">  </w:t>
      </w:r>
      <w:r w:rsidR="00E62117" w:rsidRPr="00600276">
        <w:rPr>
          <w:b/>
          <w:sz w:val="22"/>
          <w:szCs w:val="22"/>
          <w:shd w:val="clear" w:color="auto" w:fill="FFFFFF"/>
        </w:rPr>
        <w:tab/>
      </w:r>
      <w:r w:rsidR="00FD3BE6" w:rsidRPr="00600276">
        <w:rPr>
          <w:b/>
          <w:spacing w:val="-2"/>
          <w:sz w:val="22"/>
          <w:szCs w:val="22"/>
        </w:rPr>
        <w:t xml:space="preserve">Conclusion/Actions. </w:t>
      </w:r>
      <w:r w:rsidR="00BB2090">
        <w:rPr>
          <w:sz w:val="22"/>
          <w:szCs w:val="22"/>
        </w:rPr>
        <w:t xml:space="preserve"> </w:t>
      </w:r>
      <w:r w:rsidR="00632309">
        <w:rPr>
          <w:sz w:val="22"/>
          <w:szCs w:val="22"/>
        </w:rPr>
        <w:t xml:space="preserve">For the reasons set forth above, </w:t>
      </w:r>
      <w:r w:rsidR="00C80041">
        <w:rPr>
          <w:sz w:val="22"/>
          <w:szCs w:val="22"/>
        </w:rPr>
        <w:t>IT IS ORDERED</w:t>
      </w:r>
      <w:r w:rsidR="00BB2090" w:rsidRPr="00686431">
        <w:rPr>
          <w:sz w:val="22"/>
          <w:szCs w:val="22"/>
        </w:rPr>
        <w:t xml:space="preserve"> that the </w:t>
      </w:r>
      <w:r w:rsidR="00C07637">
        <w:rPr>
          <w:sz w:val="22"/>
          <w:szCs w:val="22"/>
        </w:rPr>
        <w:t>Petition</w:t>
      </w:r>
      <w:r w:rsidR="00ED79F3">
        <w:rPr>
          <w:sz w:val="22"/>
          <w:szCs w:val="22"/>
        </w:rPr>
        <w:t>s</w:t>
      </w:r>
      <w:r w:rsidR="00C07637">
        <w:rPr>
          <w:sz w:val="22"/>
          <w:szCs w:val="22"/>
        </w:rPr>
        <w:t xml:space="preserve"> for Reconsideration </w:t>
      </w:r>
      <w:r w:rsidR="0009186F">
        <w:rPr>
          <w:sz w:val="22"/>
          <w:szCs w:val="22"/>
        </w:rPr>
        <w:t xml:space="preserve">filed </w:t>
      </w:r>
      <w:r w:rsidR="00ED79F3">
        <w:rPr>
          <w:sz w:val="22"/>
          <w:szCs w:val="22"/>
        </w:rPr>
        <w:t>by Triangle Access Broadcasting on</w:t>
      </w:r>
      <w:r w:rsidR="00ED79F3" w:rsidRPr="00ED79F3">
        <w:rPr>
          <w:sz w:val="22"/>
          <w:szCs w:val="22"/>
        </w:rPr>
        <w:t xml:space="preserve"> </w:t>
      </w:r>
      <w:r w:rsidR="00ED79F3">
        <w:rPr>
          <w:sz w:val="22"/>
          <w:szCs w:val="22"/>
        </w:rPr>
        <w:t>April 28, 2015 (Rolesville Modification Petitions), December 14, 2016 (Rolesville License Petitions), and January 31, 2017 (Cary License Petition), ARE</w:t>
      </w:r>
      <w:r w:rsidR="00BB2090" w:rsidRPr="00686431">
        <w:rPr>
          <w:sz w:val="22"/>
          <w:szCs w:val="22"/>
        </w:rPr>
        <w:t xml:space="preserve"> </w:t>
      </w:r>
      <w:r w:rsidR="003E026C">
        <w:rPr>
          <w:sz w:val="22"/>
          <w:szCs w:val="22"/>
        </w:rPr>
        <w:t>DENIED</w:t>
      </w:r>
      <w:r w:rsidR="00BB2090" w:rsidRPr="00686431">
        <w:rPr>
          <w:sz w:val="22"/>
          <w:szCs w:val="22"/>
        </w:rPr>
        <w:t>.</w:t>
      </w:r>
    </w:p>
    <w:p w:rsidR="00EB4EA1" w:rsidRDefault="00EB4EA1" w:rsidP="001634A9">
      <w:pPr>
        <w:rPr>
          <w:sz w:val="22"/>
          <w:szCs w:val="22"/>
        </w:rPr>
      </w:pPr>
    </w:p>
    <w:p w:rsidR="006F0D9F" w:rsidRPr="00600276" w:rsidRDefault="00B736B1" w:rsidP="006947D9">
      <w:pPr>
        <w:rPr>
          <w:sz w:val="22"/>
          <w:szCs w:val="22"/>
        </w:rPr>
      </w:pPr>
      <w:r>
        <w:rPr>
          <w:sz w:val="22"/>
          <w:szCs w:val="22"/>
        </w:rPr>
        <w:tab/>
      </w:r>
      <w:r>
        <w:rPr>
          <w:sz w:val="22"/>
          <w:szCs w:val="22"/>
        </w:rPr>
        <w:tab/>
      </w:r>
      <w:r w:rsidR="00FD3BE6" w:rsidRPr="00600276">
        <w:rPr>
          <w:sz w:val="22"/>
          <w:szCs w:val="22"/>
        </w:rPr>
        <w:tab/>
      </w:r>
      <w:r w:rsidR="00FD3BE6" w:rsidRPr="00600276">
        <w:rPr>
          <w:sz w:val="22"/>
          <w:szCs w:val="22"/>
        </w:rPr>
        <w:tab/>
      </w:r>
      <w:r w:rsidR="00FD3BE6" w:rsidRPr="00600276">
        <w:rPr>
          <w:sz w:val="22"/>
          <w:szCs w:val="22"/>
        </w:rPr>
        <w:tab/>
      </w:r>
      <w:r w:rsidR="00FD3BE6" w:rsidRPr="00600276">
        <w:rPr>
          <w:sz w:val="22"/>
          <w:szCs w:val="22"/>
        </w:rPr>
        <w:tab/>
      </w:r>
      <w:r w:rsidR="00FD3BE6" w:rsidRPr="00600276">
        <w:rPr>
          <w:sz w:val="22"/>
          <w:szCs w:val="22"/>
        </w:rPr>
        <w:tab/>
        <w:t>Sincerely,</w:t>
      </w:r>
    </w:p>
    <w:p w:rsidR="006F0D9F" w:rsidRPr="00600276" w:rsidRDefault="006F0D9F" w:rsidP="001634A9">
      <w:pPr>
        <w:tabs>
          <w:tab w:val="left" w:pos="0"/>
          <w:tab w:val="left" w:pos="270"/>
        </w:tabs>
        <w:suppressAutoHyphens/>
        <w:rPr>
          <w:sz w:val="22"/>
          <w:szCs w:val="22"/>
        </w:rPr>
      </w:pPr>
    </w:p>
    <w:p w:rsidR="006F0D9F" w:rsidRPr="00600276" w:rsidRDefault="006F0D9F" w:rsidP="001634A9">
      <w:pPr>
        <w:tabs>
          <w:tab w:val="left" w:pos="0"/>
          <w:tab w:val="left" w:pos="270"/>
        </w:tabs>
        <w:suppressAutoHyphens/>
        <w:rPr>
          <w:sz w:val="22"/>
          <w:szCs w:val="22"/>
        </w:rPr>
      </w:pPr>
    </w:p>
    <w:p w:rsidR="006F0D9F" w:rsidRPr="00600276" w:rsidRDefault="006F0D9F" w:rsidP="001634A9">
      <w:pPr>
        <w:tabs>
          <w:tab w:val="left" w:pos="0"/>
          <w:tab w:val="left" w:pos="270"/>
        </w:tabs>
        <w:suppressAutoHyphens/>
        <w:rPr>
          <w:sz w:val="22"/>
          <w:szCs w:val="22"/>
        </w:rPr>
      </w:pPr>
    </w:p>
    <w:p w:rsidR="00E5589E" w:rsidRPr="00600276" w:rsidRDefault="00E5589E" w:rsidP="001634A9">
      <w:pPr>
        <w:tabs>
          <w:tab w:val="left" w:pos="0"/>
          <w:tab w:val="left" w:pos="270"/>
        </w:tabs>
        <w:suppressAutoHyphens/>
        <w:rPr>
          <w:sz w:val="22"/>
          <w:szCs w:val="22"/>
        </w:rPr>
      </w:pPr>
    </w:p>
    <w:p w:rsidR="006F0D9F" w:rsidRPr="00600276" w:rsidRDefault="00FD3BE6" w:rsidP="001634A9">
      <w:pPr>
        <w:tabs>
          <w:tab w:val="left" w:pos="0"/>
        </w:tabs>
        <w:suppressAutoHyphens/>
        <w:outlineLvl w:val="0"/>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009E2E48">
        <w:rPr>
          <w:sz w:val="22"/>
          <w:szCs w:val="22"/>
        </w:rPr>
        <w:t>Peter H. Doyle</w:t>
      </w:r>
    </w:p>
    <w:p w:rsidR="006F0D9F" w:rsidRPr="0060027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Chief, Audio Division</w:t>
      </w:r>
    </w:p>
    <w:p w:rsidR="00FD3BE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Media Bureau</w:t>
      </w:r>
    </w:p>
    <w:sectPr w:rsidR="00FD3BE6" w:rsidSect="006F0D9F">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FE" w:rsidRDefault="00C52BFE">
      <w:r>
        <w:separator/>
      </w:r>
    </w:p>
  </w:endnote>
  <w:endnote w:type="continuationSeparator" w:id="0">
    <w:p w:rsidR="00C52BFE" w:rsidRDefault="00C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7" w:rsidRDefault="00865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5837" w:rsidRDefault="00865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7" w:rsidRDefault="00865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C8E">
      <w:rPr>
        <w:rStyle w:val="PageNumber"/>
        <w:noProof/>
      </w:rPr>
      <w:t>2</w:t>
    </w:r>
    <w:r>
      <w:rPr>
        <w:rStyle w:val="PageNumber"/>
      </w:rPr>
      <w:fldChar w:fldCharType="end"/>
    </w:r>
  </w:p>
  <w:p w:rsidR="00865837" w:rsidRDefault="00865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5B" w:rsidRDefault="00152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FE" w:rsidRDefault="00C52BFE">
      <w:r>
        <w:separator/>
      </w:r>
    </w:p>
  </w:footnote>
  <w:footnote w:type="continuationSeparator" w:id="0">
    <w:p w:rsidR="00C52BFE" w:rsidRDefault="00C52BFE">
      <w:r>
        <w:continuationSeparator/>
      </w:r>
    </w:p>
  </w:footnote>
  <w:footnote w:id="1">
    <w:p w:rsidR="00865837" w:rsidRPr="00FB08D1" w:rsidRDefault="00865837" w:rsidP="00F57714">
      <w:pPr>
        <w:pStyle w:val="FootnoteText"/>
        <w:spacing w:after="120"/>
      </w:pPr>
      <w:r w:rsidRPr="00FB08D1">
        <w:rPr>
          <w:rStyle w:val="FootnoteReference"/>
        </w:rPr>
        <w:footnoteRef/>
      </w:r>
      <w:r w:rsidRPr="00FB08D1">
        <w:t xml:space="preserve"> The Rolesville Modification Petitions were filed on the same day that the Rolesville Modification Applications were granted (April 28, 2015).  Because processing staff had no opportunity to consider Triangle’s arguments prior to grant, they are considered herein as petitions for reconsideration.  </w:t>
      </w:r>
      <w:r w:rsidRPr="00FB08D1">
        <w:rPr>
          <w:i/>
        </w:rPr>
        <w:t>See, e.g., Alan Bishop, Esq.</w:t>
      </w:r>
      <w:r w:rsidRPr="00FB08D1">
        <w:t xml:space="preserve">, Letter, 25 FCC Rcd 4691, 4692 (MB 2010); </w:t>
      </w:r>
      <w:r w:rsidRPr="00FB08D1">
        <w:rPr>
          <w:i/>
        </w:rPr>
        <w:t>Richard F. Swift, Esq.,</w:t>
      </w:r>
      <w:r w:rsidRPr="00FB08D1">
        <w:t xml:space="preserve"> Letter, 24 FCC Rcd 12426, 12427 (MB 2009)</w:t>
      </w:r>
      <w:r>
        <w:t xml:space="preserve"> (</w:t>
      </w:r>
      <w:r>
        <w:rPr>
          <w:i/>
        </w:rPr>
        <w:t>Saga</w:t>
      </w:r>
      <w:r>
        <w:t>)</w:t>
      </w:r>
      <w:r w:rsidRPr="00FB08D1">
        <w:t>.</w:t>
      </w:r>
    </w:p>
  </w:footnote>
  <w:footnote w:id="2">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 xml:space="preserve">See </w:t>
      </w:r>
      <w:r w:rsidRPr="00FB08D1">
        <w:t xml:space="preserve">File Nos. BMPFT-20150326AAS and BPFT-20150326AAW; </w:t>
      </w:r>
      <w:r w:rsidRPr="00FB08D1">
        <w:rPr>
          <w:i/>
        </w:rPr>
        <w:t>Broadcast Actions</w:t>
      </w:r>
      <w:r w:rsidRPr="00FB08D1">
        <w:t>, Public Notice, Report No. 48480 (May 1, 2015).  On May 11, 201</w:t>
      </w:r>
      <w:r w:rsidR="003224E9">
        <w:t>5</w:t>
      </w:r>
      <w:r w:rsidRPr="00FB08D1">
        <w:t xml:space="preserve">, the Curtis Licensees filed oppositions to the Rolesville Modification Petitions (Rolesville Modification Oppositions).  On May 19, 2015, Triangle filed replies to the Rolesville Modification Oppositions (Rolesville Modification Replies).  On July 24, 2015, Eastern Airwaves filed an application to modify the W251CA construction permit (File No. BMPFT-20150724ABS) (W251CA CP Modification).  Triangle did not file an objection to the W251CA CP Modification, asserting that the “subsequent application cured none of the issues that [Triangle] raised” and that it “had no reason to make repetitious filings to continue its prosecution.”  Rolesville License Reply (W251CA) at 2.  </w:t>
      </w:r>
      <w:r w:rsidRPr="00FB08D1">
        <w:rPr>
          <w:i/>
        </w:rPr>
        <w:t>See infra</w:t>
      </w:r>
      <w:r w:rsidRPr="00FB08D1">
        <w:t xml:space="preserve">, note 3. </w:t>
      </w:r>
    </w:p>
  </w:footnote>
  <w:footnote w:id="3">
    <w:p w:rsidR="00865837" w:rsidRPr="00FB08D1" w:rsidRDefault="00865837" w:rsidP="00F57714">
      <w:pPr>
        <w:pStyle w:val="FootnoteText"/>
        <w:spacing w:after="120"/>
        <w:rPr>
          <w:u w:val="single"/>
        </w:rPr>
      </w:pPr>
      <w:r w:rsidRPr="00FB08D1">
        <w:rPr>
          <w:rStyle w:val="FootnoteReference"/>
        </w:rPr>
        <w:footnoteRef/>
      </w:r>
      <w:r w:rsidRPr="00FB08D1">
        <w:t xml:space="preserve"> On December 27, 2016, the Curtis Licensees filed oppositions to the Rolesville License Petitions (Rolesville License Oppositions).  On January 4, 2017, Triangle filed replies to the Rolesville License Oppositions (Rolesville License Replies). </w:t>
      </w:r>
    </w:p>
  </w:footnote>
  <w:footnote w:id="4">
    <w:p w:rsidR="00865837" w:rsidRPr="00FB08D1" w:rsidRDefault="00865837" w:rsidP="00F57714">
      <w:pPr>
        <w:pStyle w:val="FootnoteText"/>
        <w:spacing w:after="120"/>
      </w:pPr>
      <w:r w:rsidRPr="00FB08D1">
        <w:rPr>
          <w:rStyle w:val="FootnoteReference"/>
        </w:rPr>
        <w:footnoteRef/>
      </w:r>
      <w:r w:rsidRPr="00FB08D1">
        <w:t xml:space="preserve"> On February 6, 2017, Triangle filed a supplement to the Cary License Petition (Cary License Supplement).  On February 13, 2017, Eastern Airwaves filed an opposition to the Cary License Petition and Cary License Supplement (Cary License Opposition).   Because of the similar issues involved and the common ownership of the Curtis Licensees (100 percent of the voting and equity interest held by Donald W. Curtis), we consider the Rolesville and Cary pleadings together.  </w:t>
      </w:r>
    </w:p>
  </w:footnote>
  <w:footnote w:id="5">
    <w:p w:rsidR="00E779DF" w:rsidRPr="00FB08D1" w:rsidRDefault="00E779DF" w:rsidP="00F57714">
      <w:pPr>
        <w:pStyle w:val="FootnoteText"/>
        <w:spacing w:after="120"/>
      </w:pPr>
      <w:r w:rsidRPr="00FB08D1">
        <w:rPr>
          <w:rStyle w:val="FootnoteReference"/>
        </w:rPr>
        <w:footnoteRef/>
      </w:r>
      <w:r w:rsidRPr="00FB08D1">
        <w:t xml:space="preserve"> </w:t>
      </w:r>
      <w:r w:rsidRPr="00FB08D1">
        <w:rPr>
          <w:i/>
        </w:rPr>
        <w:t xml:space="preserve">See </w:t>
      </w:r>
      <w:r w:rsidRPr="00FB08D1">
        <w:t>File No. BMPFT-20141124ADG</w:t>
      </w:r>
      <w:r>
        <w:t>;</w:t>
      </w:r>
      <w:r w:rsidRPr="00FB08D1">
        <w:rPr>
          <w:i/>
        </w:rPr>
        <w:t xml:space="preserve"> Broadcast Actions</w:t>
      </w:r>
      <w:r w:rsidRPr="00FB08D1">
        <w:t xml:space="preserve">, Public Notice, Report No. 48394 (Dec. 29, 2014).  On January 20, 2015, Triangle filed a petition for reconsideration of the grant of the Cary Modification Application, which was dismissed by letter decision on March 10, 2016.  </w:t>
      </w:r>
      <w:r w:rsidRPr="00FB08D1">
        <w:rPr>
          <w:i/>
        </w:rPr>
        <w:t xml:space="preserve">See Coe W. Ramsey, Esq., </w:t>
      </w:r>
      <w:r w:rsidRPr="00FB08D1">
        <w:t xml:space="preserve">Letter Order, Ref. No. 1800B3-JDB (MB Mar. 10, 2016).  </w:t>
      </w:r>
    </w:p>
  </w:footnote>
  <w:footnote w:id="6">
    <w:p w:rsidR="00865837" w:rsidRPr="00FB08D1" w:rsidRDefault="00865837" w:rsidP="00F57714">
      <w:pPr>
        <w:pStyle w:val="FootnoteText"/>
        <w:spacing w:after="120"/>
      </w:pPr>
      <w:r w:rsidRPr="00FB08D1">
        <w:rPr>
          <w:rStyle w:val="FootnoteReference"/>
        </w:rPr>
        <w:footnoteRef/>
      </w:r>
      <w:r w:rsidRPr="00FB08D1">
        <w:t xml:space="preserve"> WQDR is licensed to Carolina Media Group, Inc. (80 percent voting and equity interest held by Donald J. Curtis , 20 percent of the equity and voting interest held by Donna C. McClatchey.</w:t>
      </w:r>
      <w:r w:rsidRPr="00FB08D1">
        <w:rPr>
          <w:i/>
        </w:rPr>
        <w:t xml:space="preserve">  See </w:t>
      </w:r>
      <w:r w:rsidRPr="00FB08D1">
        <w:t xml:space="preserve">File No. BOA-20111114BIK.).  </w:t>
      </w:r>
    </w:p>
  </w:footnote>
  <w:footnote w:id="7">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Broadcast Applications</w:t>
      </w:r>
      <w:r w:rsidRPr="00FB08D1">
        <w:t>, Public Notice, Report No. 28457 (MB Mar. 31, 2015).</w:t>
      </w:r>
    </w:p>
  </w:footnote>
  <w:footnote w:id="8">
    <w:p w:rsidR="00865837" w:rsidRDefault="00865837" w:rsidP="00F57714">
      <w:pPr>
        <w:pStyle w:val="FootnoteText"/>
        <w:spacing w:after="120"/>
      </w:pPr>
      <w:r>
        <w:rPr>
          <w:rStyle w:val="FootnoteReference"/>
        </w:rPr>
        <w:footnoteRef/>
      </w:r>
      <w:r>
        <w:t xml:space="preserve"> </w:t>
      </w:r>
      <w:r w:rsidRPr="00FB08D1">
        <w:rPr>
          <w:i/>
        </w:rPr>
        <w:t>Broadcast Actions</w:t>
      </w:r>
      <w:r w:rsidRPr="00FB08D1">
        <w:t xml:space="preserve">, Public Notice, Report No. 48480 (May 1, 2015).  </w:t>
      </w:r>
    </w:p>
  </w:footnote>
  <w:footnote w:id="9">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 xml:space="preserve">See </w:t>
      </w:r>
      <w:r w:rsidRPr="00FB08D1">
        <w:t xml:space="preserve">File No. BDNH-20170111AAF (filed Jan. 11, 2017).  </w:t>
      </w:r>
    </w:p>
  </w:footnote>
  <w:footnote w:id="10">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Broadcast Applications</w:t>
      </w:r>
      <w:r w:rsidRPr="00FB08D1">
        <w:t>, Public Notice, Report No. 28612 (MB Nov. 16, 2015).</w:t>
      </w:r>
    </w:p>
  </w:footnote>
  <w:footnote w:id="11">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Broadcast Actions</w:t>
      </w:r>
      <w:r w:rsidRPr="00FB08D1">
        <w:t xml:space="preserve">, Public Notice, Report No. 48873 (Dec. 2, 2016).  </w:t>
      </w:r>
    </w:p>
  </w:footnote>
  <w:footnote w:id="12">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Broadcast Applications</w:t>
      </w:r>
      <w:r w:rsidRPr="00FB08D1">
        <w:t>, Public Notice, Report No. 28888 (Dec. 23, 2016).</w:t>
      </w:r>
    </w:p>
  </w:footnote>
  <w:footnote w:id="13">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Broadcast Actions</w:t>
      </w:r>
      <w:r w:rsidRPr="00FB08D1">
        <w:t>,</w:t>
      </w:r>
      <w:r w:rsidRPr="00FB08D1">
        <w:rPr>
          <w:i/>
        </w:rPr>
        <w:t xml:space="preserve"> </w:t>
      </w:r>
      <w:r w:rsidRPr="00FB08D1">
        <w:t xml:space="preserve">Public Notice, Report No. 48895 (Jan. 5, 2017). </w:t>
      </w:r>
    </w:p>
  </w:footnote>
  <w:footnote w:id="14">
    <w:p w:rsidR="00865837" w:rsidRPr="00FB08D1" w:rsidRDefault="00865837" w:rsidP="00F57714">
      <w:pPr>
        <w:pStyle w:val="FootnoteText"/>
        <w:spacing w:after="120"/>
      </w:pPr>
      <w:r w:rsidRPr="00FB08D1">
        <w:rPr>
          <w:rStyle w:val="FootnoteReference"/>
        </w:rPr>
        <w:footnoteRef/>
      </w:r>
      <w:r w:rsidRPr="00FB08D1">
        <w:t xml:space="preserve"> Cary License Opposition at 2. </w:t>
      </w:r>
    </w:p>
  </w:footnote>
  <w:footnote w:id="15">
    <w:p w:rsidR="00865837" w:rsidRPr="00FB08D1" w:rsidRDefault="00865837" w:rsidP="00F57714">
      <w:pPr>
        <w:pStyle w:val="FootnoteText"/>
        <w:spacing w:after="120"/>
      </w:pPr>
      <w:r w:rsidRPr="00FB08D1">
        <w:rPr>
          <w:rStyle w:val="FootnoteReference"/>
        </w:rPr>
        <w:footnoteRef/>
      </w:r>
      <w:r w:rsidRPr="00FB08D1">
        <w:t xml:space="preserve"> Rolesville Modification Petitions at 1.</w:t>
      </w:r>
    </w:p>
  </w:footnote>
  <w:footnote w:id="16">
    <w:p w:rsidR="00865837" w:rsidRPr="00FB08D1" w:rsidRDefault="00865837" w:rsidP="00F57714">
      <w:pPr>
        <w:pStyle w:val="FootnoteText"/>
        <w:spacing w:after="120"/>
      </w:pPr>
      <w:r w:rsidRPr="00FB08D1">
        <w:rPr>
          <w:rStyle w:val="FootnoteReference"/>
        </w:rPr>
        <w:footnoteRef/>
      </w:r>
      <w:r w:rsidRPr="00FB08D1">
        <w:t xml:space="preserve"> Cary License Petition at 3. Triangle also claims standing on the basis that “if [the Cary Translator] is “allowed to operate as previously authorized that it will create areas of interference with WRLY-LP.”  </w:t>
      </w:r>
      <w:r w:rsidRPr="00FB08D1">
        <w:rPr>
          <w:i/>
        </w:rPr>
        <w:t>Id</w:t>
      </w:r>
      <w:r w:rsidRPr="00FB08D1">
        <w:t>.  Easter</w:t>
      </w:r>
      <w:r w:rsidR="007A2C33">
        <w:t>n</w:t>
      </w:r>
      <w:r w:rsidRPr="00FB08D1">
        <w:t xml:space="preserve"> Airwaves states that if </w:t>
      </w:r>
      <w:r w:rsidRPr="00FB08D1">
        <w:rPr>
          <w:i/>
        </w:rPr>
        <w:t>bona fide</w:t>
      </w:r>
      <w:r w:rsidRPr="00FB08D1">
        <w:t xml:space="preserve"> interference occurs, it will “take appropriate action as required under the Commission’s rules.”  Cary License Opposition at 4.</w:t>
      </w:r>
    </w:p>
  </w:footnote>
  <w:footnote w:id="17">
    <w:p w:rsidR="00865837" w:rsidRPr="00FB08D1" w:rsidRDefault="00865837" w:rsidP="00F57714">
      <w:pPr>
        <w:pStyle w:val="FootnoteText"/>
        <w:spacing w:after="120"/>
      </w:pPr>
      <w:r w:rsidRPr="00FB08D1">
        <w:rPr>
          <w:rStyle w:val="FootnoteReference"/>
        </w:rPr>
        <w:footnoteRef/>
      </w:r>
      <w:r w:rsidRPr="00FB08D1">
        <w:t xml:space="preserve"> Cary License Petition at 3</w:t>
      </w:r>
      <w:r>
        <w:t>-4</w:t>
      </w:r>
      <w:r w:rsidRPr="00FB08D1">
        <w:t xml:space="preserve">. </w:t>
      </w:r>
    </w:p>
  </w:footnote>
  <w:footnote w:id="18">
    <w:p w:rsidR="00865837" w:rsidRDefault="00865837" w:rsidP="00F57714">
      <w:pPr>
        <w:pStyle w:val="FootnoteText"/>
        <w:spacing w:after="120"/>
      </w:pPr>
      <w:r>
        <w:rPr>
          <w:rStyle w:val="FootnoteReference"/>
        </w:rPr>
        <w:footnoteRef/>
      </w:r>
      <w:r>
        <w:t xml:space="preserve"> </w:t>
      </w:r>
      <w:r w:rsidRPr="00FB08D1">
        <w:t>Rolesville Modification Oppositions at 4</w:t>
      </w:r>
      <w:r>
        <w:t>-5</w:t>
      </w:r>
      <w:r w:rsidRPr="00FB08D1">
        <w:t xml:space="preserve"> (citing </w:t>
      </w:r>
      <w:r w:rsidRPr="00FB08D1">
        <w:rPr>
          <w:i/>
        </w:rPr>
        <w:t>KERM, Inc. v. FCC</w:t>
      </w:r>
      <w:r w:rsidRPr="00FB08D1">
        <w:t>, 353 F.3d 57, 60-61 (D.C. Cir. 2004) (</w:t>
      </w:r>
      <w:r>
        <w:rPr>
          <w:i/>
        </w:rPr>
        <w:t>KERM</w:t>
      </w:r>
      <w:r>
        <w:t>)).</w:t>
      </w:r>
      <w:r w:rsidRPr="00FB08D1">
        <w:t xml:space="preserve"> </w:t>
      </w:r>
    </w:p>
  </w:footnote>
  <w:footnote w:id="19">
    <w:p w:rsidR="00865837" w:rsidRPr="00FB08D1" w:rsidRDefault="00865837" w:rsidP="00F57714">
      <w:pPr>
        <w:pStyle w:val="FootnoteText"/>
        <w:spacing w:after="120"/>
      </w:pPr>
      <w:r w:rsidRPr="00FB08D1">
        <w:rPr>
          <w:rStyle w:val="FootnoteReference"/>
        </w:rPr>
        <w:footnoteRef/>
      </w:r>
      <w:r w:rsidRPr="00FB08D1">
        <w:t xml:space="preserve"> Rolesville Modification Oppositions at </w:t>
      </w:r>
      <w:r>
        <w:t>5.</w:t>
      </w:r>
      <w:r w:rsidRPr="00FB08D1">
        <w:t xml:space="preserve">  </w:t>
      </w:r>
    </w:p>
  </w:footnote>
  <w:footnote w:id="20">
    <w:p w:rsidR="00865837" w:rsidRPr="00FB08D1" w:rsidRDefault="00865837" w:rsidP="00F57714">
      <w:pPr>
        <w:pStyle w:val="FootnoteText"/>
        <w:spacing w:after="120"/>
      </w:pPr>
      <w:r w:rsidRPr="00FB08D1">
        <w:rPr>
          <w:rStyle w:val="FootnoteReference"/>
        </w:rPr>
        <w:footnoteRef/>
      </w:r>
      <w:r w:rsidRPr="00FB08D1">
        <w:t xml:space="preserve"> Rolesville </w:t>
      </w:r>
      <w:r>
        <w:t>Modification Oppositions at 4;</w:t>
      </w:r>
      <w:r w:rsidRPr="00FB08D1">
        <w:t xml:space="preserve"> </w:t>
      </w:r>
      <w:r>
        <w:t>Rolesville License Oppositions at 2</w:t>
      </w:r>
      <w:r w:rsidRPr="00FB08D1">
        <w:t>.</w:t>
      </w:r>
    </w:p>
  </w:footnote>
  <w:footnote w:id="21">
    <w:p w:rsidR="00865837" w:rsidRPr="00FB08D1" w:rsidRDefault="00865837" w:rsidP="00F57714">
      <w:pPr>
        <w:pStyle w:val="FootnoteText"/>
        <w:spacing w:after="120"/>
      </w:pPr>
      <w:r w:rsidRPr="00FB08D1">
        <w:rPr>
          <w:rStyle w:val="FootnoteReference"/>
        </w:rPr>
        <w:footnoteRef/>
      </w:r>
      <w:r w:rsidRPr="00FB08D1">
        <w:t xml:space="preserve"> Rolesville License Oppositions at 3.</w:t>
      </w:r>
    </w:p>
  </w:footnote>
  <w:footnote w:id="22">
    <w:p w:rsidR="00865837" w:rsidRPr="00FB08D1" w:rsidRDefault="00865837" w:rsidP="00F57714">
      <w:pPr>
        <w:pStyle w:val="FootnoteText"/>
        <w:spacing w:after="120"/>
      </w:pPr>
      <w:r w:rsidRPr="00FB08D1">
        <w:rPr>
          <w:rStyle w:val="FootnoteReference"/>
        </w:rPr>
        <w:footnoteRef/>
      </w:r>
      <w:r w:rsidRPr="00FB08D1">
        <w:t xml:space="preserve"> Rolesville License Oppositions at 3; 47 CFR § 1.106(j); </w:t>
      </w:r>
      <w:r w:rsidRPr="00FB08D1">
        <w:rPr>
          <w:i/>
        </w:rPr>
        <w:t xml:space="preserve">see also </w:t>
      </w:r>
      <w:r w:rsidRPr="00FB08D1">
        <w:t>47 U.S.C. 405(b)(1).</w:t>
      </w:r>
    </w:p>
  </w:footnote>
  <w:footnote w:id="23">
    <w:p w:rsidR="00865837" w:rsidRPr="00FB08D1" w:rsidRDefault="00865837" w:rsidP="00F57714">
      <w:pPr>
        <w:pStyle w:val="FootnoteText"/>
        <w:spacing w:after="120"/>
      </w:pPr>
      <w:r w:rsidRPr="00FB08D1">
        <w:rPr>
          <w:rStyle w:val="FootnoteReference"/>
        </w:rPr>
        <w:footnoteRef/>
      </w:r>
      <w:r w:rsidRPr="00FB08D1">
        <w:t xml:space="preserve"> Rolesville License Replies at 2-3.</w:t>
      </w:r>
    </w:p>
  </w:footnote>
  <w:footnote w:id="24">
    <w:p w:rsidR="00865837" w:rsidRPr="00FB08D1" w:rsidRDefault="00865837" w:rsidP="00F57714">
      <w:pPr>
        <w:pStyle w:val="FootnoteText"/>
        <w:spacing w:after="120"/>
      </w:pPr>
      <w:r w:rsidRPr="00FB08D1">
        <w:rPr>
          <w:rStyle w:val="FootnoteReference"/>
        </w:rPr>
        <w:footnoteRef/>
      </w:r>
      <w:r w:rsidRPr="00FB08D1">
        <w:t xml:space="preserve"> Rolesville Modification Petitions at 2 (citing 47 CFR § 74.1232(b)). </w:t>
      </w:r>
    </w:p>
  </w:footnote>
  <w:footnote w:id="25">
    <w:p w:rsidR="00865837" w:rsidRPr="00FB08D1" w:rsidRDefault="00865837" w:rsidP="00F57714">
      <w:pPr>
        <w:pStyle w:val="FootnoteText"/>
        <w:spacing w:after="120"/>
      </w:pPr>
      <w:r w:rsidRPr="00FB08D1">
        <w:rPr>
          <w:rStyle w:val="FootnoteReference"/>
        </w:rPr>
        <w:footnoteRef/>
      </w:r>
      <w:r w:rsidRPr="00FB08D1">
        <w:t xml:space="preserve"> Rolesville Modification Petitions at 2 (citing </w:t>
      </w:r>
      <w:r w:rsidRPr="00FB08D1">
        <w:rPr>
          <w:i/>
        </w:rPr>
        <w:t>Amendment of Part 74 of the FM Commission’s Rules Concerning Translator Stations</w:t>
      </w:r>
      <w:r w:rsidRPr="00FB08D1">
        <w:t>, Report and Order, 5 FCC Rcd 7212, 7222 (1990) (“[S]showings of ‘need’ should focus upon the technical necessity for the additional facilities as determined by the quality of signal received from the intended primary station or any operating translators for both ‘fill-in’ as well as ‘other area’ FM translators. We believe that the technical interpretation of ‘need’ is appropriate given the role of translators as a reception service. To support their applications for multiple translators in the same area, applicants will be required to describe any relevant terrain obstruction as a means of showing ‘technical need’, and if useful, may include a shadowing study</w:t>
      </w:r>
      <w:r>
        <w:t>. . .</w:t>
      </w:r>
      <w:r w:rsidRPr="00FB08D1">
        <w:t xml:space="preserve"> FM translators are intended to resolve reception problems, the ‘need’ for which should be determined on technical grounds alone.”)</w:t>
      </w:r>
    </w:p>
  </w:footnote>
  <w:footnote w:id="26">
    <w:p w:rsidR="00865837" w:rsidRPr="00FB08D1" w:rsidRDefault="00865837" w:rsidP="00F57714">
      <w:pPr>
        <w:pStyle w:val="FootnoteText"/>
        <w:spacing w:after="120"/>
      </w:pPr>
      <w:r w:rsidRPr="00FB08D1">
        <w:rPr>
          <w:rStyle w:val="FootnoteReference"/>
        </w:rPr>
        <w:footnoteRef/>
      </w:r>
      <w:r w:rsidRPr="00FB08D1">
        <w:t xml:space="preserve"> Rolesville Modification Petitions at 2-3; Cary License Supplement at 2.</w:t>
      </w:r>
    </w:p>
  </w:footnote>
  <w:footnote w:id="27">
    <w:p w:rsidR="00865837" w:rsidRPr="00FB08D1" w:rsidRDefault="00865837" w:rsidP="00F57714">
      <w:pPr>
        <w:pStyle w:val="FootnoteText"/>
        <w:spacing w:after="120"/>
      </w:pPr>
      <w:r w:rsidRPr="00FB08D1">
        <w:rPr>
          <w:rStyle w:val="FootnoteReference"/>
        </w:rPr>
        <w:footnoteRef/>
      </w:r>
      <w:r w:rsidRPr="00FB08D1">
        <w:t xml:space="preserve"> Cary License Supplement at 1. </w:t>
      </w:r>
    </w:p>
  </w:footnote>
  <w:footnote w:id="28">
    <w:p w:rsidR="00865837" w:rsidRPr="00FB08D1" w:rsidRDefault="00865837" w:rsidP="00F57714">
      <w:pPr>
        <w:pStyle w:val="FootnoteText"/>
        <w:spacing w:after="120"/>
      </w:pPr>
      <w:r w:rsidRPr="00FB08D1">
        <w:rPr>
          <w:rStyle w:val="FootnoteReference"/>
        </w:rPr>
        <w:footnoteRef/>
      </w:r>
      <w:r w:rsidRPr="00FB08D1">
        <w:t xml:space="preserve"> WPTF is licensed to First State Communications (</w:t>
      </w:r>
      <w:r w:rsidR="003224E9">
        <w:t>100</w:t>
      </w:r>
      <w:r w:rsidRPr="00FB08D1">
        <w:t xml:space="preserve"> percent voting interest held by Donald J. Curtis. </w:t>
      </w:r>
      <w:r w:rsidRPr="00FB08D1">
        <w:rPr>
          <w:i/>
        </w:rPr>
        <w:t xml:space="preserve"> See </w:t>
      </w:r>
      <w:r w:rsidRPr="00FB08D1">
        <w:t xml:space="preserve">File No. BOA-20151110AHP.).  </w:t>
      </w:r>
    </w:p>
  </w:footnote>
  <w:footnote w:id="29">
    <w:p w:rsidR="00865837" w:rsidRPr="00FB08D1" w:rsidRDefault="00865837" w:rsidP="00F57714">
      <w:pPr>
        <w:pStyle w:val="FootnoteText"/>
        <w:spacing w:after="120"/>
      </w:pPr>
      <w:r w:rsidRPr="00FB08D1">
        <w:rPr>
          <w:rStyle w:val="FootnoteReference"/>
        </w:rPr>
        <w:footnoteRef/>
      </w:r>
      <w:r w:rsidRPr="00FB08D1">
        <w:t xml:space="preserve"> Rolesville License Petitions at 2.</w:t>
      </w:r>
    </w:p>
  </w:footnote>
  <w:footnote w:id="30">
    <w:p w:rsidR="00865837" w:rsidRPr="00FB08D1" w:rsidRDefault="00865837" w:rsidP="00F57714">
      <w:pPr>
        <w:pStyle w:val="FootnoteText"/>
        <w:spacing w:after="120"/>
      </w:pPr>
      <w:r w:rsidRPr="00FB08D1">
        <w:rPr>
          <w:rStyle w:val="FootnoteReference"/>
        </w:rPr>
        <w:footnoteRef/>
      </w:r>
      <w:r w:rsidRPr="00FB08D1">
        <w:t xml:space="preserve"> Rolesville License Petitions at 2.</w:t>
      </w:r>
    </w:p>
  </w:footnote>
  <w:footnote w:id="31">
    <w:p w:rsidR="00865837" w:rsidRPr="00FB08D1" w:rsidRDefault="00865837" w:rsidP="00F57714">
      <w:pPr>
        <w:pStyle w:val="FootnoteText"/>
        <w:spacing w:after="120"/>
      </w:pPr>
      <w:r w:rsidRPr="00FB08D1">
        <w:rPr>
          <w:rStyle w:val="FootnoteReference"/>
        </w:rPr>
        <w:footnoteRef/>
      </w:r>
      <w:r w:rsidRPr="00FB08D1">
        <w:t xml:space="preserve"> Rolesville Modification Petitions at 3. </w:t>
      </w:r>
    </w:p>
  </w:footnote>
  <w:footnote w:id="32">
    <w:p w:rsidR="00865837" w:rsidRPr="00FB08D1" w:rsidRDefault="00865837" w:rsidP="00F57714">
      <w:pPr>
        <w:pStyle w:val="FootnoteText"/>
        <w:spacing w:after="120"/>
      </w:pPr>
      <w:r w:rsidRPr="00FB08D1">
        <w:rPr>
          <w:rStyle w:val="FootnoteReference"/>
        </w:rPr>
        <w:footnoteRef/>
      </w:r>
      <w:r w:rsidRPr="00FB08D1">
        <w:t xml:space="preserve"> Rolesville Modification Oppositions at 2; Rolesville License Oppositions at 4.</w:t>
      </w:r>
    </w:p>
  </w:footnote>
  <w:footnote w:id="33">
    <w:p w:rsidR="00865837" w:rsidRPr="00FB08D1" w:rsidRDefault="00865837" w:rsidP="00F57714">
      <w:pPr>
        <w:pStyle w:val="FootnoteText"/>
        <w:spacing w:after="120"/>
      </w:pPr>
      <w:r w:rsidRPr="00FB08D1">
        <w:rPr>
          <w:rStyle w:val="FootnoteReference"/>
        </w:rPr>
        <w:footnoteRef/>
      </w:r>
      <w:r w:rsidRPr="00FB08D1">
        <w:t xml:space="preserve"> Rolesville License Oppositions at 4.</w:t>
      </w:r>
    </w:p>
  </w:footnote>
  <w:footnote w:id="34">
    <w:p w:rsidR="00865837" w:rsidRPr="00FB08D1" w:rsidRDefault="00865837" w:rsidP="00F57714">
      <w:pPr>
        <w:pStyle w:val="FootnoteText"/>
        <w:spacing w:after="120"/>
      </w:pPr>
      <w:r w:rsidRPr="00FB08D1">
        <w:rPr>
          <w:rStyle w:val="FootnoteReference"/>
        </w:rPr>
        <w:footnoteRef/>
      </w:r>
      <w:r w:rsidRPr="00FB08D1">
        <w:t xml:space="preserve"> Rolesville Modification Applications, Exh. 16; </w:t>
      </w:r>
      <w:r w:rsidRPr="00FB08D1">
        <w:rPr>
          <w:i/>
        </w:rPr>
        <w:t xml:space="preserve">see also </w:t>
      </w:r>
      <w:r w:rsidRPr="00FB08D1">
        <w:t xml:space="preserve">Rolesville Modification Oppositions at 2 (citing 47 CFR § 74.1231) (“[The Curtis Licensees] fully disclosed that they intend to rebroadcast </w:t>
      </w:r>
      <w:r w:rsidRPr="00FB08D1">
        <w:rPr>
          <w:i/>
        </w:rPr>
        <w:t xml:space="preserve">different </w:t>
      </w:r>
      <w:r w:rsidRPr="00FB08D1">
        <w:t xml:space="preserve">HD subchannel signals on each FM translator . . . HD subchannels are different ‘signals’ for the purposes of the FM translator rules”). </w:t>
      </w:r>
    </w:p>
  </w:footnote>
  <w:footnote w:id="35">
    <w:p w:rsidR="008B22FF" w:rsidRPr="00724401" w:rsidRDefault="008B22FF" w:rsidP="008B22FF">
      <w:pPr>
        <w:pStyle w:val="FootnoteText"/>
        <w:spacing w:after="120"/>
      </w:pPr>
      <w:r>
        <w:rPr>
          <w:rStyle w:val="FootnoteReference"/>
        </w:rPr>
        <w:footnoteRef/>
      </w:r>
      <w:r>
        <w:t xml:space="preserve"> </w:t>
      </w:r>
      <w:r w:rsidRPr="00724401">
        <w:t xml:space="preserve">Letter from Coe W. Ramsey, Esq., </w:t>
      </w:r>
      <w:r>
        <w:t xml:space="preserve">Brooks, Pierce, McLendon, Humphrey &amp; Leonard, LLP, </w:t>
      </w:r>
      <w:r w:rsidRPr="00724401">
        <w:t>to Christine Goepp,</w:t>
      </w:r>
      <w:r>
        <w:t xml:space="preserve"> Attorney Advisor,</w:t>
      </w:r>
      <w:r w:rsidRPr="00724401">
        <w:t xml:space="preserve"> Audio Division, </w:t>
      </w:r>
      <w:r>
        <w:t xml:space="preserve">FCC Media Bureau (July 18, 2017).  </w:t>
      </w:r>
    </w:p>
  </w:footnote>
  <w:footnote w:id="36">
    <w:p w:rsidR="00865837" w:rsidRPr="00FB08D1" w:rsidRDefault="00865837" w:rsidP="00F57714">
      <w:pPr>
        <w:pStyle w:val="FootnoteText"/>
        <w:spacing w:after="120"/>
      </w:pPr>
      <w:r w:rsidRPr="00FB08D1">
        <w:rPr>
          <w:rStyle w:val="FootnoteReference"/>
        </w:rPr>
        <w:footnoteRef/>
      </w:r>
      <w:r w:rsidRPr="00FB08D1">
        <w:t xml:space="preserve"> Rolesville Modification Oppositions at 2</w:t>
      </w:r>
      <w:r w:rsidRPr="00FB08D1">
        <w:rPr>
          <w:iCs/>
        </w:rPr>
        <w:t xml:space="preserve">; Cary </w:t>
      </w:r>
      <w:r>
        <w:rPr>
          <w:iCs/>
        </w:rPr>
        <w:t xml:space="preserve">License </w:t>
      </w:r>
      <w:r w:rsidRPr="00FB08D1">
        <w:rPr>
          <w:iCs/>
        </w:rPr>
        <w:t>Opposition at 3, n.44.</w:t>
      </w:r>
    </w:p>
  </w:footnote>
  <w:footnote w:id="37">
    <w:p w:rsidR="00865837" w:rsidRPr="00FB08D1" w:rsidRDefault="00865837" w:rsidP="00F57714">
      <w:pPr>
        <w:pStyle w:val="FootnoteText"/>
        <w:spacing w:after="120"/>
      </w:pPr>
      <w:r w:rsidRPr="00FB08D1">
        <w:rPr>
          <w:rStyle w:val="FootnoteReference"/>
        </w:rPr>
        <w:footnoteRef/>
      </w:r>
      <w:r w:rsidRPr="00FB08D1">
        <w:t xml:space="preserve"> Cary License Opposition at 3.</w:t>
      </w:r>
    </w:p>
  </w:footnote>
  <w:footnote w:id="38">
    <w:p w:rsidR="00865837" w:rsidRPr="00FB08D1" w:rsidRDefault="00865837" w:rsidP="00F57714">
      <w:pPr>
        <w:pStyle w:val="FootnoteText"/>
        <w:spacing w:after="120"/>
      </w:pPr>
      <w:r w:rsidRPr="00FB08D1">
        <w:rPr>
          <w:rStyle w:val="FootnoteReference"/>
        </w:rPr>
        <w:footnoteRef/>
      </w:r>
      <w:r w:rsidRPr="00FB08D1">
        <w:t xml:space="preserve"> </w:t>
      </w:r>
      <w:r>
        <w:t>Cary License Petition at 2 (arguing that the</w:t>
      </w:r>
      <w:r w:rsidR="00997294">
        <w:t>se</w:t>
      </w:r>
      <w:r>
        <w:t xml:space="preserve"> </w:t>
      </w:r>
      <w:r w:rsidRPr="00C756E5">
        <w:t xml:space="preserve">minimum operating requirements apply to periods </w:t>
      </w:r>
      <w:r>
        <w:t>“</w:t>
      </w:r>
      <w:r w:rsidRPr="00C756E5">
        <w:t>during which the station is operated pursuant to temporary authorization or program tests, as well as during the license period</w:t>
      </w:r>
      <w:r>
        <w:t>”);</w:t>
      </w:r>
      <w:r w:rsidR="00997294">
        <w:t xml:space="preserve"> </w:t>
      </w:r>
      <w:r w:rsidR="00997294">
        <w:rPr>
          <w:i/>
        </w:rPr>
        <w:t>see</w:t>
      </w:r>
      <w:r w:rsidRPr="00C756E5">
        <w:t xml:space="preserve"> </w:t>
      </w:r>
      <w:r w:rsidRPr="00FB08D1">
        <w:t>47 CFR § 73.1740.</w:t>
      </w:r>
    </w:p>
  </w:footnote>
  <w:footnote w:id="39">
    <w:p w:rsidR="00865837" w:rsidRPr="00FB08D1" w:rsidRDefault="00865837" w:rsidP="00F57714">
      <w:pPr>
        <w:pStyle w:val="FootnoteText"/>
        <w:spacing w:after="120"/>
      </w:pPr>
      <w:r w:rsidRPr="00FB08D1">
        <w:rPr>
          <w:rStyle w:val="FootnoteReference"/>
        </w:rPr>
        <w:footnoteRef/>
      </w:r>
      <w:r w:rsidRPr="00FB08D1">
        <w:t xml:space="preserve"> </w:t>
      </w:r>
      <w:r>
        <w:t>Cary License Opposition</w:t>
      </w:r>
      <w:r w:rsidRPr="00FB08D1">
        <w:t xml:space="preserve"> at 2, n.3 (citing 47 CFR § 74.14(a)).</w:t>
      </w:r>
    </w:p>
  </w:footnote>
  <w:footnote w:id="40">
    <w:p w:rsidR="00865837" w:rsidRDefault="00865837" w:rsidP="00F57714">
      <w:pPr>
        <w:pStyle w:val="FootnoteText"/>
        <w:spacing w:after="120"/>
      </w:pPr>
      <w:r>
        <w:rPr>
          <w:rStyle w:val="FootnoteReference"/>
        </w:rPr>
        <w:footnoteRef/>
      </w:r>
      <w:r>
        <w:t xml:space="preserve"> Cary License Opposition at 2, n.3. (citing </w:t>
      </w:r>
      <w:r w:rsidRPr="00FB08D1">
        <w:t>47 CFR § 74.1263(a)</w:t>
      </w:r>
      <w:r>
        <w:t>)</w:t>
      </w:r>
      <w:r w:rsidRPr="00FB08D1">
        <w:t>.</w:t>
      </w:r>
    </w:p>
  </w:footnote>
  <w:footnote w:id="41">
    <w:p w:rsidR="00865837" w:rsidRPr="00FB08D1" w:rsidRDefault="00865837" w:rsidP="00F57714">
      <w:pPr>
        <w:pStyle w:val="FootnoteText"/>
        <w:spacing w:after="120"/>
      </w:pPr>
      <w:r w:rsidRPr="00FB08D1">
        <w:rPr>
          <w:rStyle w:val="FootnoteReference"/>
        </w:rPr>
        <w:footnoteRef/>
      </w:r>
      <w:r w:rsidRPr="00FB08D1">
        <w:t xml:space="preserve"> Cary License Opposition at 1</w:t>
      </w:r>
      <w:r>
        <w:t xml:space="preserve"> (internal quotation omitted)</w:t>
      </w:r>
      <w:r w:rsidRPr="00FB08D1">
        <w:t xml:space="preserve">. </w:t>
      </w:r>
    </w:p>
  </w:footnote>
  <w:footnote w:id="42">
    <w:p w:rsidR="00865837" w:rsidRPr="00FB08D1" w:rsidRDefault="00865837" w:rsidP="00F57714">
      <w:pPr>
        <w:pStyle w:val="FootnoteText"/>
        <w:spacing w:after="120"/>
      </w:pPr>
      <w:r w:rsidRPr="00FB08D1">
        <w:rPr>
          <w:rStyle w:val="FootnoteReference"/>
        </w:rPr>
        <w:footnoteRef/>
      </w:r>
      <w:r w:rsidRPr="00FB08D1">
        <w:t xml:space="preserve"> Cary License Opposition at 2.</w:t>
      </w:r>
    </w:p>
  </w:footnote>
  <w:footnote w:id="43">
    <w:p w:rsidR="00865837" w:rsidRPr="00FB08D1" w:rsidRDefault="00865837" w:rsidP="00F57714">
      <w:pPr>
        <w:pStyle w:val="FootnoteText"/>
        <w:spacing w:after="120"/>
      </w:pPr>
      <w:r w:rsidRPr="00FB08D1">
        <w:rPr>
          <w:rStyle w:val="FootnoteReference"/>
        </w:rPr>
        <w:footnoteRef/>
      </w:r>
      <w:r w:rsidRPr="00FB08D1">
        <w:t xml:space="preserve"> </w:t>
      </w:r>
      <w:r w:rsidRPr="00FB08D1">
        <w:rPr>
          <w:i/>
          <w:iCs/>
        </w:rPr>
        <w:t>See</w:t>
      </w:r>
      <w:r w:rsidRPr="00FB08D1">
        <w:t xml:space="preserve"> 47 CFR § 1.106(c)(1) (Section 1.106(c)(1)); </w:t>
      </w:r>
      <w:r w:rsidRPr="00FB08D1">
        <w:rPr>
          <w:i/>
          <w:iCs/>
        </w:rPr>
        <w:t>WWIZ, Inc.,</w:t>
      </w:r>
      <w:r w:rsidRPr="00FB08D1">
        <w:t xml:space="preserve"> Memorandum Opinion and Order, 37 FCC 685, 686 (1964).</w:t>
      </w:r>
    </w:p>
  </w:footnote>
  <w:footnote w:id="44">
    <w:p w:rsidR="00865837" w:rsidRPr="00FB08D1" w:rsidRDefault="00865837" w:rsidP="00F57714">
      <w:pPr>
        <w:pStyle w:val="FootnoteText"/>
        <w:spacing w:after="120"/>
      </w:pPr>
      <w:r w:rsidRPr="00FB08D1">
        <w:rPr>
          <w:rStyle w:val="FootnoteReference"/>
        </w:rPr>
        <w:footnoteRef/>
      </w:r>
      <w:r w:rsidRPr="00FB08D1">
        <w:t xml:space="preserve"> </w:t>
      </w:r>
      <w:r>
        <w:rPr>
          <w:i/>
        </w:rPr>
        <w:t xml:space="preserve">See </w:t>
      </w:r>
      <w:r w:rsidRPr="00FB08D1">
        <w:t xml:space="preserve">47 U.S.C. § 319(c) (requiring the Commission to issue a license where a construction permit has been granted and it appears that the terms of such permit have been met, and “that no cause or circumstance arising or first coming to the knowledge of the Commission since the granting of the permit would, in the judgment of the Commission, make the operation of such station against the public interest...”); </w:t>
      </w:r>
      <w:r w:rsidRPr="00FB08D1">
        <w:rPr>
          <w:i/>
        </w:rPr>
        <w:t>Focus Cable of Oakland, Inc.</w:t>
      </w:r>
      <w:r w:rsidRPr="00FB08D1">
        <w:t>, Memorandum Opinion and Order, 65 FCC 2d 35, 39-40, para. 11 (1977).</w:t>
      </w:r>
    </w:p>
  </w:footnote>
  <w:footnote w:id="45">
    <w:p w:rsidR="00865837" w:rsidRPr="00FB08D1" w:rsidRDefault="00865837" w:rsidP="00F57714">
      <w:pPr>
        <w:pStyle w:val="FootnoteText"/>
        <w:spacing w:after="120"/>
      </w:pPr>
      <w:r w:rsidRPr="00FB08D1">
        <w:rPr>
          <w:rStyle w:val="FootnoteReference"/>
        </w:rPr>
        <w:footnoteRef/>
      </w:r>
      <w:r w:rsidRPr="00FB08D1">
        <w:t xml:space="preserve"> </w:t>
      </w:r>
      <w:r w:rsidRPr="00FB08D1">
        <w:rPr>
          <w:rStyle w:val="emphi"/>
          <w:i/>
        </w:rPr>
        <w:t>See, e.g., Meyer Broadcasting Company</w:t>
      </w:r>
      <w:r w:rsidRPr="00FB08D1">
        <w:t xml:space="preserve">, </w:t>
      </w:r>
      <w:r>
        <w:t xml:space="preserve">Memorandum Opinion and Order, </w:t>
      </w:r>
      <w:r w:rsidRPr="00FB08D1">
        <w:t>65 FCC 2d 438, 441 (1977).</w:t>
      </w:r>
    </w:p>
  </w:footnote>
  <w:footnote w:id="46">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See, e.g., Entercom License, LLC</w:t>
      </w:r>
      <w:r w:rsidRPr="00FB08D1">
        <w:t>, Hearing Designation Order,</w:t>
      </w:r>
      <w:r>
        <w:t xml:space="preserve"> 31 FCC Rcd 12196, 12205 (2016);</w:t>
      </w:r>
      <w:r w:rsidRPr="00AC7302">
        <w:rPr>
          <w:i/>
        </w:rPr>
        <w:t xml:space="preserve"> </w:t>
      </w:r>
      <w:r w:rsidRPr="00FB08D1">
        <w:rPr>
          <w:i/>
        </w:rPr>
        <w:t xml:space="preserve">Melodie Virtue, Esq., </w:t>
      </w:r>
      <w:r w:rsidRPr="00FB08D1">
        <w:t>Letter Decision, 30 FCC Rcd 6045 (MB 2015) (holding that a party to an administrative proceeding may either satisfy one of the three traditionally-accepted categories of standing for broadcast petitioners: (1) competitors suffering signal interference; (2) competitors suffering economic harm; or (3) residents of the Station's service area</w:t>
      </w:r>
      <w:bookmarkStart w:id="7" w:name="a0g8p0j8q7_ref"/>
      <w:bookmarkEnd w:id="7"/>
      <w:r w:rsidRPr="00FB08D1">
        <w:t>, or satisfy the “stricter” Article III standard).</w:t>
      </w:r>
      <w:r w:rsidRPr="00AC7302">
        <w:t xml:space="preserve"> </w:t>
      </w:r>
      <w:r>
        <w:t xml:space="preserve"> </w:t>
      </w:r>
      <w:r w:rsidRPr="00FB08D1">
        <w:t xml:space="preserve">To satisfy the Article III standard, a party must prove three elements: (1) it has suffered or will suffer injury-in-fact; (2) there is a causal link between the proposed assignment and the injury-in-fact; and (3) redressability, meaning that not granting the assignment would remedy the injury-in-fact.  </w:t>
      </w:r>
      <w:r w:rsidRPr="00FB08D1">
        <w:rPr>
          <w:rStyle w:val="emphi"/>
          <w:i/>
        </w:rPr>
        <w:t>Lujan v. Defenders of Wildlife</w:t>
      </w:r>
      <w:r w:rsidRPr="00FB08D1">
        <w:rPr>
          <w:rStyle w:val="emphi"/>
        </w:rPr>
        <w:t>,</w:t>
      </w:r>
      <w:r>
        <w:t xml:space="preserve"> 504 U.S. 555 (1992).</w:t>
      </w:r>
    </w:p>
  </w:footnote>
  <w:footnote w:id="47">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See, e.g., Hammock Environmental and Educational Community Services</w:t>
      </w:r>
      <w:r w:rsidRPr="00FB08D1">
        <w:t>, Letter Decision, 25 FCC Rcd 12804, 12805 n.5 (MB 2010) (finding that a commercial licensee had standing to object to the application of an NCE license “by virtue of its status as a potential competitor”);</w:t>
      </w:r>
      <w:r w:rsidRPr="00FB08D1">
        <w:rPr>
          <w:i/>
        </w:rPr>
        <w:t xml:space="preserve"> Dry Prong Educational Broadcasting Foundation</w:t>
      </w:r>
      <w:r w:rsidRPr="00FB08D1">
        <w:t>, Hearing Designation Order, 7 FCC Rcd 496, 496 (ASD 1992) (rejecting NCE applicant’s argument that commercial objector lacked standing as a competitor with an NCE licensee proposing “noncommercial service only”).</w:t>
      </w:r>
    </w:p>
  </w:footnote>
  <w:footnote w:id="48">
    <w:p w:rsidR="00865837" w:rsidRPr="00FB08D1" w:rsidRDefault="00865837" w:rsidP="00F57714">
      <w:pPr>
        <w:pStyle w:val="FootnoteText"/>
        <w:spacing w:after="120"/>
      </w:pPr>
      <w:r w:rsidRPr="00FB08D1">
        <w:rPr>
          <w:rStyle w:val="FootnoteReference"/>
        </w:rPr>
        <w:footnoteRef/>
      </w:r>
      <w:r w:rsidRPr="00FB08D1">
        <w:t xml:space="preserve">  </w:t>
      </w:r>
      <w:r>
        <w:rPr>
          <w:i/>
        </w:rPr>
        <w:t>See, e.g., John F. Garziglia, Esq.</w:t>
      </w:r>
      <w:r>
        <w:t>, Letter 28 FCC Rcd 12622, 126223 (MB 2013) (citing</w:t>
      </w:r>
      <w:r w:rsidRPr="00AC7302">
        <w:t xml:space="preserve"> </w:t>
      </w:r>
      <w:r w:rsidRPr="00AC7302">
        <w:rPr>
          <w:i/>
        </w:rPr>
        <w:t>CAPH v. FCC</w:t>
      </w:r>
      <w:r w:rsidRPr="00AC7302">
        <w:t xml:space="preserve">, 778 F.2d 823, 826 n.8 (D.C. Cir. 1985) (“The Article III restrictions under which this court operates do not, of course, apply to the FCC. The Commission may choose to allow persons without Article III ‘standing’ to participate in FCC proceedings, as it did in this case.”); </w:t>
      </w:r>
      <w:r w:rsidRPr="00AC7302">
        <w:rPr>
          <w:i/>
        </w:rPr>
        <w:t>National Welfare Rights Org. v. Finch</w:t>
      </w:r>
      <w:r w:rsidRPr="00AC7302">
        <w:t>, 429 F.2d 725, 732 n.27 (D.C. Cir. 1970) (“Standing to sue depends on more restrictive criteria than standing to appear before administrative agencies ... .”)</w:t>
      </w:r>
      <w:r>
        <w:t>)</w:t>
      </w:r>
      <w:r w:rsidRPr="00AC7302">
        <w:t>.</w:t>
      </w:r>
      <w:r>
        <w:t xml:space="preserve"> </w:t>
      </w:r>
    </w:p>
  </w:footnote>
  <w:footnote w:id="49">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K</w:t>
      </w:r>
      <w:r>
        <w:rPr>
          <w:i/>
        </w:rPr>
        <w:t>ERM</w:t>
      </w:r>
      <w:r w:rsidRPr="00FB08D1">
        <w:t>, 353 F.3d at 59 (“That a petitioner participated in administrative proceedings before an agency does not establish that the petitioner has constitutional standing to challenge those proceedings in federal court.”).</w:t>
      </w:r>
    </w:p>
  </w:footnote>
  <w:footnote w:id="50">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See, e.g., Jeffrey D. Southmayd, Esq.</w:t>
      </w:r>
      <w:r w:rsidRPr="00FB08D1">
        <w:t xml:space="preserve">, Letter Decision, </w:t>
      </w:r>
      <w:r w:rsidRPr="00FB08D1">
        <w:rPr>
          <w:iCs/>
        </w:rPr>
        <w:t>31 FCC Rcd 10912, 10924 (2016).</w:t>
      </w:r>
    </w:p>
  </w:footnote>
  <w:footnote w:id="51">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See, e.g., Church Planters of America</w:t>
      </w:r>
      <w:r w:rsidRPr="00FB08D1">
        <w:t xml:space="preserve">, Memorandum Opinion and Order, 31 FCC Rcd 3607 (MB 2016); </w:t>
      </w:r>
      <w:r w:rsidRPr="00FB08D1">
        <w:rPr>
          <w:i/>
        </w:rPr>
        <w:t>Masconomet Regional School District</w:t>
      </w:r>
      <w:r w:rsidRPr="00FB08D1">
        <w:t>, Order, 31 FCC Rcd 2166 (MB 2016).</w:t>
      </w:r>
    </w:p>
  </w:footnote>
  <w:footnote w:id="52">
    <w:p w:rsidR="00F57714" w:rsidRPr="00F57714" w:rsidRDefault="00F57714" w:rsidP="00F57714">
      <w:pPr>
        <w:pStyle w:val="FootnoteText"/>
        <w:spacing w:after="120"/>
      </w:pPr>
      <w:r>
        <w:rPr>
          <w:rStyle w:val="FootnoteReference"/>
        </w:rPr>
        <w:footnoteRef/>
      </w:r>
      <w:r>
        <w:t xml:space="preserve"> </w:t>
      </w:r>
      <w:r>
        <w:rPr>
          <w:i/>
        </w:rPr>
        <w:t xml:space="preserve">See, e.g., </w:t>
      </w:r>
      <w:r w:rsidRPr="00F57714">
        <w:rPr>
          <w:i/>
        </w:rPr>
        <w:t xml:space="preserve">Ted and Jana Tucker, </w:t>
      </w:r>
      <w:r w:rsidRPr="00F57714">
        <w:t>Memorandum Opinion and Order, 4 FCC Red 2816, 2816 (1989) (standing to file a petition for reconsideration found when application granted four days after public notice issued);</w:t>
      </w:r>
      <w:r w:rsidRPr="00F57714">
        <w:rPr>
          <w:i/>
        </w:rPr>
        <w:t xml:space="preserve"> Aspen FM, Inc., </w:t>
      </w:r>
      <w:r w:rsidRPr="00F57714">
        <w:t>Memorandum Opinion and Order, 12 FCC Red 17852, 17854-55 (1997) (standing to file a petition for reconsideration found when application granted five days after acceptance).</w:t>
      </w:r>
    </w:p>
  </w:footnote>
  <w:footnote w:id="53">
    <w:p w:rsidR="00865837" w:rsidRPr="00FB08D1" w:rsidRDefault="00865837" w:rsidP="00F57714">
      <w:pPr>
        <w:pStyle w:val="FootnoteText"/>
        <w:spacing w:after="120"/>
      </w:pPr>
      <w:r w:rsidRPr="00FB08D1">
        <w:rPr>
          <w:rStyle w:val="FootnoteReference"/>
        </w:rPr>
        <w:footnoteRef/>
      </w:r>
      <w:r w:rsidRPr="00FB08D1">
        <w:t xml:space="preserve"> </w:t>
      </w:r>
      <w:r w:rsidRPr="00FB08D1">
        <w:rPr>
          <w:i/>
          <w:iCs/>
        </w:rPr>
        <w:t>Mobile Telephone</w:t>
      </w:r>
      <w:r w:rsidRPr="00FB08D1">
        <w:t>, Memorandum Opinion and Order, 91 FCC 2d 907, 909 (1982).</w:t>
      </w:r>
    </w:p>
  </w:footnote>
  <w:footnote w:id="54">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See Qwest Communications Corporation v. Farmers and Merchants Mutual Telephone Company</w:t>
      </w:r>
      <w:r w:rsidRPr="00FB08D1">
        <w:t xml:space="preserve">, Third Order on Reconsideration, </w:t>
      </w:r>
      <w:r w:rsidRPr="00FB08D1">
        <w:rPr>
          <w:rStyle w:val="displayhltextactive"/>
        </w:rPr>
        <w:t>25 FCC Rcd 3422</w:t>
      </w:r>
      <w:r w:rsidRPr="00FB08D1">
        <w:rPr>
          <w:noProof/>
          <w:color w:val="0000FF"/>
        </w:rPr>
        <w:drawing>
          <wp:inline distT="0" distB="0" distL="0" distR="0" wp14:anchorId="139BF16E" wp14:editId="76269CB9">
            <wp:extent cx="9525" cy="9525"/>
            <wp:effectExtent l="0" t="0" r="0" b="0"/>
            <wp:docPr id="34" name="Picture 34" descr="next h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next h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08D1">
        <w:rPr>
          <w:rStyle w:val="displayhltextactive"/>
        </w:rPr>
        <w:t xml:space="preserve">, 3424-25 (2010) (citing </w:t>
      </w:r>
      <w:r w:rsidRPr="00FB08D1">
        <w:rPr>
          <w:rStyle w:val="emphi"/>
          <w:i/>
        </w:rPr>
        <w:t>Gottlieb v. Pena</w:t>
      </w:r>
      <w:r w:rsidRPr="00FB08D1">
        <w:t>, 41 F3d 730, 733 (D.C. Cir. 1994)</w:t>
      </w:r>
      <w:r w:rsidR="00997294">
        <w:t xml:space="preserve"> </w:t>
      </w:r>
      <w:r w:rsidRPr="00FB08D1">
        <w:t>(“It is well settled ... that where Congress has placed an agency under a legal obligation to render a decision within a stated time period but has not set forth the consequences of exceeding that period, ordinarily the time period is directory rather than mandatory, and an agency will not lose jurisdiction over the matter upon expiration of that period.”)).</w:t>
      </w:r>
    </w:p>
  </w:footnote>
  <w:footnote w:id="55">
    <w:p w:rsidR="00865837" w:rsidRPr="00FB08D1" w:rsidRDefault="00865837" w:rsidP="00F57714">
      <w:pPr>
        <w:pStyle w:val="FootnoteText"/>
        <w:spacing w:after="120"/>
      </w:pPr>
      <w:r w:rsidRPr="00FB08D1">
        <w:rPr>
          <w:rStyle w:val="FootnoteReference"/>
        </w:rPr>
        <w:footnoteRef/>
      </w:r>
      <w:r w:rsidRPr="00FB08D1">
        <w:t xml:space="preserve"> </w:t>
      </w:r>
      <w:r w:rsidR="00985E0E">
        <w:rPr>
          <w:i/>
        </w:rPr>
        <w:t>Creation of a Low Power Radio Service</w:t>
      </w:r>
      <w:r w:rsidR="00985E0E">
        <w:t>, Fourth Report and Order and Third Order on Reconsideration</w:t>
      </w:r>
      <w:r w:rsidRPr="00FB08D1">
        <w:t xml:space="preserve">, 27 FCC Rcd </w:t>
      </w:r>
      <w:r w:rsidR="00985E0E">
        <w:t>3364,</w:t>
      </w:r>
      <w:r w:rsidRPr="00FB08D1">
        <w:t xml:space="preserve"> 3392</w:t>
      </w:r>
      <w:r w:rsidR="00985E0E">
        <w:t>, para. 59 (2012)</w:t>
      </w:r>
      <w:r w:rsidRPr="00FB08D1">
        <w:t>.</w:t>
      </w:r>
    </w:p>
  </w:footnote>
  <w:footnote w:id="56">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FM Translator Stations</w:t>
      </w:r>
      <w:r w:rsidRPr="00FB08D1">
        <w:t>, Report and Order, 5 FCC Rcd 7212, 7222-23 (1990) (</w:t>
      </w:r>
      <w:r w:rsidRPr="00FB08D1">
        <w:rPr>
          <w:i/>
        </w:rPr>
        <w:t>Translator Order</w:t>
      </w:r>
      <w:r w:rsidRPr="00FB08D1">
        <w:t>).</w:t>
      </w:r>
    </w:p>
  </w:footnote>
  <w:footnote w:id="57">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See Creation of a Low Power Radio Service</w:t>
      </w:r>
      <w:r w:rsidRPr="00FB08D1">
        <w:t xml:space="preserve">, Fifth Order on Reconsideration and Sixth Report and Order, 27 FCC Rcd 15402, 15419 n.106 (2012) (clarifying that the technical need rule is triggered by applications proposing “substantial contour overlap”); </w:t>
      </w:r>
      <w:r w:rsidRPr="00FB08D1">
        <w:rPr>
          <w:i/>
        </w:rPr>
        <w:t>John Jason Bennett</w:t>
      </w:r>
      <w:r w:rsidRPr="00FB08D1">
        <w:t>, Letter, 20 FCC Rcd 17193, 17194 (MB 2005) (explaining that a Section 74.1232(b) issue could be resolved by modifying the relevant construction permit to “eliminate the vast majority of the contour overlap.”)</w:t>
      </w:r>
    </w:p>
  </w:footnote>
  <w:footnote w:id="58">
    <w:p w:rsidR="00865837" w:rsidRPr="00D36772" w:rsidRDefault="00865837" w:rsidP="00F57714">
      <w:pPr>
        <w:pStyle w:val="FootnoteText"/>
        <w:spacing w:after="120"/>
        <w:rPr>
          <w:i/>
        </w:rPr>
      </w:pPr>
      <w:r w:rsidRPr="00FB08D1">
        <w:rPr>
          <w:rStyle w:val="FootnoteReference"/>
        </w:rPr>
        <w:footnoteRef/>
      </w:r>
      <w:r w:rsidRPr="00FB08D1">
        <w:t xml:space="preserve"> </w:t>
      </w:r>
      <w:r>
        <w:rPr>
          <w:i/>
        </w:rPr>
        <w:t>Saga</w:t>
      </w:r>
      <w:r>
        <w:t xml:space="preserve">, </w:t>
      </w:r>
      <w:r w:rsidRPr="00FB08D1">
        <w:t xml:space="preserve">25 FCC Rcd </w:t>
      </w:r>
      <w:r>
        <w:t>at</w:t>
      </w:r>
      <w:r w:rsidRPr="00FB08D1">
        <w:t xml:space="preserve"> 4692-93</w:t>
      </w:r>
      <w:r>
        <w:t xml:space="preserve"> (citing </w:t>
      </w:r>
      <w:r w:rsidRPr="00FB08D1">
        <w:rPr>
          <w:i/>
          <w:iCs/>
        </w:rPr>
        <w:t>Digital Audio Broadcasting Systems and Their Impact on the Terrestrial Radio Broadcasting Service</w:t>
      </w:r>
      <w:r w:rsidRPr="00FB08D1">
        <w:t>, Second Report and Order, First Order on Reconsideration and Second Further Notice of Proposed Rulemaking, 22 FCC Rcd 10344 (2007) (</w:t>
      </w:r>
      <w:r w:rsidRPr="00FB08D1">
        <w:rPr>
          <w:i/>
        </w:rPr>
        <w:t>Digital Audio Broadcasting Order</w:t>
      </w:r>
      <w:r w:rsidRPr="00FB08D1">
        <w:t>)</w:t>
      </w:r>
      <w:r>
        <w:t>).</w:t>
      </w:r>
    </w:p>
  </w:footnote>
  <w:footnote w:id="59">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 xml:space="preserve">See </w:t>
      </w:r>
      <w:r w:rsidRPr="00FB08D1">
        <w:rPr>
          <w:i/>
          <w:iCs/>
        </w:rPr>
        <w:t xml:space="preserve">Digital Audio Broadcasting </w:t>
      </w:r>
      <w:r>
        <w:rPr>
          <w:i/>
          <w:iCs/>
        </w:rPr>
        <w:t>Order</w:t>
      </w:r>
      <w:r w:rsidRPr="00FB08D1">
        <w:t xml:space="preserve">, 22 FCC Rcd </w:t>
      </w:r>
      <w:r>
        <w:t>at</w:t>
      </w:r>
      <w:r w:rsidRPr="00FB08D1">
        <w:t xml:space="preserve"> 10682</w:t>
      </w:r>
      <w:r>
        <w:t xml:space="preserve"> (holding that the Commission will</w:t>
      </w:r>
      <w:r w:rsidRPr="0046674F">
        <w:t xml:space="preserve"> “permit the use of digital translator and booster stations during interim [digital</w:t>
      </w:r>
      <w:r>
        <w:t xml:space="preserve"> audio broadcasting] operations</w:t>
      </w:r>
      <w:r w:rsidRPr="0046674F">
        <w:t>”</w:t>
      </w:r>
      <w:r>
        <w:t>)</w:t>
      </w:r>
      <w:r w:rsidRPr="00FB08D1">
        <w:t>.</w:t>
      </w:r>
    </w:p>
  </w:footnote>
  <w:footnote w:id="60">
    <w:p w:rsidR="00865837" w:rsidRPr="00FB08D1" w:rsidRDefault="00865837" w:rsidP="00F57714">
      <w:pPr>
        <w:pStyle w:val="FootnoteText"/>
        <w:spacing w:after="120"/>
      </w:pPr>
      <w:r w:rsidRPr="00FB08D1">
        <w:rPr>
          <w:rStyle w:val="FootnoteReference"/>
        </w:rPr>
        <w:footnoteRef/>
      </w:r>
      <w:r w:rsidRPr="00FB08D1">
        <w:t xml:space="preserve"> </w:t>
      </w:r>
      <w:r>
        <w:rPr>
          <w:i/>
        </w:rPr>
        <w:t>Saga</w:t>
      </w:r>
      <w:r>
        <w:t xml:space="preserve">, </w:t>
      </w:r>
      <w:r w:rsidRPr="00FB08D1">
        <w:t xml:space="preserve">25 FCC Rcd </w:t>
      </w:r>
      <w:r>
        <w:t>at</w:t>
      </w:r>
      <w:r w:rsidRPr="00FB08D1">
        <w:t xml:space="preserve"> 4692-93.</w:t>
      </w:r>
    </w:p>
  </w:footnote>
  <w:footnote w:id="61">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Digital Audio Broadcasting Order</w:t>
      </w:r>
      <w:r w:rsidRPr="00FB08D1">
        <w:t>, 22 FCC Rcd at 10381.</w:t>
      </w:r>
    </w:p>
  </w:footnote>
  <w:footnote w:id="62">
    <w:p w:rsidR="00865837" w:rsidRPr="00FB08D1" w:rsidRDefault="00865837" w:rsidP="00F57714">
      <w:pPr>
        <w:pStyle w:val="FootnoteText"/>
        <w:spacing w:after="120"/>
      </w:pPr>
      <w:r w:rsidRPr="00FB08D1">
        <w:rPr>
          <w:rStyle w:val="FootnoteReference"/>
        </w:rPr>
        <w:footnoteRef/>
      </w:r>
      <w:r w:rsidRPr="00FB08D1">
        <w:t xml:space="preserve"> </w:t>
      </w:r>
      <w:r w:rsidRPr="00FB08D1">
        <w:rPr>
          <w:i/>
        </w:rPr>
        <w:t>FM Translator and Booster Stations</w:t>
      </w:r>
      <w:r w:rsidRPr="00FB08D1">
        <w:t xml:space="preserve">, Report and Order, 20 RR.2d 1538 (1970) (emphasis added). </w:t>
      </w:r>
    </w:p>
  </w:footnote>
  <w:footnote w:id="63">
    <w:p w:rsidR="00865837" w:rsidRPr="00FB08D1" w:rsidRDefault="00865837" w:rsidP="00F57714">
      <w:pPr>
        <w:pStyle w:val="FootnoteText"/>
        <w:spacing w:after="120"/>
      </w:pPr>
      <w:r w:rsidRPr="00FB08D1">
        <w:rPr>
          <w:rStyle w:val="FootnoteReference"/>
        </w:rPr>
        <w:footnoteRef/>
      </w:r>
      <w:r w:rsidRPr="00FB08D1">
        <w:t xml:space="preserve"> FCC Form 349, Section III-A, Question 14 (emphasis added).</w:t>
      </w:r>
    </w:p>
  </w:footnote>
  <w:footnote w:id="64">
    <w:p w:rsidR="00865837" w:rsidRPr="00FB08D1" w:rsidRDefault="00865837" w:rsidP="00F57714">
      <w:pPr>
        <w:pStyle w:val="FootnoteText"/>
        <w:spacing w:after="120"/>
      </w:pPr>
      <w:r w:rsidRPr="00FB08D1">
        <w:rPr>
          <w:rStyle w:val="FootnoteReference"/>
        </w:rPr>
        <w:footnoteRef/>
      </w:r>
      <w:r w:rsidRPr="00FB08D1">
        <w:t xml:space="preserve"> 47 CFR § 74.1201(a) (emphasis added); </w:t>
      </w:r>
      <w:r w:rsidRPr="00FB08D1">
        <w:rPr>
          <w:i/>
        </w:rPr>
        <w:t xml:space="preserve">see also </w:t>
      </w:r>
      <w:r w:rsidRPr="00FB08D1">
        <w:t>47 CFR § 74.1201(b) (describing a primary station as “radiating the signals which are retransmitted by an FM broadcast translator station”); 47 CFR § 74.1231(a) (“FM translators provide a means whereby the signals of AM or FM broadcast stations may be retransmitted to areas in which direct reception of such AM or FM broadcast stations is unsatisfactory”); 47 CFR § 74.1231(b) (“An FM translator may be used for the purpose of retransmitting the signals of a primary AM or FM radio broadcast station . . .”).</w:t>
      </w:r>
    </w:p>
  </w:footnote>
  <w:footnote w:id="65">
    <w:p w:rsidR="00865837" w:rsidRPr="00FB08D1" w:rsidRDefault="00865837" w:rsidP="00F57714">
      <w:pPr>
        <w:pStyle w:val="FootnoteText"/>
        <w:spacing w:after="120"/>
      </w:pPr>
      <w:r w:rsidRPr="00FB08D1">
        <w:rPr>
          <w:rStyle w:val="FootnoteReference"/>
        </w:rPr>
        <w:footnoteRef/>
      </w:r>
      <w:r w:rsidRPr="00FB08D1">
        <w:t xml:space="preserve"> Because we conclude that no technical need showing</w:t>
      </w:r>
      <w:r>
        <w:t>s are</w:t>
      </w:r>
      <w:r w:rsidRPr="00FB08D1">
        <w:t xml:space="preserve"> necessary, we need not address the adequacy of Exhibit 16 of the Modification Applications in this respect.</w:t>
      </w:r>
    </w:p>
  </w:footnote>
  <w:footnote w:id="66">
    <w:p w:rsidR="00865837" w:rsidRPr="00FB08D1" w:rsidRDefault="00865837" w:rsidP="00F57714">
      <w:pPr>
        <w:pStyle w:val="FootnoteText"/>
        <w:spacing w:after="120"/>
      </w:pPr>
      <w:r w:rsidRPr="00FB08D1">
        <w:rPr>
          <w:rStyle w:val="FootnoteReference"/>
        </w:rPr>
        <w:footnoteRef/>
      </w:r>
      <w:r w:rsidRPr="00FB08D1">
        <w:t xml:space="preserve"> 47 CFR § 74.1251(c); </w:t>
      </w:r>
      <w:r w:rsidRPr="00FB08D1">
        <w:rPr>
          <w:i/>
        </w:rPr>
        <w:t>Processing of Broadcast Applications</w:t>
      </w:r>
      <w:r w:rsidRPr="00FB08D1">
        <w:t>, First Report and Order, 56 RR.2d 941 (1984).</w:t>
      </w:r>
    </w:p>
  </w:footnote>
  <w:footnote w:id="67">
    <w:p w:rsidR="00865837" w:rsidRPr="00FB08D1" w:rsidRDefault="00865837" w:rsidP="00F57714">
      <w:pPr>
        <w:pStyle w:val="FootnoteText"/>
        <w:spacing w:after="120"/>
      </w:pPr>
      <w:r w:rsidRPr="00FB08D1">
        <w:rPr>
          <w:rStyle w:val="FootnoteReference"/>
        </w:rPr>
        <w:footnoteRef/>
      </w:r>
      <w:r w:rsidRPr="00FB08D1">
        <w:t xml:space="preserve"> Note to 47 CFR § 74.1232(b).</w:t>
      </w:r>
    </w:p>
  </w:footnote>
  <w:footnote w:id="68">
    <w:p w:rsidR="00865837" w:rsidRPr="00FB08D1" w:rsidRDefault="00865837" w:rsidP="00F57714">
      <w:pPr>
        <w:pStyle w:val="FootnoteText"/>
        <w:spacing w:after="120"/>
      </w:pPr>
      <w:r w:rsidRPr="00FB08D1">
        <w:rPr>
          <w:rStyle w:val="FootnoteReference"/>
        </w:rPr>
        <w:footnoteRef/>
      </w:r>
      <w:r w:rsidRPr="00FB08D1">
        <w:t xml:space="preserve"> 47 CFR § 74.1263(c).</w:t>
      </w:r>
    </w:p>
  </w:footnote>
  <w:footnote w:id="69">
    <w:p w:rsidR="00865837" w:rsidRPr="00FB08D1" w:rsidRDefault="00865837" w:rsidP="00F57714">
      <w:pPr>
        <w:pStyle w:val="FootnoteText"/>
        <w:spacing w:after="120"/>
      </w:pPr>
      <w:r w:rsidRPr="00FB08D1">
        <w:rPr>
          <w:rStyle w:val="FootnoteReference"/>
        </w:rPr>
        <w:footnoteRef/>
      </w:r>
      <w:r w:rsidRPr="00FB08D1">
        <w:t xml:space="preserve"> 47 CFR § 74.1263(e).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5B" w:rsidRDefault="00152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5B" w:rsidRDefault="00152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7" w:rsidRDefault="009F3699" w:rsidP="009F3699">
    <w:pPr>
      <w:pStyle w:val="Header"/>
      <w:tabs>
        <w:tab w:val="clear" w:pos="4320"/>
        <w:tab w:val="clear" w:pos="8640"/>
        <w:tab w:val="left" w:pos="300"/>
        <w:tab w:val="center" w:pos="4680"/>
      </w:tabs>
      <w:spacing w:before="360" w:line="228" w:lineRule="auto"/>
      <w:rPr>
        <w:b/>
        <w:sz w:val="22"/>
      </w:rPr>
    </w:pPr>
    <w:r>
      <w:rPr>
        <w:b/>
        <w:sz w:val="22"/>
      </w:rPr>
      <w:tab/>
    </w:r>
    <w:r>
      <w:rPr>
        <w:b/>
        <w:sz w:val="22"/>
      </w:rPr>
      <w:tab/>
    </w:r>
    <w:r w:rsidR="00865837">
      <w:rPr>
        <w:noProof/>
      </w:rPr>
      <w:drawing>
        <wp:anchor distT="0" distB="0" distL="114300" distR="114300" simplePos="0" relativeHeight="251657728" behindDoc="1" locked="0" layoutInCell="0" allowOverlap="1" wp14:anchorId="383A63A3" wp14:editId="330D2FBE">
          <wp:simplePos x="0" y="0"/>
          <wp:positionH relativeFrom="column">
            <wp:posOffset>-400050</wp:posOffset>
          </wp:positionH>
          <wp:positionV relativeFrom="paragraph">
            <wp:posOffset>0</wp:posOffset>
          </wp:positionV>
          <wp:extent cx="86360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865837">
      <w:rPr>
        <w:b/>
        <w:sz w:val="22"/>
      </w:rPr>
      <w:t>Federal Communications Commission</w:t>
    </w:r>
  </w:p>
  <w:p w:rsidR="00865837" w:rsidRDefault="00865837">
    <w:pPr>
      <w:jc w:val="center"/>
      <w:rPr>
        <w:b/>
        <w:sz w:val="22"/>
      </w:rPr>
    </w:pPr>
    <w:r>
      <w:rPr>
        <w:b/>
        <w:sz w:val="22"/>
      </w:rPr>
      <w:t>Washington, D.C. 20554</w:t>
    </w:r>
  </w:p>
  <w:p w:rsidR="00865837" w:rsidRDefault="00865837">
    <w:pPr>
      <w:jc w:val="center"/>
      <w:rPr>
        <w:b/>
        <w:sz w:val="22"/>
      </w:rPr>
    </w:pPr>
  </w:p>
  <w:p w:rsidR="00865837" w:rsidRPr="00E75174" w:rsidRDefault="003F7116">
    <w:pPr>
      <w:jc w:val="center"/>
      <w:rPr>
        <w:sz w:val="22"/>
      </w:rPr>
    </w:pPr>
    <w:r>
      <w:t>November 29,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40C65D8"/>
    <w:multiLevelType w:val="hybridMultilevel"/>
    <w:tmpl w:val="E244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7F9614C"/>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EA714F"/>
    <w:multiLevelType w:val="hybridMultilevel"/>
    <w:tmpl w:val="A4B4329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BA90899"/>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A0"/>
    <w:rsid w:val="00004A2A"/>
    <w:rsid w:val="00005710"/>
    <w:rsid w:val="0000610A"/>
    <w:rsid w:val="00006A21"/>
    <w:rsid w:val="000119BF"/>
    <w:rsid w:val="00012858"/>
    <w:rsid w:val="00012915"/>
    <w:rsid w:val="00014A21"/>
    <w:rsid w:val="00015521"/>
    <w:rsid w:val="0001660E"/>
    <w:rsid w:val="00016775"/>
    <w:rsid w:val="00022812"/>
    <w:rsid w:val="00022B37"/>
    <w:rsid w:val="00022E9A"/>
    <w:rsid w:val="000256EC"/>
    <w:rsid w:val="00027506"/>
    <w:rsid w:val="00027B73"/>
    <w:rsid w:val="0003044C"/>
    <w:rsid w:val="00030642"/>
    <w:rsid w:val="000307B3"/>
    <w:rsid w:val="00030F0F"/>
    <w:rsid w:val="00041350"/>
    <w:rsid w:val="00041440"/>
    <w:rsid w:val="00041BEB"/>
    <w:rsid w:val="00043AB7"/>
    <w:rsid w:val="0005149E"/>
    <w:rsid w:val="00052BEC"/>
    <w:rsid w:val="000633BA"/>
    <w:rsid w:val="00063B60"/>
    <w:rsid w:val="00064346"/>
    <w:rsid w:val="00065B19"/>
    <w:rsid w:val="00066593"/>
    <w:rsid w:val="00066687"/>
    <w:rsid w:val="000669E1"/>
    <w:rsid w:val="00067AAE"/>
    <w:rsid w:val="00073CE8"/>
    <w:rsid w:val="00074B3D"/>
    <w:rsid w:val="00075EC9"/>
    <w:rsid w:val="0007780F"/>
    <w:rsid w:val="00080B8F"/>
    <w:rsid w:val="00081743"/>
    <w:rsid w:val="00083E8E"/>
    <w:rsid w:val="000875CD"/>
    <w:rsid w:val="00090C27"/>
    <w:rsid w:val="0009186F"/>
    <w:rsid w:val="00092486"/>
    <w:rsid w:val="00092B20"/>
    <w:rsid w:val="000939E5"/>
    <w:rsid w:val="0009441A"/>
    <w:rsid w:val="00096C16"/>
    <w:rsid w:val="00097942"/>
    <w:rsid w:val="000A049B"/>
    <w:rsid w:val="000A064E"/>
    <w:rsid w:val="000A2D37"/>
    <w:rsid w:val="000A375A"/>
    <w:rsid w:val="000A3F1F"/>
    <w:rsid w:val="000A78DE"/>
    <w:rsid w:val="000B0588"/>
    <w:rsid w:val="000B164B"/>
    <w:rsid w:val="000B289B"/>
    <w:rsid w:val="000B31B6"/>
    <w:rsid w:val="000B43B2"/>
    <w:rsid w:val="000B4A20"/>
    <w:rsid w:val="000B6F99"/>
    <w:rsid w:val="000B7906"/>
    <w:rsid w:val="000C28BC"/>
    <w:rsid w:val="000C46EE"/>
    <w:rsid w:val="000C5799"/>
    <w:rsid w:val="000C703F"/>
    <w:rsid w:val="000D2BEC"/>
    <w:rsid w:val="000D34AB"/>
    <w:rsid w:val="000D4E83"/>
    <w:rsid w:val="000D598E"/>
    <w:rsid w:val="000D6C6C"/>
    <w:rsid w:val="000D7CA3"/>
    <w:rsid w:val="000E0114"/>
    <w:rsid w:val="000E1B51"/>
    <w:rsid w:val="000E4034"/>
    <w:rsid w:val="000E4C98"/>
    <w:rsid w:val="000E5B07"/>
    <w:rsid w:val="000E5C7C"/>
    <w:rsid w:val="000E64A8"/>
    <w:rsid w:val="000E76E1"/>
    <w:rsid w:val="000F09B8"/>
    <w:rsid w:val="000F49E0"/>
    <w:rsid w:val="000F5282"/>
    <w:rsid w:val="000F5AB6"/>
    <w:rsid w:val="000F700F"/>
    <w:rsid w:val="001002F7"/>
    <w:rsid w:val="00101092"/>
    <w:rsid w:val="00103982"/>
    <w:rsid w:val="00105B45"/>
    <w:rsid w:val="0010617D"/>
    <w:rsid w:val="001065DA"/>
    <w:rsid w:val="0010665E"/>
    <w:rsid w:val="001105D3"/>
    <w:rsid w:val="00111C04"/>
    <w:rsid w:val="00112F9D"/>
    <w:rsid w:val="001149A3"/>
    <w:rsid w:val="001149BE"/>
    <w:rsid w:val="00114B4F"/>
    <w:rsid w:val="00124234"/>
    <w:rsid w:val="00124842"/>
    <w:rsid w:val="00124F90"/>
    <w:rsid w:val="00133966"/>
    <w:rsid w:val="00133B4E"/>
    <w:rsid w:val="0013452C"/>
    <w:rsid w:val="001348E1"/>
    <w:rsid w:val="00134933"/>
    <w:rsid w:val="00135274"/>
    <w:rsid w:val="001365AA"/>
    <w:rsid w:val="00137079"/>
    <w:rsid w:val="00137397"/>
    <w:rsid w:val="00137A98"/>
    <w:rsid w:val="00137B6D"/>
    <w:rsid w:val="00137CF3"/>
    <w:rsid w:val="00137E34"/>
    <w:rsid w:val="00140054"/>
    <w:rsid w:val="00140A2A"/>
    <w:rsid w:val="001411F0"/>
    <w:rsid w:val="001423A0"/>
    <w:rsid w:val="001427A4"/>
    <w:rsid w:val="0014386F"/>
    <w:rsid w:val="00144AAE"/>
    <w:rsid w:val="00145BD1"/>
    <w:rsid w:val="00147146"/>
    <w:rsid w:val="0015158E"/>
    <w:rsid w:val="0015235B"/>
    <w:rsid w:val="001527C5"/>
    <w:rsid w:val="00152AF0"/>
    <w:rsid w:val="001535C7"/>
    <w:rsid w:val="00154F2C"/>
    <w:rsid w:val="001550B6"/>
    <w:rsid w:val="0016247C"/>
    <w:rsid w:val="001634A9"/>
    <w:rsid w:val="001649D6"/>
    <w:rsid w:val="00164FDF"/>
    <w:rsid w:val="00166FD4"/>
    <w:rsid w:val="00173365"/>
    <w:rsid w:val="001761C5"/>
    <w:rsid w:val="0017666E"/>
    <w:rsid w:val="00176DE7"/>
    <w:rsid w:val="00177D0B"/>
    <w:rsid w:val="00180CAF"/>
    <w:rsid w:val="00181813"/>
    <w:rsid w:val="00182B92"/>
    <w:rsid w:val="00182E7B"/>
    <w:rsid w:val="00183D5D"/>
    <w:rsid w:val="00184F30"/>
    <w:rsid w:val="00186568"/>
    <w:rsid w:val="0018789E"/>
    <w:rsid w:val="001911C0"/>
    <w:rsid w:val="00192040"/>
    <w:rsid w:val="00196904"/>
    <w:rsid w:val="0019721A"/>
    <w:rsid w:val="00197C9A"/>
    <w:rsid w:val="001A1026"/>
    <w:rsid w:val="001A25D4"/>
    <w:rsid w:val="001A600A"/>
    <w:rsid w:val="001A7A18"/>
    <w:rsid w:val="001A7E37"/>
    <w:rsid w:val="001B0A30"/>
    <w:rsid w:val="001B29B9"/>
    <w:rsid w:val="001B513D"/>
    <w:rsid w:val="001B7B74"/>
    <w:rsid w:val="001C004C"/>
    <w:rsid w:val="001C03F9"/>
    <w:rsid w:val="001C1CA5"/>
    <w:rsid w:val="001C1F1F"/>
    <w:rsid w:val="001C2CC1"/>
    <w:rsid w:val="001C3B62"/>
    <w:rsid w:val="001C4B16"/>
    <w:rsid w:val="001C5CD0"/>
    <w:rsid w:val="001D451B"/>
    <w:rsid w:val="001D45C4"/>
    <w:rsid w:val="001D653A"/>
    <w:rsid w:val="001D6DF8"/>
    <w:rsid w:val="001E189F"/>
    <w:rsid w:val="001E2C66"/>
    <w:rsid w:val="001E31D1"/>
    <w:rsid w:val="001E66C8"/>
    <w:rsid w:val="001E6E40"/>
    <w:rsid w:val="001E73A1"/>
    <w:rsid w:val="001F009B"/>
    <w:rsid w:val="001F0275"/>
    <w:rsid w:val="001F20E8"/>
    <w:rsid w:val="001F59C3"/>
    <w:rsid w:val="001F67CC"/>
    <w:rsid w:val="001F6F5C"/>
    <w:rsid w:val="00200A1E"/>
    <w:rsid w:val="0020107B"/>
    <w:rsid w:val="002027A9"/>
    <w:rsid w:val="002079E5"/>
    <w:rsid w:val="002110D9"/>
    <w:rsid w:val="0021188E"/>
    <w:rsid w:val="00211E02"/>
    <w:rsid w:val="00213427"/>
    <w:rsid w:val="00213CC3"/>
    <w:rsid w:val="0022137C"/>
    <w:rsid w:val="00224E6E"/>
    <w:rsid w:val="00227E83"/>
    <w:rsid w:val="00232EDB"/>
    <w:rsid w:val="00236DB1"/>
    <w:rsid w:val="002374CC"/>
    <w:rsid w:val="00237CF6"/>
    <w:rsid w:val="00240C8F"/>
    <w:rsid w:val="00240E07"/>
    <w:rsid w:val="002425B9"/>
    <w:rsid w:val="0024579D"/>
    <w:rsid w:val="002459A0"/>
    <w:rsid w:val="00246667"/>
    <w:rsid w:val="00247219"/>
    <w:rsid w:val="00247E8B"/>
    <w:rsid w:val="002515DD"/>
    <w:rsid w:val="00251D3B"/>
    <w:rsid w:val="00252310"/>
    <w:rsid w:val="0025309F"/>
    <w:rsid w:val="00253ED5"/>
    <w:rsid w:val="00254339"/>
    <w:rsid w:val="002546EF"/>
    <w:rsid w:val="00261475"/>
    <w:rsid w:val="002630B6"/>
    <w:rsid w:val="00263F4F"/>
    <w:rsid w:val="00266C8B"/>
    <w:rsid w:val="00271A71"/>
    <w:rsid w:val="002767A9"/>
    <w:rsid w:val="00277306"/>
    <w:rsid w:val="002809A8"/>
    <w:rsid w:val="00284DF8"/>
    <w:rsid w:val="00285E42"/>
    <w:rsid w:val="00286E35"/>
    <w:rsid w:val="002901A5"/>
    <w:rsid w:val="002926EC"/>
    <w:rsid w:val="00296629"/>
    <w:rsid w:val="0029738C"/>
    <w:rsid w:val="002A536C"/>
    <w:rsid w:val="002A658C"/>
    <w:rsid w:val="002A6D87"/>
    <w:rsid w:val="002A6FC0"/>
    <w:rsid w:val="002B1615"/>
    <w:rsid w:val="002B6B90"/>
    <w:rsid w:val="002B7842"/>
    <w:rsid w:val="002C09D8"/>
    <w:rsid w:val="002C11BB"/>
    <w:rsid w:val="002C2E88"/>
    <w:rsid w:val="002C45CE"/>
    <w:rsid w:val="002C513A"/>
    <w:rsid w:val="002C536B"/>
    <w:rsid w:val="002C57B5"/>
    <w:rsid w:val="002C5B67"/>
    <w:rsid w:val="002C7F03"/>
    <w:rsid w:val="002D066A"/>
    <w:rsid w:val="002D5003"/>
    <w:rsid w:val="002D6FFC"/>
    <w:rsid w:val="002D77FD"/>
    <w:rsid w:val="002E16C6"/>
    <w:rsid w:val="002E665B"/>
    <w:rsid w:val="002F0D78"/>
    <w:rsid w:val="002F1692"/>
    <w:rsid w:val="002F1F14"/>
    <w:rsid w:val="002F3037"/>
    <w:rsid w:val="002F5E57"/>
    <w:rsid w:val="002F68C8"/>
    <w:rsid w:val="00300F17"/>
    <w:rsid w:val="003011A2"/>
    <w:rsid w:val="003016E3"/>
    <w:rsid w:val="00302DE0"/>
    <w:rsid w:val="0030796A"/>
    <w:rsid w:val="00311AF3"/>
    <w:rsid w:val="003132B1"/>
    <w:rsid w:val="00313D0F"/>
    <w:rsid w:val="00317D98"/>
    <w:rsid w:val="00320500"/>
    <w:rsid w:val="003224E9"/>
    <w:rsid w:val="00322A9E"/>
    <w:rsid w:val="00323ABD"/>
    <w:rsid w:val="0032435B"/>
    <w:rsid w:val="00325776"/>
    <w:rsid w:val="0032674E"/>
    <w:rsid w:val="00330AB7"/>
    <w:rsid w:val="00337771"/>
    <w:rsid w:val="0034195F"/>
    <w:rsid w:val="003448F8"/>
    <w:rsid w:val="00345D0E"/>
    <w:rsid w:val="0035164D"/>
    <w:rsid w:val="00351D2D"/>
    <w:rsid w:val="00352910"/>
    <w:rsid w:val="003569F7"/>
    <w:rsid w:val="0036020A"/>
    <w:rsid w:val="00360D0B"/>
    <w:rsid w:val="00361152"/>
    <w:rsid w:val="00361C3A"/>
    <w:rsid w:val="003629D2"/>
    <w:rsid w:val="00363625"/>
    <w:rsid w:val="00363F19"/>
    <w:rsid w:val="00364747"/>
    <w:rsid w:val="003651F5"/>
    <w:rsid w:val="00366591"/>
    <w:rsid w:val="00372DB7"/>
    <w:rsid w:val="00373482"/>
    <w:rsid w:val="00373B80"/>
    <w:rsid w:val="003775D3"/>
    <w:rsid w:val="00377705"/>
    <w:rsid w:val="00377C08"/>
    <w:rsid w:val="003832A2"/>
    <w:rsid w:val="003850FD"/>
    <w:rsid w:val="0038524B"/>
    <w:rsid w:val="003857D5"/>
    <w:rsid w:val="00385FAB"/>
    <w:rsid w:val="00390E71"/>
    <w:rsid w:val="0039301A"/>
    <w:rsid w:val="003938A8"/>
    <w:rsid w:val="003938D2"/>
    <w:rsid w:val="00393976"/>
    <w:rsid w:val="00393BF4"/>
    <w:rsid w:val="0039507C"/>
    <w:rsid w:val="00397258"/>
    <w:rsid w:val="00397554"/>
    <w:rsid w:val="003A1026"/>
    <w:rsid w:val="003A2C9B"/>
    <w:rsid w:val="003A3517"/>
    <w:rsid w:val="003A4216"/>
    <w:rsid w:val="003A4FB9"/>
    <w:rsid w:val="003A5649"/>
    <w:rsid w:val="003B0BE6"/>
    <w:rsid w:val="003B1C70"/>
    <w:rsid w:val="003B3913"/>
    <w:rsid w:val="003B5EA2"/>
    <w:rsid w:val="003B7BFC"/>
    <w:rsid w:val="003C01E4"/>
    <w:rsid w:val="003C10C8"/>
    <w:rsid w:val="003C3120"/>
    <w:rsid w:val="003C4206"/>
    <w:rsid w:val="003C4A05"/>
    <w:rsid w:val="003D12E7"/>
    <w:rsid w:val="003D1413"/>
    <w:rsid w:val="003D635E"/>
    <w:rsid w:val="003D649C"/>
    <w:rsid w:val="003D7A50"/>
    <w:rsid w:val="003E026C"/>
    <w:rsid w:val="003E0D3D"/>
    <w:rsid w:val="003E189F"/>
    <w:rsid w:val="003E247B"/>
    <w:rsid w:val="003E2A1E"/>
    <w:rsid w:val="003E2FAA"/>
    <w:rsid w:val="003E6724"/>
    <w:rsid w:val="003E7B49"/>
    <w:rsid w:val="003F2F34"/>
    <w:rsid w:val="003F420D"/>
    <w:rsid w:val="003F4382"/>
    <w:rsid w:val="003F4639"/>
    <w:rsid w:val="003F4C70"/>
    <w:rsid w:val="003F7116"/>
    <w:rsid w:val="003F767B"/>
    <w:rsid w:val="00400BB7"/>
    <w:rsid w:val="0040303B"/>
    <w:rsid w:val="00403083"/>
    <w:rsid w:val="00403B0E"/>
    <w:rsid w:val="004045F4"/>
    <w:rsid w:val="004056A6"/>
    <w:rsid w:val="00410C23"/>
    <w:rsid w:val="00412F0C"/>
    <w:rsid w:val="00413F45"/>
    <w:rsid w:val="004142F1"/>
    <w:rsid w:val="00414647"/>
    <w:rsid w:val="00414D2B"/>
    <w:rsid w:val="00415063"/>
    <w:rsid w:val="004156F9"/>
    <w:rsid w:val="00415F8E"/>
    <w:rsid w:val="00416EF4"/>
    <w:rsid w:val="00417CFF"/>
    <w:rsid w:val="00420842"/>
    <w:rsid w:val="0042692F"/>
    <w:rsid w:val="004325F4"/>
    <w:rsid w:val="00435E79"/>
    <w:rsid w:val="004379E6"/>
    <w:rsid w:val="004427AA"/>
    <w:rsid w:val="004441A1"/>
    <w:rsid w:val="00452BA2"/>
    <w:rsid w:val="00453444"/>
    <w:rsid w:val="004548B4"/>
    <w:rsid w:val="00455AFC"/>
    <w:rsid w:val="00457FFE"/>
    <w:rsid w:val="00461089"/>
    <w:rsid w:val="0046674F"/>
    <w:rsid w:val="00471629"/>
    <w:rsid w:val="0047194F"/>
    <w:rsid w:val="004731B9"/>
    <w:rsid w:val="00473381"/>
    <w:rsid w:val="0047340D"/>
    <w:rsid w:val="00473D9B"/>
    <w:rsid w:val="00475FB3"/>
    <w:rsid w:val="00476F7E"/>
    <w:rsid w:val="004776E3"/>
    <w:rsid w:val="00481C0E"/>
    <w:rsid w:val="00482E66"/>
    <w:rsid w:val="0048319A"/>
    <w:rsid w:val="0048474D"/>
    <w:rsid w:val="0048532F"/>
    <w:rsid w:val="004873C1"/>
    <w:rsid w:val="00491E22"/>
    <w:rsid w:val="004931C9"/>
    <w:rsid w:val="004949FD"/>
    <w:rsid w:val="00494CB0"/>
    <w:rsid w:val="00495E22"/>
    <w:rsid w:val="00496F3F"/>
    <w:rsid w:val="004978A9"/>
    <w:rsid w:val="00497D57"/>
    <w:rsid w:val="004A1612"/>
    <w:rsid w:val="004A4D3B"/>
    <w:rsid w:val="004A682B"/>
    <w:rsid w:val="004A6A85"/>
    <w:rsid w:val="004A6CD0"/>
    <w:rsid w:val="004B29AD"/>
    <w:rsid w:val="004B3711"/>
    <w:rsid w:val="004B3C56"/>
    <w:rsid w:val="004B5C16"/>
    <w:rsid w:val="004B6A03"/>
    <w:rsid w:val="004C0909"/>
    <w:rsid w:val="004C1AEB"/>
    <w:rsid w:val="004C2EF5"/>
    <w:rsid w:val="004C546D"/>
    <w:rsid w:val="004C5492"/>
    <w:rsid w:val="004C73F1"/>
    <w:rsid w:val="004D09D4"/>
    <w:rsid w:val="004D12D3"/>
    <w:rsid w:val="004D19F7"/>
    <w:rsid w:val="004D7423"/>
    <w:rsid w:val="004E0B53"/>
    <w:rsid w:val="004E10BD"/>
    <w:rsid w:val="004E51F6"/>
    <w:rsid w:val="004E5DE8"/>
    <w:rsid w:val="004E6120"/>
    <w:rsid w:val="004F2F76"/>
    <w:rsid w:val="005010AB"/>
    <w:rsid w:val="005017E8"/>
    <w:rsid w:val="00501A32"/>
    <w:rsid w:val="00502C69"/>
    <w:rsid w:val="005033AD"/>
    <w:rsid w:val="0050653F"/>
    <w:rsid w:val="00515963"/>
    <w:rsid w:val="00520841"/>
    <w:rsid w:val="00522892"/>
    <w:rsid w:val="005242F4"/>
    <w:rsid w:val="005264C3"/>
    <w:rsid w:val="0052694E"/>
    <w:rsid w:val="00527ACD"/>
    <w:rsid w:val="005360BF"/>
    <w:rsid w:val="00537D5E"/>
    <w:rsid w:val="00541DD0"/>
    <w:rsid w:val="00541E2A"/>
    <w:rsid w:val="00542597"/>
    <w:rsid w:val="005456B4"/>
    <w:rsid w:val="00546C8A"/>
    <w:rsid w:val="00547E8D"/>
    <w:rsid w:val="00550362"/>
    <w:rsid w:val="00554261"/>
    <w:rsid w:val="00555B94"/>
    <w:rsid w:val="0055771C"/>
    <w:rsid w:val="005613C9"/>
    <w:rsid w:val="005646F8"/>
    <w:rsid w:val="005661F9"/>
    <w:rsid w:val="00566453"/>
    <w:rsid w:val="00570062"/>
    <w:rsid w:val="005733DF"/>
    <w:rsid w:val="00575097"/>
    <w:rsid w:val="0057568A"/>
    <w:rsid w:val="00575FB7"/>
    <w:rsid w:val="00577419"/>
    <w:rsid w:val="005810C9"/>
    <w:rsid w:val="00583441"/>
    <w:rsid w:val="00583567"/>
    <w:rsid w:val="0058393A"/>
    <w:rsid w:val="0058414F"/>
    <w:rsid w:val="0059016C"/>
    <w:rsid w:val="00590699"/>
    <w:rsid w:val="00593B08"/>
    <w:rsid w:val="005962EC"/>
    <w:rsid w:val="00597379"/>
    <w:rsid w:val="00597661"/>
    <w:rsid w:val="005A2DBF"/>
    <w:rsid w:val="005A5CAE"/>
    <w:rsid w:val="005A5F06"/>
    <w:rsid w:val="005B039F"/>
    <w:rsid w:val="005B447D"/>
    <w:rsid w:val="005B514B"/>
    <w:rsid w:val="005B5975"/>
    <w:rsid w:val="005C0064"/>
    <w:rsid w:val="005C11F9"/>
    <w:rsid w:val="005C14ED"/>
    <w:rsid w:val="005C2E54"/>
    <w:rsid w:val="005D0D16"/>
    <w:rsid w:val="005D171D"/>
    <w:rsid w:val="005D1C5D"/>
    <w:rsid w:val="005D322E"/>
    <w:rsid w:val="005D4614"/>
    <w:rsid w:val="005D5C0F"/>
    <w:rsid w:val="005E0410"/>
    <w:rsid w:val="005E0911"/>
    <w:rsid w:val="005E14D2"/>
    <w:rsid w:val="005E280E"/>
    <w:rsid w:val="005E3E1F"/>
    <w:rsid w:val="005E58E7"/>
    <w:rsid w:val="005E6CE0"/>
    <w:rsid w:val="005F0490"/>
    <w:rsid w:val="005F0F17"/>
    <w:rsid w:val="005F1062"/>
    <w:rsid w:val="005F3026"/>
    <w:rsid w:val="005F6150"/>
    <w:rsid w:val="00600276"/>
    <w:rsid w:val="00601FC1"/>
    <w:rsid w:val="0060202B"/>
    <w:rsid w:val="0060212B"/>
    <w:rsid w:val="00604791"/>
    <w:rsid w:val="006054D3"/>
    <w:rsid w:val="00606BA8"/>
    <w:rsid w:val="00606D3E"/>
    <w:rsid w:val="00607E90"/>
    <w:rsid w:val="0061012B"/>
    <w:rsid w:val="00610DD6"/>
    <w:rsid w:val="0061138B"/>
    <w:rsid w:val="00615D74"/>
    <w:rsid w:val="00621EFF"/>
    <w:rsid w:val="00623FA1"/>
    <w:rsid w:val="00624B2E"/>
    <w:rsid w:val="00624F3F"/>
    <w:rsid w:val="00624F70"/>
    <w:rsid w:val="0062706C"/>
    <w:rsid w:val="006301A2"/>
    <w:rsid w:val="00630332"/>
    <w:rsid w:val="00632309"/>
    <w:rsid w:val="0063287E"/>
    <w:rsid w:val="00634949"/>
    <w:rsid w:val="0063516C"/>
    <w:rsid w:val="006365D5"/>
    <w:rsid w:val="00637499"/>
    <w:rsid w:val="00641AFE"/>
    <w:rsid w:val="00643965"/>
    <w:rsid w:val="00647978"/>
    <w:rsid w:val="00647CF4"/>
    <w:rsid w:val="00651BA0"/>
    <w:rsid w:val="00654123"/>
    <w:rsid w:val="006541F9"/>
    <w:rsid w:val="00654872"/>
    <w:rsid w:val="00657192"/>
    <w:rsid w:val="006576E8"/>
    <w:rsid w:val="00657D9B"/>
    <w:rsid w:val="00660105"/>
    <w:rsid w:val="00660B90"/>
    <w:rsid w:val="006618E8"/>
    <w:rsid w:val="00662AB7"/>
    <w:rsid w:val="00663492"/>
    <w:rsid w:val="0066442A"/>
    <w:rsid w:val="00664485"/>
    <w:rsid w:val="006648D3"/>
    <w:rsid w:val="00666C8E"/>
    <w:rsid w:val="006711B2"/>
    <w:rsid w:val="00671289"/>
    <w:rsid w:val="00672EA0"/>
    <w:rsid w:val="00672F35"/>
    <w:rsid w:val="00673590"/>
    <w:rsid w:val="00676495"/>
    <w:rsid w:val="00676565"/>
    <w:rsid w:val="00677A7B"/>
    <w:rsid w:val="0068074D"/>
    <w:rsid w:val="00680BDE"/>
    <w:rsid w:val="00682BC4"/>
    <w:rsid w:val="0068373C"/>
    <w:rsid w:val="00683D9C"/>
    <w:rsid w:val="00683FF7"/>
    <w:rsid w:val="006858BE"/>
    <w:rsid w:val="00685C9F"/>
    <w:rsid w:val="00687B38"/>
    <w:rsid w:val="006919CF"/>
    <w:rsid w:val="006922CA"/>
    <w:rsid w:val="00692974"/>
    <w:rsid w:val="00692F1F"/>
    <w:rsid w:val="00693236"/>
    <w:rsid w:val="006947D9"/>
    <w:rsid w:val="00697B5C"/>
    <w:rsid w:val="006A1A69"/>
    <w:rsid w:val="006A1C8D"/>
    <w:rsid w:val="006A4C04"/>
    <w:rsid w:val="006B1994"/>
    <w:rsid w:val="006B424A"/>
    <w:rsid w:val="006B45A3"/>
    <w:rsid w:val="006B46D3"/>
    <w:rsid w:val="006B4AE8"/>
    <w:rsid w:val="006B4F68"/>
    <w:rsid w:val="006B5F51"/>
    <w:rsid w:val="006B6BEC"/>
    <w:rsid w:val="006C044E"/>
    <w:rsid w:val="006C2D1D"/>
    <w:rsid w:val="006C31C2"/>
    <w:rsid w:val="006C49E1"/>
    <w:rsid w:val="006D0B1A"/>
    <w:rsid w:val="006D51AF"/>
    <w:rsid w:val="006D6DAE"/>
    <w:rsid w:val="006E1E97"/>
    <w:rsid w:val="006E35ED"/>
    <w:rsid w:val="006E5DF6"/>
    <w:rsid w:val="006F02CD"/>
    <w:rsid w:val="006F0D9F"/>
    <w:rsid w:val="006F2A77"/>
    <w:rsid w:val="006F2EF0"/>
    <w:rsid w:val="006F362C"/>
    <w:rsid w:val="006F5FE9"/>
    <w:rsid w:val="006F70DE"/>
    <w:rsid w:val="0070496E"/>
    <w:rsid w:val="00705946"/>
    <w:rsid w:val="00705C6C"/>
    <w:rsid w:val="0071163A"/>
    <w:rsid w:val="007120A8"/>
    <w:rsid w:val="00713411"/>
    <w:rsid w:val="007144E0"/>
    <w:rsid w:val="007150B5"/>
    <w:rsid w:val="007157AA"/>
    <w:rsid w:val="007218E0"/>
    <w:rsid w:val="00721D0D"/>
    <w:rsid w:val="0072254E"/>
    <w:rsid w:val="0072481A"/>
    <w:rsid w:val="00724DF2"/>
    <w:rsid w:val="00727FD9"/>
    <w:rsid w:val="00734568"/>
    <w:rsid w:val="007346C5"/>
    <w:rsid w:val="00737063"/>
    <w:rsid w:val="007425E7"/>
    <w:rsid w:val="00742F2C"/>
    <w:rsid w:val="0074300E"/>
    <w:rsid w:val="00744036"/>
    <w:rsid w:val="00752DCA"/>
    <w:rsid w:val="0075346F"/>
    <w:rsid w:val="00753EB8"/>
    <w:rsid w:val="0075447D"/>
    <w:rsid w:val="00756258"/>
    <w:rsid w:val="00760158"/>
    <w:rsid w:val="007602D3"/>
    <w:rsid w:val="00761824"/>
    <w:rsid w:val="00762237"/>
    <w:rsid w:val="007627BA"/>
    <w:rsid w:val="00763B1E"/>
    <w:rsid w:val="00763C8E"/>
    <w:rsid w:val="00763F0F"/>
    <w:rsid w:val="00764148"/>
    <w:rsid w:val="00764DC1"/>
    <w:rsid w:val="00765894"/>
    <w:rsid w:val="00766321"/>
    <w:rsid w:val="00766C7C"/>
    <w:rsid w:val="00771158"/>
    <w:rsid w:val="007721EB"/>
    <w:rsid w:val="00772F1A"/>
    <w:rsid w:val="0078108A"/>
    <w:rsid w:val="0078329E"/>
    <w:rsid w:val="00784D5F"/>
    <w:rsid w:val="00786330"/>
    <w:rsid w:val="00786BA4"/>
    <w:rsid w:val="00787D54"/>
    <w:rsid w:val="00791D4C"/>
    <w:rsid w:val="00792597"/>
    <w:rsid w:val="007939DE"/>
    <w:rsid w:val="007944B9"/>
    <w:rsid w:val="00794CBC"/>
    <w:rsid w:val="007A1E2E"/>
    <w:rsid w:val="007A2108"/>
    <w:rsid w:val="007A2C33"/>
    <w:rsid w:val="007A4F67"/>
    <w:rsid w:val="007A5A12"/>
    <w:rsid w:val="007A642B"/>
    <w:rsid w:val="007B010D"/>
    <w:rsid w:val="007B096F"/>
    <w:rsid w:val="007B2D4D"/>
    <w:rsid w:val="007B3016"/>
    <w:rsid w:val="007B3177"/>
    <w:rsid w:val="007B543C"/>
    <w:rsid w:val="007B5FC9"/>
    <w:rsid w:val="007C1823"/>
    <w:rsid w:val="007C58DB"/>
    <w:rsid w:val="007C7EC6"/>
    <w:rsid w:val="007D01C9"/>
    <w:rsid w:val="007D020C"/>
    <w:rsid w:val="007D14EF"/>
    <w:rsid w:val="007D1EF1"/>
    <w:rsid w:val="007D2C08"/>
    <w:rsid w:val="007D7573"/>
    <w:rsid w:val="007D7F8C"/>
    <w:rsid w:val="007E284F"/>
    <w:rsid w:val="007E2B79"/>
    <w:rsid w:val="007E4138"/>
    <w:rsid w:val="007E4D20"/>
    <w:rsid w:val="007E4FD2"/>
    <w:rsid w:val="007E53AB"/>
    <w:rsid w:val="007E5F99"/>
    <w:rsid w:val="007F00E8"/>
    <w:rsid w:val="007F1395"/>
    <w:rsid w:val="007F3463"/>
    <w:rsid w:val="007F38A1"/>
    <w:rsid w:val="007F653E"/>
    <w:rsid w:val="007F797E"/>
    <w:rsid w:val="00801CB7"/>
    <w:rsid w:val="00802EBA"/>
    <w:rsid w:val="008035DB"/>
    <w:rsid w:val="00806A57"/>
    <w:rsid w:val="00806BA9"/>
    <w:rsid w:val="00813845"/>
    <w:rsid w:val="00813B0A"/>
    <w:rsid w:val="008147BF"/>
    <w:rsid w:val="00815634"/>
    <w:rsid w:val="008160EF"/>
    <w:rsid w:val="008165C8"/>
    <w:rsid w:val="00816FF2"/>
    <w:rsid w:val="00817B77"/>
    <w:rsid w:val="00821659"/>
    <w:rsid w:val="0082235C"/>
    <w:rsid w:val="008252AF"/>
    <w:rsid w:val="00827CD1"/>
    <w:rsid w:val="0083187D"/>
    <w:rsid w:val="008321D6"/>
    <w:rsid w:val="008337C0"/>
    <w:rsid w:val="00833990"/>
    <w:rsid w:val="008353C8"/>
    <w:rsid w:val="008360A9"/>
    <w:rsid w:val="008367BA"/>
    <w:rsid w:val="008371C3"/>
    <w:rsid w:val="008436C1"/>
    <w:rsid w:val="008448A5"/>
    <w:rsid w:val="008449E8"/>
    <w:rsid w:val="00847AB1"/>
    <w:rsid w:val="00853C9D"/>
    <w:rsid w:val="00854DDC"/>
    <w:rsid w:val="00855137"/>
    <w:rsid w:val="00861C7E"/>
    <w:rsid w:val="00865837"/>
    <w:rsid w:val="00866070"/>
    <w:rsid w:val="00867DF8"/>
    <w:rsid w:val="008708B2"/>
    <w:rsid w:val="00871835"/>
    <w:rsid w:val="00874522"/>
    <w:rsid w:val="008750C0"/>
    <w:rsid w:val="0087539F"/>
    <w:rsid w:val="00875D0D"/>
    <w:rsid w:val="00876091"/>
    <w:rsid w:val="00876B83"/>
    <w:rsid w:val="00881514"/>
    <w:rsid w:val="00882AF7"/>
    <w:rsid w:val="00886381"/>
    <w:rsid w:val="008911DE"/>
    <w:rsid w:val="00893918"/>
    <w:rsid w:val="0089626F"/>
    <w:rsid w:val="00896667"/>
    <w:rsid w:val="008A2271"/>
    <w:rsid w:val="008A2C47"/>
    <w:rsid w:val="008A3746"/>
    <w:rsid w:val="008A40C7"/>
    <w:rsid w:val="008A4A41"/>
    <w:rsid w:val="008B13AE"/>
    <w:rsid w:val="008B22FF"/>
    <w:rsid w:val="008B2B40"/>
    <w:rsid w:val="008B635F"/>
    <w:rsid w:val="008B67DE"/>
    <w:rsid w:val="008B6EED"/>
    <w:rsid w:val="008B7F15"/>
    <w:rsid w:val="008C0063"/>
    <w:rsid w:val="008C22BF"/>
    <w:rsid w:val="008C23EC"/>
    <w:rsid w:val="008D3001"/>
    <w:rsid w:val="008D3234"/>
    <w:rsid w:val="008D3AF8"/>
    <w:rsid w:val="008D3CFF"/>
    <w:rsid w:val="008D40CE"/>
    <w:rsid w:val="008D4AC7"/>
    <w:rsid w:val="008D79DA"/>
    <w:rsid w:val="008E1DAB"/>
    <w:rsid w:val="008E26FD"/>
    <w:rsid w:val="008E362C"/>
    <w:rsid w:val="008E51CA"/>
    <w:rsid w:val="008E58EE"/>
    <w:rsid w:val="008E6B67"/>
    <w:rsid w:val="008F0A8F"/>
    <w:rsid w:val="008F1656"/>
    <w:rsid w:val="008F1AF8"/>
    <w:rsid w:val="008F264A"/>
    <w:rsid w:val="008F2723"/>
    <w:rsid w:val="008F2EA7"/>
    <w:rsid w:val="008F472B"/>
    <w:rsid w:val="008F57E4"/>
    <w:rsid w:val="00900730"/>
    <w:rsid w:val="00905177"/>
    <w:rsid w:val="009072EF"/>
    <w:rsid w:val="00910742"/>
    <w:rsid w:val="00910FA9"/>
    <w:rsid w:val="009110A3"/>
    <w:rsid w:val="00916784"/>
    <w:rsid w:val="00921614"/>
    <w:rsid w:val="00921EF7"/>
    <w:rsid w:val="009222BF"/>
    <w:rsid w:val="00923873"/>
    <w:rsid w:val="009274FB"/>
    <w:rsid w:val="009276C7"/>
    <w:rsid w:val="00933C0D"/>
    <w:rsid w:val="00936454"/>
    <w:rsid w:val="0093697B"/>
    <w:rsid w:val="00937266"/>
    <w:rsid w:val="00937A89"/>
    <w:rsid w:val="00941383"/>
    <w:rsid w:val="00941490"/>
    <w:rsid w:val="00942853"/>
    <w:rsid w:val="00944BB8"/>
    <w:rsid w:val="00953B4B"/>
    <w:rsid w:val="00957035"/>
    <w:rsid w:val="00963720"/>
    <w:rsid w:val="009640C4"/>
    <w:rsid w:val="009641B3"/>
    <w:rsid w:val="00964200"/>
    <w:rsid w:val="00966502"/>
    <w:rsid w:val="0096658A"/>
    <w:rsid w:val="00966A22"/>
    <w:rsid w:val="00972FCC"/>
    <w:rsid w:val="0097446A"/>
    <w:rsid w:val="00975274"/>
    <w:rsid w:val="00975973"/>
    <w:rsid w:val="00975BEB"/>
    <w:rsid w:val="00977910"/>
    <w:rsid w:val="00981427"/>
    <w:rsid w:val="00981614"/>
    <w:rsid w:val="00982609"/>
    <w:rsid w:val="0098302D"/>
    <w:rsid w:val="009842BB"/>
    <w:rsid w:val="00985E0E"/>
    <w:rsid w:val="00987C13"/>
    <w:rsid w:val="0099056F"/>
    <w:rsid w:val="00991721"/>
    <w:rsid w:val="00991A7E"/>
    <w:rsid w:val="00994358"/>
    <w:rsid w:val="0099581C"/>
    <w:rsid w:val="00997159"/>
    <w:rsid w:val="00997294"/>
    <w:rsid w:val="00997D6A"/>
    <w:rsid w:val="009A1EA7"/>
    <w:rsid w:val="009A46E2"/>
    <w:rsid w:val="009A6DA8"/>
    <w:rsid w:val="009B3206"/>
    <w:rsid w:val="009B35D0"/>
    <w:rsid w:val="009B7401"/>
    <w:rsid w:val="009B7951"/>
    <w:rsid w:val="009C173B"/>
    <w:rsid w:val="009C4EC4"/>
    <w:rsid w:val="009C522A"/>
    <w:rsid w:val="009D1605"/>
    <w:rsid w:val="009E00A8"/>
    <w:rsid w:val="009E0550"/>
    <w:rsid w:val="009E2E48"/>
    <w:rsid w:val="009E4305"/>
    <w:rsid w:val="009E6A42"/>
    <w:rsid w:val="009E73A0"/>
    <w:rsid w:val="009F3530"/>
    <w:rsid w:val="009F3699"/>
    <w:rsid w:val="009F388A"/>
    <w:rsid w:val="009F7919"/>
    <w:rsid w:val="00A03C04"/>
    <w:rsid w:val="00A04C3E"/>
    <w:rsid w:val="00A04F3E"/>
    <w:rsid w:val="00A123AA"/>
    <w:rsid w:val="00A1663C"/>
    <w:rsid w:val="00A17337"/>
    <w:rsid w:val="00A20AF8"/>
    <w:rsid w:val="00A21608"/>
    <w:rsid w:val="00A21B31"/>
    <w:rsid w:val="00A223DB"/>
    <w:rsid w:val="00A2257E"/>
    <w:rsid w:val="00A23295"/>
    <w:rsid w:val="00A24842"/>
    <w:rsid w:val="00A269AD"/>
    <w:rsid w:val="00A275FD"/>
    <w:rsid w:val="00A32D96"/>
    <w:rsid w:val="00A33388"/>
    <w:rsid w:val="00A347D7"/>
    <w:rsid w:val="00A34C88"/>
    <w:rsid w:val="00A351D1"/>
    <w:rsid w:val="00A35A1C"/>
    <w:rsid w:val="00A35F46"/>
    <w:rsid w:val="00A43C2C"/>
    <w:rsid w:val="00A44AE7"/>
    <w:rsid w:val="00A45541"/>
    <w:rsid w:val="00A46982"/>
    <w:rsid w:val="00A5709A"/>
    <w:rsid w:val="00A6187B"/>
    <w:rsid w:val="00A618CA"/>
    <w:rsid w:val="00A619AD"/>
    <w:rsid w:val="00A62EAC"/>
    <w:rsid w:val="00A62FC0"/>
    <w:rsid w:val="00A663AD"/>
    <w:rsid w:val="00A66DE4"/>
    <w:rsid w:val="00A67513"/>
    <w:rsid w:val="00A67B66"/>
    <w:rsid w:val="00A70AD4"/>
    <w:rsid w:val="00A77D23"/>
    <w:rsid w:val="00A80603"/>
    <w:rsid w:val="00A8390E"/>
    <w:rsid w:val="00A85DA2"/>
    <w:rsid w:val="00A91E98"/>
    <w:rsid w:val="00A92334"/>
    <w:rsid w:val="00A925C9"/>
    <w:rsid w:val="00A9352F"/>
    <w:rsid w:val="00A958E6"/>
    <w:rsid w:val="00AA162A"/>
    <w:rsid w:val="00AA23AA"/>
    <w:rsid w:val="00AA79B5"/>
    <w:rsid w:val="00AA7DF1"/>
    <w:rsid w:val="00AB04F2"/>
    <w:rsid w:val="00AB0F1A"/>
    <w:rsid w:val="00AB1A5A"/>
    <w:rsid w:val="00AB4A37"/>
    <w:rsid w:val="00AB4F17"/>
    <w:rsid w:val="00AB4F7E"/>
    <w:rsid w:val="00AB5E73"/>
    <w:rsid w:val="00AB6944"/>
    <w:rsid w:val="00AB7613"/>
    <w:rsid w:val="00AC0165"/>
    <w:rsid w:val="00AC28A4"/>
    <w:rsid w:val="00AC3797"/>
    <w:rsid w:val="00AC7302"/>
    <w:rsid w:val="00AC75C1"/>
    <w:rsid w:val="00AD4381"/>
    <w:rsid w:val="00AD6D71"/>
    <w:rsid w:val="00AE2C22"/>
    <w:rsid w:val="00AE315B"/>
    <w:rsid w:val="00AE3B79"/>
    <w:rsid w:val="00AE4AFA"/>
    <w:rsid w:val="00AE6E46"/>
    <w:rsid w:val="00AE71CC"/>
    <w:rsid w:val="00AE761C"/>
    <w:rsid w:val="00AF120C"/>
    <w:rsid w:val="00AF233E"/>
    <w:rsid w:val="00AF2AF0"/>
    <w:rsid w:val="00AF6B8B"/>
    <w:rsid w:val="00B01562"/>
    <w:rsid w:val="00B016E3"/>
    <w:rsid w:val="00B11099"/>
    <w:rsid w:val="00B12AE1"/>
    <w:rsid w:val="00B204ED"/>
    <w:rsid w:val="00B2137B"/>
    <w:rsid w:val="00B225C2"/>
    <w:rsid w:val="00B22C2A"/>
    <w:rsid w:val="00B25850"/>
    <w:rsid w:val="00B30CB3"/>
    <w:rsid w:val="00B43F8A"/>
    <w:rsid w:val="00B45059"/>
    <w:rsid w:val="00B45895"/>
    <w:rsid w:val="00B45B26"/>
    <w:rsid w:val="00B45D71"/>
    <w:rsid w:val="00B47EAA"/>
    <w:rsid w:val="00B51A36"/>
    <w:rsid w:val="00B532D1"/>
    <w:rsid w:val="00B54FC7"/>
    <w:rsid w:val="00B5666B"/>
    <w:rsid w:val="00B60643"/>
    <w:rsid w:val="00B6068C"/>
    <w:rsid w:val="00B62FAD"/>
    <w:rsid w:val="00B63C96"/>
    <w:rsid w:val="00B665AD"/>
    <w:rsid w:val="00B666C3"/>
    <w:rsid w:val="00B6781A"/>
    <w:rsid w:val="00B701CE"/>
    <w:rsid w:val="00B70BC4"/>
    <w:rsid w:val="00B71CC3"/>
    <w:rsid w:val="00B72A7B"/>
    <w:rsid w:val="00B736B1"/>
    <w:rsid w:val="00B73961"/>
    <w:rsid w:val="00B74F0E"/>
    <w:rsid w:val="00B75545"/>
    <w:rsid w:val="00B75BA1"/>
    <w:rsid w:val="00B8132B"/>
    <w:rsid w:val="00B81B17"/>
    <w:rsid w:val="00B832A8"/>
    <w:rsid w:val="00B833CF"/>
    <w:rsid w:val="00B838FE"/>
    <w:rsid w:val="00B84323"/>
    <w:rsid w:val="00B84354"/>
    <w:rsid w:val="00B856BB"/>
    <w:rsid w:val="00B9057B"/>
    <w:rsid w:val="00B94B61"/>
    <w:rsid w:val="00B9641E"/>
    <w:rsid w:val="00BA037C"/>
    <w:rsid w:val="00BA1468"/>
    <w:rsid w:val="00BA1C94"/>
    <w:rsid w:val="00BA5803"/>
    <w:rsid w:val="00BA6FFA"/>
    <w:rsid w:val="00BA7E5C"/>
    <w:rsid w:val="00BB2090"/>
    <w:rsid w:val="00BB66C2"/>
    <w:rsid w:val="00BC2DEE"/>
    <w:rsid w:val="00BC6384"/>
    <w:rsid w:val="00BD0CC8"/>
    <w:rsid w:val="00BD10F9"/>
    <w:rsid w:val="00BD168B"/>
    <w:rsid w:val="00BD1F1C"/>
    <w:rsid w:val="00BD3412"/>
    <w:rsid w:val="00BD3B85"/>
    <w:rsid w:val="00BD593C"/>
    <w:rsid w:val="00BD5B99"/>
    <w:rsid w:val="00BE5338"/>
    <w:rsid w:val="00BE5756"/>
    <w:rsid w:val="00BE747B"/>
    <w:rsid w:val="00BF6C16"/>
    <w:rsid w:val="00BF7134"/>
    <w:rsid w:val="00C0067C"/>
    <w:rsid w:val="00C00ED9"/>
    <w:rsid w:val="00C01A06"/>
    <w:rsid w:val="00C01B4B"/>
    <w:rsid w:val="00C01C87"/>
    <w:rsid w:val="00C022AA"/>
    <w:rsid w:val="00C02CB5"/>
    <w:rsid w:val="00C02E91"/>
    <w:rsid w:val="00C036E6"/>
    <w:rsid w:val="00C0433E"/>
    <w:rsid w:val="00C053A7"/>
    <w:rsid w:val="00C07637"/>
    <w:rsid w:val="00C07807"/>
    <w:rsid w:val="00C100A6"/>
    <w:rsid w:val="00C142C9"/>
    <w:rsid w:val="00C167BE"/>
    <w:rsid w:val="00C1716D"/>
    <w:rsid w:val="00C20386"/>
    <w:rsid w:val="00C20549"/>
    <w:rsid w:val="00C21C95"/>
    <w:rsid w:val="00C220A2"/>
    <w:rsid w:val="00C222CA"/>
    <w:rsid w:val="00C22B9B"/>
    <w:rsid w:val="00C232E4"/>
    <w:rsid w:val="00C263A0"/>
    <w:rsid w:val="00C32A22"/>
    <w:rsid w:val="00C3301E"/>
    <w:rsid w:val="00C337A6"/>
    <w:rsid w:val="00C37369"/>
    <w:rsid w:val="00C37AFF"/>
    <w:rsid w:val="00C4068A"/>
    <w:rsid w:val="00C43F43"/>
    <w:rsid w:val="00C44B31"/>
    <w:rsid w:val="00C453F5"/>
    <w:rsid w:val="00C454AB"/>
    <w:rsid w:val="00C5293B"/>
    <w:rsid w:val="00C52BFE"/>
    <w:rsid w:val="00C52E32"/>
    <w:rsid w:val="00C5371D"/>
    <w:rsid w:val="00C54281"/>
    <w:rsid w:val="00C5721E"/>
    <w:rsid w:val="00C620E6"/>
    <w:rsid w:val="00C624A8"/>
    <w:rsid w:val="00C63F15"/>
    <w:rsid w:val="00C666E6"/>
    <w:rsid w:val="00C723FE"/>
    <w:rsid w:val="00C7249E"/>
    <w:rsid w:val="00C75338"/>
    <w:rsid w:val="00C7556F"/>
    <w:rsid w:val="00C756E5"/>
    <w:rsid w:val="00C76239"/>
    <w:rsid w:val="00C7791C"/>
    <w:rsid w:val="00C80041"/>
    <w:rsid w:val="00C80722"/>
    <w:rsid w:val="00C836AE"/>
    <w:rsid w:val="00C83CB9"/>
    <w:rsid w:val="00C84C54"/>
    <w:rsid w:val="00C85EEF"/>
    <w:rsid w:val="00C91435"/>
    <w:rsid w:val="00C914D8"/>
    <w:rsid w:val="00C936A3"/>
    <w:rsid w:val="00C93D30"/>
    <w:rsid w:val="00CA0E70"/>
    <w:rsid w:val="00CA21E7"/>
    <w:rsid w:val="00CA2531"/>
    <w:rsid w:val="00CA46F8"/>
    <w:rsid w:val="00CA4878"/>
    <w:rsid w:val="00CB09A7"/>
    <w:rsid w:val="00CB29AD"/>
    <w:rsid w:val="00CB5B4D"/>
    <w:rsid w:val="00CB6D49"/>
    <w:rsid w:val="00CB6D7C"/>
    <w:rsid w:val="00CB79DD"/>
    <w:rsid w:val="00CC0CC1"/>
    <w:rsid w:val="00CC17B7"/>
    <w:rsid w:val="00CC3131"/>
    <w:rsid w:val="00CC3156"/>
    <w:rsid w:val="00CC395A"/>
    <w:rsid w:val="00CC621A"/>
    <w:rsid w:val="00CC6D5A"/>
    <w:rsid w:val="00CD0ED5"/>
    <w:rsid w:val="00CD2E76"/>
    <w:rsid w:val="00CD5EF5"/>
    <w:rsid w:val="00CE2497"/>
    <w:rsid w:val="00CE27E0"/>
    <w:rsid w:val="00CE3530"/>
    <w:rsid w:val="00CE5578"/>
    <w:rsid w:val="00CF1154"/>
    <w:rsid w:val="00CF1366"/>
    <w:rsid w:val="00CF1B52"/>
    <w:rsid w:val="00D05DAE"/>
    <w:rsid w:val="00D07BA8"/>
    <w:rsid w:val="00D10587"/>
    <w:rsid w:val="00D12CF2"/>
    <w:rsid w:val="00D13E69"/>
    <w:rsid w:val="00D15425"/>
    <w:rsid w:val="00D15770"/>
    <w:rsid w:val="00D15FDA"/>
    <w:rsid w:val="00D1676E"/>
    <w:rsid w:val="00D21460"/>
    <w:rsid w:val="00D24187"/>
    <w:rsid w:val="00D2533D"/>
    <w:rsid w:val="00D30057"/>
    <w:rsid w:val="00D3027C"/>
    <w:rsid w:val="00D302DA"/>
    <w:rsid w:val="00D30663"/>
    <w:rsid w:val="00D30AD4"/>
    <w:rsid w:val="00D32294"/>
    <w:rsid w:val="00D3304D"/>
    <w:rsid w:val="00D35BF7"/>
    <w:rsid w:val="00D36772"/>
    <w:rsid w:val="00D37127"/>
    <w:rsid w:val="00D377B2"/>
    <w:rsid w:val="00D41057"/>
    <w:rsid w:val="00D41075"/>
    <w:rsid w:val="00D41185"/>
    <w:rsid w:val="00D41EB1"/>
    <w:rsid w:val="00D42331"/>
    <w:rsid w:val="00D42E08"/>
    <w:rsid w:val="00D4767A"/>
    <w:rsid w:val="00D534CE"/>
    <w:rsid w:val="00D574BD"/>
    <w:rsid w:val="00D5751D"/>
    <w:rsid w:val="00D60519"/>
    <w:rsid w:val="00D61A61"/>
    <w:rsid w:val="00D64208"/>
    <w:rsid w:val="00D64BD5"/>
    <w:rsid w:val="00D66745"/>
    <w:rsid w:val="00D677AD"/>
    <w:rsid w:val="00D71D3A"/>
    <w:rsid w:val="00D73605"/>
    <w:rsid w:val="00D74F3F"/>
    <w:rsid w:val="00D75AFC"/>
    <w:rsid w:val="00D7769D"/>
    <w:rsid w:val="00D83CBC"/>
    <w:rsid w:val="00D87E22"/>
    <w:rsid w:val="00D91C75"/>
    <w:rsid w:val="00D92F1D"/>
    <w:rsid w:val="00D94558"/>
    <w:rsid w:val="00D95400"/>
    <w:rsid w:val="00D96239"/>
    <w:rsid w:val="00DA27E5"/>
    <w:rsid w:val="00DA53D2"/>
    <w:rsid w:val="00DA69DC"/>
    <w:rsid w:val="00DB1710"/>
    <w:rsid w:val="00DB2D01"/>
    <w:rsid w:val="00DB639E"/>
    <w:rsid w:val="00DB660B"/>
    <w:rsid w:val="00DB6ECA"/>
    <w:rsid w:val="00DC08EB"/>
    <w:rsid w:val="00DC0CB1"/>
    <w:rsid w:val="00DC18E7"/>
    <w:rsid w:val="00DC1DA7"/>
    <w:rsid w:val="00DD12B5"/>
    <w:rsid w:val="00DD140F"/>
    <w:rsid w:val="00DD2B5E"/>
    <w:rsid w:val="00DD6426"/>
    <w:rsid w:val="00DE06ED"/>
    <w:rsid w:val="00DE0AC6"/>
    <w:rsid w:val="00DE118E"/>
    <w:rsid w:val="00DE2D30"/>
    <w:rsid w:val="00DE7AFF"/>
    <w:rsid w:val="00DF1ADD"/>
    <w:rsid w:val="00DF2564"/>
    <w:rsid w:val="00E01262"/>
    <w:rsid w:val="00E0287C"/>
    <w:rsid w:val="00E030F5"/>
    <w:rsid w:val="00E03AB8"/>
    <w:rsid w:val="00E04DA7"/>
    <w:rsid w:val="00E1111E"/>
    <w:rsid w:val="00E12731"/>
    <w:rsid w:val="00E12F9B"/>
    <w:rsid w:val="00E14835"/>
    <w:rsid w:val="00E14D49"/>
    <w:rsid w:val="00E152C7"/>
    <w:rsid w:val="00E155B0"/>
    <w:rsid w:val="00E1565E"/>
    <w:rsid w:val="00E17317"/>
    <w:rsid w:val="00E174B5"/>
    <w:rsid w:val="00E17BCF"/>
    <w:rsid w:val="00E17D6B"/>
    <w:rsid w:val="00E24C6F"/>
    <w:rsid w:val="00E25E1A"/>
    <w:rsid w:val="00E26C19"/>
    <w:rsid w:val="00E275EC"/>
    <w:rsid w:val="00E27C49"/>
    <w:rsid w:val="00E306A5"/>
    <w:rsid w:val="00E3236B"/>
    <w:rsid w:val="00E35E21"/>
    <w:rsid w:val="00E363C6"/>
    <w:rsid w:val="00E37AF6"/>
    <w:rsid w:val="00E4106F"/>
    <w:rsid w:val="00E416D4"/>
    <w:rsid w:val="00E44980"/>
    <w:rsid w:val="00E4577B"/>
    <w:rsid w:val="00E46711"/>
    <w:rsid w:val="00E5226C"/>
    <w:rsid w:val="00E5333F"/>
    <w:rsid w:val="00E53EE1"/>
    <w:rsid w:val="00E54293"/>
    <w:rsid w:val="00E5589E"/>
    <w:rsid w:val="00E57380"/>
    <w:rsid w:val="00E573C9"/>
    <w:rsid w:val="00E6100E"/>
    <w:rsid w:val="00E61E75"/>
    <w:rsid w:val="00E62117"/>
    <w:rsid w:val="00E63C08"/>
    <w:rsid w:val="00E65CD2"/>
    <w:rsid w:val="00E65DD8"/>
    <w:rsid w:val="00E675FA"/>
    <w:rsid w:val="00E67B10"/>
    <w:rsid w:val="00E75174"/>
    <w:rsid w:val="00E75DAD"/>
    <w:rsid w:val="00E779DF"/>
    <w:rsid w:val="00E77CF4"/>
    <w:rsid w:val="00E80D52"/>
    <w:rsid w:val="00E826DD"/>
    <w:rsid w:val="00E82E3D"/>
    <w:rsid w:val="00E84C5D"/>
    <w:rsid w:val="00E921C3"/>
    <w:rsid w:val="00E96226"/>
    <w:rsid w:val="00E96356"/>
    <w:rsid w:val="00E976D7"/>
    <w:rsid w:val="00EA3AC8"/>
    <w:rsid w:val="00EA51B1"/>
    <w:rsid w:val="00EA6A24"/>
    <w:rsid w:val="00EA6FE1"/>
    <w:rsid w:val="00EB3716"/>
    <w:rsid w:val="00EB4EA1"/>
    <w:rsid w:val="00EB6A78"/>
    <w:rsid w:val="00EB7CC1"/>
    <w:rsid w:val="00EB7EF9"/>
    <w:rsid w:val="00EC0C4E"/>
    <w:rsid w:val="00EC1ECC"/>
    <w:rsid w:val="00EC2229"/>
    <w:rsid w:val="00EC39E0"/>
    <w:rsid w:val="00EC7AFC"/>
    <w:rsid w:val="00ED0C99"/>
    <w:rsid w:val="00ED106C"/>
    <w:rsid w:val="00ED175E"/>
    <w:rsid w:val="00ED3068"/>
    <w:rsid w:val="00ED45E7"/>
    <w:rsid w:val="00ED5340"/>
    <w:rsid w:val="00ED67A9"/>
    <w:rsid w:val="00ED79F3"/>
    <w:rsid w:val="00EE2956"/>
    <w:rsid w:val="00EF058C"/>
    <w:rsid w:val="00EF1E32"/>
    <w:rsid w:val="00EF6006"/>
    <w:rsid w:val="00EF7075"/>
    <w:rsid w:val="00F10055"/>
    <w:rsid w:val="00F10B2B"/>
    <w:rsid w:val="00F11C62"/>
    <w:rsid w:val="00F129E7"/>
    <w:rsid w:val="00F12EB9"/>
    <w:rsid w:val="00F12F60"/>
    <w:rsid w:val="00F21BA2"/>
    <w:rsid w:val="00F22C89"/>
    <w:rsid w:val="00F23E2E"/>
    <w:rsid w:val="00F25447"/>
    <w:rsid w:val="00F27F06"/>
    <w:rsid w:val="00F3021C"/>
    <w:rsid w:val="00F31E4C"/>
    <w:rsid w:val="00F36FA8"/>
    <w:rsid w:val="00F37418"/>
    <w:rsid w:val="00F4495B"/>
    <w:rsid w:val="00F456E4"/>
    <w:rsid w:val="00F45CF7"/>
    <w:rsid w:val="00F53E43"/>
    <w:rsid w:val="00F576D0"/>
    <w:rsid w:val="00F57714"/>
    <w:rsid w:val="00F60D9E"/>
    <w:rsid w:val="00F6106A"/>
    <w:rsid w:val="00F61985"/>
    <w:rsid w:val="00F64F15"/>
    <w:rsid w:val="00F70EFE"/>
    <w:rsid w:val="00F777E4"/>
    <w:rsid w:val="00F80D15"/>
    <w:rsid w:val="00F80F65"/>
    <w:rsid w:val="00F82102"/>
    <w:rsid w:val="00F855DC"/>
    <w:rsid w:val="00F8577C"/>
    <w:rsid w:val="00F87646"/>
    <w:rsid w:val="00F9071D"/>
    <w:rsid w:val="00F90D10"/>
    <w:rsid w:val="00F91C68"/>
    <w:rsid w:val="00F93613"/>
    <w:rsid w:val="00F96E5D"/>
    <w:rsid w:val="00FA0DE8"/>
    <w:rsid w:val="00FA2F2B"/>
    <w:rsid w:val="00FA3CC4"/>
    <w:rsid w:val="00FA5417"/>
    <w:rsid w:val="00FA7D26"/>
    <w:rsid w:val="00FB0102"/>
    <w:rsid w:val="00FB0676"/>
    <w:rsid w:val="00FB08D1"/>
    <w:rsid w:val="00FB1060"/>
    <w:rsid w:val="00FB47D3"/>
    <w:rsid w:val="00FC2D69"/>
    <w:rsid w:val="00FC32D1"/>
    <w:rsid w:val="00FC508D"/>
    <w:rsid w:val="00FC553F"/>
    <w:rsid w:val="00FC5915"/>
    <w:rsid w:val="00FC6F5F"/>
    <w:rsid w:val="00FD0260"/>
    <w:rsid w:val="00FD0567"/>
    <w:rsid w:val="00FD086E"/>
    <w:rsid w:val="00FD2512"/>
    <w:rsid w:val="00FD3BE6"/>
    <w:rsid w:val="00FD5B95"/>
    <w:rsid w:val="00FD67F1"/>
    <w:rsid w:val="00FD6C84"/>
    <w:rsid w:val="00FE51ED"/>
    <w:rsid w:val="00FE53D4"/>
    <w:rsid w:val="00FE76F8"/>
    <w:rsid w:val="00FF00E2"/>
    <w:rsid w:val="00FF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Style 13"/>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 w:type="paragraph" w:styleId="EndnoteText">
    <w:name w:val="endnote text"/>
    <w:basedOn w:val="Normal"/>
    <w:link w:val="EndnoteTextChar"/>
    <w:semiHidden/>
    <w:unhideWhenUsed/>
    <w:rsid w:val="003E2A1E"/>
  </w:style>
  <w:style w:type="character" w:customStyle="1" w:styleId="EndnoteTextChar">
    <w:name w:val="Endnote Text Char"/>
    <w:basedOn w:val="DefaultParagraphFont"/>
    <w:link w:val="EndnoteText"/>
    <w:semiHidden/>
    <w:rsid w:val="003E2A1E"/>
  </w:style>
  <w:style w:type="character" w:styleId="EndnoteReference">
    <w:name w:val="endnote reference"/>
    <w:basedOn w:val="DefaultParagraphFont"/>
    <w:semiHidden/>
    <w:unhideWhenUsed/>
    <w:rsid w:val="003E2A1E"/>
    <w:rPr>
      <w:vertAlign w:val="superscript"/>
    </w:rPr>
  </w:style>
  <w:style w:type="character" w:customStyle="1" w:styleId="document-link">
    <w:name w:val="document-link"/>
    <w:basedOn w:val="DefaultParagraphFont"/>
    <w:rsid w:val="007346C5"/>
  </w:style>
  <w:style w:type="character" w:customStyle="1" w:styleId="emphi">
    <w:name w:val="emphi"/>
    <w:basedOn w:val="DefaultParagraphFont"/>
    <w:rsid w:val="00882AF7"/>
  </w:style>
  <w:style w:type="character" w:customStyle="1" w:styleId="displayhltext">
    <w:name w:val="display_hl_text"/>
    <w:basedOn w:val="DefaultParagraphFont"/>
    <w:rsid w:val="001C5CD0"/>
  </w:style>
  <w:style w:type="character" w:customStyle="1" w:styleId="displayhltextactive">
    <w:name w:val="display_hl_text_active"/>
    <w:basedOn w:val="DefaultParagraphFont"/>
    <w:rsid w:val="00C37AFF"/>
  </w:style>
  <w:style w:type="character" w:customStyle="1" w:styleId="Mention1">
    <w:name w:val="Mention1"/>
    <w:basedOn w:val="DefaultParagraphFont"/>
    <w:uiPriority w:val="99"/>
    <w:semiHidden/>
    <w:unhideWhenUsed/>
    <w:rsid w:val="00AC730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Style 13"/>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 w:type="paragraph" w:styleId="EndnoteText">
    <w:name w:val="endnote text"/>
    <w:basedOn w:val="Normal"/>
    <w:link w:val="EndnoteTextChar"/>
    <w:semiHidden/>
    <w:unhideWhenUsed/>
    <w:rsid w:val="003E2A1E"/>
  </w:style>
  <w:style w:type="character" w:customStyle="1" w:styleId="EndnoteTextChar">
    <w:name w:val="Endnote Text Char"/>
    <w:basedOn w:val="DefaultParagraphFont"/>
    <w:link w:val="EndnoteText"/>
    <w:semiHidden/>
    <w:rsid w:val="003E2A1E"/>
  </w:style>
  <w:style w:type="character" w:styleId="EndnoteReference">
    <w:name w:val="endnote reference"/>
    <w:basedOn w:val="DefaultParagraphFont"/>
    <w:semiHidden/>
    <w:unhideWhenUsed/>
    <w:rsid w:val="003E2A1E"/>
    <w:rPr>
      <w:vertAlign w:val="superscript"/>
    </w:rPr>
  </w:style>
  <w:style w:type="character" w:customStyle="1" w:styleId="document-link">
    <w:name w:val="document-link"/>
    <w:basedOn w:val="DefaultParagraphFont"/>
    <w:rsid w:val="007346C5"/>
  </w:style>
  <w:style w:type="character" w:customStyle="1" w:styleId="emphi">
    <w:name w:val="emphi"/>
    <w:basedOn w:val="DefaultParagraphFont"/>
    <w:rsid w:val="00882AF7"/>
  </w:style>
  <w:style w:type="character" w:customStyle="1" w:styleId="displayhltext">
    <w:name w:val="display_hl_text"/>
    <w:basedOn w:val="DefaultParagraphFont"/>
    <w:rsid w:val="001C5CD0"/>
  </w:style>
  <w:style w:type="character" w:customStyle="1" w:styleId="displayhltextactive">
    <w:name w:val="display_hl_text_active"/>
    <w:basedOn w:val="DefaultParagraphFont"/>
    <w:rsid w:val="00C37AFF"/>
  </w:style>
  <w:style w:type="character" w:customStyle="1" w:styleId="Mention1">
    <w:name w:val="Mention1"/>
    <w:basedOn w:val="DefaultParagraphFont"/>
    <w:uiPriority w:val="99"/>
    <w:semiHidden/>
    <w:unhideWhenUsed/>
    <w:rsid w:val="00AC73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889">
      <w:bodyDiv w:val="1"/>
      <w:marLeft w:val="30"/>
      <w:marRight w:val="30"/>
      <w:marTop w:val="30"/>
      <w:marBottom w:val="30"/>
      <w:divBdr>
        <w:top w:val="none" w:sz="0" w:space="0" w:color="auto"/>
        <w:left w:val="none" w:sz="0" w:space="0" w:color="auto"/>
        <w:bottom w:val="none" w:sz="0" w:space="0" w:color="auto"/>
        <w:right w:val="none" w:sz="0" w:space="0" w:color="auto"/>
      </w:divBdr>
      <w:divsChild>
        <w:div w:id="434399807">
          <w:marLeft w:val="0"/>
          <w:marRight w:val="0"/>
          <w:marTop w:val="0"/>
          <w:marBottom w:val="0"/>
          <w:divBdr>
            <w:top w:val="none" w:sz="0" w:space="0" w:color="auto"/>
            <w:left w:val="none" w:sz="0" w:space="0" w:color="auto"/>
            <w:bottom w:val="none" w:sz="0" w:space="0" w:color="auto"/>
            <w:right w:val="none" w:sz="0" w:space="0" w:color="auto"/>
          </w:divBdr>
          <w:divsChild>
            <w:div w:id="1465348475">
              <w:marLeft w:val="45"/>
              <w:marRight w:val="45"/>
              <w:marTop w:val="45"/>
              <w:marBottom w:val="45"/>
              <w:divBdr>
                <w:top w:val="none" w:sz="0" w:space="0" w:color="auto"/>
                <w:left w:val="none" w:sz="0" w:space="0" w:color="auto"/>
                <w:bottom w:val="none" w:sz="0" w:space="0" w:color="auto"/>
                <w:right w:val="none" w:sz="0" w:space="0" w:color="auto"/>
              </w:divBdr>
              <w:divsChild>
                <w:div w:id="518668118">
                  <w:marLeft w:val="0"/>
                  <w:marRight w:val="0"/>
                  <w:marTop w:val="0"/>
                  <w:marBottom w:val="0"/>
                  <w:divBdr>
                    <w:top w:val="none" w:sz="0" w:space="0" w:color="auto"/>
                    <w:left w:val="none" w:sz="0" w:space="0" w:color="auto"/>
                    <w:bottom w:val="none" w:sz="0" w:space="0" w:color="auto"/>
                    <w:right w:val="none" w:sz="0" w:space="0" w:color="auto"/>
                  </w:divBdr>
                  <w:divsChild>
                    <w:div w:id="1962374537">
                      <w:marLeft w:val="0"/>
                      <w:marRight w:val="0"/>
                      <w:marTop w:val="0"/>
                      <w:marBottom w:val="0"/>
                      <w:divBdr>
                        <w:top w:val="none" w:sz="0" w:space="0" w:color="auto"/>
                        <w:left w:val="none" w:sz="0" w:space="0" w:color="auto"/>
                        <w:bottom w:val="none" w:sz="0" w:space="0" w:color="auto"/>
                        <w:right w:val="none" w:sz="0" w:space="0" w:color="auto"/>
                      </w:divBdr>
                    </w:div>
                    <w:div w:id="625888572">
                      <w:marLeft w:val="360"/>
                      <w:marRight w:val="0"/>
                      <w:marTop w:val="0"/>
                      <w:marBottom w:val="0"/>
                      <w:divBdr>
                        <w:top w:val="none" w:sz="0" w:space="0" w:color="auto"/>
                        <w:left w:val="none" w:sz="0" w:space="0" w:color="auto"/>
                        <w:bottom w:val="none" w:sz="0" w:space="0" w:color="auto"/>
                        <w:right w:val="none" w:sz="0" w:space="0" w:color="auto"/>
                      </w:divBdr>
                    </w:div>
                    <w:div w:id="445467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4396">
      <w:bodyDiv w:val="1"/>
      <w:marLeft w:val="0"/>
      <w:marRight w:val="0"/>
      <w:marTop w:val="0"/>
      <w:marBottom w:val="0"/>
      <w:divBdr>
        <w:top w:val="none" w:sz="0" w:space="0" w:color="auto"/>
        <w:left w:val="none" w:sz="0" w:space="0" w:color="auto"/>
        <w:bottom w:val="none" w:sz="0" w:space="0" w:color="auto"/>
        <w:right w:val="none" w:sz="0" w:space="0" w:color="auto"/>
      </w:divBdr>
    </w:div>
    <w:div w:id="230193070">
      <w:bodyDiv w:val="1"/>
      <w:marLeft w:val="0"/>
      <w:marRight w:val="0"/>
      <w:marTop w:val="0"/>
      <w:marBottom w:val="0"/>
      <w:divBdr>
        <w:top w:val="none" w:sz="0" w:space="0" w:color="auto"/>
        <w:left w:val="none" w:sz="0" w:space="0" w:color="auto"/>
        <w:bottom w:val="none" w:sz="0" w:space="0" w:color="auto"/>
        <w:right w:val="none" w:sz="0" w:space="0" w:color="auto"/>
      </w:divBdr>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92065954">
      <w:bodyDiv w:val="1"/>
      <w:marLeft w:val="0"/>
      <w:marRight w:val="0"/>
      <w:marTop w:val="0"/>
      <w:marBottom w:val="0"/>
      <w:divBdr>
        <w:top w:val="none" w:sz="0" w:space="0" w:color="auto"/>
        <w:left w:val="none" w:sz="0" w:space="0" w:color="auto"/>
        <w:bottom w:val="none" w:sz="0" w:space="0" w:color="auto"/>
        <w:right w:val="none" w:sz="0" w:space="0" w:color="auto"/>
      </w:divBdr>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383">
      <w:bodyDiv w:val="1"/>
      <w:marLeft w:val="0"/>
      <w:marRight w:val="0"/>
      <w:marTop w:val="0"/>
      <w:marBottom w:val="0"/>
      <w:divBdr>
        <w:top w:val="none" w:sz="0" w:space="0" w:color="auto"/>
        <w:left w:val="none" w:sz="0" w:space="0" w:color="auto"/>
        <w:bottom w:val="none" w:sz="0" w:space="0" w:color="auto"/>
        <w:right w:val="none" w:sz="0" w:space="0" w:color="auto"/>
      </w:divBdr>
    </w:div>
    <w:div w:id="898175979">
      <w:bodyDiv w:val="1"/>
      <w:marLeft w:val="0"/>
      <w:marRight w:val="0"/>
      <w:marTop w:val="0"/>
      <w:marBottom w:val="0"/>
      <w:divBdr>
        <w:top w:val="none" w:sz="0" w:space="0" w:color="auto"/>
        <w:left w:val="none" w:sz="0" w:space="0" w:color="auto"/>
        <w:bottom w:val="none" w:sz="0" w:space="0" w:color="auto"/>
        <w:right w:val="none" w:sz="0" w:space="0" w:color="auto"/>
      </w:divBdr>
      <w:divsChild>
        <w:div w:id="793596932">
          <w:marLeft w:val="0"/>
          <w:marRight w:val="0"/>
          <w:marTop w:val="0"/>
          <w:marBottom w:val="0"/>
          <w:divBdr>
            <w:top w:val="none" w:sz="0" w:space="0" w:color="auto"/>
            <w:left w:val="none" w:sz="0" w:space="0" w:color="auto"/>
            <w:bottom w:val="none" w:sz="0" w:space="0" w:color="auto"/>
            <w:right w:val="none" w:sz="0" w:space="0" w:color="auto"/>
          </w:divBdr>
        </w:div>
        <w:div w:id="1099328850">
          <w:marLeft w:val="0"/>
          <w:marRight w:val="0"/>
          <w:marTop w:val="0"/>
          <w:marBottom w:val="0"/>
          <w:divBdr>
            <w:top w:val="none" w:sz="0" w:space="0" w:color="auto"/>
            <w:left w:val="none" w:sz="0" w:space="0" w:color="auto"/>
            <w:bottom w:val="none" w:sz="0" w:space="0" w:color="auto"/>
            <w:right w:val="none" w:sz="0" w:space="0" w:color="auto"/>
          </w:divBdr>
        </w:div>
        <w:div w:id="11032254">
          <w:marLeft w:val="0"/>
          <w:marRight w:val="0"/>
          <w:marTop w:val="0"/>
          <w:marBottom w:val="0"/>
          <w:divBdr>
            <w:top w:val="none" w:sz="0" w:space="0" w:color="auto"/>
            <w:left w:val="none" w:sz="0" w:space="0" w:color="auto"/>
            <w:bottom w:val="none" w:sz="0" w:space="0" w:color="auto"/>
            <w:right w:val="none" w:sz="0" w:space="0" w:color="auto"/>
          </w:divBdr>
        </w:div>
        <w:div w:id="1705715822">
          <w:marLeft w:val="0"/>
          <w:marRight w:val="0"/>
          <w:marTop w:val="0"/>
          <w:marBottom w:val="0"/>
          <w:divBdr>
            <w:top w:val="none" w:sz="0" w:space="0" w:color="auto"/>
            <w:left w:val="none" w:sz="0" w:space="0" w:color="auto"/>
            <w:bottom w:val="none" w:sz="0" w:space="0" w:color="auto"/>
            <w:right w:val="none" w:sz="0" w:space="0" w:color="auto"/>
          </w:divBdr>
        </w:div>
        <w:div w:id="185097617">
          <w:marLeft w:val="0"/>
          <w:marRight w:val="0"/>
          <w:marTop w:val="0"/>
          <w:marBottom w:val="0"/>
          <w:divBdr>
            <w:top w:val="none" w:sz="0" w:space="0" w:color="auto"/>
            <w:left w:val="none" w:sz="0" w:space="0" w:color="auto"/>
            <w:bottom w:val="none" w:sz="0" w:space="0" w:color="auto"/>
            <w:right w:val="none" w:sz="0" w:space="0" w:color="auto"/>
          </w:divBdr>
        </w:div>
        <w:div w:id="889801343">
          <w:marLeft w:val="0"/>
          <w:marRight w:val="0"/>
          <w:marTop w:val="0"/>
          <w:marBottom w:val="0"/>
          <w:divBdr>
            <w:top w:val="none" w:sz="0" w:space="0" w:color="auto"/>
            <w:left w:val="none" w:sz="0" w:space="0" w:color="auto"/>
            <w:bottom w:val="none" w:sz="0" w:space="0" w:color="auto"/>
            <w:right w:val="none" w:sz="0" w:space="0" w:color="auto"/>
          </w:divBdr>
        </w:div>
        <w:div w:id="409352445">
          <w:marLeft w:val="0"/>
          <w:marRight w:val="0"/>
          <w:marTop w:val="0"/>
          <w:marBottom w:val="0"/>
          <w:divBdr>
            <w:top w:val="none" w:sz="0" w:space="0" w:color="auto"/>
            <w:left w:val="none" w:sz="0" w:space="0" w:color="auto"/>
            <w:bottom w:val="none" w:sz="0" w:space="0" w:color="auto"/>
            <w:right w:val="none" w:sz="0" w:space="0" w:color="auto"/>
          </w:divBdr>
        </w:div>
        <w:div w:id="1314093475">
          <w:marLeft w:val="0"/>
          <w:marRight w:val="0"/>
          <w:marTop w:val="0"/>
          <w:marBottom w:val="0"/>
          <w:divBdr>
            <w:top w:val="none" w:sz="0" w:space="0" w:color="auto"/>
            <w:left w:val="none" w:sz="0" w:space="0" w:color="auto"/>
            <w:bottom w:val="none" w:sz="0" w:space="0" w:color="auto"/>
            <w:right w:val="none" w:sz="0" w:space="0" w:color="auto"/>
          </w:divBdr>
        </w:div>
        <w:div w:id="158808235">
          <w:marLeft w:val="0"/>
          <w:marRight w:val="0"/>
          <w:marTop w:val="0"/>
          <w:marBottom w:val="0"/>
          <w:divBdr>
            <w:top w:val="none" w:sz="0" w:space="0" w:color="auto"/>
            <w:left w:val="none" w:sz="0" w:space="0" w:color="auto"/>
            <w:bottom w:val="none" w:sz="0" w:space="0" w:color="auto"/>
            <w:right w:val="none" w:sz="0" w:space="0" w:color="auto"/>
          </w:divBdr>
        </w:div>
        <w:div w:id="596644842">
          <w:marLeft w:val="0"/>
          <w:marRight w:val="0"/>
          <w:marTop w:val="0"/>
          <w:marBottom w:val="0"/>
          <w:divBdr>
            <w:top w:val="none" w:sz="0" w:space="0" w:color="auto"/>
            <w:left w:val="none" w:sz="0" w:space="0" w:color="auto"/>
            <w:bottom w:val="none" w:sz="0" w:space="0" w:color="auto"/>
            <w:right w:val="none" w:sz="0" w:space="0" w:color="auto"/>
          </w:divBdr>
        </w:div>
        <w:div w:id="102312268">
          <w:marLeft w:val="0"/>
          <w:marRight w:val="0"/>
          <w:marTop w:val="0"/>
          <w:marBottom w:val="0"/>
          <w:divBdr>
            <w:top w:val="none" w:sz="0" w:space="0" w:color="auto"/>
            <w:left w:val="none" w:sz="0" w:space="0" w:color="auto"/>
            <w:bottom w:val="none" w:sz="0" w:space="0" w:color="auto"/>
            <w:right w:val="none" w:sz="0" w:space="0" w:color="auto"/>
          </w:divBdr>
        </w:div>
        <w:div w:id="1735197119">
          <w:marLeft w:val="0"/>
          <w:marRight w:val="0"/>
          <w:marTop w:val="0"/>
          <w:marBottom w:val="0"/>
          <w:divBdr>
            <w:top w:val="none" w:sz="0" w:space="0" w:color="auto"/>
            <w:left w:val="none" w:sz="0" w:space="0" w:color="auto"/>
            <w:bottom w:val="none" w:sz="0" w:space="0" w:color="auto"/>
            <w:right w:val="none" w:sz="0" w:space="0" w:color="auto"/>
          </w:divBdr>
        </w:div>
        <w:div w:id="338050085">
          <w:marLeft w:val="0"/>
          <w:marRight w:val="0"/>
          <w:marTop w:val="0"/>
          <w:marBottom w:val="0"/>
          <w:divBdr>
            <w:top w:val="none" w:sz="0" w:space="0" w:color="auto"/>
            <w:left w:val="none" w:sz="0" w:space="0" w:color="auto"/>
            <w:bottom w:val="none" w:sz="0" w:space="0" w:color="auto"/>
            <w:right w:val="none" w:sz="0" w:space="0" w:color="auto"/>
          </w:divBdr>
        </w:div>
        <w:div w:id="1649439575">
          <w:marLeft w:val="0"/>
          <w:marRight w:val="0"/>
          <w:marTop w:val="0"/>
          <w:marBottom w:val="0"/>
          <w:divBdr>
            <w:top w:val="none" w:sz="0" w:space="0" w:color="auto"/>
            <w:left w:val="none" w:sz="0" w:space="0" w:color="auto"/>
            <w:bottom w:val="none" w:sz="0" w:space="0" w:color="auto"/>
            <w:right w:val="none" w:sz="0" w:space="0" w:color="auto"/>
          </w:divBdr>
        </w:div>
        <w:div w:id="141891072">
          <w:marLeft w:val="0"/>
          <w:marRight w:val="0"/>
          <w:marTop w:val="0"/>
          <w:marBottom w:val="0"/>
          <w:divBdr>
            <w:top w:val="none" w:sz="0" w:space="0" w:color="auto"/>
            <w:left w:val="none" w:sz="0" w:space="0" w:color="auto"/>
            <w:bottom w:val="none" w:sz="0" w:space="0" w:color="auto"/>
            <w:right w:val="none" w:sz="0" w:space="0" w:color="auto"/>
          </w:divBdr>
        </w:div>
        <w:div w:id="503781928">
          <w:marLeft w:val="0"/>
          <w:marRight w:val="0"/>
          <w:marTop w:val="0"/>
          <w:marBottom w:val="0"/>
          <w:divBdr>
            <w:top w:val="none" w:sz="0" w:space="0" w:color="auto"/>
            <w:left w:val="none" w:sz="0" w:space="0" w:color="auto"/>
            <w:bottom w:val="none" w:sz="0" w:space="0" w:color="auto"/>
            <w:right w:val="none" w:sz="0" w:space="0" w:color="auto"/>
          </w:divBdr>
        </w:div>
        <w:div w:id="197282654">
          <w:marLeft w:val="0"/>
          <w:marRight w:val="0"/>
          <w:marTop w:val="0"/>
          <w:marBottom w:val="0"/>
          <w:divBdr>
            <w:top w:val="none" w:sz="0" w:space="0" w:color="auto"/>
            <w:left w:val="none" w:sz="0" w:space="0" w:color="auto"/>
            <w:bottom w:val="none" w:sz="0" w:space="0" w:color="auto"/>
            <w:right w:val="none" w:sz="0" w:space="0" w:color="auto"/>
          </w:divBdr>
        </w:div>
        <w:div w:id="1998532066">
          <w:marLeft w:val="0"/>
          <w:marRight w:val="0"/>
          <w:marTop w:val="0"/>
          <w:marBottom w:val="0"/>
          <w:divBdr>
            <w:top w:val="none" w:sz="0" w:space="0" w:color="auto"/>
            <w:left w:val="none" w:sz="0" w:space="0" w:color="auto"/>
            <w:bottom w:val="none" w:sz="0" w:space="0" w:color="auto"/>
            <w:right w:val="none" w:sz="0" w:space="0" w:color="auto"/>
          </w:divBdr>
        </w:div>
        <w:div w:id="1538466164">
          <w:marLeft w:val="0"/>
          <w:marRight w:val="0"/>
          <w:marTop w:val="0"/>
          <w:marBottom w:val="0"/>
          <w:divBdr>
            <w:top w:val="none" w:sz="0" w:space="0" w:color="auto"/>
            <w:left w:val="none" w:sz="0" w:space="0" w:color="auto"/>
            <w:bottom w:val="none" w:sz="0" w:space="0" w:color="auto"/>
            <w:right w:val="none" w:sz="0" w:space="0" w:color="auto"/>
          </w:divBdr>
        </w:div>
        <w:div w:id="1820729557">
          <w:marLeft w:val="0"/>
          <w:marRight w:val="0"/>
          <w:marTop w:val="0"/>
          <w:marBottom w:val="0"/>
          <w:divBdr>
            <w:top w:val="none" w:sz="0" w:space="0" w:color="auto"/>
            <w:left w:val="none" w:sz="0" w:space="0" w:color="auto"/>
            <w:bottom w:val="none" w:sz="0" w:space="0" w:color="auto"/>
            <w:right w:val="none" w:sz="0" w:space="0" w:color="auto"/>
          </w:divBdr>
        </w:div>
        <w:div w:id="793669132">
          <w:marLeft w:val="0"/>
          <w:marRight w:val="0"/>
          <w:marTop w:val="0"/>
          <w:marBottom w:val="0"/>
          <w:divBdr>
            <w:top w:val="none" w:sz="0" w:space="0" w:color="auto"/>
            <w:left w:val="none" w:sz="0" w:space="0" w:color="auto"/>
            <w:bottom w:val="none" w:sz="0" w:space="0" w:color="auto"/>
            <w:right w:val="none" w:sz="0" w:space="0" w:color="auto"/>
          </w:divBdr>
        </w:div>
        <w:div w:id="1532958971">
          <w:marLeft w:val="0"/>
          <w:marRight w:val="0"/>
          <w:marTop w:val="0"/>
          <w:marBottom w:val="0"/>
          <w:divBdr>
            <w:top w:val="none" w:sz="0" w:space="0" w:color="auto"/>
            <w:left w:val="none" w:sz="0" w:space="0" w:color="auto"/>
            <w:bottom w:val="none" w:sz="0" w:space="0" w:color="auto"/>
            <w:right w:val="none" w:sz="0" w:space="0" w:color="auto"/>
          </w:divBdr>
        </w:div>
        <w:div w:id="1602571601">
          <w:marLeft w:val="0"/>
          <w:marRight w:val="0"/>
          <w:marTop w:val="0"/>
          <w:marBottom w:val="0"/>
          <w:divBdr>
            <w:top w:val="none" w:sz="0" w:space="0" w:color="auto"/>
            <w:left w:val="none" w:sz="0" w:space="0" w:color="auto"/>
            <w:bottom w:val="none" w:sz="0" w:space="0" w:color="auto"/>
            <w:right w:val="none" w:sz="0" w:space="0" w:color="auto"/>
          </w:divBdr>
        </w:div>
        <w:div w:id="1316642294">
          <w:marLeft w:val="0"/>
          <w:marRight w:val="0"/>
          <w:marTop w:val="0"/>
          <w:marBottom w:val="0"/>
          <w:divBdr>
            <w:top w:val="none" w:sz="0" w:space="0" w:color="auto"/>
            <w:left w:val="none" w:sz="0" w:space="0" w:color="auto"/>
            <w:bottom w:val="none" w:sz="0" w:space="0" w:color="auto"/>
            <w:right w:val="none" w:sz="0" w:space="0" w:color="auto"/>
          </w:divBdr>
        </w:div>
        <w:div w:id="1375034034">
          <w:marLeft w:val="0"/>
          <w:marRight w:val="0"/>
          <w:marTop w:val="0"/>
          <w:marBottom w:val="0"/>
          <w:divBdr>
            <w:top w:val="none" w:sz="0" w:space="0" w:color="auto"/>
            <w:left w:val="none" w:sz="0" w:space="0" w:color="auto"/>
            <w:bottom w:val="none" w:sz="0" w:space="0" w:color="auto"/>
            <w:right w:val="none" w:sz="0" w:space="0" w:color="auto"/>
          </w:divBdr>
        </w:div>
        <w:div w:id="139157382">
          <w:marLeft w:val="0"/>
          <w:marRight w:val="0"/>
          <w:marTop w:val="0"/>
          <w:marBottom w:val="0"/>
          <w:divBdr>
            <w:top w:val="none" w:sz="0" w:space="0" w:color="auto"/>
            <w:left w:val="none" w:sz="0" w:space="0" w:color="auto"/>
            <w:bottom w:val="none" w:sz="0" w:space="0" w:color="auto"/>
            <w:right w:val="none" w:sz="0" w:space="0" w:color="auto"/>
          </w:divBdr>
        </w:div>
        <w:div w:id="1120341765">
          <w:marLeft w:val="0"/>
          <w:marRight w:val="0"/>
          <w:marTop w:val="0"/>
          <w:marBottom w:val="0"/>
          <w:divBdr>
            <w:top w:val="none" w:sz="0" w:space="0" w:color="auto"/>
            <w:left w:val="none" w:sz="0" w:space="0" w:color="auto"/>
            <w:bottom w:val="none" w:sz="0" w:space="0" w:color="auto"/>
            <w:right w:val="none" w:sz="0" w:space="0" w:color="auto"/>
          </w:divBdr>
        </w:div>
        <w:div w:id="1186678912">
          <w:marLeft w:val="0"/>
          <w:marRight w:val="0"/>
          <w:marTop w:val="0"/>
          <w:marBottom w:val="0"/>
          <w:divBdr>
            <w:top w:val="none" w:sz="0" w:space="0" w:color="auto"/>
            <w:left w:val="none" w:sz="0" w:space="0" w:color="auto"/>
            <w:bottom w:val="none" w:sz="0" w:space="0" w:color="auto"/>
            <w:right w:val="none" w:sz="0" w:space="0" w:color="auto"/>
          </w:divBdr>
        </w:div>
        <w:div w:id="107431590">
          <w:marLeft w:val="0"/>
          <w:marRight w:val="0"/>
          <w:marTop w:val="0"/>
          <w:marBottom w:val="0"/>
          <w:divBdr>
            <w:top w:val="none" w:sz="0" w:space="0" w:color="auto"/>
            <w:left w:val="none" w:sz="0" w:space="0" w:color="auto"/>
            <w:bottom w:val="none" w:sz="0" w:space="0" w:color="auto"/>
            <w:right w:val="none" w:sz="0" w:space="0" w:color="auto"/>
          </w:divBdr>
        </w:div>
        <w:div w:id="2080860587">
          <w:marLeft w:val="0"/>
          <w:marRight w:val="0"/>
          <w:marTop w:val="0"/>
          <w:marBottom w:val="0"/>
          <w:divBdr>
            <w:top w:val="none" w:sz="0" w:space="0" w:color="auto"/>
            <w:left w:val="none" w:sz="0" w:space="0" w:color="auto"/>
            <w:bottom w:val="none" w:sz="0" w:space="0" w:color="auto"/>
            <w:right w:val="none" w:sz="0" w:space="0" w:color="auto"/>
          </w:divBdr>
        </w:div>
        <w:div w:id="1965694854">
          <w:marLeft w:val="0"/>
          <w:marRight w:val="0"/>
          <w:marTop w:val="0"/>
          <w:marBottom w:val="0"/>
          <w:divBdr>
            <w:top w:val="none" w:sz="0" w:space="0" w:color="auto"/>
            <w:left w:val="none" w:sz="0" w:space="0" w:color="auto"/>
            <w:bottom w:val="none" w:sz="0" w:space="0" w:color="auto"/>
            <w:right w:val="none" w:sz="0" w:space="0" w:color="auto"/>
          </w:divBdr>
        </w:div>
        <w:div w:id="1818566430">
          <w:marLeft w:val="0"/>
          <w:marRight w:val="0"/>
          <w:marTop w:val="0"/>
          <w:marBottom w:val="0"/>
          <w:divBdr>
            <w:top w:val="none" w:sz="0" w:space="0" w:color="auto"/>
            <w:left w:val="none" w:sz="0" w:space="0" w:color="auto"/>
            <w:bottom w:val="none" w:sz="0" w:space="0" w:color="auto"/>
            <w:right w:val="none" w:sz="0" w:space="0" w:color="auto"/>
          </w:divBdr>
        </w:div>
        <w:div w:id="1234925693">
          <w:marLeft w:val="0"/>
          <w:marRight w:val="0"/>
          <w:marTop w:val="0"/>
          <w:marBottom w:val="0"/>
          <w:divBdr>
            <w:top w:val="none" w:sz="0" w:space="0" w:color="auto"/>
            <w:left w:val="none" w:sz="0" w:space="0" w:color="auto"/>
            <w:bottom w:val="none" w:sz="0" w:space="0" w:color="auto"/>
            <w:right w:val="none" w:sz="0" w:space="0" w:color="auto"/>
          </w:divBdr>
        </w:div>
        <w:div w:id="275987995">
          <w:marLeft w:val="0"/>
          <w:marRight w:val="0"/>
          <w:marTop w:val="0"/>
          <w:marBottom w:val="0"/>
          <w:divBdr>
            <w:top w:val="none" w:sz="0" w:space="0" w:color="auto"/>
            <w:left w:val="none" w:sz="0" w:space="0" w:color="auto"/>
            <w:bottom w:val="none" w:sz="0" w:space="0" w:color="auto"/>
            <w:right w:val="none" w:sz="0" w:space="0" w:color="auto"/>
          </w:divBdr>
        </w:div>
        <w:div w:id="707922991">
          <w:marLeft w:val="0"/>
          <w:marRight w:val="0"/>
          <w:marTop w:val="0"/>
          <w:marBottom w:val="0"/>
          <w:divBdr>
            <w:top w:val="none" w:sz="0" w:space="0" w:color="auto"/>
            <w:left w:val="none" w:sz="0" w:space="0" w:color="auto"/>
            <w:bottom w:val="none" w:sz="0" w:space="0" w:color="auto"/>
            <w:right w:val="none" w:sz="0" w:space="0" w:color="auto"/>
          </w:divBdr>
        </w:div>
        <w:div w:id="2127457622">
          <w:marLeft w:val="0"/>
          <w:marRight w:val="0"/>
          <w:marTop w:val="0"/>
          <w:marBottom w:val="0"/>
          <w:divBdr>
            <w:top w:val="none" w:sz="0" w:space="0" w:color="auto"/>
            <w:left w:val="none" w:sz="0" w:space="0" w:color="auto"/>
            <w:bottom w:val="none" w:sz="0" w:space="0" w:color="auto"/>
            <w:right w:val="none" w:sz="0" w:space="0" w:color="auto"/>
          </w:divBdr>
        </w:div>
        <w:div w:id="898588401">
          <w:marLeft w:val="0"/>
          <w:marRight w:val="0"/>
          <w:marTop w:val="0"/>
          <w:marBottom w:val="0"/>
          <w:divBdr>
            <w:top w:val="none" w:sz="0" w:space="0" w:color="auto"/>
            <w:left w:val="none" w:sz="0" w:space="0" w:color="auto"/>
            <w:bottom w:val="none" w:sz="0" w:space="0" w:color="auto"/>
            <w:right w:val="none" w:sz="0" w:space="0" w:color="auto"/>
          </w:divBdr>
        </w:div>
        <w:div w:id="1850482354">
          <w:marLeft w:val="0"/>
          <w:marRight w:val="0"/>
          <w:marTop w:val="0"/>
          <w:marBottom w:val="0"/>
          <w:divBdr>
            <w:top w:val="none" w:sz="0" w:space="0" w:color="auto"/>
            <w:left w:val="none" w:sz="0" w:space="0" w:color="auto"/>
            <w:bottom w:val="none" w:sz="0" w:space="0" w:color="auto"/>
            <w:right w:val="none" w:sz="0" w:space="0" w:color="auto"/>
          </w:divBdr>
        </w:div>
        <w:div w:id="475729633">
          <w:marLeft w:val="0"/>
          <w:marRight w:val="0"/>
          <w:marTop w:val="0"/>
          <w:marBottom w:val="0"/>
          <w:divBdr>
            <w:top w:val="none" w:sz="0" w:space="0" w:color="auto"/>
            <w:left w:val="none" w:sz="0" w:space="0" w:color="auto"/>
            <w:bottom w:val="none" w:sz="0" w:space="0" w:color="auto"/>
            <w:right w:val="none" w:sz="0" w:space="0" w:color="auto"/>
          </w:divBdr>
        </w:div>
        <w:div w:id="1617563704">
          <w:marLeft w:val="0"/>
          <w:marRight w:val="0"/>
          <w:marTop w:val="0"/>
          <w:marBottom w:val="0"/>
          <w:divBdr>
            <w:top w:val="none" w:sz="0" w:space="0" w:color="auto"/>
            <w:left w:val="none" w:sz="0" w:space="0" w:color="auto"/>
            <w:bottom w:val="none" w:sz="0" w:space="0" w:color="auto"/>
            <w:right w:val="none" w:sz="0" w:space="0" w:color="auto"/>
          </w:divBdr>
        </w:div>
        <w:div w:id="1407647909">
          <w:marLeft w:val="0"/>
          <w:marRight w:val="0"/>
          <w:marTop w:val="0"/>
          <w:marBottom w:val="0"/>
          <w:divBdr>
            <w:top w:val="none" w:sz="0" w:space="0" w:color="auto"/>
            <w:left w:val="none" w:sz="0" w:space="0" w:color="auto"/>
            <w:bottom w:val="none" w:sz="0" w:space="0" w:color="auto"/>
            <w:right w:val="none" w:sz="0" w:space="0" w:color="auto"/>
          </w:divBdr>
        </w:div>
        <w:div w:id="1003826140">
          <w:marLeft w:val="0"/>
          <w:marRight w:val="0"/>
          <w:marTop w:val="0"/>
          <w:marBottom w:val="0"/>
          <w:divBdr>
            <w:top w:val="none" w:sz="0" w:space="0" w:color="auto"/>
            <w:left w:val="none" w:sz="0" w:space="0" w:color="auto"/>
            <w:bottom w:val="none" w:sz="0" w:space="0" w:color="auto"/>
            <w:right w:val="none" w:sz="0" w:space="0" w:color="auto"/>
          </w:divBdr>
        </w:div>
        <w:div w:id="870458304">
          <w:marLeft w:val="0"/>
          <w:marRight w:val="0"/>
          <w:marTop w:val="0"/>
          <w:marBottom w:val="0"/>
          <w:divBdr>
            <w:top w:val="none" w:sz="0" w:space="0" w:color="auto"/>
            <w:left w:val="none" w:sz="0" w:space="0" w:color="auto"/>
            <w:bottom w:val="none" w:sz="0" w:space="0" w:color="auto"/>
            <w:right w:val="none" w:sz="0" w:space="0" w:color="auto"/>
          </w:divBdr>
        </w:div>
        <w:div w:id="2144301353">
          <w:marLeft w:val="0"/>
          <w:marRight w:val="0"/>
          <w:marTop w:val="0"/>
          <w:marBottom w:val="0"/>
          <w:divBdr>
            <w:top w:val="none" w:sz="0" w:space="0" w:color="auto"/>
            <w:left w:val="none" w:sz="0" w:space="0" w:color="auto"/>
            <w:bottom w:val="none" w:sz="0" w:space="0" w:color="auto"/>
            <w:right w:val="none" w:sz="0" w:space="0" w:color="auto"/>
          </w:divBdr>
        </w:div>
        <w:div w:id="1764254675">
          <w:marLeft w:val="0"/>
          <w:marRight w:val="0"/>
          <w:marTop w:val="0"/>
          <w:marBottom w:val="0"/>
          <w:divBdr>
            <w:top w:val="none" w:sz="0" w:space="0" w:color="auto"/>
            <w:left w:val="none" w:sz="0" w:space="0" w:color="auto"/>
            <w:bottom w:val="none" w:sz="0" w:space="0" w:color="auto"/>
            <w:right w:val="none" w:sz="0" w:space="0" w:color="auto"/>
          </w:divBdr>
        </w:div>
        <w:div w:id="1170606313">
          <w:marLeft w:val="0"/>
          <w:marRight w:val="0"/>
          <w:marTop w:val="0"/>
          <w:marBottom w:val="0"/>
          <w:divBdr>
            <w:top w:val="none" w:sz="0" w:space="0" w:color="auto"/>
            <w:left w:val="none" w:sz="0" w:space="0" w:color="auto"/>
            <w:bottom w:val="none" w:sz="0" w:space="0" w:color="auto"/>
            <w:right w:val="none" w:sz="0" w:space="0" w:color="auto"/>
          </w:divBdr>
        </w:div>
        <w:div w:id="1369139966">
          <w:marLeft w:val="0"/>
          <w:marRight w:val="0"/>
          <w:marTop w:val="0"/>
          <w:marBottom w:val="0"/>
          <w:divBdr>
            <w:top w:val="none" w:sz="0" w:space="0" w:color="auto"/>
            <w:left w:val="none" w:sz="0" w:space="0" w:color="auto"/>
            <w:bottom w:val="none" w:sz="0" w:space="0" w:color="auto"/>
            <w:right w:val="none" w:sz="0" w:space="0" w:color="auto"/>
          </w:divBdr>
        </w:div>
        <w:div w:id="787503851">
          <w:marLeft w:val="0"/>
          <w:marRight w:val="0"/>
          <w:marTop w:val="0"/>
          <w:marBottom w:val="0"/>
          <w:divBdr>
            <w:top w:val="none" w:sz="0" w:space="0" w:color="auto"/>
            <w:left w:val="none" w:sz="0" w:space="0" w:color="auto"/>
            <w:bottom w:val="none" w:sz="0" w:space="0" w:color="auto"/>
            <w:right w:val="none" w:sz="0" w:space="0" w:color="auto"/>
          </w:divBdr>
        </w:div>
        <w:div w:id="274562061">
          <w:marLeft w:val="0"/>
          <w:marRight w:val="0"/>
          <w:marTop w:val="0"/>
          <w:marBottom w:val="0"/>
          <w:divBdr>
            <w:top w:val="none" w:sz="0" w:space="0" w:color="auto"/>
            <w:left w:val="none" w:sz="0" w:space="0" w:color="auto"/>
            <w:bottom w:val="none" w:sz="0" w:space="0" w:color="auto"/>
            <w:right w:val="none" w:sz="0" w:space="0" w:color="auto"/>
          </w:divBdr>
        </w:div>
        <w:div w:id="995960930">
          <w:marLeft w:val="0"/>
          <w:marRight w:val="0"/>
          <w:marTop w:val="0"/>
          <w:marBottom w:val="0"/>
          <w:divBdr>
            <w:top w:val="none" w:sz="0" w:space="0" w:color="auto"/>
            <w:left w:val="none" w:sz="0" w:space="0" w:color="auto"/>
            <w:bottom w:val="none" w:sz="0" w:space="0" w:color="auto"/>
            <w:right w:val="none" w:sz="0" w:space="0" w:color="auto"/>
          </w:divBdr>
        </w:div>
        <w:div w:id="1103459273">
          <w:marLeft w:val="0"/>
          <w:marRight w:val="0"/>
          <w:marTop w:val="0"/>
          <w:marBottom w:val="0"/>
          <w:divBdr>
            <w:top w:val="none" w:sz="0" w:space="0" w:color="auto"/>
            <w:left w:val="none" w:sz="0" w:space="0" w:color="auto"/>
            <w:bottom w:val="none" w:sz="0" w:space="0" w:color="auto"/>
            <w:right w:val="none" w:sz="0" w:space="0" w:color="auto"/>
          </w:divBdr>
        </w:div>
        <w:div w:id="373508862">
          <w:marLeft w:val="0"/>
          <w:marRight w:val="0"/>
          <w:marTop w:val="0"/>
          <w:marBottom w:val="0"/>
          <w:divBdr>
            <w:top w:val="none" w:sz="0" w:space="0" w:color="auto"/>
            <w:left w:val="none" w:sz="0" w:space="0" w:color="auto"/>
            <w:bottom w:val="none" w:sz="0" w:space="0" w:color="auto"/>
            <w:right w:val="none" w:sz="0" w:space="0" w:color="auto"/>
          </w:divBdr>
        </w:div>
        <w:div w:id="18628158">
          <w:marLeft w:val="0"/>
          <w:marRight w:val="0"/>
          <w:marTop w:val="0"/>
          <w:marBottom w:val="0"/>
          <w:divBdr>
            <w:top w:val="none" w:sz="0" w:space="0" w:color="auto"/>
            <w:left w:val="none" w:sz="0" w:space="0" w:color="auto"/>
            <w:bottom w:val="none" w:sz="0" w:space="0" w:color="auto"/>
            <w:right w:val="none" w:sz="0" w:space="0" w:color="auto"/>
          </w:divBdr>
        </w:div>
        <w:div w:id="1820533410">
          <w:marLeft w:val="0"/>
          <w:marRight w:val="0"/>
          <w:marTop w:val="0"/>
          <w:marBottom w:val="0"/>
          <w:divBdr>
            <w:top w:val="none" w:sz="0" w:space="0" w:color="auto"/>
            <w:left w:val="none" w:sz="0" w:space="0" w:color="auto"/>
            <w:bottom w:val="none" w:sz="0" w:space="0" w:color="auto"/>
            <w:right w:val="none" w:sz="0" w:space="0" w:color="auto"/>
          </w:divBdr>
        </w:div>
        <w:div w:id="621769827">
          <w:marLeft w:val="0"/>
          <w:marRight w:val="0"/>
          <w:marTop w:val="0"/>
          <w:marBottom w:val="0"/>
          <w:divBdr>
            <w:top w:val="none" w:sz="0" w:space="0" w:color="auto"/>
            <w:left w:val="none" w:sz="0" w:space="0" w:color="auto"/>
            <w:bottom w:val="none" w:sz="0" w:space="0" w:color="auto"/>
            <w:right w:val="none" w:sz="0" w:space="0" w:color="auto"/>
          </w:divBdr>
        </w:div>
        <w:div w:id="606081115">
          <w:marLeft w:val="0"/>
          <w:marRight w:val="0"/>
          <w:marTop w:val="0"/>
          <w:marBottom w:val="0"/>
          <w:divBdr>
            <w:top w:val="none" w:sz="0" w:space="0" w:color="auto"/>
            <w:left w:val="none" w:sz="0" w:space="0" w:color="auto"/>
            <w:bottom w:val="none" w:sz="0" w:space="0" w:color="auto"/>
            <w:right w:val="none" w:sz="0" w:space="0" w:color="auto"/>
          </w:divBdr>
        </w:div>
        <w:div w:id="1893760795">
          <w:marLeft w:val="0"/>
          <w:marRight w:val="0"/>
          <w:marTop w:val="0"/>
          <w:marBottom w:val="0"/>
          <w:divBdr>
            <w:top w:val="none" w:sz="0" w:space="0" w:color="auto"/>
            <w:left w:val="none" w:sz="0" w:space="0" w:color="auto"/>
            <w:bottom w:val="none" w:sz="0" w:space="0" w:color="auto"/>
            <w:right w:val="none" w:sz="0" w:space="0" w:color="auto"/>
          </w:divBdr>
        </w:div>
        <w:div w:id="1417089289">
          <w:marLeft w:val="0"/>
          <w:marRight w:val="0"/>
          <w:marTop w:val="0"/>
          <w:marBottom w:val="0"/>
          <w:divBdr>
            <w:top w:val="none" w:sz="0" w:space="0" w:color="auto"/>
            <w:left w:val="none" w:sz="0" w:space="0" w:color="auto"/>
            <w:bottom w:val="none" w:sz="0" w:space="0" w:color="auto"/>
            <w:right w:val="none" w:sz="0" w:space="0" w:color="auto"/>
          </w:divBdr>
        </w:div>
        <w:div w:id="393091229">
          <w:marLeft w:val="0"/>
          <w:marRight w:val="0"/>
          <w:marTop w:val="0"/>
          <w:marBottom w:val="0"/>
          <w:divBdr>
            <w:top w:val="none" w:sz="0" w:space="0" w:color="auto"/>
            <w:left w:val="none" w:sz="0" w:space="0" w:color="auto"/>
            <w:bottom w:val="none" w:sz="0" w:space="0" w:color="auto"/>
            <w:right w:val="none" w:sz="0" w:space="0" w:color="auto"/>
          </w:divBdr>
        </w:div>
        <w:div w:id="1331955240">
          <w:marLeft w:val="0"/>
          <w:marRight w:val="0"/>
          <w:marTop w:val="0"/>
          <w:marBottom w:val="0"/>
          <w:divBdr>
            <w:top w:val="none" w:sz="0" w:space="0" w:color="auto"/>
            <w:left w:val="none" w:sz="0" w:space="0" w:color="auto"/>
            <w:bottom w:val="none" w:sz="0" w:space="0" w:color="auto"/>
            <w:right w:val="none" w:sz="0" w:space="0" w:color="auto"/>
          </w:divBdr>
        </w:div>
        <w:div w:id="604772941">
          <w:marLeft w:val="0"/>
          <w:marRight w:val="0"/>
          <w:marTop w:val="0"/>
          <w:marBottom w:val="0"/>
          <w:divBdr>
            <w:top w:val="none" w:sz="0" w:space="0" w:color="auto"/>
            <w:left w:val="none" w:sz="0" w:space="0" w:color="auto"/>
            <w:bottom w:val="none" w:sz="0" w:space="0" w:color="auto"/>
            <w:right w:val="none" w:sz="0" w:space="0" w:color="auto"/>
          </w:divBdr>
        </w:div>
        <w:div w:id="210918992">
          <w:marLeft w:val="0"/>
          <w:marRight w:val="0"/>
          <w:marTop w:val="0"/>
          <w:marBottom w:val="0"/>
          <w:divBdr>
            <w:top w:val="none" w:sz="0" w:space="0" w:color="auto"/>
            <w:left w:val="none" w:sz="0" w:space="0" w:color="auto"/>
            <w:bottom w:val="none" w:sz="0" w:space="0" w:color="auto"/>
            <w:right w:val="none" w:sz="0" w:space="0" w:color="auto"/>
          </w:divBdr>
        </w:div>
        <w:div w:id="1023632211">
          <w:marLeft w:val="0"/>
          <w:marRight w:val="0"/>
          <w:marTop w:val="0"/>
          <w:marBottom w:val="0"/>
          <w:divBdr>
            <w:top w:val="none" w:sz="0" w:space="0" w:color="auto"/>
            <w:left w:val="none" w:sz="0" w:space="0" w:color="auto"/>
            <w:bottom w:val="none" w:sz="0" w:space="0" w:color="auto"/>
            <w:right w:val="none" w:sz="0" w:space="0" w:color="auto"/>
          </w:divBdr>
        </w:div>
        <w:div w:id="24526940">
          <w:marLeft w:val="0"/>
          <w:marRight w:val="0"/>
          <w:marTop w:val="0"/>
          <w:marBottom w:val="0"/>
          <w:divBdr>
            <w:top w:val="none" w:sz="0" w:space="0" w:color="auto"/>
            <w:left w:val="none" w:sz="0" w:space="0" w:color="auto"/>
            <w:bottom w:val="none" w:sz="0" w:space="0" w:color="auto"/>
            <w:right w:val="none" w:sz="0" w:space="0" w:color="auto"/>
          </w:divBdr>
        </w:div>
        <w:div w:id="471799240">
          <w:marLeft w:val="0"/>
          <w:marRight w:val="0"/>
          <w:marTop w:val="0"/>
          <w:marBottom w:val="0"/>
          <w:divBdr>
            <w:top w:val="none" w:sz="0" w:space="0" w:color="auto"/>
            <w:left w:val="none" w:sz="0" w:space="0" w:color="auto"/>
            <w:bottom w:val="none" w:sz="0" w:space="0" w:color="auto"/>
            <w:right w:val="none" w:sz="0" w:space="0" w:color="auto"/>
          </w:divBdr>
        </w:div>
        <w:div w:id="945314054">
          <w:marLeft w:val="0"/>
          <w:marRight w:val="0"/>
          <w:marTop w:val="0"/>
          <w:marBottom w:val="0"/>
          <w:divBdr>
            <w:top w:val="none" w:sz="0" w:space="0" w:color="auto"/>
            <w:left w:val="none" w:sz="0" w:space="0" w:color="auto"/>
            <w:bottom w:val="none" w:sz="0" w:space="0" w:color="auto"/>
            <w:right w:val="none" w:sz="0" w:space="0" w:color="auto"/>
          </w:divBdr>
        </w:div>
        <w:div w:id="1788699837">
          <w:marLeft w:val="0"/>
          <w:marRight w:val="0"/>
          <w:marTop w:val="0"/>
          <w:marBottom w:val="0"/>
          <w:divBdr>
            <w:top w:val="none" w:sz="0" w:space="0" w:color="auto"/>
            <w:left w:val="none" w:sz="0" w:space="0" w:color="auto"/>
            <w:bottom w:val="none" w:sz="0" w:space="0" w:color="auto"/>
            <w:right w:val="none" w:sz="0" w:space="0" w:color="auto"/>
          </w:divBdr>
        </w:div>
        <w:div w:id="1398749159">
          <w:marLeft w:val="0"/>
          <w:marRight w:val="0"/>
          <w:marTop w:val="0"/>
          <w:marBottom w:val="0"/>
          <w:divBdr>
            <w:top w:val="none" w:sz="0" w:space="0" w:color="auto"/>
            <w:left w:val="none" w:sz="0" w:space="0" w:color="auto"/>
            <w:bottom w:val="none" w:sz="0" w:space="0" w:color="auto"/>
            <w:right w:val="none" w:sz="0" w:space="0" w:color="auto"/>
          </w:divBdr>
        </w:div>
        <w:div w:id="587618665">
          <w:marLeft w:val="0"/>
          <w:marRight w:val="0"/>
          <w:marTop w:val="0"/>
          <w:marBottom w:val="0"/>
          <w:divBdr>
            <w:top w:val="none" w:sz="0" w:space="0" w:color="auto"/>
            <w:left w:val="none" w:sz="0" w:space="0" w:color="auto"/>
            <w:bottom w:val="none" w:sz="0" w:space="0" w:color="auto"/>
            <w:right w:val="none" w:sz="0" w:space="0" w:color="auto"/>
          </w:divBdr>
        </w:div>
        <w:div w:id="733552527">
          <w:marLeft w:val="0"/>
          <w:marRight w:val="0"/>
          <w:marTop w:val="0"/>
          <w:marBottom w:val="0"/>
          <w:divBdr>
            <w:top w:val="none" w:sz="0" w:space="0" w:color="auto"/>
            <w:left w:val="none" w:sz="0" w:space="0" w:color="auto"/>
            <w:bottom w:val="none" w:sz="0" w:space="0" w:color="auto"/>
            <w:right w:val="none" w:sz="0" w:space="0" w:color="auto"/>
          </w:divBdr>
        </w:div>
        <w:div w:id="1091707610">
          <w:marLeft w:val="0"/>
          <w:marRight w:val="0"/>
          <w:marTop w:val="0"/>
          <w:marBottom w:val="0"/>
          <w:divBdr>
            <w:top w:val="none" w:sz="0" w:space="0" w:color="auto"/>
            <w:left w:val="none" w:sz="0" w:space="0" w:color="auto"/>
            <w:bottom w:val="none" w:sz="0" w:space="0" w:color="auto"/>
            <w:right w:val="none" w:sz="0" w:space="0" w:color="auto"/>
          </w:divBdr>
        </w:div>
        <w:div w:id="165485185">
          <w:marLeft w:val="0"/>
          <w:marRight w:val="0"/>
          <w:marTop w:val="0"/>
          <w:marBottom w:val="0"/>
          <w:divBdr>
            <w:top w:val="none" w:sz="0" w:space="0" w:color="auto"/>
            <w:left w:val="none" w:sz="0" w:space="0" w:color="auto"/>
            <w:bottom w:val="none" w:sz="0" w:space="0" w:color="auto"/>
            <w:right w:val="none" w:sz="0" w:space="0" w:color="auto"/>
          </w:divBdr>
        </w:div>
        <w:div w:id="1673996170">
          <w:marLeft w:val="0"/>
          <w:marRight w:val="0"/>
          <w:marTop w:val="0"/>
          <w:marBottom w:val="0"/>
          <w:divBdr>
            <w:top w:val="none" w:sz="0" w:space="0" w:color="auto"/>
            <w:left w:val="none" w:sz="0" w:space="0" w:color="auto"/>
            <w:bottom w:val="none" w:sz="0" w:space="0" w:color="auto"/>
            <w:right w:val="none" w:sz="0" w:space="0" w:color="auto"/>
          </w:divBdr>
        </w:div>
        <w:div w:id="1813985016">
          <w:marLeft w:val="0"/>
          <w:marRight w:val="0"/>
          <w:marTop w:val="0"/>
          <w:marBottom w:val="0"/>
          <w:divBdr>
            <w:top w:val="none" w:sz="0" w:space="0" w:color="auto"/>
            <w:left w:val="none" w:sz="0" w:space="0" w:color="auto"/>
            <w:bottom w:val="none" w:sz="0" w:space="0" w:color="auto"/>
            <w:right w:val="none" w:sz="0" w:space="0" w:color="auto"/>
          </w:divBdr>
        </w:div>
        <w:div w:id="1456219292">
          <w:marLeft w:val="0"/>
          <w:marRight w:val="0"/>
          <w:marTop w:val="0"/>
          <w:marBottom w:val="0"/>
          <w:divBdr>
            <w:top w:val="none" w:sz="0" w:space="0" w:color="auto"/>
            <w:left w:val="none" w:sz="0" w:space="0" w:color="auto"/>
            <w:bottom w:val="none" w:sz="0" w:space="0" w:color="auto"/>
            <w:right w:val="none" w:sz="0" w:space="0" w:color="auto"/>
          </w:divBdr>
        </w:div>
        <w:div w:id="199049202">
          <w:marLeft w:val="0"/>
          <w:marRight w:val="0"/>
          <w:marTop w:val="0"/>
          <w:marBottom w:val="0"/>
          <w:divBdr>
            <w:top w:val="none" w:sz="0" w:space="0" w:color="auto"/>
            <w:left w:val="none" w:sz="0" w:space="0" w:color="auto"/>
            <w:bottom w:val="none" w:sz="0" w:space="0" w:color="auto"/>
            <w:right w:val="none" w:sz="0" w:space="0" w:color="auto"/>
          </w:divBdr>
        </w:div>
        <w:div w:id="1302229101">
          <w:marLeft w:val="0"/>
          <w:marRight w:val="0"/>
          <w:marTop w:val="0"/>
          <w:marBottom w:val="0"/>
          <w:divBdr>
            <w:top w:val="none" w:sz="0" w:space="0" w:color="auto"/>
            <w:left w:val="none" w:sz="0" w:space="0" w:color="auto"/>
            <w:bottom w:val="none" w:sz="0" w:space="0" w:color="auto"/>
            <w:right w:val="none" w:sz="0" w:space="0" w:color="auto"/>
          </w:divBdr>
        </w:div>
        <w:div w:id="776339596">
          <w:marLeft w:val="0"/>
          <w:marRight w:val="0"/>
          <w:marTop w:val="0"/>
          <w:marBottom w:val="0"/>
          <w:divBdr>
            <w:top w:val="none" w:sz="0" w:space="0" w:color="auto"/>
            <w:left w:val="none" w:sz="0" w:space="0" w:color="auto"/>
            <w:bottom w:val="none" w:sz="0" w:space="0" w:color="auto"/>
            <w:right w:val="none" w:sz="0" w:space="0" w:color="auto"/>
          </w:divBdr>
        </w:div>
        <w:div w:id="2089647823">
          <w:marLeft w:val="0"/>
          <w:marRight w:val="0"/>
          <w:marTop w:val="0"/>
          <w:marBottom w:val="0"/>
          <w:divBdr>
            <w:top w:val="none" w:sz="0" w:space="0" w:color="auto"/>
            <w:left w:val="none" w:sz="0" w:space="0" w:color="auto"/>
            <w:bottom w:val="none" w:sz="0" w:space="0" w:color="auto"/>
            <w:right w:val="none" w:sz="0" w:space="0" w:color="auto"/>
          </w:divBdr>
        </w:div>
        <w:div w:id="15811973">
          <w:marLeft w:val="0"/>
          <w:marRight w:val="0"/>
          <w:marTop w:val="0"/>
          <w:marBottom w:val="0"/>
          <w:divBdr>
            <w:top w:val="none" w:sz="0" w:space="0" w:color="auto"/>
            <w:left w:val="none" w:sz="0" w:space="0" w:color="auto"/>
            <w:bottom w:val="none" w:sz="0" w:space="0" w:color="auto"/>
            <w:right w:val="none" w:sz="0" w:space="0" w:color="auto"/>
          </w:divBdr>
        </w:div>
        <w:div w:id="478350121">
          <w:marLeft w:val="0"/>
          <w:marRight w:val="0"/>
          <w:marTop w:val="0"/>
          <w:marBottom w:val="0"/>
          <w:divBdr>
            <w:top w:val="none" w:sz="0" w:space="0" w:color="auto"/>
            <w:left w:val="none" w:sz="0" w:space="0" w:color="auto"/>
            <w:bottom w:val="none" w:sz="0" w:space="0" w:color="auto"/>
            <w:right w:val="none" w:sz="0" w:space="0" w:color="auto"/>
          </w:divBdr>
        </w:div>
        <w:div w:id="675155882">
          <w:marLeft w:val="0"/>
          <w:marRight w:val="0"/>
          <w:marTop w:val="0"/>
          <w:marBottom w:val="0"/>
          <w:divBdr>
            <w:top w:val="none" w:sz="0" w:space="0" w:color="auto"/>
            <w:left w:val="none" w:sz="0" w:space="0" w:color="auto"/>
            <w:bottom w:val="none" w:sz="0" w:space="0" w:color="auto"/>
            <w:right w:val="none" w:sz="0" w:space="0" w:color="auto"/>
          </w:divBdr>
        </w:div>
        <w:div w:id="1997800570">
          <w:marLeft w:val="0"/>
          <w:marRight w:val="0"/>
          <w:marTop w:val="0"/>
          <w:marBottom w:val="0"/>
          <w:divBdr>
            <w:top w:val="none" w:sz="0" w:space="0" w:color="auto"/>
            <w:left w:val="none" w:sz="0" w:space="0" w:color="auto"/>
            <w:bottom w:val="none" w:sz="0" w:space="0" w:color="auto"/>
            <w:right w:val="none" w:sz="0" w:space="0" w:color="auto"/>
          </w:divBdr>
        </w:div>
        <w:div w:id="1259286664">
          <w:marLeft w:val="0"/>
          <w:marRight w:val="0"/>
          <w:marTop w:val="0"/>
          <w:marBottom w:val="0"/>
          <w:divBdr>
            <w:top w:val="none" w:sz="0" w:space="0" w:color="auto"/>
            <w:left w:val="none" w:sz="0" w:space="0" w:color="auto"/>
            <w:bottom w:val="none" w:sz="0" w:space="0" w:color="auto"/>
            <w:right w:val="none" w:sz="0" w:space="0" w:color="auto"/>
          </w:divBdr>
        </w:div>
        <w:div w:id="1442413989">
          <w:marLeft w:val="0"/>
          <w:marRight w:val="0"/>
          <w:marTop w:val="0"/>
          <w:marBottom w:val="0"/>
          <w:divBdr>
            <w:top w:val="none" w:sz="0" w:space="0" w:color="auto"/>
            <w:left w:val="none" w:sz="0" w:space="0" w:color="auto"/>
            <w:bottom w:val="none" w:sz="0" w:space="0" w:color="auto"/>
            <w:right w:val="none" w:sz="0" w:space="0" w:color="auto"/>
          </w:divBdr>
        </w:div>
        <w:div w:id="1349678266">
          <w:marLeft w:val="0"/>
          <w:marRight w:val="0"/>
          <w:marTop w:val="0"/>
          <w:marBottom w:val="0"/>
          <w:divBdr>
            <w:top w:val="none" w:sz="0" w:space="0" w:color="auto"/>
            <w:left w:val="none" w:sz="0" w:space="0" w:color="auto"/>
            <w:bottom w:val="none" w:sz="0" w:space="0" w:color="auto"/>
            <w:right w:val="none" w:sz="0" w:space="0" w:color="auto"/>
          </w:divBdr>
        </w:div>
        <w:div w:id="938412220">
          <w:marLeft w:val="0"/>
          <w:marRight w:val="0"/>
          <w:marTop w:val="0"/>
          <w:marBottom w:val="0"/>
          <w:divBdr>
            <w:top w:val="none" w:sz="0" w:space="0" w:color="auto"/>
            <w:left w:val="none" w:sz="0" w:space="0" w:color="auto"/>
            <w:bottom w:val="none" w:sz="0" w:space="0" w:color="auto"/>
            <w:right w:val="none" w:sz="0" w:space="0" w:color="auto"/>
          </w:divBdr>
        </w:div>
        <w:div w:id="643393845">
          <w:marLeft w:val="0"/>
          <w:marRight w:val="0"/>
          <w:marTop w:val="0"/>
          <w:marBottom w:val="0"/>
          <w:divBdr>
            <w:top w:val="none" w:sz="0" w:space="0" w:color="auto"/>
            <w:left w:val="none" w:sz="0" w:space="0" w:color="auto"/>
            <w:bottom w:val="none" w:sz="0" w:space="0" w:color="auto"/>
            <w:right w:val="none" w:sz="0" w:space="0" w:color="auto"/>
          </w:divBdr>
        </w:div>
        <w:div w:id="858933334">
          <w:marLeft w:val="0"/>
          <w:marRight w:val="0"/>
          <w:marTop w:val="0"/>
          <w:marBottom w:val="0"/>
          <w:divBdr>
            <w:top w:val="none" w:sz="0" w:space="0" w:color="auto"/>
            <w:left w:val="none" w:sz="0" w:space="0" w:color="auto"/>
            <w:bottom w:val="none" w:sz="0" w:space="0" w:color="auto"/>
            <w:right w:val="none" w:sz="0" w:space="0" w:color="auto"/>
          </w:divBdr>
        </w:div>
        <w:div w:id="514421129">
          <w:marLeft w:val="0"/>
          <w:marRight w:val="0"/>
          <w:marTop w:val="0"/>
          <w:marBottom w:val="0"/>
          <w:divBdr>
            <w:top w:val="none" w:sz="0" w:space="0" w:color="auto"/>
            <w:left w:val="none" w:sz="0" w:space="0" w:color="auto"/>
            <w:bottom w:val="none" w:sz="0" w:space="0" w:color="auto"/>
            <w:right w:val="none" w:sz="0" w:space="0" w:color="auto"/>
          </w:divBdr>
        </w:div>
        <w:div w:id="817654410">
          <w:marLeft w:val="0"/>
          <w:marRight w:val="0"/>
          <w:marTop w:val="0"/>
          <w:marBottom w:val="0"/>
          <w:divBdr>
            <w:top w:val="none" w:sz="0" w:space="0" w:color="auto"/>
            <w:left w:val="none" w:sz="0" w:space="0" w:color="auto"/>
            <w:bottom w:val="none" w:sz="0" w:space="0" w:color="auto"/>
            <w:right w:val="none" w:sz="0" w:space="0" w:color="auto"/>
          </w:divBdr>
        </w:div>
        <w:div w:id="1455558388">
          <w:marLeft w:val="0"/>
          <w:marRight w:val="0"/>
          <w:marTop w:val="0"/>
          <w:marBottom w:val="0"/>
          <w:divBdr>
            <w:top w:val="none" w:sz="0" w:space="0" w:color="auto"/>
            <w:left w:val="none" w:sz="0" w:space="0" w:color="auto"/>
            <w:bottom w:val="none" w:sz="0" w:space="0" w:color="auto"/>
            <w:right w:val="none" w:sz="0" w:space="0" w:color="auto"/>
          </w:divBdr>
        </w:div>
        <w:div w:id="793138997">
          <w:marLeft w:val="0"/>
          <w:marRight w:val="0"/>
          <w:marTop w:val="0"/>
          <w:marBottom w:val="0"/>
          <w:divBdr>
            <w:top w:val="none" w:sz="0" w:space="0" w:color="auto"/>
            <w:left w:val="none" w:sz="0" w:space="0" w:color="auto"/>
            <w:bottom w:val="none" w:sz="0" w:space="0" w:color="auto"/>
            <w:right w:val="none" w:sz="0" w:space="0" w:color="auto"/>
          </w:divBdr>
        </w:div>
        <w:div w:id="716322444">
          <w:marLeft w:val="0"/>
          <w:marRight w:val="0"/>
          <w:marTop w:val="0"/>
          <w:marBottom w:val="0"/>
          <w:divBdr>
            <w:top w:val="none" w:sz="0" w:space="0" w:color="auto"/>
            <w:left w:val="none" w:sz="0" w:space="0" w:color="auto"/>
            <w:bottom w:val="none" w:sz="0" w:space="0" w:color="auto"/>
            <w:right w:val="none" w:sz="0" w:space="0" w:color="auto"/>
          </w:divBdr>
        </w:div>
        <w:div w:id="585766044">
          <w:marLeft w:val="0"/>
          <w:marRight w:val="0"/>
          <w:marTop w:val="0"/>
          <w:marBottom w:val="0"/>
          <w:divBdr>
            <w:top w:val="none" w:sz="0" w:space="0" w:color="auto"/>
            <w:left w:val="none" w:sz="0" w:space="0" w:color="auto"/>
            <w:bottom w:val="none" w:sz="0" w:space="0" w:color="auto"/>
            <w:right w:val="none" w:sz="0" w:space="0" w:color="auto"/>
          </w:divBdr>
        </w:div>
        <w:div w:id="836652893">
          <w:marLeft w:val="0"/>
          <w:marRight w:val="0"/>
          <w:marTop w:val="0"/>
          <w:marBottom w:val="0"/>
          <w:divBdr>
            <w:top w:val="none" w:sz="0" w:space="0" w:color="auto"/>
            <w:left w:val="none" w:sz="0" w:space="0" w:color="auto"/>
            <w:bottom w:val="none" w:sz="0" w:space="0" w:color="auto"/>
            <w:right w:val="none" w:sz="0" w:space="0" w:color="auto"/>
          </w:divBdr>
        </w:div>
      </w:divsChild>
    </w:div>
    <w:div w:id="1062748487">
      <w:bodyDiv w:val="1"/>
      <w:marLeft w:val="0"/>
      <w:marRight w:val="0"/>
      <w:marTop w:val="0"/>
      <w:marBottom w:val="0"/>
      <w:divBdr>
        <w:top w:val="none" w:sz="0" w:space="0" w:color="auto"/>
        <w:left w:val="none" w:sz="0" w:space="0" w:color="auto"/>
        <w:bottom w:val="none" w:sz="0" w:space="0" w:color="auto"/>
        <w:right w:val="none" w:sz="0" w:space="0" w:color="auto"/>
      </w:divBdr>
      <w:divsChild>
        <w:div w:id="1734547829">
          <w:marLeft w:val="0"/>
          <w:marRight w:val="0"/>
          <w:marTop w:val="0"/>
          <w:marBottom w:val="0"/>
          <w:divBdr>
            <w:top w:val="none" w:sz="0" w:space="0" w:color="auto"/>
            <w:left w:val="none" w:sz="0" w:space="0" w:color="auto"/>
            <w:bottom w:val="none" w:sz="0" w:space="0" w:color="auto"/>
            <w:right w:val="none" w:sz="0" w:space="0" w:color="auto"/>
          </w:divBdr>
          <w:divsChild>
            <w:div w:id="778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4450">
      <w:bodyDiv w:val="1"/>
      <w:marLeft w:val="0"/>
      <w:marRight w:val="0"/>
      <w:marTop w:val="0"/>
      <w:marBottom w:val="0"/>
      <w:divBdr>
        <w:top w:val="none" w:sz="0" w:space="0" w:color="auto"/>
        <w:left w:val="none" w:sz="0" w:space="0" w:color="auto"/>
        <w:bottom w:val="none" w:sz="0" w:space="0" w:color="auto"/>
        <w:right w:val="none" w:sz="0" w:space="0" w:color="auto"/>
      </w:divBdr>
    </w:div>
    <w:div w:id="1198548597">
      <w:bodyDiv w:val="1"/>
      <w:marLeft w:val="0"/>
      <w:marRight w:val="0"/>
      <w:marTop w:val="0"/>
      <w:marBottom w:val="0"/>
      <w:divBdr>
        <w:top w:val="none" w:sz="0" w:space="0" w:color="auto"/>
        <w:left w:val="none" w:sz="0" w:space="0" w:color="auto"/>
        <w:bottom w:val="none" w:sz="0" w:space="0" w:color="auto"/>
        <w:right w:val="none" w:sz="0" w:space="0" w:color="auto"/>
      </w:divBdr>
    </w:div>
    <w:div w:id="1212958141">
      <w:bodyDiv w:val="1"/>
      <w:marLeft w:val="0"/>
      <w:marRight w:val="0"/>
      <w:marTop w:val="0"/>
      <w:marBottom w:val="0"/>
      <w:divBdr>
        <w:top w:val="none" w:sz="0" w:space="0" w:color="auto"/>
        <w:left w:val="none" w:sz="0" w:space="0" w:color="auto"/>
        <w:bottom w:val="none" w:sz="0" w:space="0" w:color="auto"/>
        <w:right w:val="none" w:sz="0" w:space="0" w:color="auto"/>
      </w:divBdr>
      <w:divsChild>
        <w:div w:id="816528090">
          <w:marLeft w:val="0"/>
          <w:marRight w:val="0"/>
          <w:marTop w:val="0"/>
          <w:marBottom w:val="0"/>
          <w:divBdr>
            <w:top w:val="none" w:sz="0" w:space="0" w:color="auto"/>
            <w:left w:val="none" w:sz="0" w:space="0" w:color="auto"/>
            <w:bottom w:val="none" w:sz="0" w:space="0" w:color="auto"/>
            <w:right w:val="none" w:sz="0" w:space="0" w:color="auto"/>
          </w:divBdr>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259487330">
      <w:bodyDiv w:val="1"/>
      <w:marLeft w:val="0"/>
      <w:marRight w:val="0"/>
      <w:marTop w:val="30"/>
      <w:marBottom w:val="750"/>
      <w:divBdr>
        <w:top w:val="none" w:sz="0" w:space="0" w:color="auto"/>
        <w:left w:val="none" w:sz="0" w:space="0" w:color="auto"/>
        <w:bottom w:val="none" w:sz="0" w:space="0" w:color="auto"/>
        <w:right w:val="none" w:sz="0" w:space="0" w:color="auto"/>
      </w:divBdr>
      <w:divsChild>
        <w:div w:id="2033452654">
          <w:marLeft w:val="0"/>
          <w:marRight w:val="0"/>
          <w:marTop w:val="0"/>
          <w:marBottom w:val="0"/>
          <w:divBdr>
            <w:top w:val="none" w:sz="0" w:space="0" w:color="auto"/>
            <w:left w:val="none" w:sz="0" w:space="0" w:color="auto"/>
            <w:bottom w:val="none" w:sz="0" w:space="0" w:color="auto"/>
            <w:right w:val="none" w:sz="0" w:space="0" w:color="auto"/>
          </w:divBdr>
        </w:div>
      </w:divsChild>
    </w:div>
    <w:div w:id="1363898040">
      <w:bodyDiv w:val="1"/>
      <w:marLeft w:val="0"/>
      <w:marRight w:val="0"/>
      <w:marTop w:val="0"/>
      <w:marBottom w:val="0"/>
      <w:divBdr>
        <w:top w:val="none" w:sz="0" w:space="0" w:color="auto"/>
        <w:left w:val="none" w:sz="0" w:space="0" w:color="auto"/>
        <w:bottom w:val="none" w:sz="0" w:space="0" w:color="auto"/>
        <w:right w:val="none" w:sz="0" w:space="0" w:color="auto"/>
      </w:divBdr>
    </w:div>
    <w:div w:id="1441949520">
      <w:bodyDiv w:val="1"/>
      <w:marLeft w:val="0"/>
      <w:marRight w:val="0"/>
      <w:marTop w:val="0"/>
      <w:marBottom w:val="0"/>
      <w:divBdr>
        <w:top w:val="none" w:sz="0" w:space="0" w:color="auto"/>
        <w:left w:val="none" w:sz="0" w:space="0" w:color="auto"/>
        <w:bottom w:val="none" w:sz="0" w:space="0" w:color="auto"/>
        <w:right w:val="none" w:sz="0" w:space="0" w:color="auto"/>
      </w:divBdr>
    </w:div>
    <w:div w:id="1765614531">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570569">
      <w:bodyDiv w:val="1"/>
      <w:marLeft w:val="0"/>
      <w:marRight w:val="0"/>
      <w:marTop w:val="0"/>
      <w:marBottom w:val="0"/>
      <w:divBdr>
        <w:top w:val="none" w:sz="0" w:space="0" w:color="auto"/>
        <w:left w:val="none" w:sz="0" w:space="0" w:color="auto"/>
        <w:bottom w:val="none" w:sz="0" w:space="0" w:color="auto"/>
        <w:right w:val="none" w:sz="0" w:space="0" w:color="auto"/>
      </w:divBdr>
      <w:divsChild>
        <w:div w:id="398018618">
          <w:marLeft w:val="0"/>
          <w:marRight w:val="0"/>
          <w:marTop w:val="0"/>
          <w:marBottom w:val="0"/>
          <w:divBdr>
            <w:top w:val="none" w:sz="0" w:space="0" w:color="auto"/>
            <w:left w:val="none" w:sz="0" w:space="0" w:color="auto"/>
            <w:bottom w:val="none" w:sz="0" w:space="0" w:color="auto"/>
            <w:right w:val="none" w:sz="0" w:space="0" w:color="auto"/>
          </w:divBdr>
          <w:divsChild>
            <w:div w:id="1970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7416">
      <w:bodyDiv w:val="1"/>
      <w:marLeft w:val="0"/>
      <w:marRight w:val="0"/>
      <w:marTop w:val="0"/>
      <w:marBottom w:val="0"/>
      <w:divBdr>
        <w:top w:val="none" w:sz="0" w:space="0" w:color="auto"/>
        <w:left w:val="none" w:sz="0" w:space="0" w:color="auto"/>
        <w:bottom w:val="none" w:sz="0" w:space="0" w:color="auto"/>
        <w:right w:val="none" w:sz="0" w:space="0" w:color="auto"/>
      </w:divBdr>
      <w:divsChild>
        <w:div w:id="1829200350">
          <w:marLeft w:val="0"/>
          <w:marRight w:val="0"/>
          <w:marTop w:val="0"/>
          <w:marBottom w:val="0"/>
          <w:divBdr>
            <w:top w:val="none" w:sz="0" w:space="0" w:color="auto"/>
            <w:left w:val="none" w:sz="0" w:space="0" w:color="auto"/>
            <w:bottom w:val="none" w:sz="0" w:space="0" w:color="auto"/>
            <w:right w:val="none" w:sz="0" w:space="0" w:color="auto"/>
          </w:divBdr>
        </w:div>
        <w:div w:id="399519055">
          <w:marLeft w:val="0"/>
          <w:marRight w:val="0"/>
          <w:marTop w:val="0"/>
          <w:marBottom w:val="0"/>
          <w:divBdr>
            <w:top w:val="none" w:sz="0" w:space="0" w:color="auto"/>
            <w:left w:val="none" w:sz="0" w:space="0" w:color="auto"/>
            <w:bottom w:val="none" w:sz="0" w:space="0" w:color="auto"/>
            <w:right w:val="none" w:sz="0" w:space="0" w:color="auto"/>
          </w:divBdr>
        </w:div>
        <w:div w:id="1451510368">
          <w:marLeft w:val="0"/>
          <w:marRight w:val="0"/>
          <w:marTop w:val="0"/>
          <w:marBottom w:val="0"/>
          <w:divBdr>
            <w:top w:val="none" w:sz="0" w:space="0" w:color="auto"/>
            <w:left w:val="none" w:sz="0" w:space="0" w:color="auto"/>
            <w:bottom w:val="none" w:sz="0" w:space="0" w:color="auto"/>
            <w:right w:val="none" w:sz="0" w:space="0" w:color="auto"/>
          </w:divBdr>
        </w:div>
        <w:div w:id="1482965413">
          <w:marLeft w:val="0"/>
          <w:marRight w:val="0"/>
          <w:marTop w:val="0"/>
          <w:marBottom w:val="0"/>
          <w:divBdr>
            <w:top w:val="none" w:sz="0" w:space="0" w:color="auto"/>
            <w:left w:val="none" w:sz="0" w:space="0" w:color="auto"/>
            <w:bottom w:val="none" w:sz="0" w:space="0" w:color="auto"/>
            <w:right w:val="none" w:sz="0" w:space="0" w:color="auto"/>
          </w:divBdr>
        </w:div>
        <w:div w:id="2103136775">
          <w:marLeft w:val="0"/>
          <w:marRight w:val="0"/>
          <w:marTop w:val="0"/>
          <w:marBottom w:val="0"/>
          <w:divBdr>
            <w:top w:val="none" w:sz="0" w:space="0" w:color="auto"/>
            <w:left w:val="none" w:sz="0" w:space="0" w:color="auto"/>
            <w:bottom w:val="none" w:sz="0" w:space="0" w:color="auto"/>
            <w:right w:val="none" w:sz="0" w:space="0" w:color="auto"/>
          </w:divBdr>
        </w:div>
        <w:div w:id="1913193228">
          <w:marLeft w:val="0"/>
          <w:marRight w:val="0"/>
          <w:marTop w:val="0"/>
          <w:marBottom w:val="0"/>
          <w:divBdr>
            <w:top w:val="none" w:sz="0" w:space="0" w:color="auto"/>
            <w:left w:val="none" w:sz="0" w:space="0" w:color="auto"/>
            <w:bottom w:val="none" w:sz="0" w:space="0" w:color="auto"/>
            <w:right w:val="none" w:sz="0" w:space="0" w:color="auto"/>
          </w:divBdr>
        </w:div>
        <w:div w:id="2071226410">
          <w:marLeft w:val="0"/>
          <w:marRight w:val="0"/>
          <w:marTop w:val="0"/>
          <w:marBottom w:val="0"/>
          <w:divBdr>
            <w:top w:val="none" w:sz="0" w:space="0" w:color="auto"/>
            <w:left w:val="none" w:sz="0" w:space="0" w:color="auto"/>
            <w:bottom w:val="none" w:sz="0" w:space="0" w:color="auto"/>
            <w:right w:val="none" w:sz="0" w:space="0" w:color="auto"/>
          </w:divBdr>
        </w:div>
        <w:div w:id="772476765">
          <w:marLeft w:val="0"/>
          <w:marRight w:val="0"/>
          <w:marTop w:val="0"/>
          <w:marBottom w:val="0"/>
          <w:divBdr>
            <w:top w:val="none" w:sz="0" w:space="0" w:color="auto"/>
            <w:left w:val="none" w:sz="0" w:space="0" w:color="auto"/>
            <w:bottom w:val="none" w:sz="0" w:space="0" w:color="auto"/>
            <w:right w:val="none" w:sz="0" w:space="0" w:color="auto"/>
          </w:divBdr>
        </w:div>
        <w:div w:id="1877232264">
          <w:marLeft w:val="0"/>
          <w:marRight w:val="0"/>
          <w:marTop w:val="0"/>
          <w:marBottom w:val="0"/>
          <w:divBdr>
            <w:top w:val="none" w:sz="0" w:space="0" w:color="auto"/>
            <w:left w:val="none" w:sz="0" w:space="0" w:color="auto"/>
            <w:bottom w:val="none" w:sz="0" w:space="0" w:color="auto"/>
            <w:right w:val="none" w:sz="0" w:space="0" w:color="auto"/>
          </w:divBdr>
        </w:div>
        <w:div w:id="1380205124">
          <w:marLeft w:val="0"/>
          <w:marRight w:val="0"/>
          <w:marTop w:val="0"/>
          <w:marBottom w:val="0"/>
          <w:divBdr>
            <w:top w:val="none" w:sz="0" w:space="0" w:color="auto"/>
            <w:left w:val="none" w:sz="0" w:space="0" w:color="auto"/>
            <w:bottom w:val="none" w:sz="0" w:space="0" w:color="auto"/>
            <w:right w:val="none" w:sz="0" w:space="0" w:color="auto"/>
          </w:divBdr>
        </w:div>
        <w:div w:id="1454472313">
          <w:marLeft w:val="0"/>
          <w:marRight w:val="0"/>
          <w:marTop w:val="0"/>
          <w:marBottom w:val="0"/>
          <w:divBdr>
            <w:top w:val="none" w:sz="0" w:space="0" w:color="auto"/>
            <w:left w:val="none" w:sz="0" w:space="0" w:color="auto"/>
            <w:bottom w:val="none" w:sz="0" w:space="0" w:color="auto"/>
            <w:right w:val="none" w:sz="0" w:space="0" w:color="auto"/>
          </w:divBdr>
        </w:div>
        <w:div w:id="1312951526">
          <w:marLeft w:val="0"/>
          <w:marRight w:val="0"/>
          <w:marTop w:val="0"/>
          <w:marBottom w:val="0"/>
          <w:divBdr>
            <w:top w:val="none" w:sz="0" w:space="0" w:color="auto"/>
            <w:left w:val="none" w:sz="0" w:space="0" w:color="auto"/>
            <w:bottom w:val="none" w:sz="0" w:space="0" w:color="auto"/>
            <w:right w:val="none" w:sz="0" w:space="0" w:color="auto"/>
          </w:divBdr>
        </w:div>
        <w:div w:id="1766682137">
          <w:marLeft w:val="0"/>
          <w:marRight w:val="0"/>
          <w:marTop w:val="0"/>
          <w:marBottom w:val="0"/>
          <w:divBdr>
            <w:top w:val="none" w:sz="0" w:space="0" w:color="auto"/>
            <w:left w:val="none" w:sz="0" w:space="0" w:color="auto"/>
            <w:bottom w:val="none" w:sz="0" w:space="0" w:color="auto"/>
            <w:right w:val="none" w:sz="0" w:space="0" w:color="auto"/>
          </w:divBdr>
        </w:div>
        <w:div w:id="1676759632">
          <w:marLeft w:val="0"/>
          <w:marRight w:val="0"/>
          <w:marTop w:val="0"/>
          <w:marBottom w:val="0"/>
          <w:divBdr>
            <w:top w:val="none" w:sz="0" w:space="0" w:color="auto"/>
            <w:left w:val="none" w:sz="0" w:space="0" w:color="auto"/>
            <w:bottom w:val="none" w:sz="0" w:space="0" w:color="auto"/>
            <w:right w:val="none" w:sz="0" w:space="0" w:color="auto"/>
          </w:divBdr>
        </w:div>
        <w:div w:id="1584218174">
          <w:marLeft w:val="0"/>
          <w:marRight w:val="0"/>
          <w:marTop w:val="0"/>
          <w:marBottom w:val="0"/>
          <w:divBdr>
            <w:top w:val="none" w:sz="0" w:space="0" w:color="auto"/>
            <w:left w:val="none" w:sz="0" w:space="0" w:color="auto"/>
            <w:bottom w:val="none" w:sz="0" w:space="0" w:color="auto"/>
            <w:right w:val="none" w:sz="0" w:space="0" w:color="auto"/>
          </w:divBdr>
        </w:div>
        <w:div w:id="762996459">
          <w:marLeft w:val="0"/>
          <w:marRight w:val="0"/>
          <w:marTop w:val="0"/>
          <w:marBottom w:val="0"/>
          <w:divBdr>
            <w:top w:val="none" w:sz="0" w:space="0" w:color="auto"/>
            <w:left w:val="none" w:sz="0" w:space="0" w:color="auto"/>
            <w:bottom w:val="none" w:sz="0" w:space="0" w:color="auto"/>
            <w:right w:val="none" w:sz="0" w:space="0" w:color="auto"/>
          </w:divBdr>
        </w:div>
        <w:div w:id="1543711454">
          <w:marLeft w:val="0"/>
          <w:marRight w:val="0"/>
          <w:marTop w:val="0"/>
          <w:marBottom w:val="0"/>
          <w:divBdr>
            <w:top w:val="none" w:sz="0" w:space="0" w:color="auto"/>
            <w:left w:val="none" w:sz="0" w:space="0" w:color="auto"/>
            <w:bottom w:val="none" w:sz="0" w:space="0" w:color="auto"/>
            <w:right w:val="none" w:sz="0" w:space="0" w:color="auto"/>
          </w:divBdr>
        </w:div>
        <w:div w:id="368651302">
          <w:marLeft w:val="0"/>
          <w:marRight w:val="0"/>
          <w:marTop w:val="0"/>
          <w:marBottom w:val="0"/>
          <w:divBdr>
            <w:top w:val="none" w:sz="0" w:space="0" w:color="auto"/>
            <w:left w:val="none" w:sz="0" w:space="0" w:color="auto"/>
            <w:bottom w:val="none" w:sz="0" w:space="0" w:color="auto"/>
            <w:right w:val="none" w:sz="0" w:space="0" w:color="auto"/>
          </w:divBdr>
        </w:div>
        <w:div w:id="1223718292">
          <w:marLeft w:val="0"/>
          <w:marRight w:val="0"/>
          <w:marTop w:val="0"/>
          <w:marBottom w:val="0"/>
          <w:divBdr>
            <w:top w:val="none" w:sz="0" w:space="0" w:color="auto"/>
            <w:left w:val="none" w:sz="0" w:space="0" w:color="auto"/>
            <w:bottom w:val="none" w:sz="0" w:space="0" w:color="auto"/>
            <w:right w:val="none" w:sz="0" w:space="0" w:color="auto"/>
          </w:divBdr>
        </w:div>
        <w:div w:id="1767529810">
          <w:marLeft w:val="0"/>
          <w:marRight w:val="0"/>
          <w:marTop w:val="0"/>
          <w:marBottom w:val="0"/>
          <w:divBdr>
            <w:top w:val="none" w:sz="0" w:space="0" w:color="auto"/>
            <w:left w:val="none" w:sz="0" w:space="0" w:color="auto"/>
            <w:bottom w:val="none" w:sz="0" w:space="0" w:color="auto"/>
            <w:right w:val="none" w:sz="0" w:space="0" w:color="auto"/>
          </w:divBdr>
        </w:div>
        <w:div w:id="809051720">
          <w:marLeft w:val="0"/>
          <w:marRight w:val="0"/>
          <w:marTop w:val="0"/>
          <w:marBottom w:val="0"/>
          <w:divBdr>
            <w:top w:val="none" w:sz="0" w:space="0" w:color="auto"/>
            <w:left w:val="none" w:sz="0" w:space="0" w:color="auto"/>
            <w:bottom w:val="none" w:sz="0" w:space="0" w:color="auto"/>
            <w:right w:val="none" w:sz="0" w:space="0" w:color="auto"/>
          </w:divBdr>
        </w:div>
        <w:div w:id="625701057">
          <w:marLeft w:val="0"/>
          <w:marRight w:val="0"/>
          <w:marTop w:val="0"/>
          <w:marBottom w:val="0"/>
          <w:divBdr>
            <w:top w:val="none" w:sz="0" w:space="0" w:color="auto"/>
            <w:left w:val="none" w:sz="0" w:space="0" w:color="auto"/>
            <w:bottom w:val="none" w:sz="0" w:space="0" w:color="auto"/>
            <w:right w:val="none" w:sz="0" w:space="0" w:color="auto"/>
          </w:divBdr>
        </w:div>
        <w:div w:id="1059288412">
          <w:marLeft w:val="0"/>
          <w:marRight w:val="0"/>
          <w:marTop w:val="0"/>
          <w:marBottom w:val="0"/>
          <w:divBdr>
            <w:top w:val="none" w:sz="0" w:space="0" w:color="auto"/>
            <w:left w:val="none" w:sz="0" w:space="0" w:color="auto"/>
            <w:bottom w:val="none" w:sz="0" w:space="0" w:color="auto"/>
            <w:right w:val="none" w:sz="0" w:space="0" w:color="auto"/>
          </w:divBdr>
        </w:div>
        <w:div w:id="1982808849">
          <w:marLeft w:val="0"/>
          <w:marRight w:val="0"/>
          <w:marTop w:val="0"/>
          <w:marBottom w:val="0"/>
          <w:divBdr>
            <w:top w:val="none" w:sz="0" w:space="0" w:color="auto"/>
            <w:left w:val="none" w:sz="0" w:space="0" w:color="auto"/>
            <w:bottom w:val="none" w:sz="0" w:space="0" w:color="auto"/>
            <w:right w:val="none" w:sz="0" w:space="0" w:color="auto"/>
          </w:divBdr>
        </w:div>
        <w:div w:id="1859394759">
          <w:marLeft w:val="0"/>
          <w:marRight w:val="0"/>
          <w:marTop w:val="0"/>
          <w:marBottom w:val="0"/>
          <w:divBdr>
            <w:top w:val="none" w:sz="0" w:space="0" w:color="auto"/>
            <w:left w:val="none" w:sz="0" w:space="0" w:color="auto"/>
            <w:bottom w:val="none" w:sz="0" w:space="0" w:color="auto"/>
            <w:right w:val="none" w:sz="0" w:space="0" w:color="auto"/>
          </w:divBdr>
        </w:div>
        <w:div w:id="2125419273">
          <w:marLeft w:val="0"/>
          <w:marRight w:val="0"/>
          <w:marTop w:val="0"/>
          <w:marBottom w:val="0"/>
          <w:divBdr>
            <w:top w:val="none" w:sz="0" w:space="0" w:color="auto"/>
            <w:left w:val="none" w:sz="0" w:space="0" w:color="auto"/>
            <w:bottom w:val="none" w:sz="0" w:space="0" w:color="auto"/>
            <w:right w:val="none" w:sz="0" w:space="0" w:color="auto"/>
          </w:divBdr>
        </w:div>
        <w:div w:id="775561320">
          <w:marLeft w:val="0"/>
          <w:marRight w:val="0"/>
          <w:marTop w:val="0"/>
          <w:marBottom w:val="0"/>
          <w:divBdr>
            <w:top w:val="none" w:sz="0" w:space="0" w:color="auto"/>
            <w:left w:val="none" w:sz="0" w:space="0" w:color="auto"/>
            <w:bottom w:val="none" w:sz="0" w:space="0" w:color="auto"/>
            <w:right w:val="none" w:sz="0" w:space="0" w:color="auto"/>
          </w:divBdr>
        </w:div>
        <w:div w:id="991249850">
          <w:marLeft w:val="0"/>
          <w:marRight w:val="0"/>
          <w:marTop w:val="0"/>
          <w:marBottom w:val="0"/>
          <w:divBdr>
            <w:top w:val="none" w:sz="0" w:space="0" w:color="auto"/>
            <w:left w:val="none" w:sz="0" w:space="0" w:color="auto"/>
            <w:bottom w:val="none" w:sz="0" w:space="0" w:color="auto"/>
            <w:right w:val="none" w:sz="0" w:space="0" w:color="auto"/>
          </w:divBdr>
        </w:div>
        <w:div w:id="10189416">
          <w:marLeft w:val="0"/>
          <w:marRight w:val="0"/>
          <w:marTop w:val="0"/>
          <w:marBottom w:val="0"/>
          <w:divBdr>
            <w:top w:val="none" w:sz="0" w:space="0" w:color="auto"/>
            <w:left w:val="none" w:sz="0" w:space="0" w:color="auto"/>
            <w:bottom w:val="none" w:sz="0" w:space="0" w:color="auto"/>
            <w:right w:val="none" w:sz="0" w:space="0" w:color="auto"/>
          </w:divBdr>
        </w:div>
        <w:div w:id="531965944">
          <w:marLeft w:val="0"/>
          <w:marRight w:val="0"/>
          <w:marTop w:val="0"/>
          <w:marBottom w:val="0"/>
          <w:divBdr>
            <w:top w:val="none" w:sz="0" w:space="0" w:color="auto"/>
            <w:left w:val="none" w:sz="0" w:space="0" w:color="auto"/>
            <w:bottom w:val="none" w:sz="0" w:space="0" w:color="auto"/>
            <w:right w:val="none" w:sz="0" w:space="0" w:color="auto"/>
          </w:divBdr>
        </w:div>
        <w:div w:id="1529954715">
          <w:marLeft w:val="0"/>
          <w:marRight w:val="0"/>
          <w:marTop w:val="0"/>
          <w:marBottom w:val="0"/>
          <w:divBdr>
            <w:top w:val="none" w:sz="0" w:space="0" w:color="auto"/>
            <w:left w:val="none" w:sz="0" w:space="0" w:color="auto"/>
            <w:bottom w:val="none" w:sz="0" w:space="0" w:color="auto"/>
            <w:right w:val="none" w:sz="0" w:space="0" w:color="auto"/>
          </w:divBdr>
        </w:div>
        <w:div w:id="1988320281">
          <w:marLeft w:val="0"/>
          <w:marRight w:val="0"/>
          <w:marTop w:val="0"/>
          <w:marBottom w:val="0"/>
          <w:divBdr>
            <w:top w:val="none" w:sz="0" w:space="0" w:color="auto"/>
            <w:left w:val="none" w:sz="0" w:space="0" w:color="auto"/>
            <w:bottom w:val="none" w:sz="0" w:space="0" w:color="auto"/>
            <w:right w:val="none" w:sz="0" w:space="0" w:color="auto"/>
          </w:divBdr>
        </w:div>
        <w:div w:id="1054239218">
          <w:marLeft w:val="0"/>
          <w:marRight w:val="0"/>
          <w:marTop w:val="0"/>
          <w:marBottom w:val="0"/>
          <w:divBdr>
            <w:top w:val="none" w:sz="0" w:space="0" w:color="auto"/>
            <w:left w:val="none" w:sz="0" w:space="0" w:color="auto"/>
            <w:bottom w:val="none" w:sz="0" w:space="0" w:color="auto"/>
            <w:right w:val="none" w:sz="0" w:space="0" w:color="auto"/>
          </w:divBdr>
        </w:div>
        <w:div w:id="575363686">
          <w:marLeft w:val="0"/>
          <w:marRight w:val="0"/>
          <w:marTop w:val="0"/>
          <w:marBottom w:val="0"/>
          <w:divBdr>
            <w:top w:val="none" w:sz="0" w:space="0" w:color="auto"/>
            <w:left w:val="none" w:sz="0" w:space="0" w:color="auto"/>
            <w:bottom w:val="none" w:sz="0" w:space="0" w:color="auto"/>
            <w:right w:val="none" w:sz="0" w:space="0" w:color="auto"/>
          </w:divBdr>
        </w:div>
        <w:div w:id="648245300">
          <w:marLeft w:val="0"/>
          <w:marRight w:val="0"/>
          <w:marTop w:val="0"/>
          <w:marBottom w:val="0"/>
          <w:divBdr>
            <w:top w:val="none" w:sz="0" w:space="0" w:color="auto"/>
            <w:left w:val="none" w:sz="0" w:space="0" w:color="auto"/>
            <w:bottom w:val="none" w:sz="0" w:space="0" w:color="auto"/>
            <w:right w:val="none" w:sz="0" w:space="0" w:color="auto"/>
          </w:divBdr>
        </w:div>
        <w:div w:id="389810622">
          <w:marLeft w:val="0"/>
          <w:marRight w:val="0"/>
          <w:marTop w:val="0"/>
          <w:marBottom w:val="0"/>
          <w:divBdr>
            <w:top w:val="none" w:sz="0" w:space="0" w:color="auto"/>
            <w:left w:val="none" w:sz="0" w:space="0" w:color="auto"/>
            <w:bottom w:val="none" w:sz="0" w:space="0" w:color="auto"/>
            <w:right w:val="none" w:sz="0" w:space="0" w:color="auto"/>
          </w:divBdr>
        </w:div>
        <w:div w:id="1541748228">
          <w:marLeft w:val="0"/>
          <w:marRight w:val="0"/>
          <w:marTop w:val="0"/>
          <w:marBottom w:val="0"/>
          <w:divBdr>
            <w:top w:val="none" w:sz="0" w:space="0" w:color="auto"/>
            <w:left w:val="none" w:sz="0" w:space="0" w:color="auto"/>
            <w:bottom w:val="none" w:sz="0" w:space="0" w:color="auto"/>
            <w:right w:val="none" w:sz="0" w:space="0" w:color="auto"/>
          </w:divBdr>
        </w:div>
        <w:div w:id="1174995677">
          <w:marLeft w:val="0"/>
          <w:marRight w:val="0"/>
          <w:marTop w:val="0"/>
          <w:marBottom w:val="0"/>
          <w:divBdr>
            <w:top w:val="none" w:sz="0" w:space="0" w:color="auto"/>
            <w:left w:val="none" w:sz="0" w:space="0" w:color="auto"/>
            <w:bottom w:val="none" w:sz="0" w:space="0" w:color="auto"/>
            <w:right w:val="none" w:sz="0" w:space="0" w:color="auto"/>
          </w:divBdr>
        </w:div>
        <w:div w:id="1388458861">
          <w:marLeft w:val="0"/>
          <w:marRight w:val="0"/>
          <w:marTop w:val="0"/>
          <w:marBottom w:val="0"/>
          <w:divBdr>
            <w:top w:val="none" w:sz="0" w:space="0" w:color="auto"/>
            <w:left w:val="none" w:sz="0" w:space="0" w:color="auto"/>
            <w:bottom w:val="none" w:sz="0" w:space="0" w:color="auto"/>
            <w:right w:val="none" w:sz="0" w:space="0" w:color="auto"/>
          </w:divBdr>
        </w:div>
      </w:divsChild>
    </w:div>
    <w:div w:id="2128112308">
      <w:bodyDiv w:val="1"/>
      <w:marLeft w:val="0"/>
      <w:marRight w:val="0"/>
      <w:marTop w:val="0"/>
      <w:marBottom w:val="0"/>
      <w:divBdr>
        <w:top w:val="none" w:sz="0" w:space="0" w:color="auto"/>
        <w:left w:val="none" w:sz="0" w:space="0" w:color="auto"/>
        <w:bottom w:val="none" w:sz="0" w:space="0" w:color="auto"/>
        <w:right w:val="none" w:sz="0" w:space="0" w:color="auto"/>
      </w:divBdr>
      <w:divsChild>
        <w:div w:id="356006881">
          <w:marLeft w:val="0"/>
          <w:marRight w:val="0"/>
          <w:marTop w:val="0"/>
          <w:marBottom w:val="0"/>
          <w:divBdr>
            <w:top w:val="none" w:sz="0" w:space="0" w:color="auto"/>
            <w:left w:val="none" w:sz="0" w:space="0" w:color="auto"/>
            <w:bottom w:val="none" w:sz="0" w:space="0" w:color="auto"/>
            <w:right w:val="none" w:sz="0" w:space="0" w:color="auto"/>
          </w:divBdr>
        </w:div>
        <w:div w:id="102717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prev_hit(6)" TargetMode="External"/><Relationship Id="rId13" Type="http://schemas.openxmlformats.org/officeDocument/2006/relationships/hyperlink" Target="javascript:top.docjs.prev_hit(8)" TargetMode="External"/><Relationship Id="rId18" Type="http://schemas.openxmlformats.org/officeDocument/2006/relationships/hyperlink" Target="javascript:top.docjs.next_hit(1)"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javascript:top.docjs.prev_hit(3)" TargetMode="External"/><Relationship Id="rId7" Type="http://schemas.openxmlformats.org/officeDocument/2006/relationships/endnotes" Target="endnotes.xml"/><Relationship Id="rId12" Type="http://schemas.openxmlformats.org/officeDocument/2006/relationships/hyperlink" Target="javascript:top.docjs.next_hit(7)" TargetMode="External"/><Relationship Id="rId17" Type="http://schemas.openxmlformats.org/officeDocument/2006/relationships/hyperlink" Target="http://telecomlaw.bna.com/terc/display/split_display.adp?fedfid=18416152&amp;wsn=561436000&amp;vname=comrgdec&amp;searchid=30178668&amp;doctypeid=1&amp;type=court&amp;scm=1502&amp;pg=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top.docjs.next_hit(9)" TargetMode="External"/><Relationship Id="rId20" Type="http://schemas.openxmlformats.org/officeDocument/2006/relationships/hyperlink" Target="javascript:top.docjs.next_hit(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top.docjs.prev_hit(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avascript:top.docjs.prev_hit(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javascript:top.docjs.next_hit(6)" TargetMode="External"/><Relationship Id="rId19" Type="http://schemas.openxmlformats.org/officeDocument/2006/relationships/hyperlink" Target="javascript:top.docjs.prev_hit(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javascript:top.docjs.next_hit(8)" TargetMode="External"/><Relationship Id="rId22" Type="http://schemas.openxmlformats.org/officeDocument/2006/relationships/hyperlink" Target="javascript:top.docjs.next_hit(3)"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javascript:top.docjs.next_hit(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3013</Words>
  <Characters>17122</Characters>
  <Application>Microsoft Office Word</Application>
  <DocSecurity>0</DocSecurity>
  <Lines>258</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2012-10-24T12:49:00Z</cp:lastPrinted>
  <dcterms:created xsi:type="dcterms:W3CDTF">2017-11-29T12:54:00Z</dcterms:created>
  <dcterms:modified xsi:type="dcterms:W3CDTF">2017-11-29T12:54:00Z</dcterms:modified>
  <cp:category> </cp:category>
  <cp:contentStatus> </cp:contentStatus>
</cp:coreProperties>
</file>