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A5DC" w14:textId="77777777" w:rsidR="00187600" w:rsidRDefault="00187600" w:rsidP="006C0658">
      <w:pPr>
        <w:spacing w:after="0" w:line="240" w:lineRule="auto"/>
        <w:jc w:val="center"/>
        <w:rPr>
          <w:rFonts w:ascii="Times New Roman Bold" w:hAnsi="Times New Roman Bold"/>
          <w:b/>
          <w:kern w:val="0"/>
          <w:szCs w:val="22"/>
        </w:rPr>
      </w:pPr>
      <w:bookmarkStart w:id="0" w:name="_GoBack"/>
      <w:bookmarkEnd w:id="0"/>
    </w:p>
    <w:p w14:paraId="2AD63407" w14:textId="77777777" w:rsidR="00803A6D" w:rsidRDefault="00803A6D" w:rsidP="006C0658">
      <w:pPr>
        <w:spacing w:after="0" w:line="240" w:lineRule="auto"/>
        <w:jc w:val="center"/>
        <w:rPr>
          <w:rFonts w:ascii="Times New Roman Bold" w:hAnsi="Times New Roman Bold"/>
          <w:b/>
          <w:kern w:val="0"/>
          <w:szCs w:val="22"/>
        </w:rPr>
      </w:pPr>
    </w:p>
    <w:p w14:paraId="4EA5E90A" w14:textId="1883054F" w:rsidR="004C2EE3" w:rsidRPr="00971D0D" w:rsidRDefault="004C2EE3" w:rsidP="006C0658">
      <w:pPr>
        <w:spacing w:after="0" w:line="240" w:lineRule="auto"/>
        <w:jc w:val="center"/>
        <w:rPr>
          <w:b/>
        </w:rPr>
      </w:pPr>
      <w:r w:rsidRPr="00971D0D">
        <w:rPr>
          <w:rFonts w:ascii="Times New Roman Bold" w:hAnsi="Times New Roman Bold"/>
          <w:b/>
          <w:kern w:val="0"/>
          <w:szCs w:val="22"/>
        </w:rPr>
        <w:t>Before</w:t>
      </w:r>
      <w:r w:rsidRPr="00971D0D">
        <w:rPr>
          <w:b/>
        </w:rPr>
        <w:t xml:space="preserve"> the</w:t>
      </w:r>
    </w:p>
    <w:p w14:paraId="4DEA0810" w14:textId="77777777" w:rsidR="00921803" w:rsidRPr="00B76011" w:rsidRDefault="00921803" w:rsidP="008C6DC1">
      <w:pPr>
        <w:pStyle w:val="StyleBoldCentered"/>
        <w:spacing w:after="0" w:line="240" w:lineRule="auto"/>
      </w:pPr>
      <w:r w:rsidRPr="00B76011">
        <w:t>F</w:t>
      </w:r>
      <w:r w:rsidRPr="00B76011">
        <w:rPr>
          <w:caps w:val="0"/>
        </w:rPr>
        <w:t>ederal Communications Commission</w:t>
      </w:r>
    </w:p>
    <w:p w14:paraId="26442914" w14:textId="77777777" w:rsidR="004C2EE3" w:rsidRPr="00CD2847" w:rsidRDefault="00810B6F" w:rsidP="008C6DC1">
      <w:pPr>
        <w:pStyle w:val="StyleBoldCentered"/>
        <w:spacing w:after="0" w:line="240" w:lineRule="auto"/>
      </w:pPr>
      <w:r w:rsidRPr="00CD2847">
        <w:rPr>
          <w:caps w:val="0"/>
        </w:rPr>
        <w:t>Washington, D.C. 20554</w:t>
      </w:r>
    </w:p>
    <w:p w14:paraId="3A70D5EB" w14:textId="77777777" w:rsidR="004C2EE3" w:rsidRPr="00971D0D" w:rsidRDefault="004C2EE3" w:rsidP="008C6DC1">
      <w:pPr>
        <w:spacing w:after="0" w:line="240" w:lineRule="auto"/>
      </w:pPr>
    </w:p>
    <w:tbl>
      <w:tblPr>
        <w:tblW w:w="0" w:type="auto"/>
        <w:tblLayout w:type="fixed"/>
        <w:tblLook w:val="0000" w:firstRow="0" w:lastRow="0" w:firstColumn="0" w:lastColumn="0" w:noHBand="0" w:noVBand="0"/>
      </w:tblPr>
      <w:tblGrid>
        <w:gridCol w:w="4698"/>
        <w:gridCol w:w="630"/>
        <w:gridCol w:w="4248"/>
      </w:tblGrid>
      <w:tr w:rsidR="004C2EE3" w:rsidRPr="00971D0D" w14:paraId="137F3E72" w14:textId="77777777">
        <w:tc>
          <w:tcPr>
            <w:tcW w:w="4698" w:type="dxa"/>
          </w:tcPr>
          <w:p w14:paraId="15CB6DB8" w14:textId="77777777" w:rsidR="004C2EE3" w:rsidRPr="00971D0D" w:rsidRDefault="004C2EE3" w:rsidP="008C6DC1">
            <w:pPr>
              <w:tabs>
                <w:tab w:val="center" w:pos="4680"/>
              </w:tabs>
              <w:suppressAutoHyphens/>
              <w:spacing w:after="0" w:line="240" w:lineRule="auto"/>
              <w:rPr>
                <w:spacing w:val="-2"/>
              </w:rPr>
            </w:pPr>
            <w:r w:rsidRPr="00971D0D">
              <w:rPr>
                <w:spacing w:val="-2"/>
              </w:rPr>
              <w:t>In the Matter of</w:t>
            </w:r>
          </w:p>
          <w:p w14:paraId="383CDB0D" w14:textId="77777777" w:rsidR="004C2EE3" w:rsidRPr="00971D0D" w:rsidRDefault="004C2EE3" w:rsidP="008C6DC1">
            <w:pPr>
              <w:tabs>
                <w:tab w:val="center" w:pos="4680"/>
              </w:tabs>
              <w:suppressAutoHyphens/>
              <w:spacing w:after="0" w:line="240" w:lineRule="auto"/>
              <w:rPr>
                <w:spacing w:val="-2"/>
              </w:rPr>
            </w:pPr>
          </w:p>
          <w:p w14:paraId="11AC45D6" w14:textId="77777777" w:rsidR="00817E7A" w:rsidRPr="00971D0D" w:rsidRDefault="005D5981" w:rsidP="008C6DC1">
            <w:pPr>
              <w:tabs>
                <w:tab w:val="center" w:pos="4680"/>
              </w:tabs>
              <w:suppressAutoHyphens/>
              <w:spacing w:after="0" w:line="240" w:lineRule="auto"/>
              <w:rPr>
                <w:spacing w:val="-2"/>
              </w:rPr>
            </w:pPr>
            <w:r w:rsidRPr="00971D0D">
              <w:rPr>
                <w:spacing w:val="-2"/>
              </w:rPr>
              <w:t xml:space="preserve">Application </w:t>
            </w:r>
            <w:r w:rsidR="00876273" w:rsidRPr="00971D0D">
              <w:rPr>
                <w:spacing w:val="-2"/>
              </w:rPr>
              <w:t>of</w:t>
            </w:r>
            <w:r w:rsidRPr="00971D0D">
              <w:rPr>
                <w:spacing w:val="-2"/>
              </w:rPr>
              <w:t xml:space="preserve"> Cellco Partnership d/b/a Verizon Wireless and </w:t>
            </w:r>
            <w:r w:rsidR="004B784D">
              <w:rPr>
                <w:spacing w:val="-2"/>
              </w:rPr>
              <w:t>XO Holdings</w:t>
            </w:r>
          </w:p>
          <w:p w14:paraId="18FFDA7E" w14:textId="77777777" w:rsidR="00817E7A" w:rsidRPr="00971D0D" w:rsidRDefault="00817E7A" w:rsidP="008C6DC1">
            <w:pPr>
              <w:tabs>
                <w:tab w:val="center" w:pos="4680"/>
              </w:tabs>
              <w:suppressAutoHyphens/>
              <w:spacing w:after="0" w:line="240" w:lineRule="auto"/>
              <w:rPr>
                <w:spacing w:val="-2"/>
              </w:rPr>
            </w:pPr>
          </w:p>
          <w:p w14:paraId="2A6DCCA5" w14:textId="1D6B67A8" w:rsidR="004C2EE3" w:rsidRPr="00971D0D" w:rsidRDefault="00817E7A" w:rsidP="008C6DC1">
            <w:pPr>
              <w:tabs>
                <w:tab w:val="center" w:pos="4680"/>
              </w:tabs>
              <w:suppressAutoHyphens/>
              <w:spacing w:after="0" w:line="240" w:lineRule="auto"/>
              <w:rPr>
                <w:spacing w:val="-2"/>
              </w:rPr>
            </w:pPr>
            <w:r w:rsidRPr="00971D0D">
              <w:rPr>
                <w:spacing w:val="-2"/>
              </w:rPr>
              <w:t>F</w:t>
            </w:r>
            <w:r w:rsidR="005D5981" w:rsidRPr="00971D0D">
              <w:rPr>
                <w:spacing w:val="-2"/>
              </w:rPr>
              <w:t xml:space="preserve">or Consent to Transfer </w:t>
            </w:r>
            <w:r w:rsidR="004B784D">
              <w:rPr>
                <w:spacing w:val="-2"/>
              </w:rPr>
              <w:t>Control of Local Multipoint Distribution Service and 39 GHS Licenses</w:t>
            </w:r>
            <w:r w:rsidR="005D5981" w:rsidRPr="00971D0D">
              <w:rPr>
                <w:spacing w:val="-2"/>
              </w:rPr>
              <w:t xml:space="preserve"> </w:t>
            </w:r>
            <w:r w:rsidR="009328D2">
              <w:rPr>
                <w:spacing w:val="-2"/>
              </w:rPr>
              <w:t xml:space="preserve">                                                                                                   </w:t>
            </w:r>
          </w:p>
        </w:tc>
        <w:tc>
          <w:tcPr>
            <w:tcW w:w="630" w:type="dxa"/>
          </w:tcPr>
          <w:p w14:paraId="5150AA9C"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1EAE0641"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1532AE74"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545B4C84"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4D933C85"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2485889E" w14:textId="77777777" w:rsidR="004C2EE3" w:rsidRPr="00971D0D" w:rsidRDefault="004C2EE3" w:rsidP="008C6DC1">
            <w:pPr>
              <w:tabs>
                <w:tab w:val="center" w:pos="4680"/>
              </w:tabs>
              <w:suppressAutoHyphens/>
              <w:spacing w:after="0" w:line="240" w:lineRule="auto"/>
              <w:rPr>
                <w:b/>
                <w:spacing w:val="-2"/>
              </w:rPr>
            </w:pPr>
            <w:r w:rsidRPr="00971D0D">
              <w:rPr>
                <w:b/>
                <w:spacing w:val="-2"/>
              </w:rPr>
              <w:t>)</w:t>
            </w:r>
          </w:p>
          <w:p w14:paraId="755E63B5" w14:textId="77777777" w:rsidR="004C2EE3" w:rsidRDefault="004C2EE3" w:rsidP="008C6DC1">
            <w:pPr>
              <w:tabs>
                <w:tab w:val="center" w:pos="4680"/>
              </w:tabs>
              <w:suppressAutoHyphens/>
              <w:spacing w:after="0" w:line="240" w:lineRule="auto"/>
              <w:rPr>
                <w:b/>
                <w:spacing w:val="-2"/>
              </w:rPr>
            </w:pPr>
            <w:r w:rsidRPr="00971D0D">
              <w:rPr>
                <w:b/>
                <w:spacing w:val="-2"/>
              </w:rPr>
              <w:t>)</w:t>
            </w:r>
          </w:p>
          <w:p w14:paraId="31D6E81F" w14:textId="4443A0CA" w:rsidR="009328D2" w:rsidRPr="00971D0D" w:rsidRDefault="009328D2" w:rsidP="008C6DC1">
            <w:pPr>
              <w:tabs>
                <w:tab w:val="center" w:pos="4680"/>
              </w:tabs>
              <w:suppressAutoHyphens/>
              <w:spacing w:after="0" w:line="240" w:lineRule="auto"/>
              <w:rPr>
                <w:spacing w:val="-2"/>
              </w:rPr>
            </w:pPr>
            <w:r>
              <w:rPr>
                <w:b/>
                <w:spacing w:val="-2"/>
              </w:rPr>
              <w:t>)</w:t>
            </w:r>
          </w:p>
        </w:tc>
        <w:tc>
          <w:tcPr>
            <w:tcW w:w="4248" w:type="dxa"/>
          </w:tcPr>
          <w:p w14:paraId="1C93B51F" w14:textId="77777777" w:rsidR="004C2EE3" w:rsidRPr="00971D0D" w:rsidRDefault="004C2EE3" w:rsidP="008C6DC1">
            <w:pPr>
              <w:tabs>
                <w:tab w:val="center" w:pos="4680"/>
              </w:tabs>
              <w:suppressAutoHyphens/>
              <w:spacing w:after="0" w:line="240" w:lineRule="auto"/>
              <w:rPr>
                <w:spacing w:val="-2"/>
              </w:rPr>
            </w:pPr>
          </w:p>
          <w:p w14:paraId="69982127" w14:textId="77777777" w:rsidR="004C2EE3" w:rsidRPr="00971D0D" w:rsidRDefault="004C2EE3" w:rsidP="008C6DC1">
            <w:pPr>
              <w:pStyle w:val="TOAHeading"/>
              <w:tabs>
                <w:tab w:val="clear" w:pos="9360"/>
                <w:tab w:val="center" w:pos="4680"/>
              </w:tabs>
              <w:spacing w:after="0" w:line="240" w:lineRule="auto"/>
              <w:rPr>
                <w:spacing w:val="-2"/>
              </w:rPr>
            </w:pPr>
          </w:p>
          <w:p w14:paraId="0C3CCC88" w14:textId="2FD34B07" w:rsidR="004C2EE3" w:rsidRPr="00971D0D" w:rsidRDefault="005D5981" w:rsidP="008C6DC1">
            <w:pPr>
              <w:tabs>
                <w:tab w:val="center" w:pos="4680"/>
              </w:tabs>
              <w:suppressAutoHyphens/>
              <w:spacing w:after="0" w:line="240" w:lineRule="auto"/>
              <w:rPr>
                <w:spacing w:val="-2"/>
              </w:rPr>
            </w:pPr>
            <w:r w:rsidRPr="00971D0D">
              <w:rPr>
                <w:spacing w:val="-2"/>
              </w:rPr>
              <w:t>ULS File N</w:t>
            </w:r>
            <w:r w:rsidR="00876273" w:rsidRPr="00971D0D">
              <w:rPr>
                <w:spacing w:val="-2"/>
              </w:rPr>
              <w:t>o.</w:t>
            </w:r>
            <w:r w:rsidR="0008213A">
              <w:rPr>
                <w:spacing w:val="-2"/>
              </w:rPr>
              <w:t xml:space="preserve"> 0007765708</w:t>
            </w:r>
          </w:p>
        </w:tc>
      </w:tr>
    </w:tbl>
    <w:p w14:paraId="138B685E" w14:textId="77777777" w:rsidR="004C2EE3" w:rsidRPr="00971D0D" w:rsidRDefault="004C2EE3" w:rsidP="00860523"/>
    <w:p w14:paraId="4D1474B7" w14:textId="08B0220D" w:rsidR="004C2EE3" w:rsidRPr="00971D0D" w:rsidRDefault="005D5981" w:rsidP="003F6F30">
      <w:pPr>
        <w:pStyle w:val="StyleBoldCentered"/>
        <w:spacing w:after="280" w:line="240" w:lineRule="auto"/>
      </w:pPr>
      <w:r w:rsidRPr="00971D0D">
        <w:t>MEMORANDUM OPINION AND ORDER</w:t>
      </w:r>
    </w:p>
    <w:p w14:paraId="1DEB7C4D" w14:textId="5CAEF11F" w:rsidR="00822CE0" w:rsidRPr="00B76011" w:rsidRDefault="004C2EE3" w:rsidP="003F6F30">
      <w:pPr>
        <w:tabs>
          <w:tab w:val="left" w:pos="720"/>
          <w:tab w:val="right" w:pos="9360"/>
        </w:tabs>
        <w:suppressAutoHyphens/>
        <w:spacing w:after="280" w:line="240" w:lineRule="auto"/>
      </w:pPr>
      <w:r w:rsidRPr="004131DF">
        <w:rPr>
          <w:b/>
          <w:spacing w:val="-2"/>
        </w:rPr>
        <w:t xml:space="preserve">Adopted:  </w:t>
      </w:r>
      <w:r w:rsidR="00FC35FA">
        <w:rPr>
          <w:b/>
          <w:spacing w:val="-2"/>
        </w:rPr>
        <w:t>Nov</w:t>
      </w:r>
      <w:r w:rsidR="00BD7091">
        <w:rPr>
          <w:b/>
          <w:spacing w:val="-2"/>
        </w:rPr>
        <w:t xml:space="preserve">ember </w:t>
      </w:r>
      <w:r w:rsidR="00FC35FA">
        <w:rPr>
          <w:b/>
          <w:spacing w:val="-2"/>
        </w:rPr>
        <w:t>29</w:t>
      </w:r>
      <w:r w:rsidR="00D763A8">
        <w:rPr>
          <w:b/>
          <w:spacing w:val="-2"/>
        </w:rPr>
        <w:t>, 201</w:t>
      </w:r>
      <w:r w:rsidR="00BD7091">
        <w:rPr>
          <w:b/>
          <w:spacing w:val="-2"/>
        </w:rPr>
        <w:t>7</w:t>
      </w:r>
      <w:r w:rsidRPr="004131DF">
        <w:rPr>
          <w:b/>
          <w:spacing w:val="-2"/>
        </w:rPr>
        <w:tab/>
      </w:r>
      <w:r w:rsidR="00822CE0" w:rsidRPr="004131DF">
        <w:rPr>
          <w:b/>
          <w:spacing w:val="-2"/>
        </w:rPr>
        <w:t>Released</w:t>
      </w:r>
      <w:r w:rsidRPr="004131DF">
        <w:rPr>
          <w:b/>
          <w:spacing w:val="-2"/>
        </w:rPr>
        <w:t>:</w:t>
      </w:r>
      <w:r w:rsidR="00822CE0" w:rsidRPr="004131DF">
        <w:rPr>
          <w:b/>
          <w:spacing w:val="-2"/>
        </w:rPr>
        <w:t xml:space="preserve"> </w:t>
      </w:r>
      <w:r w:rsidR="00240A3A">
        <w:rPr>
          <w:b/>
          <w:spacing w:val="-2"/>
        </w:rPr>
        <w:t xml:space="preserve"> </w:t>
      </w:r>
      <w:r w:rsidR="00FC35FA">
        <w:rPr>
          <w:b/>
          <w:spacing w:val="-2"/>
        </w:rPr>
        <w:t>Nov</w:t>
      </w:r>
      <w:r w:rsidR="00BD7091">
        <w:rPr>
          <w:b/>
          <w:spacing w:val="-2"/>
        </w:rPr>
        <w:t xml:space="preserve">ember </w:t>
      </w:r>
      <w:r w:rsidR="00FC35FA">
        <w:rPr>
          <w:b/>
          <w:spacing w:val="-2"/>
        </w:rPr>
        <w:t>29</w:t>
      </w:r>
      <w:r w:rsidR="00D763A8">
        <w:rPr>
          <w:b/>
          <w:spacing w:val="-2"/>
        </w:rPr>
        <w:t>, 201</w:t>
      </w:r>
      <w:r w:rsidR="00BD7091">
        <w:rPr>
          <w:b/>
          <w:spacing w:val="-2"/>
        </w:rPr>
        <w:t>7</w:t>
      </w:r>
    </w:p>
    <w:p w14:paraId="688A3106" w14:textId="57DC5A43" w:rsidR="00F04372" w:rsidRPr="00971D0D" w:rsidRDefault="004C2EE3" w:rsidP="003F6F30">
      <w:pPr>
        <w:spacing w:after="280" w:line="240" w:lineRule="auto"/>
      </w:pPr>
      <w:r w:rsidRPr="00B76011">
        <w:t xml:space="preserve">By </w:t>
      </w:r>
      <w:r w:rsidR="00817E7A" w:rsidRPr="00B76011">
        <w:t xml:space="preserve">the </w:t>
      </w:r>
      <w:r w:rsidR="005D5981" w:rsidRPr="00CD2847">
        <w:t>Chief, Wireless Telecommunications Bureau:</w:t>
      </w:r>
    </w:p>
    <w:p w14:paraId="1887AC0B" w14:textId="77777777" w:rsidR="002C00E8" w:rsidRPr="00971D0D" w:rsidRDefault="005D5981" w:rsidP="003F6F30">
      <w:pPr>
        <w:pStyle w:val="Heading1"/>
        <w:keepNext w:val="0"/>
        <w:spacing w:after="240" w:line="240" w:lineRule="auto"/>
      </w:pPr>
      <w:r w:rsidRPr="00971D0D">
        <w:t>INTRODUCTION</w:t>
      </w:r>
    </w:p>
    <w:p w14:paraId="27DFD4F3" w14:textId="7194DDEE" w:rsidR="00C15647" w:rsidRPr="00971D0D" w:rsidRDefault="00817E7A" w:rsidP="003F6F30">
      <w:pPr>
        <w:pStyle w:val="ParaNum"/>
        <w:tabs>
          <w:tab w:val="num" w:pos="1440"/>
        </w:tabs>
        <w:spacing w:after="240" w:line="240" w:lineRule="auto"/>
        <w:ind w:left="86"/>
      </w:pPr>
      <w:r w:rsidRPr="00971D0D">
        <w:rPr>
          <w:kern w:val="0"/>
        </w:rPr>
        <w:t>In this Memorandum Opinion and Order, we consider the application</w:t>
      </w:r>
      <w:r w:rsidRPr="00971D0D">
        <w:t xml:space="preserve"> of </w:t>
      </w:r>
      <w:r w:rsidR="002E0209" w:rsidRPr="00971D0D">
        <w:rPr>
          <w:szCs w:val="22"/>
        </w:rPr>
        <w:t xml:space="preserve">Cellco Partnership d/b/a Verizon Wireless (Verizon Wireless, and together with </w:t>
      </w:r>
      <w:r w:rsidR="002E0209">
        <w:rPr>
          <w:szCs w:val="22"/>
        </w:rPr>
        <w:t>XO Holdings</w:t>
      </w:r>
      <w:r w:rsidR="002E0209" w:rsidRPr="00971D0D">
        <w:rPr>
          <w:szCs w:val="22"/>
        </w:rPr>
        <w:t>, the</w:t>
      </w:r>
      <w:r w:rsidR="002E0209">
        <w:rPr>
          <w:szCs w:val="22"/>
        </w:rPr>
        <w:t xml:space="preserve"> Applicants</w:t>
      </w:r>
      <w:r w:rsidR="002E0209" w:rsidRPr="00971D0D">
        <w:rPr>
          <w:szCs w:val="22"/>
        </w:rPr>
        <w:t>)</w:t>
      </w:r>
      <w:r w:rsidRPr="00971D0D">
        <w:t xml:space="preserve"> and </w:t>
      </w:r>
      <w:r w:rsidR="004B784D">
        <w:t xml:space="preserve">XO Holdings </w:t>
      </w:r>
      <w:r w:rsidR="00417774" w:rsidRPr="00971D0D">
        <w:t xml:space="preserve">for Commission consent to </w:t>
      </w:r>
      <w:r w:rsidR="004B784D">
        <w:t xml:space="preserve">the </w:t>
      </w:r>
      <w:r w:rsidRPr="00971D0D">
        <w:t xml:space="preserve">transfer </w:t>
      </w:r>
      <w:r w:rsidR="004B784D">
        <w:t xml:space="preserve">of control of </w:t>
      </w:r>
      <w:r w:rsidR="002E0209">
        <w:t>Local Multipoint Distribution Service (</w:t>
      </w:r>
      <w:r w:rsidR="004B784D">
        <w:t>LMDS</w:t>
      </w:r>
      <w:r w:rsidR="002E0209">
        <w:t>)</w:t>
      </w:r>
      <w:r w:rsidR="004B784D">
        <w:t>, 39 GHz, 3650-3700 MHz, and common carrier fixed point</w:t>
      </w:r>
      <w:r w:rsidR="002F05E0">
        <w:t>-</w:t>
      </w:r>
      <w:r w:rsidR="004B784D">
        <w:t>to</w:t>
      </w:r>
      <w:r w:rsidR="002F05E0">
        <w:t>-</w:t>
      </w:r>
      <w:r w:rsidR="004B784D">
        <w:t>point microwave licenses held by XO Holdings</w:t>
      </w:r>
      <w:r w:rsidR="006309DA">
        <w:t>’</w:t>
      </w:r>
      <w:r w:rsidR="004B784D">
        <w:t xml:space="preserve"> subsidiary</w:t>
      </w:r>
      <w:r w:rsidR="006309DA">
        <w:t>,</w:t>
      </w:r>
      <w:r w:rsidR="004B784D">
        <w:t xml:space="preserve"> Nextlink</w:t>
      </w:r>
      <w:r w:rsidR="008C6DC1">
        <w:t xml:space="preserve"> Wireless, LLC (Nextlink)</w:t>
      </w:r>
      <w:r w:rsidRPr="00971D0D">
        <w:t xml:space="preserve">.  Verizon Wireless </w:t>
      </w:r>
      <w:r w:rsidR="001471E0">
        <w:t xml:space="preserve">currently </w:t>
      </w:r>
      <w:r w:rsidRPr="00971D0D">
        <w:t>lease</w:t>
      </w:r>
      <w:r w:rsidR="001471E0">
        <w:t>s</w:t>
      </w:r>
      <w:r w:rsidRPr="00971D0D">
        <w:t xml:space="preserve"> from Nextlink </w:t>
      </w:r>
      <w:r w:rsidR="006D1162" w:rsidRPr="00971D0D">
        <w:t xml:space="preserve">spectrum associated with </w:t>
      </w:r>
      <w:r w:rsidR="00F749CC">
        <w:t>Nextlink’s</w:t>
      </w:r>
      <w:r w:rsidRPr="00971D0D">
        <w:t xml:space="preserve"> LMDS </w:t>
      </w:r>
      <w:r w:rsidR="00417774" w:rsidRPr="00971D0D">
        <w:t xml:space="preserve">licenses </w:t>
      </w:r>
      <w:r w:rsidRPr="00971D0D">
        <w:t>and 39 GHz licenses.</w:t>
      </w:r>
      <w:r w:rsidR="001471E0">
        <w:rPr>
          <w:rStyle w:val="FootnoteReference"/>
        </w:rPr>
        <w:footnoteReference w:id="2"/>
      </w:r>
      <w:r w:rsidRPr="00971D0D">
        <w:t xml:space="preserve">  </w:t>
      </w:r>
      <w:r w:rsidR="001471E0">
        <w:t xml:space="preserve">Verizon Wireless and XO Holdings state that Verizon Wireless has exercised its option, under a separate agreement entered into at the same time as the leasing arrangement, to purchase from XO Holdings all of its interests in Nextlink.  </w:t>
      </w:r>
      <w:r w:rsidRPr="00971D0D">
        <w:t>After carefully evaluating the likely competitive effects of th</w:t>
      </w:r>
      <w:r w:rsidR="001471E0">
        <w:t>e proposed transfer of control</w:t>
      </w:r>
      <w:r w:rsidRPr="00971D0D">
        <w:t xml:space="preserve">, </w:t>
      </w:r>
      <w:r w:rsidRPr="00971D0D">
        <w:rPr>
          <w:kern w:val="0"/>
        </w:rPr>
        <w:t xml:space="preserve">we find that the likelihood of </w:t>
      </w:r>
      <w:r w:rsidR="00C12018" w:rsidRPr="00971D0D">
        <w:rPr>
          <w:kern w:val="0"/>
        </w:rPr>
        <w:t xml:space="preserve">any </w:t>
      </w:r>
      <w:r w:rsidR="00072EC7">
        <w:rPr>
          <w:kern w:val="0"/>
        </w:rPr>
        <w:t>competitive</w:t>
      </w:r>
      <w:r w:rsidR="00C12018" w:rsidRPr="00971D0D">
        <w:rPr>
          <w:kern w:val="0"/>
        </w:rPr>
        <w:t xml:space="preserve"> harms</w:t>
      </w:r>
      <w:r w:rsidRPr="00971D0D">
        <w:rPr>
          <w:kern w:val="0"/>
        </w:rPr>
        <w:t xml:space="preserve"> </w:t>
      </w:r>
      <w:r w:rsidR="00417774" w:rsidRPr="00971D0D">
        <w:rPr>
          <w:kern w:val="0"/>
        </w:rPr>
        <w:t xml:space="preserve">at this point in time </w:t>
      </w:r>
      <w:r w:rsidRPr="00971D0D">
        <w:rPr>
          <w:kern w:val="0"/>
        </w:rPr>
        <w:t xml:space="preserve">is low.  </w:t>
      </w:r>
      <w:r w:rsidR="00903339" w:rsidRPr="00971D0D">
        <w:rPr>
          <w:kern w:val="0"/>
        </w:rPr>
        <w:t xml:space="preserve">Verizon Wireless’s post-transaction spectrum holdings across the LMDS (28 GHz) and 39 GHz bands do not raise any particular competitive concerns in light of the </w:t>
      </w:r>
      <w:r w:rsidR="00DC5719" w:rsidRPr="00971D0D">
        <w:rPr>
          <w:kern w:val="0"/>
        </w:rPr>
        <w:t xml:space="preserve">current </w:t>
      </w:r>
      <w:r w:rsidR="00903339" w:rsidRPr="00971D0D">
        <w:rPr>
          <w:kern w:val="0"/>
        </w:rPr>
        <w:t xml:space="preserve">state of the marketplace.  </w:t>
      </w:r>
      <w:r w:rsidRPr="00971D0D">
        <w:rPr>
          <w:kern w:val="0"/>
        </w:rPr>
        <w:t xml:space="preserve">Further, we find that some public interest benefits are likely to be realized, such as </w:t>
      </w:r>
      <w:r w:rsidR="00EF1685" w:rsidRPr="00971D0D">
        <w:rPr>
          <w:kern w:val="0"/>
        </w:rPr>
        <w:t xml:space="preserve">the </w:t>
      </w:r>
      <w:r w:rsidR="00DC5719" w:rsidRPr="00971D0D">
        <w:rPr>
          <w:kern w:val="0"/>
        </w:rPr>
        <w:t xml:space="preserve">expeditious </w:t>
      </w:r>
      <w:r w:rsidR="00EF1685" w:rsidRPr="00971D0D">
        <w:rPr>
          <w:kern w:val="0"/>
        </w:rPr>
        <w:t xml:space="preserve">use of this spectrum for the </w:t>
      </w:r>
      <w:r w:rsidR="00C12018" w:rsidRPr="00971D0D">
        <w:rPr>
          <w:kern w:val="0"/>
        </w:rPr>
        <w:t xml:space="preserve">potential introduction </w:t>
      </w:r>
      <w:r w:rsidR="00EF1685" w:rsidRPr="00971D0D">
        <w:rPr>
          <w:kern w:val="0"/>
        </w:rPr>
        <w:t>of innovative 5G services to the benefit of American consumer</w:t>
      </w:r>
      <w:r w:rsidR="009971D2">
        <w:rPr>
          <w:kern w:val="0"/>
        </w:rPr>
        <w:t>s</w:t>
      </w:r>
      <w:r w:rsidRPr="00971D0D">
        <w:rPr>
          <w:kern w:val="0"/>
        </w:rPr>
        <w:t xml:space="preserve">.  </w:t>
      </w:r>
      <w:r w:rsidR="006309DA">
        <w:rPr>
          <w:kern w:val="0"/>
        </w:rPr>
        <w:t xml:space="preserve">After our careful review, we </w:t>
      </w:r>
      <w:r w:rsidR="006309DA">
        <w:rPr>
          <w:szCs w:val="22"/>
        </w:rPr>
        <w:t xml:space="preserve">find </w:t>
      </w:r>
      <w:r w:rsidR="00C3143B">
        <w:rPr>
          <w:szCs w:val="22"/>
        </w:rPr>
        <w:t xml:space="preserve">that </w:t>
      </w:r>
      <w:r w:rsidR="006309DA">
        <w:rPr>
          <w:szCs w:val="22"/>
        </w:rPr>
        <w:t xml:space="preserve">this transaction </w:t>
      </w:r>
      <w:r w:rsidR="00C3143B" w:rsidRPr="00DC3470">
        <w:rPr>
          <w:szCs w:val="22"/>
        </w:rPr>
        <w:t xml:space="preserve">serves the public </w:t>
      </w:r>
      <w:r w:rsidR="00C3143B">
        <w:rPr>
          <w:szCs w:val="22"/>
        </w:rPr>
        <w:t xml:space="preserve">interest, </w:t>
      </w:r>
      <w:r w:rsidR="00C3143B" w:rsidRPr="00DC3470">
        <w:rPr>
          <w:szCs w:val="22"/>
        </w:rPr>
        <w:t>convenience</w:t>
      </w:r>
      <w:r w:rsidR="00C3143B">
        <w:rPr>
          <w:szCs w:val="22"/>
        </w:rPr>
        <w:t>,</w:t>
      </w:r>
      <w:r w:rsidR="00C3143B" w:rsidRPr="00DC3470">
        <w:rPr>
          <w:szCs w:val="22"/>
        </w:rPr>
        <w:t xml:space="preserve"> and </w:t>
      </w:r>
      <w:r w:rsidR="00C3143B">
        <w:rPr>
          <w:szCs w:val="22"/>
        </w:rPr>
        <w:t>necessity,</w:t>
      </w:r>
      <w:r w:rsidR="00C3143B" w:rsidRPr="00DC3470" w:rsidDel="000E2AF6">
        <w:rPr>
          <w:szCs w:val="22"/>
        </w:rPr>
        <w:t xml:space="preserve"> </w:t>
      </w:r>
      <w:r w:rsidR="00C3143B">
        <w:rPr>
          <w:szCs w:val="22"/>
        </w:rPr>
        <w:t xml:space="preserve">and </w:t>
      </w:r>
      <w:r w:rsidR="002E0209">
        <w:rPr>
          <w:szCs w:val="22"/>
        </w:rPr>
        <w:t xml:space="preserve">therefore </w:t>
      </w:r>
      <w:r w:rsidR="00C3143B">
        <w:rPr>
          <w:szCs w:val="22"/>
        </w:rPr>
        <w:t>we</w:t>
      </w:r>
      <w:r w:rsidR="002E0209">
        <w:rPr>
          <w:szCs w:val="22"/>
        </w:rPr>
        <w:t xml:space="preserve"> consent to the transaction</w:t>
      </w:r>
      <w:r w:rsidR="00C3143B">
        <w:rPr>
          <w:szCs w:val="22"/>
        </w:rPr>
        <w:t xml:space="preserve">.  </w:t>
      </w:r>
    </w:p>
    <w:p w14:paraId="50F93589" w14:textId="77777777" w:rsidR="00417774" w:rsidRPr="00971D0D" w:rsidRDefault="00417774" w:rsidP="005233FA">
      <w:pPr>
        <w:pStyle w:val="Heading1"/>
        <w:tabs>
          <w:tab w:val="num" w:pos="1440"/>
        </w:tabs>
        <w:spacing w:line="240" w:lineRule="auto"/>
      </w:pPr>
      <w:bookmarkStart w:id="1" w:name="_Toc403981888"/>
      <w:bookmarkStart w:id="2" w:name="_Toc403998340"/>
      <w:bookmarkStart w:id="3" w:name="_Toc403998427"/>
      <w:bookmarkStart w:id="4" w:name="_Toc404003253"/>
      <w:bookmarkStart w:id="5" w:name="_Toc404003531"/>
      <w:bookmarkStart w:id="6" w:name="_Toc404152152"/>
      <w:bookmarkStart w:id="7" w:name="_Toc405185082"/>
      <w:bookmarkStart w:id="8" w:name="_Toc405799101"/>
      <w:bookmarkStart w:id="9" w:name="_Toc405799328"/>
      <w:bookmarkStart w:id="10" w:name="_Toc405801043"/>
      <w:bookmarkStart w:id="11" w:name="_Toc406492301"/>
      <w:bookmarkStart w:id="12" w:name="_Toc408387309"/>
      <w:bookmarkStart w:id="13" w:name="_Toc419201230"/>
      <w:bookmarkStart w:id="14" w:name="_Toc419201457"/>
      <w:bookmarkStart w:id="15" w:name="_Toc419206323"/>
      <w:bookmarkStart w:id="16" w:name="_Toc419206918"/>
      <w:bookmarkStart w:id="17" w:name="_Toc419206996"/>
      <w:bookmarkStart w:id="18" w:name="_Toc419287168"/>
      <w:bookmarkStart w:id="19" w:name="_Toc419447040"/>
      <w:bookmarkStart w:id="20" w:name="_Toc419815659"/>
      <w:bookmarkStart w:id="21" w:name="_Toc420400630"/>
      <w:bookmarkStart w:id="22" w:name="_Toc420499766"/>
      <w:bookmarkStart w:id="23" w:name="_Toc422929254"/>
      <w:bookmarkStart w:id="24" w:name="_Toc425423431"/>
      <w:bookmarkStart w:id="25" w:name="_Toc425502057"/>
      <w:bookmarkStart w:id="26" w:name="_Toc433707135"/>
      <w:bookmarkStart w:id="27" w:name="_Toc433804806"/>
      <w:bookmarkStart w:id="28" w:name="_Toc433806191"/>
      <w:bookmarkStart w:id="29" w:name="_Toc433974467"/>
      <w:bookmarkStart w:id="30" w:name="_Toc434918529"/>
      <w:r w:rsidRPr="00971D0D">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71D0D">
        <w:t xml:space="preserve"> and public interest framework</w:t>
      </w:r>
      <w:bookmarkEnd w:id="21"/>
      <w:bookmarkEnd w:id="22"/>
      <w:bookmarkEnd w:id="23"/>
      <w:bookmarkEnd w:id="24"/>
      <w:bookmarkEnd w:id="25"/>
      <w:bookmarkEnd w:id="26"/>
      <w:bookmarkEnd w:id="27"/>
      <w:bookmarkEnd w:id="28"/>
      <w:bookmarkEnd w:id="29"/>
      <w:bookmarkEnd w:id="30"/>
    </w:p>
    <w:p w14:paraId="038798A6" w14:textId="664DF3AD" w:rsidR="00417774" w:rsidRPr="00971D0D" w:rsidRDefault="00417774" w:rsidP="005233FA">
      <w:pPr>
        <w:pStyle w:val="ParaNum"/>
        <w:keepNext/>
        <w:widowControl/>
        <w:tabs>
          <w:tab w:val="num" w:pos="1440"/>
        </w:tabs>
        <w:spacing w:line="240" w:lineRule="auto"/>
        <w:ind w:left="86"/>
      </w:pPr>
      <w:r w:rsidRPr="00971D0D">
        <w:rPr>
          <w:i/>
        </w:rPr>
        <w:t>Description of the</w:t>
      </w:r>
      <w:r w:rsidR="00701332">
        <w:rPr>
          <w:i/>
        </w:rPr>
        <w:t xml:space="preserve"> Applicants</w:t>
      </w:r>
      <w:r w:rsidRPr="00971D0D">
        <w:rPr>
          <w:i/>
        </w:rPr>
        <w:t>.</w:t>
      </w:r>
      <w:r w:rsidRPr="00971D0D">
        <w:t xml:space="preserve">  </w:t>
      </w:r>
      <w:r w:rsidRPr="00971D0D">
        <w:rPr>
          <w:szCs w:val="22"/>
        </w:rPr>
        <w:t>Verizon Wireless</w:t>
      </w:r>
      <w:r w:rsidR="00AA6003">
        <w:rPr>
          <w:szCs w:val="22"/>
        </w:rPr>
        <w:t xml:space="preserve">, a Delaware general partnership, </w:t>
      </w:r>
      <w:r w:rsidRPr="00971D0D">
        <w:rPr>
          <w:szCs w:val="22"/>
        </w:rPr>
        <w:t xml:space="preserve">provides </w:t>
      </w:r>
      <w:r w:rsidR="00AA6003">
        <w:rPr>
          <w:szCs w:val="22"/>
        </w:rPr>
        <w:t>nationwide voice and dat</w:t>
      </w:r>
      <w:r w:rsidR="00A61147">
        <w:rPr>
          <w:szCs w:val="22"/>
        </w:rPr>
        <w:t>a</w:t>
      </w:r>
      <w:r w:rsidR="00AA6003">
        <w:rPr>
          <w:szCs w:val="22"/>
        </w:rPr>
        <w:t xml:space="preserve"> services </w:t>
      </w:r>
      <w:r w:rsidRPr="00971D0D">
        <w:rPr>
          <w:szCs w:val="22"/>
        </w:rPr>
        <w:t xml:space="preserve">across </w:t>
      </w:r>
      <w:r w:rsidR="00AA6003">
        <w:rPr>
          <w:szCs w:val="22"/>
        </w:rPr>
        <w:t xml:space="preserve">an </w:t>
      </w:r>
      <w:r w:rsidRPr="00971D0D">
        <w:rPr>
          <w:szCs w:val="22"/>
        </w:rPr>
        <w:t>extensive wireless network</w:t>
      </w:r>
      <w:r w:rsidR="006309DA">
        <w:rPr>
          <w:szCs w:val="22"/>
        </w:rPr>
        <w:t>.</w:t>
      </w:r>
      <w:r w:rsidRPr="00971D0D">
        <w:rPr>
          <w:rStyle w:val="FootnoteReference"/>
          <w:szCs w:val="22"/>
        </w:rPr>
        <w:footnoteReference w:id="3"/>
      </w:r>
      <w:r w:rsidRPr="00971D0D">
        <w:rPr>
          <w:szCs w:val="22"/>
        </w:rPr>
        <w:t xml:space="preserve">  </w:t>
      </w:r>
      <w:r w:rsidR="00A61147">
        <w:rPr>
          <w:szCs w:val="22"/>
        </w:rPr>
        <w:t xml:space="preserve">XO Holdings is a </w:t>
      </w:r>
      <w:r w:rsidR="00A61147">
        <w:rPr>
          <w:szCs w:val="22"/>
        </w:rPr>
        <w:lastRenderedPageBreak/>
        <w:t>Delaware general partnership that is indirectly wholly owned and controlled by Carl C. Ica</w:t>
      </w:r>
      <w:r w:rsidR="00FC35FA">
        <w:rPr>
          <w:szCs w:val="22"/>
        </w:rPr>
        <w:t>h</w:t>
      </w:r>
      <w:r w:rsidR="00A61147">
        <w:rPr>
          <w:szCs w:val="22"/>
        </w:rPr>
        <w:t>n.</w:t>
      </w:r>
      <w:r w:rsidR="00A61147">
        <w:rPr>
          <w:rStyle w:val="FootnoteReference"/>
          <w:szCs w:val="22"/>
        </w:rPr>
        <w:footnoteReference w:id="4"/>
      </w:r>
      <w:r w:rsidR="00A61147">
        <w:rPr>
          <w:szCs w:val="22"/>
        </w:rPr>
        <w:t xml:space="preserve">  </w:t>
      </w:r>
      <w:r w:rsidRPr="00971D0D">
        <w:t>Nextlink</w:t>
      </w:r>
      <w:r w:rsidR="002549BD" w:rsidRPr="00971D0D">
        <w:t>,</w:t>
      </w:r>
      <w:r w:rsidRPr="00B76011">
        <w:t xml:space="preserve"> </w:t>
      </w:r>
      <w:r w:rsidR="00A61147">
        <w:t xml:space="preserve">a Delaware limited liability company, is </w:t>
      </w:r>
      <w:r w:rsidRPr="00B76011">
        <w:t>a wholly-owned subsidiary of XO</w:t>
      </w:r>
      <w:r w:rsidR="00447ACF" w:rsidRPr="00B76011">
        <w:t xml:space="preserve"> Holdings</w:t>
      </w:r>
      <w:r w:rsidR="00A61147">
        <w:t xml:space="preserve">.  </w:t>
      </w:r>
      <w:r w:rsidR="00D57324" w:rsidRPr="00971D0D">
        <w:t xml:space="preserve">Nextlink provides </w:t>
      </w:r>
      <w:r w:rsidR="00D71EE7">
        <w:t xml:space="preserve">enterprise and wireless carrier customers </w:t>
      </w:r>
      <w:r w:rsidR="00D57324" w:rsidRPr="00971D0D">
        <w:t xml:space="preserve">with last mile </w:t>
      </w:r>
      <w:r w:rsidR="00D57324" w:rsidRPr="00B76011">
        <w:t>access, cell tower backhaul, and small cell backhaul services.</w:t>
      </w:r>
      <w:r w:rsidR="00D57324" w:rsidRPr="00971D0D">
        <w:rPr>
          <w:rStyle w:val="FootnoteReference"/>
        </w:rPr>
        <w:footnoteReference w:id="5"/>
      </w:r>
    </w:p>
    <w:p w14:paraId="03F7BD8C" w14:textId="1829B9C1" w:rsidR="00220916" w:rsidRPr="00971D0D" w:rsidRDefault="00256A1B" w:rsidP="0025247C">
      <w:pPr>
        <w:pStyle w:val="ParaNum"/>
        <w:tabs>
          <w:tab w:val="num" w:pos="1440"/>
        </w:tabs>
        <w:spacing w:line="240" w:lineRule="auto"/>
        <w:ind w:left="86"/>
      </w:pPr>
      <w:r w:rsidRPr="00B76011">
        <w:rPr>
          <w:i/>
        </w:rPr>
        <w:t xml:space="preserve">Description of the </w:t>
      </w:r>
      <w:r w:rsidR="00701332">
        <w:rPr>
          <w:i/>
        </w:rPr>
        <w:t>Transaction</w:t>
      </w:r>
      <w:r w:rsidRPr="00B76011">
        <w:rPr>
          <w:i/>
        </w:rPr>
        <w:t xml:space="preserve">.  </w:t>
      </w:r>
      <w:r w:rsidR="001D5810">
        <w:rPr>
          <w:kern w:val="0"/>
        </w:rPr>
        <w:t xml:space="preserve">On May 11, 2017, </w:t>
      </w:r>
      <w:r w:rsidR="001D5810" w:rsidRPr="0064624E">
        <w:rPr>
          <w:kern w:val="0"/>
        </w:rPr>
        <w:t xml:space="preserve">Verizon Wireless and XO Holdings filed </w:t>
      </w:r>
      <w:r w:rsidR="008C6DC1">
        <w:rPr>
          <w:kern w:val="0"/>
        </w:rPr>
        <w:t xml:space="preserve">the </w:t>
      </w:r>
      <w:r w:rsidR="00E3041F">
        <w:rPr>
          <w:kern w:val="0"/>
        </w:rPr>
        <w:t xml:space="preserve">Application </w:t>
      </w:r>
      <w:r w:rsidR="001D5810" w:rsidRPr="0064624E">
        <w:rPr>
          <w:kern w:val="0"/>
        </w:rPr>
        <w:t>pursuant to Section 310(d) of the Communications Act of 1934, as amended</w:t>
      </w:r>
      <w:r w:rsidR="00FD4783">
        <w:rPr>
          <w:kern w:val="0"/>
        </w:rPr>
        <w:t xml:space="preserve"> (the Act)</w:t>
      </w:r>
      <w:r w:rsidR="001D5810" w:rsidRPr="0064624E">
        <w:rPr>
          <w:kern w:val="0"/>
        </w:rPr>
        <w:t>,</w:t>
      </w:r>
      <w:r w:rsidR="001D5810" w:rsidRPr="0064624E">
        <w:rPr>
          <w:kern w:val="0"/>
          <w:vertAlign w:val="superscript"/>
        </w:rPr>
        <w:footnoteReference w:id="6"/>
      </w:r>
      <w:r w:rsidR="001D5810" w:rsidRPr="0064624E">
        <w:rPr>
          <w:kern w:val="0"/>
        </w:rPr>
        <w:t xml:space="preserve"> seeking Commission consent to the transfer of control of </w:t>
      </w:r>
      <w:r w:rsidR="005052BF">
        <w:rPr>
          <w:kern w:val="0"/>
        </w:rPr>
        <w:t xml:space="preserve">92 </w:t>
      </w:r>
      <w:r w:rsidR="001D5810" w:rsidRPr="0064624E">
        <w:rPr>
          <w:kern w:val="0"/>
        </w:rPr>
        <w:t xml:space="preserve">LMDS, </w:t>
      </w:r>
      <w:r w:rsidR="005052BF">
        <w:rPr>
          <w:kern w:val="0"/>
        </w:rPr>
        <w:t xml:space="preserve">nine </w:t>
      </w:r>
      <w:r w:rsidR="001D5810" w:rsidRPr="0064624E">
        <w:rPr>
          <w:kern w:val="0"/>
        </w:rPr>
        <w:t xml:space="preserve">39 GHz, </w:t>
      </w:r>
      <w:r w:rsidR="005052BF">
        <w:rPr>
          <w:kern w:val="0"/>
        </w:rPr>
        <w:t xml:space="preserve">two </w:t>
      </w:r>
      <w:r w:rsidR="001D5810" w:rsidRPr="0064624E">
        <w:rPr>
          <w:kern w:val="0"/>
        </w:rPr>
        <w:t xml:space="preserve">3650-3700 MHz, and </w:t>
      </w:r>
      <w:r w:rsidR="005052BF">
        <w:rPr>
          <w:kern w:val="0"/>
        </w:rPr>
        <w:t xml:space="preserve">50 </w:t>
      </w:r>
      <w:r w:rsidR="001D5810" w:rsidRPr="0064624E">
        <w:rPr>
          <w:kern w:val="0"/>
        </w:rPr>
        <w:t xml:space="preserve">common carrier fixed point to point microwave licenses held by </w:t>
      </w:r>
      <w:r w:rsidR="008C6DC1">
        <w:rPr>
          <w:kern w:val="0"/>
        </w:rPr>
        <w:t>Nextlink</w:t>
      </w:r>
      <w:r w:rsidR="001D5810" w:rsidRPr="0064624E">
        <w:rPr>
          <w:kern w:val="0"/>
        </w:rPr>
        <w:t xml:space="preserve">.  Verizon Wireless currently leases from Nextlink spectrum </w:t>
      </w:r>
      <w:r w:rsidR="002F05E0">
        <w:rPr>
          <w:kern w:val="0"/>
        </w:rPr>
        <w:t xml:space="preserve">associated with </w:t>
      </w:r>
      <w:r w:rsidR="001D5810" w:rsidRPr="0064624E">
        <w:rPr>
          <w:kern w:val="0"/>
        </w:rPr>
        <w:t>its LMDS and 39 GHz licenses</w:t>
      </w:r>
      <w:r w:rsidR="002F05E0">
        <w:rPr>
          <w:kern w:val="0"/>
        </w:rPr>
        <w:t>.</w:t>
      </w:r>
      <w:r w:rsidR="001D5810" w:rsidRPr="0064624E">
        <w:rPr>
          <w:kern w:val="0"/>
        </w:rPr>
        <w:t xml:space="preserve"> </w:t>
      </w:r>
      <w:r w:rsidR="00FC35FA">
        <w:rPr>
          <w:kern w:val="0"/>
        </w:rPr>
        <w:t xml:space="preserve"> </w:t>
      </w:r>
      <w:r w:rsidR="002F05E0">
        <w:rPr>
          <w:kern w:val="0"/>
        </w:rPr>
        <w:t>T</w:t>
      </w:r>
      <w:r w:rsidR="001D5810" w:rsidRPr="0064624E">
        <w:rPr>
          <w:kern w:val="0"/>
        </w:rPr>
        <w:t>he Applicants state that Verizon Wireless has exercised its option, under a separate agreement entered into at the same time as the leasing arrangement, to purchase from XO Holdings all of its interests in Nextlink.</w:t>
      </w:r>
      <w:r w:rsidR="001D5810" w:rsidRPr="0064624E">
        <w:rPr>
          <w:kern w:val="0"/>
          <w:vertAlign w:val="superscript"/>
        </w:rPr>
        <w:footnoteReference w:id="7"/>
      </w:r>
      <w:r w:rsidR="00295BFC" w:rsidRPr="00971D0D">
        <w:t xml:space="preserve">  </w:t>
      </w:r>
    </w:p>
    <w:p w14:paraId="522F61E6" w14:textId="69F60813" w:rsidR="00950A7C" w:rsidRPr="00971D0D" w:rsidRDefault="00D93943" w:rsidP="00F2555A">
      <w:pPr>
        <w:pStyle w:val="ParaNum"/>
        <w:widowControl/>
        <w:tabs>
          <w:tab w:val="num" w:pos="1440"/>
        </w:tabs>
        <w:spacing w:line="240" w:lineRule="auto"/>
        <w:ind w:left="86"/>
      </w:pPr>
      <w:r w:rsidRPr="00971D0D">
        <w:t>On</w:t>
      </w:r>
      <w:r w:rsidR="00701332">
        <w:t xml:space="preserve"> June 5</w:t>
      </w:r>
      <w:r w:rsidRPr="00971D0D">
        <w:t>,</w:t>
      </w:r>
      <w:r w:rsidRPr="00B76011">
        <w:t xml:space="preserve"> 201</w:t>
      </w:r>
      <w:r w:rsidR="00701332">
        <w:t>7</w:t>
      </w:r>
      <w:r w:rsidRPr="00B76011">
        <w:t>, the Wireless Telecommunications Bureau released a Public Notice</w:t>
      </w:r>
      <w:r w:rsidR="00227968" w:rsidRPr="00B76011">
        <w:t xml:space="preserve"> seeking comment on the pro</w:t>
      </w:r>
      <w:r w:rsidR="00CA4BCE" w:rsidRPr="00B76011">
        <w:t>posed</w:t>
      </w:r>
      <w:r w:rsidR="00701332">
        <w:t xml:space="preserve"> transfer of control</w:t>
      </w:r>
      <w:r w:rsidR="00227968" w:rsidRPr="00CD2847">
        <w:t>.</w:t>
      </w:r>
      <w:r w:rsidR="00227968" w:rsidRPr="00971D0D">
        <w:rPr>
          <w:rStyle w:val="FootnoteReference"/>
        </w:rPr>
        <w:footnoteReference w:id="8"/>
      </w:r>
      <w:r w:rsidR="00227968" w:rsidRPr="00971D0D">
        <w:t xml:space="preserve">  </w:t>
      </w:r>
      <w:r w:rsidR="002F05E0">
        <w:t xml:space="preserve">The </w:t>
      </w:r>
      <w:r w:rsidR="001D5810">
        <w:t>Competitive Carriers Association (CC</w:t>
      </w:r>
      <w:r w:rsidR="000C6A3E">
        <w:t>A</w:t>
      </w:r>
      <w:r w:rsidR="001D5810">
        <w:t xml:space="preserve">) </w:t>
      </w:r>
      <w:r w:rsidR="005233FA">
        <w:t xml:space="preserve">filed a petition to deny and reply, </w:t>
      </w:r>
      <w:r w:rsidR="001D5810">
        <w:t xml:space="preserve">and Skyriver Communications, Inc. (Skyriver) filed a petition </w:t>
      </w:r>
      <w:r w:rsidR="005233FA">
        <w:t>to hold in partial abey</w:t>
      </w:r>
      <w:r w:rsidR="00F2555A">
        <w:t>a</w:t>
      </w:r>
      <w:r w:rsidR="005233FA">
        <w:t>nce</w:t>
      </w:r>
      <w:r w:rsidR="00F2555A">
        <w:t xml:space="preserve"> </w:t>
      </w:r>
      <w:r w:rsidR="001D5810">
        <w:t>a</w:t>
      </w:r>
      <w:r w:rsidR="003E3209">
        <w:t xml:space="preserve">nd </w:t>
      </w:r>
      <w:r w:rsidR="001D5810">
        <w:t>reply</w:t>
      </w:r>
      <w:r w:rsidR="00656046" w:rsidRPr="00971D0D">
        <w:t xml:space="preserve"> </w:t>
      </w:r>
      <w:r w:rsidR="005A0987" w:rsidRPr="00B76011">
        <w:t xml:space="preserve">in response to the </w:t>
      </w:r>
      <w:r w:rsidR="002913BA">
        <w:t>Accepted for Filing</w:t>
      </w:r>
      <w:r w:rsidR="001D5810">
        <w:t xml:space="preserve"> Public </w:t>
      </w:r>
      <w:r w:rsidR="000C6A3E">
        <w:t>N</w:t>
      </w:r>
      <w:r w:rsidR="001D5810">
        <w:t>otice</w:t>
      </w:r>
      <w:r w:rsidR="005A0987" w:rsidRPr="00CD2847">
        <w:t>.</w:t>
      </w:r>
      <w:r w:rsidR="00E702CC" w:rsidRPr="00971D0D">
        <w:rPr>
          <w:rStyle w:val="FootnoteReference"/>
        </w:rPr>
        <w:footnoteReference w:id="9"/>
      </w:r>
      <w:r w:rsidR="00C4562C" w:rsidRPr="00971D0D">
        <w:t xml:space="preserve">  </w:t>
      </w:r>
      <w:r w:rsidR="00656046" w:rsidRPr="00971D0D">
        <w:t xml:space="preserve">Verizon Wireless and </w:t>
      </w:r>
      <w:r w:rsidR="001D5810">
        <w:t xml:space="preserve">XO Holdings </w:t>
      </w:r>
      <w:r w:rsidR="00656046" w:rsidRPr="00971D0D">
        <w:t>filed a joint opposition to the petitions</w:t>
      </w:r>
      <w:r w:rsidR="001D5810">
        <w:t>.</w:t>
      </w:r>
      <w:r w:rsidR="00656046" w:rsidRPr="00971D0D">
        <w:rPr>
          <w:rStyle w:val="FootnoteReference"/>
        </w:rPr>
        <w:footnoteReference w:id="10"/>
      </w:r>
    </w:p>
    <w:p w14:paraId="7ECB9DAD" w14:textId="77777777" w:rsidR="007C6A98" w:rsidRDefault="007C6A98" w:rsidP="0025247C">
      <w:pPr>
        <w:pStyle w:val="Heading1"/>
        <w:keepNext w:val="0"/>
        <w:tabs>
          <w:tab w:val="clear" w:pos="5850"/>
        </w:tabs>
        <w:spacing w:line="240" w:lineRule="auto"/>
      </w:pPr>
      <w:r>
        <w:rPr>
          <w:caps w:val="0"/>
        </w:rPr>
        <w:lastRenderedPageBreak/>
        <w:t>STANDARD OF REVIEW AND PUBLIC INTEREST FRAMEWORK</w:t>
      </w:r>
    </w:p>
    <w:p w14:paraId="646CEFFB" w14:textId="7CBB61EB" w:rsidR="007C6A98" w:rsidRDefault="007C6A98" w:rsidP="005233FA">
      <w:pPr>
        <w:pStyle w:val="ParaNum"/>
        <w:widowControl/>
        <w:tabs>
          <w:tab w:val="clear" w:pos="5310"/>
          <w:tab w:val="num" w:pos="1440"/>
        </w:tabs>
        <w:spacing w:line="240" w:lineRule="auto"/>
        <w:ind w:left="0"/>
      </w:pPr>
      <w:r w:rsidRPr="00842391">
        <w:rPr>
          <w:szCs w:val="22"/>
        </w:rPr>
        <w:t xml:space="preserve">Pursuant to </w:t>
      </w:r>
      <w:r w:rsidR="00643358">
        <w:rPr>
          <w:szCs w:val="22"/>
        </w:rPr>
        <w:t>S</w:t>
      </w:r>
      <w:r w:rsidRPr="00842391">
        <w:rPr>
          <w:szCs w:val="22"/>
        </w:rPr>
        <w:t>ection 310(d) of the Act</w:t>
      </w:r>
      <w:r w:rsidR="000C6A3E">
        <w:rPr>
          <w:szCs w:val="22"/>
        </w:rPr>
        <w:t>,</w:t>
      </w:r>
      <w:r w:rsidRPr="00DC3470">
        <w:rPr>
          <w:szCs w:val="22"/>
          <w:vertAlign w:val="superscript"/>
        </w:rPr>
        <w:footnoteReference w:id="11"/>
      </w:r>
      <w:r w:rsidRPr="00842391">
        <w:rPr>
          <w:szCs w:val="22"/>
        </w:rPr>
        <w:t xml:space="preserve"> the Commission must determine whether the proposed transfer of control of </w:t>
      </w:r>
      <w:r w:rsidR="00296F37">
        <w:rPr>
          <w:szCs w:val="22"/>
        </w:rPr>
        <w:t xml:space="preserve">the </w:t>
      </w:r>
      <w:r w:rsidRPr="00842391">
        <w:rPr>
          <w:szCs w:val="22"/>
        </w:rPr>
        <w:t xml:space="preserve">licenses held by </w:t>
      </w:r>
      <w:r w:rsidR="00296F37">
        <w:rPr>
          <w:szCs w:val="22"/>
        </w:rPr>
        <w:t>X</w:t>
      </w:r>
      <w:r w:rsidR="00FD4783">
        <w:rPr>
          <w:szCs w:val="22"/>
        </w:rPr>
        <w:t>O</w:t>
      </w:r>
      <w:r w:rsidR="00296F37">
        <w:rPr>
          <w:szCs w:val="22"/>
        </w:rPr>
        <w:t xml:space="preserve"> Holdings</w:t>
      </w:r>
      <w:r w:rsidR="000C6A3E">
        <w:rPr>
          <w:szCs w:val="22"/>
        </w:rPr>
        <w:t>’s</w:t>
      </w:r>
      <w:r w:rsidR="00296F37">
        <w:rPr>
          <w:szCs w:val="22"/>
        </w:rPr>
        <w:t xml:space="preserve"> subsidiary Nextlink</w:t>
      </w:r>
      <w:r w:rsidRPr="00842391">
        <w:rPr>
          <w:szCs w:val="22"/>
        </w:rPr>
        <w:t xml:space="preserve"> will serve the public interest, convenience, and necessity.  In making this determination, the Commission first assesses whether the proposed transaction complies with the specific provisions of the Act, other applicable statutes, and the Commission’s rules.</w:t>
      </w:r>
      <w:r w:rsidRPr="00DC3470">
        <w:rPr>
          <w:szCs w:val="22"/>
          <w:vertAlign w:val="superscript"/>
        </w:rPr>
        <w:footnoteReference w:id="12"/>
      </w:r>
      <w:r>
        <w:rPr>
          <w:szCs w:val="22"/>
        </w:rPr>
        <w:t xml:space="preserve">  If </w:t>
      </w:r>
      <w:r w:rsidRPr="00DC3470">
        <w:t>the proposed transaction does not violate a statute or rule, then the Commission considers whether the transaction could result in public interest harms by substantially frustrating or impairing the objectives or implementation of the Act or related statutes.</w:t>
      </w:r>
      <w:r w:rsidRPr="00DC3470">
        <w:rPr>
          <w:vertAlign w:val="superscript"/>
        </w:rPr>
        <w:footnoteReference w:id="13"/>
      </w:r>
      <w:r w:rsidRPr="00DC3470">
        <w:t xml:space="preserve">  </w:t>
      </w:r>
    </w:p>
    <w:p w14:paraId="423F4D05" w14:textId="77777777" w:rsidR="007C6A98" w:rsidRPr="00EA702E" w:rsidRDefault="007C6A98" w:rsidP="005102F4">
      <w:pPr>
        <w:pStyle w:val="ParaNum"/>
        <w:widowControl/>
        <w:tabs>
          <w:tab w:val="clear" w:pos="5310"/>
          <w:tab w:val="num" w:pos="1440"/>
        </w:tabs>
        <w:spacing w:line="240" w:lineRule="auto"/>
        <w:ind w:left="0"/>
      </w:pPr>
      <w:r w:rsidRPr="00BC42A6">
        <w:t>Our competitive analysis, which forms an important part of the public interest evaluation, is informed by, but not limited to, traditional antitrust principles.</w:t>
      </w:r>
      <w:r w:rsidRPr="00BC42A6">
        <w:rPr>
          <w:rStyle w:val="FootnoteReference"/>
          <w:szCs w:val="22"/>
        </w:rPr>
        <w:footnoteReference w:id="14"/>
      </w:r>
      <w:r w:rsidRPr="00BC42A6">
        <w:t xml:space="preserve">  The </w:t>
      </w:r>
      <w:r w:rsidR="00FD4783">
        <w:t>Department of Justice (</w:t>
      </w:r>
      <w:r w:rsidRPr="00BC42A6">
        <w:t>DOJ</w:t>
      </w:r>
      <w:r w:rsidR="00FD4783">
        <w:t>)</w:t>
      </w:r>
      <w:r w:rsidRPr="00BC42A6">
        <w:t xml:space="preserve"> has independent authority to examine the competitive impacts of proposed mergers and transactions involving transfers of Commission licenses, but the Commission’s competitive analysis under the public interest standard is somewhat broader. </w:t>
      </w:r>
      <w:r w:rsidRPr="00DC3470">
        <w:t xml:space="preserve"> </w:t>
      </w:r>
      <w:r w:rsidRPr="006A5111">
        <w:t>Notably, the Commission may impose and enforce narrowly tailored, transaction-specific conditions that address the potential harms of a transaction.</w:t>
      </w:r>
      <w:r w:rsidRPr="00DC3470">
        <w:rPr>
          <w:vertAlign w:val="superscript"/>
        </w:rPr>
        <w:footnoteReference w:id="15"/>
      </w:r>
      <w:r>
        <w:t xml:space="preserve">  Specifically, </w:t>
      </w:r>
      <w:r w:rsidRPr="00842391">
        <w:rPr>
          <w:szCs w:val="22"/>
        </w:rPr>
        <w:t>the Commission has repeatedly held that it will impose conditions “only to remedy harms that arise from the transaction (i.e., transaction-specific harms)” and “related to the Commission’s responsibilities under the Communications Act and related statutes,” and it</w:t>
      </w:r>
      <w:r w:rsidRPr="006A5EF1">
        <w:rPr>
          <w:szCs w:val="22"/>
        </w:rPr>
        <w:t xml:space="preserve"> </w:t>
      </w:r>
      <w:r w:rsidRPr="00D70361">
        <w:rPr>
          <w:szCs w:val="22"/>
        </w:rPr>
        <w:t>“will not impose conditions to remedy pre-existing harms or harms that are unrelated to the transaction.</w:t>
      </w:r>
      <w:r w:rsidRPr="006670E3">
        <w:rPr>
          <w:szCs w:val="22"/>
        </w:rPr>
        <w:t>”</w:t>
      </w:r>
      <w:r w:rsidRPr="006D1C41">
        <w:rPr>
          <w:rStyle w:val="FootnoteReference"/>
        </w:rPr>
        <w:footnoteReference w:id="16"/>
      </w:r>
    </w:p>
    <w:p w14:paraId="117A94AF" w14:textId="336DA989" w:rsidR="007C6A98" w:rsidRDefault="00730CCC" w:rsidP="0025247C">
      <w:pPr>
        <w:pStyle w:val="ParaNum"/>
        <w:widowControl/>
        <w:tabs>
          <w:tab w:val="clear" w:pos="5310"/>
          <w:tab w:val="num" w:pos="1440"/>
        </w:tabs>
        <w:spacing w:line="240" w:lineRule="auto"/>
        <w:ind w:left="0"/>
      </w:pPr>
      <w:r>
        <w:t xml:space="preserve">If the Commission has </w:t>
      </w:r>
      <w:r w:rsidR="00C831E5">
        <w:t>determ</w:t>
      </w:r>
      <w:r w:rsidR="00C85110">
        <w:t>in</w:t>
      </w:r>
      <w:r>
        <w:t>ed that</w:t>
      </w:r>
      <w:r w:rsidR="00002450">
        <w:t xml:space="preserve"> </w:t>
      </w:r>
      <w:r w:rsidR="007C6A98">
        <w:t xml:space="preserve">a transaction raises </w:t>
      </w:r>
      <w:r>
        <w:t>no</w:t>
      </w:r>
      <w:r w:rsidR="00002450">
        <w:t xml:space="preserve"> </w:t>
      </w:r>
      <w:r w:rsidR="007C6A98">
        <w:t>public interest harms</w:t>
      </w:r>
      <w:r w:rsidR="00C85110">
        <w:t xml:space="preserve"> </w:t>
      </w:r>
      <w:r>
        <w:t>or</w:t>
      </w:r>
      <w:r w:rsidR="007C6A98">
        <w:t xml:space="preserve"> any such harms </w:t>
      </w:r>
      <w:r>
        <w:t>have been</w:t>
      </w:r>
      <w:r w:rsidR="007C6A98">
        <w:t xml:space="preserve"> ameliorated by narrowly tailored conditions, the Commission </w:t>
      </w:r>
      <w:r>
        <w:t>next</w:t>
      </w:r>
      <w:r w:rsidR="00002450">
        <w:t xml:space="preserve"> </w:t>
      </w:r>
      <w:r w:rsidR="007C6A98">
        <w:t xml:space="preserve">considers a transaction’s public interest benefits.  </w:t>
      </w:r>
      <w:r w:rsidR="007C6A98" w:rsidRPr="006A5111">
        <w:rPr>
          <w:szCs w:val="22"/>
        </w:rPr>
        <w:t>Notably, the Commission has long recognized the clear public interest benefits in a license or authorization holder being able to assign or transfer control of its license or authorization freely.</w:t>
      </w:r>
      <w:r w:rsidR="007C6A98">
        <w:rPr>
          <w:rStyle w:val="FootnoteReference"/>
          <w:szCs w:val="22"/>
        </w:rPr>
        <w:footnoteReference w:id="17"/>
      </w:r>
      <w:r w:rsidR="007C6A98">
        <w:t xml:space="preserve">  Indeed, the Commission has adopted streamlining procedures—including the automatic approval of a transaction—when a “transaction is unlikely to raise public interest concerns.”</w:t>
      </w:r>
      <w:r w:rsidR="007C6A98">
        <w:rPr>
          <w:rStyle w:val="FootnoteReference"/>
          <w:szCs w:val="22"/>
        </w:rPr>
        <w:footnoteReference w:id="18"/>
      </w:r>
      <w:r w:rsidR="007C6A98">
        <w:t xml:space="preserve">  The Commission </w:t>
      </w:r>
      <w:r w:rsidR="0025787C">
        <w:t xml:space="preserve">also </w:t>
      </w:r>
      <w:r w:rsidR="007C6A98">
        <w:t xml:space="preserve">will review other claimed public interest benefits of a transaction, with the applicants bearing the burden of proving those benefits </w:t>
      </w:r>
      <w:r w:rsidR="007C6A98" w:rsidRPr="00DC3470">
        <w:t>by a preponderance of the evidence</w:t>
      </w:r>
      <w:r w:rsidR="007C6A98">
        <w:t>.</w:t>
      </w:r>
      <w:r w:rsidR="007C6A98">
        <w:rPr>
          <w:rStyle w:val="FootnoteReference"/>
        </w:rPr>
        <w:footnoteReference w:id="19"/>
      </w:r>
    </w:p>
    <w:p w14:paraId="26A6A537" w14:textId="77777777" w:rsidR="007C6A98" w:rsidRPr="005E22CD" w:rsidRDefault="007C6A98" w:rsidP="0025247C">
      <w:pPr>
        <w:pStyle w:val="ParaNum"/>
        <w:tabs>
          <w:tab w:val="clear" w:pos="5310"/>
          <w:tab w:val="num" w:pos="1440"/>
        </w:tabs>
        <w:spacing w:line="240" w:lineRule="auto"/>
        <w:ind w:left="0"/>
        <w:rPr>
          <w:szCs w:val="22"/>
        </w:rPr>
      </w:pPr>
      <w:r w:rsidRPr="004F3179">
        <w:rPr>
          <w:szCs w:val="22"/>
        </w:rPr>
        <w:t>Finally,</w:t>
      </w:r>
      <w:r>
        <w:rPr>
          <w:szCs w:val="22"/>
        </w:rPr>
        <w:t xml:space="preserve"> </w:t>
      </w:r>
      <w:r w:rsidRPr="004F3179">
        <w:rPr>
          <w:szCs w:val="22"/>
        </w:rPr>
        <w:t>if the Commission is able to find that narrowly tailored, transaction-specific conditions are able to ameliorate any public interest harms and the transaction is in the public interest, it may approve the transaction as so conditioned.</w:t>
      </w:r>
      <w:r>
        <w:rPr>
          <w:rStyle w:val="FootnoteReference"/>
          <w:szCs w:val="22"/>
        </w:rPr>
        <w:footnoteReference w:id="20"/>
      </w:r>
      <w:r w:rsidRPr="004F3179">
        <w:rPr>
          <w:szCs w:val="22"/>
        </w:rPr>
        <w:t xml:space="preserve">  In contrast, if the Commission is unable to find that a proposed transaction even with such conditions serves the public interest or if the record presents a substantial and material question of fact, then it must designate the application for hearing.</w:t>
      </w:r>
      <w:r w:rsidRPr="00DC3470">
        <w:rPr>
          <w:rStyle w:val="FootnoteReference"/>
          <w:sz w:val="22"/>
          <w:szCs w:val="22"/>
        </w:rPr>
        <w:footnoteReference w:id="21"/>
      </w:r>
    </w:p>
    <w:p w14:paraId="621CE5D4" w14:textId="77777777" w:rsidR="007C6A98" w:rsidRPr="006B18CA" w:rsidRDefault="007C6A98" w:rsidP="0025247C">
      <w:pPr>
        <w:pStyle w:val="Heading1"/>
        <w:keepNext w:val="0"/>
        <w:tabs>
          <w:tab w:val="clear" w:pos="5850"/>
        </w:tabs>
        <w:spacing w:line="240" w:lineRule="auto"/>
        <w:rPr>
          <w:rFonts w:ascii="Times New Roman" w:hAnsi="Times New Roman"/>
          <w:szCs w:val="22"/>
        </w:rPr>
      </w:pPr>
      <w:r w:rsidRPr="00B950B1">
        <w:rPr>
          <w:rFonts w:ascii="Times New Roman" w:hAnsi="Times New Roman"/>
          <w:szCs w:val="22"/>
        </w:rPr>
        <w:t>QUALIFICATIONS OF APPLICANTS AND compliance with communications act and fcc rules and policies</w:t>
      </w:r>
    </w:p>
    <w:p w14:paraId="09A9CE5C" w14:textId="3BA864D7" w:rsidR="007C6A98" w:rsidRPr="006A5EF1" w:rsidRDefault="007C6A98" w:rsidP="00DC154C">
      <w:pPr>
        <w:pStyle w:val="ParaNum"/>
        <w:widowControl/>
        <w:tabs>
          <w:tab w:val="clear" w:pos="5310"/>
          <w:tab w:val="num" w:pos="1440"/>
        </w:tabs>
        <w:spacing w:line="240" w:lineRule="auto"/>
        <w:ind w:left="0"/>
        <w:rPr>
          <w:szCs w:val="22"/>
        </w:rPr>
      </w:pPr>
      <w:r w:rsidRPr="000651AE">
        <w:t>Section 310(d) of the Act requires that we make a determination as to whether the Applicants have the requisite qualifications to hold Commission licenses.</w:t>
      </w:r>
      <w:r w:rsidRPr="000651AE">
        <w:rPr>
          <w:vertAlign w:val="superscript"/>
        </w:rPr>
        <w:footnoteReference w:id="22"/>
      </w:r>
      <w:r w:rsidRPr="000651AE">
        <w:t xml:space="preserve">  Among the factors the Commission considers in its public interest review is whether the applicant for a license has the requisite “citizenship, character, financial, technical, and other qualifications.”</w:t>
      </w:r>
      <w:r w:rsidRPr="000651AE">
        <w:rPr>
          <w:vertAlign w:val="superscript"/>
        </w:rPr>
        <w:footnoteReference w:id="23"/>
      </w:r>
      <w:r w:rsidRPr="000651AE">
        <w:t xml:space="preserve">  Therefore, as a threshold matter, the Commission must determine whether the applicants to a proposed transaction meet the requisite qualification requirements to hold and transfer licenses under </w:t>
      </w:r>
      <w:r w:rsidR="002E17DF">
        <w:t>S</w:t>
      </w:r>
      <w:r w:rsidRPr="000651AE">
        <w:t>ection 310(d) of the Act and the Commission’s rules</w:t>
      </w:r>
      <w:r>
        <w:t>.</w:t>
      </w:r>
      <w:r w:rsidRPr="00DC3470">
        <w:rPr>
          <w:szCs w:val="22"/>
          <w:vertAlign w:val="superscript"/>
        </w:rPr>
        <w:footnoteReference w:id="24"/>
      </w:r>
      <w:r>
        <w:t xml:space="preserve">  </w:t>
      </w:r>
    </w:p>
    <w:p w14:paraId="525E58D1" w14:textId="77777777" w:rsidR="00763D52" w:rsidRDefault="00707E1B" w:rsidP="0025247C">
      <w:pPr>
        <w:pStyle w:val="ParaNum"/>
        <w:tabs>
          <w:tab w:val="clear" w:pos="5310"/>
          <w:tab w:val="num" w:pos="1440"/>
        </w:tabs>
        <w:spacing w:line="240" w:lineRule="auto"/>
        <w:ind w:left="0"/>
        <w:rPr>
          <w:szCs w:val="22"/>
        </w:rPr>
      </w:pPr>
      <w:r w:rsidRPr="00971D0D">
        <w:t>W</w:t>
      </w:r>
      <w:r w:rsidRPr="00763D52">
        <w:rPr>
          <w:szCs w:val="22"/>
        </w:rPr>
        <w:t>e note that no issues were raised with respect to the basic qualifications of Verizon Wireless</w:t>
      </w:r>
      <w:r w:rsidR="00B172F7">
        <w:rPr>
          <w:szCs w:val="22"/>
        </w:rPr>
        <w:t xml:space="preserve">, XO Holdings </w:t>
      </w:r>
      <w:r w:rsidRPr="00763D52">
        <w:rPr>
          <w:szCs w:val="22"/>
        </w:rPr>
        <w:t>or Nextlink.</w:t>
      </w:r>
      <w:r w:rsidRPr="00B76011">
        <w:t xml:space="preserve">  In addition, Verizon Wireless has</w:t>
      </w:r>
      <w:r w:rsidRPr="00CD2847">
        <w:t xml:space="preserve"> repeatedly been found qualified to hold Commission licenses.</w:t>
      </w:r>
      <w:r w:rsidRPr="00971D0D">
        <w:rPr>
          <w:rStyle w:val="FootnoteReference"/>
          <w:szCs w:val="22"/>
        </w:rPr>
        <w:footnoteReference w:id="25"/>
      </w:r>
      <w:r w:rsidRPr="00763D52">
        <w:rPr>
          <w:szCs w:val="22"/>
        </w:rPr>
        <w:t xml:space="preserve">  </w:t>
      </w:r>
      <w:r w:rsidRPr="00971D0D">
        <w:t xml:space="preserve">We </w:t>
      </w:r>
      <w:r w:rsidRPr="00B76011">
        <w:t xml:space="preserve">therefore find </w:t>
      </w:r>
      <w:r w:rsidR="000F0AC3">
        <w:t xml:space="preserve">that </w:t>
      </w:r>
      <w:r w:rsidRPr="00B76011">
        <w:t xml:space="preserve">there is no reason to reevaluate the requisite citizenship, character, financial, technical, or other basic qualifications </w:t>
      </w:r>
      <w:r w:rsidR="000F0AC3">
        <w:t xml:space="preserve">of Verizon Wireless </w:t>
      </w:r>
      <w:r w:rsidRPr="00B76011">
        <w:t>under the Act and our rules, regulations, and policie</w:t>
      </w:r>
      <w:r w:rsidR="000F0AC3">
        <w:t>s</w:t>
      </w:r>
      <w:r w:rsidRPr="00763D52">
        <w:rPr>
          <w:szCs w:val="22"/>
        </w:rPr>
        <w:t>.</w:t>
      </w:r>
      <w:r w:rsidRPr="00971D0D">
        <w:rPr>
          <w:rStyle w:val="FootnoteReference"/>
          <w:szCs w:val="22"/>
        </w:rPr>
        <w:footnoteReference w:id="26"/>
      </w:r>
      <w:r w:rsidR="000F0AC3" w:rsidRPr="00DC3470">
        <w:rPr>
          <w:szCs w:val="22"/>
        </w:rPr>
        <w:t xml:space="preserve"> </w:t>
      </w:r>
    </w:p>
    <w:p w14:paraId="08822903" w14:textId="3683E515" w:rsidR="00F56B60" w:rsidRPr="00CD2847" w:rsidRDefault="00763D52" w:rsidP="0025247C">
      <w:pPr>
        <w:pStyle w:val="ParaNum"/>
        <w:widowControl/>
        <w:tabs>
          <w:tab w:val="clear" w:pos="5310"/>
          <w:tab w:val="num" w:pos="1440"/>
        </w:tabs>
        <w:spacing w:line="240" w:lineRule="auto"/>
        <w:ind w:left="0"/>
      </w:pPr>
      <w:r w:rsidRPr="00707E1B">
        <w:rPr>
          <w:szCs w:val="22"/>
        </w:rPr>
        <w:t xml:space="preserve">The proposed transaction </w:t>
      </w:r>
      <w:r w:rsidR="0025787C">
        <w:rPr>
          <w:szCs w:val="22"/>
        </w:rPr>
        <w:t xml:space="preserve">also </w:t>
      </w:r>
      <w:r w:rsidRPr="00707E1B">
        <w:rPr>
          <w:szCs w:val="22"/>
        </w:rPr>
        <w:t>must comply with the Act, other applicable statutes, and the Commission’s rules before we can find that it is in the public interest.</w:t>
      </w:r>
      <w:r w:rsidRPr="00DC3470">
        <w:rPr>
          <w:szCs w:val="22"/>
          <w:vertAlign w:val="superscript"/>
        </w:rPr>
        <w:footnoteReference w:id="27"/>
      </w:r>
      <w:r w:rsidRPr="00707E1B">
        <w:rPr>
          <w:szCs w:val="22"/>
        </w:rPr>
        <w:t xml:space="preserve">  We find that the proposed transaction will not violate any statutory provision or Commission rule.</w:t>
      </w:r>
      <w:bookmarkStart w:id="34" w:name="_Toc403981896"/>
      <w:bookmarkStart w:id="35" w:name="_Toc403998348"/>
      <w:bookmarkStart w:id="36" w:name="_Toc403998435"/>
      <w:bookmarkStart w:id="37" w:name="_Toc404003259"/>
      <w:bookmarkStart w:id="38" w:name="_Toc404003539"/>
      <w:bookmarkStart w:id="39" w:name="_Toc404152160"/>
      <w:bookmarkStart w:id="40" w:name="_Toc405185088"/>
      <w:bookmarkStart w:id="41" w:name="_Toc405799107"/>
      <w:bookmarkStart w:id="42" w:name="_Toc405799334"/>
      <w:bookmarkStart w:id="43" w:name="_Toc405801049"/>
      <w:bookmarkStart w:id="44" w:name="_Toc406492307"/>
      <w:bookmarkStart w:id="45" w:name="_Toc408387315"/>
      <w:bookmarkStart w:id="46" w:name="_Toc419201236"/>
      <w:bookmarkStart w:id="47" w:name="_Toc419201463"/>
      <w:bookmarkStart w:id="48" w:name="_Toc419206329"/>
      <w:bookmarkStart w:id="49" w:name="_Toc419206925"/>
      <w:bookmarkStart w:id="50" w:name="_Toc419207003"/>
      <w:bookmarkStart w:id="51" w:name="_Toc419287175"/>
      <w:bookmarkStart w:id="52" w:name="_Toc419447047"/>
      <w:bookmarkStart w:id="53" w:name="_Toc419815666"/>
      <w:bookmarkStart w:id="54" w:name="_Toc420400637"/>
      <w:bookmarkStart w:id="55" w:name="_Toc420499767"/>
      <w:bookmarkStart w:id="56" w:name="_Toc422929255"/>
      <w:bookmarkStart w:id="57" w:name="_Toc425423432"/>
      <w:bookmarkStart w:id="58" w:name="_Toc425502058"/>
      <w:bookmarkStart w:id="59" w:name="_Toc433707136"/>
      <w:bookmarkStart w:id="60" w:name="_Toc433804807"/>
      <w:bookmarkStart w:id="61" w:name="_Toc433806192"/>
      <w:bookmarkStart w:id="62" w:name="_Toc433974468"/>
      <w:bookmarkStart w:id="63" w:name="_Toc434918530"/>
    </w:p>
    <w:p w14:paraId="046C1ED3" w14:textId="77777777" w:rsidR="00886331" w:rsidRPr="00B76011" w:rsidRDefault="00886331" w:rsidP="0025247C">
      <w:pPr>
        <w:pStyle w:val="Heading1"/>
        <w:keepNext w:val="0"/>
        <w:tabs>
          <w:tab w:val="num" w:pos="1440"/>
        </w:tabs>
        <w:spacing w:line="240" w:lineRule="auto"/>
      </w:pPr>
      <w:r w:rsidRPr="00B76011">
        <w:t>potential public interest harms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B76011">
        <w:t xml:space="preserve"> and Benefits</w:t>
      </w:r>
    </w:p>
    <w:p w14:paraId="42E74A1C" w14:textId="77777777" w:rsidR="00394736" w:rsidRPr="00971D0D" w:rsidRDefault="00394736" w:rsidP="0025247C">
      <w:pPr>
        <w:pStyle w:val="Heading3"/>
        <w:keepNext w:val="0"/>
        <w:widowControl/>
        <w:tabs>
          <w:tab w:val="num" w:pos="1440"/>
        </w:tabs>
        <w:spacing w:line="240" w:lineRule="auto"/>
      </w:pPr>
      <w:r w:rsidRPr="00971D0D">
        <w:t>Potential Public Interest Harms</w:t>
      </w:r>
    </w:p>
    <w:p w14:paraId="3E12FC9F" w14:textId="77777777" w:rsidR="00763D52" w:rsidRDefault="00763D52" w:rsidP="0025247C">
      <w:pPr>
        <w:pStyle w:val="ParaNum"/>
        <w:tabs>
          <w:tab w:val="clear" w:pos="5310"/>
          <w:tab w:val="num" w:pos="1440"/>
        </w:tabs>
        <w:spacing w:line="240" w:lineRule="auto"/>
        <w:ind w:left="0"/>
      </w:pPr>
      <w:r>
        <w:t xml:space="preserve">We find no evidence in the record to support a finding that the transaction will result in potential public interest harms.  </w:t>
      </w:r>
      <w:r>
        <w:rPr>
          <w:szCs w:val="22"/>
        </w:rPr>
        <w:t xml:space="preserve">We therefore deny the </w:t>
      </w:r>
      <w:r w:rsidR="00B172F7">
        <w:rPr>
          <w:szCs w:val="22"/>
        </w:rPr>
        <w:t xml:space="preserve">CCA </w:t>
      </w:r>
      <w:r>
        <w:rPr>
          <w:szCs w:val="22"/>
        </w:rPr>
        <w:t xml:space="preserve">Petition to Deny.  </w:t>
      </w:r>
      <w:bookmarkStart w:id="64" w:name="_Hlk496681941"/>
      <w:r>
        <w:rPr>
          <w:szCs w:val="22"/>
        </w:rPr>
        <w:t xml:space="preserve">We also reject </w:t>
      </w:r>
      <w:r w:rsidR="00B172F7">
        <w:rPr>
          <w:szCs w:val="22"/>
        </w:rPr>
        <w:t>CCA’s</w:t>
      </w:r>
      <w:r w:rsidRPr="006179B0">
        <w:rPr>
          <w:szCs w:val="22"/>
        </w:rPr>
        <w:t xml:space="preserve"> </w:t>
      </w:r>
      <w:r>
        <w:rPr>
          <w:szCs w:val="22"/>
        </w:rPr>
        <w:t xml:space="preserve">requests that we condition the transaction, because we find </w:t>
      </w:r>
      <w:bookmarkEnd w:id="64"/>
      <w:r w:rsidR="00B172F7">
        <w:rPr>
          <w:szCs w:val="22"/>
        </w:rPr>
        <w:t>its</w:t>
      </w:r>
      <w:r>
        <w:rPr>
          <w:szCs w:val="22"/>
        </w:rPr>
        <w:t xml:space="preserve"> c</w:t>
      </w:r>
      <w:r w:rsidR="006A3C98">
        <w:rPr>
          <w:szCs w:val="22"/>
        </w:rPr>
        <w:t>laims of harm to be speculative</w:t>
      </w:r>
      <w:r>
        <w:rPr>
          <w:szCs w:val="22"/>
        </w:rPr>
        <w:t xml:space="preserve">. </w:t>
      </w:r>
    </w:p>
    <w:p w14:paraId="7972418A" w14:textId="126C9FD0" w:rsidR="00394736" w:rsidRPr="00971D0D" w:rsidRDefault="00D341FD" w:rsidP="0025247C">
      <w:pPr>
        <w:pStyle w:val="ParaNum"/>
        <w:widowControl/>
        <w:tabs>
          <w:tab w:val="num" w:pos="1440"/>
        </w:tabs>
        <w:spacing w:line="240" w:lineRule="auto"/>
        <w:ind w:left="0"/>
      </w:pPr>
      <w:r w:rsidRPr="00971D0D">
        <w:rPr>
          <w:i/>
        </w:rPr>
        <w:t>Positions of the Parties</w:t>
      </w:r>
      <w:r w:rsidR="00394736" w:rsidRPr="00971D0D">
        <w:t xml:space="preserve">.  The </w:t>
      </w:r>
      <w:r w:rsidR="000F0AC3">
        <w:t xml:space="preserve">Applicants </w:t>
      </w:r>
      <w:r w:rsidR="00394736" w:rsidRPr="00971D0D">
        <w:t xml:space="preserve">claim that the proposed </w:t>
      </w:r>
      <w:r w:rsidR="000F0AC3">
        <w:t xml:space="preserve">transaction </w:t>
      </w:r>
      <w:r w:rsidR="00394736" w:rsidRPr="00971D0D">
        <w:t xml:space="preserve">does not raise any competitive or other public interest concerns.  </w:t>
      </w:r>
      <w:r w:rsidR="00322260">
        <w:t xml:space="preserve">They assert that the </w:t>
      </w:r>
      <w:r w:rsidR="00E37140">
        <w:t xml:space="preserve">proposed </w:t>
      </w:r>
      <w:r w:rsidR="00322260">
        <w:t>transaction is part of intense competition among wireless providers to develop and deploy fifth-generation (5G) services</w:t>
      </w:r>
      <w:r w:rsidR="0025247C">
        <w:t>.</w:t>
      </w:r>
      <w:r w:rsidR="00322260">
        <w:rPr>
          <w:rStyle w:val="FootnoteReference"/>
        </w:rPr>
        <w:footnoteReference w:id="28"/>
      </w:r>
      <w:r w:rsidR="00322260">
        <w:t xml:space="preserve">  </w:t>
      </w:r>
      <w:r w:rsidR="00E23034" w:rsidRPr="00971D0D">
        <w:t xml:space="preserve">They </w:t>
      </w:r>
      <w:r w:rsidR="00322260">
        <w:t xml:space="preserve">further </w:t>
      </w:r>
      <w:r w:rsidR="00394736" w:rsidRPr="00B76011">
        <w:t xml:space="preserve">assert that </w:t>
      </w:r>
      <w:r w:rsidR="00394736" w:rsidRPr="00CD2847">
        <w:t xml:space="preserve">the proposed </w:t>
      </w:r>
      <w:r w:rsidR="00322260">
        <w:t xml:space="preserve">transaction </w:t>
      </w:r>
      <w:r w:rsidR="00394736" w:rsidRPr="00CD2847">
        <w:t xml:space="preserve">would not result in any </w:t>
      </w:r>
      <w:r w:rsidR="0025247C">
        <w:t xml:space="preserve">additional </w:t>
      </w:r>
      <w:r w:rsidR="00394736" w:rsidRPr="00CD2847">
        <w:t>spectrum aggregation.</w:t>
      </w:r>
      <w:r w:rsidR="00394736" w:rsidRPr="00971D0D">
        <w:rPr>
          <w:rStyle w:val="FootnoteReference"/>
        </w:rPr>
        <w:footnoteReference w:id="29"/>
      </w:r>
      <w:r w:rsidR="00394736" w:rsidRPr="00971D0D">
        <w:t xml:space="preserve">  </w:t>
      </w:r>
      <w:r w:rsidR="00C95226">
        <w:t xml:space="preserve">The Applicants state that Verizon </w:t>
      </w:r>
      <w:r w:rsidR="00232B3B">
        <w:t xml:space="preserve">Wireless </w:t>
      </w:r>
      <w:r w:rsidR="00B82834">
        <w:t xml:space="preserve">currently </w:t>
      </w:r>
      <w:r w:rsidR="00C95226">
        <w:t>does not hold any licenses in millimeter wave (mmW) bands</w:t>
      </w:r>
      <w:r w:rsidR="005F2913">
        <w:t>,</w:t>
      </w:r>
      <w:r w:rsidR="00C95226">
        <w:t xml:space="preserve"> other than a non-exclusive license in </w:t>
      </w:r>
      <w:r w:rsidR="00232B3B">
        <w:t xml:space="preserve">the </w:t>
      </w:r>
      <w:r w:rsidR="00C95226">
        <w:t>70/80/90 GHz bands</w:t>
      </w:r>
      <w:r w:rsidR="0025247C">
        <w:t>,</w:t>
      </w:r>
      <w:r w:rsidR="00C95226">
        <w:t xml:space="preserve"> and does not lease any mmW spectrum other than the spectrum that it currently leases from Nextlink.</w:t>
      </w:r>
      <w:r w:rsidR="0025247C">
        <w:rPr>
          <w:rStyle w:val="FootnoteReference"/>
        </w:rPr>
        <w:footnoteReference w:id="30"/>
      </w:r>
      <w:r w:rsidR="00C95226">
        <w:t xml:space="preserve">  Moreover, the Applicants </w:t>
      </w:r>
      <w:r w:rsidR="0029563E">
        <w:t xml:space="preserve">assert </w:t>
      </w:r>
      <w:r w:rsidR="00C95226">
        <w:t>that</w:t>
      </w:r>
      <w:r w:rsidR="00B82834">
        <w:t>,</w:t>
      </w:r>
      <w:r w:rsidR="00C95226">
        <w:t xml:space="preserve"> with the instant transaction, Verizon Wireless would not exceed the 1250 MHz threshold established in the </w:t>
      </w:r>
      <w:r w:rsidR="00C95226">
        <w:rPr>
          <w:i/>
        </w:rPr>
        <w:t>Spectrum Frontiers Order</w:t>
      </w:r>
      <w:r w:rsidR="00C95226" w:rsidRPr="00C95226">
        <w:rPr>
          <w:rStyle w:val="FootnoteReference"/>
        </w:rPr>
        <w:footnoteReference w:id="31"/>
      </w:r>
      <w:r w:rsidR="00C95226">
        <w:rPr>
          <w:i/>
        </w:rPr>
        <w:t xml:space="preserve"> </w:t>
      </w:r>
      <w:r w:rsidR="00C95226">
        <w:t>for secondary market transactions involving mmW spectrum</w:t>
      </w:r>
      <w:r w:rsidR="00FB3764">
        <w:t>.</w:t>
      </w:r>
      <w:r w:rsidR="0025247C" w:rsidRPr="00C95226">
        <w:rPr>
          <w:rStyle w:val="FootnoteReference"/>
        </w:rPr>
        <w:footnoteReference w:id="32"/>
      </w:r>
      <w:r w:rsidR="00FB3764">
        <w:t xml:space="preserve">  The Applicants also </w:t>
      </w:r>
      <w:r w:rsidR="00DC154C">
        <w:t xml:space="preserve">state </w:t>
      </w:r>
      <w:r w:rsidR="00FB3764">
        <w:t>that Verizon Wireless will honor the terms and conditions of Nextlink’s existing leases and agreements with third parties making use of spectrum associated with the licenses being transferred</w:t>
      </w:r>
      <w:r w:rsidR="0025247C">
        <w:t>.</w:t>
      </w:r>
      <w:r w:rsidR="00394736" w:rsidRPr="00971D0D">
        <w:rPr>
          <w:rStyle w:val="FootnoteReference"/>
        </w:rPr>
        <w:footnoteReference w:id="33"/>
      </w:r>
      <w:r w:rsidR="00394736" w:rsidRPr="00971D0D">
        <w:t xml:space="preserve">  </w:t>
      </w:r>
    </w:p>
    <w:p w14:paraId="2F494CE9" w14:textId="7B1E090C" w:rsidR="00394736" w:rsidRDefault="00394736" w:rsidP="0025247C">
      <w:pPr>
        <w:pStyle w:val="ParaNum"/>
        <w:widowControl/>
        <w:tabs>
          <w:tab w:val="num" w:pos="1440"/>
        </w:tabs>
        <w:spacing w:line="240" w:lineRule="auto"/>
        <w:ind w:left="0"/>
      </w:pPr>
      <w:r w:rsidRPr="00971D0D">
        <w:t xml:space="preserve">CCA </w:t>
      </w:r>
      <w:r w:rsidR="00BF3CCB">
        <w:t xml:space="preserve">argues that </w:t>
      </w:r>
      <w:r w:rsidRPr="00971D0D">
        <w:t xml:space="preserve">service providers will need access to diverse spectrum resources in order to meet future demand and </w:t>
      </w:r>
      <w:r w:rsidR="00B82834">
        <w:t xml:space="preserve">to </w:t>
      </w:r>
      <w:r w:rsidRPr="00971D0D">
        <w:t xml:space="preserve">make 5G a reality, and </w:t>
      </w:r>
      <w:r w:rsidR="00232B3B">
        <w:t xml:space="preserve">it </w:t>
      </w:r>
      <w:r w:rsidRPr="00971D0D">
        <w:t>asserts that the proposed transaction represents a significant step in the direction of anti-competitive agg</w:t>
      </w:r>
      <w:r w:rsidRPr="00B76011">
        <w:t>regation of mmW spectrum.</w:t>
      </w:r>
      <w:r w:rsidRPr="00971D0D">
        <w:rPr>
          <w:rStyle w:val="FootnoteReference"/>
        </w:rPr>
        <w:footnoteReference w:id="34"/>
      </w:r>
      <w:r w:rsidRPr="00971D0D">
        <w:t xml:space="preserve">  CCA </w:t>
      </w:r>
      <w:r w:rsidR="002C290E">
        <w:t>a</w:t>
      </w:r>
      <w:r w:rsidR="00DA7FB5">
        <w:t>rgues that</w:t>
      </w:r>
      <w:r w:rsidR="00B82834">
        <w:t>,</w:t>
      </w:r>
      <w:r w:rsidR="00DA7FB5">
        <w:t xml:space="preserve"> if the Application is not denied, </w:t>
      </w:r>
      <w:r w:rsidRPr="00971D0D">
        <w:t xml:space="preserve">the Commission should </w:t>
      </w:r>
      <w:r w:rsidR="00DA7FB5">
        <w:t xml:space="preserve">condition consent </w:t>
      </w:r>
      <w:r w:rsidRPr="00971D0D">
        <w:t>to ensure that mmW spectrum bands are not dominated by AT&amp;T and Verizon Wireless.</w:t>
      </w:r>
      <w:r w:rsidRPr="00971D0D">
        <w:rPr>
          <w:rStyle w:val="FootnoteReference"/>
        </w:rPr>
        <w:footnoteReference w:id="35"/>
      </w:r>
      <w:r w:rsidRPr="00971D0D">
        <w:t xml:space="preserve">  </w:t>
      </w:r>
    </w:p>
    <w:p w14:paraId="2A185133" w14:textId="77777777" w:rsidR="00DA7FB5" w:rsidRPr="00971D0D" w:rsidRDefault="00DA7FB5" w:rsidP="002C290E">
      <w:pPr>
        <w:pStyle w:val="ParaNum"/>
        <w:widowControl/>
        <w:tabs>
          <w:tab w:val="num" w:pos="1440"/>
        </w:tabs>
        <w:spacing w:line="240" w:lineRule="auto"/>
        <w:ind w:left="0"/>
      </w:pPr>
      <w:r>
        <w:t xml:space="preserve">Skyriver </w:t>
      </w:r>
      <w:r w:rsidR="002C290E">
        <w:t xml:space="preserve">currently </w:t>
      </w:r>
      <w:r>
        <w:t>leases 39 GHz and LMDS spectrum from Nextlink in six markets, involving spectrum associated with six of the licenses included in the Application.</w:t>
      </w:r>
      <w:r w:rsidR="002C290E">
        <w:rPr>
          <w:rStyle w:val="FootnoteReference"/>
        </w:rPr>
        <w:footnoteReference w:id="36"/>
      </w:r>
      <w:r>
        <w:t xml:space="preserve">  </w:t>
      </w:r>
      <w:r w:rsidR="002C290E">
        <w:t xml:space="preserve">While Skyriver does not object to the proposed transaction as a whole, it </w:t>
      </w:r>
      <w:r>
        <w:t xml:space="preserve">claims to have a right of first refusal under its leasing arrangements </w:t>
      </w:r>
      <w:r w:rsidR="00FF4876">
        <w:t xml:space="preserve">with Nextlink and </w:t>
      </w:r>
      <w:r w:rsidR="0053162E">
        <w:t xml:space="preserve">contends </w:t>
      </w:r>
      <w:r w:rsidR="00FF4876">
        <w:t>that Nextlink has failed to comply with the applicable provisions of their leasing agreement.</w:t>
      </w:r>
      <w:r w:rsidR="002C290E">
        <w:rPr>
          <w:rStyle w:val="FootnoteReference"/>
        </w:rPr>
        <w:footnoteReference w:id="37"/>
      </w:r>
      <w:r w:rsidR="00FF4876">
        <w:t xml:space="preserve">  Accordingly, Skyriver asks the Commission to not consent to the transfer of control of the licenses that are subject to the claimed dispute until and unless the parties notify the Commission that the matter of Skyriver’s </w:t>
      </w:r>
      <w:r w:rsidR="00717F92">
        <w:t xml:space="preserve">asserted </w:t>
      </w:r>
      <w:r w:rsidR="00FF4876">
        <w:t>rights of first refusal has been resolved to their mutual satisfaction.</w:t>
      </w:r>
      <w:r w:rsidR="00FF4876">
        <w:rPr>
          <w:rStyle w:val="FootnoteReference"/>
        </w:rPr>
        <w:footnoteReference w:id="38"/>
      </w:r>
    </w:p>
    <w:p w14:paraId="01EFE11B" w14:textId="110DC38A" w:rsidR="00D153AB" w:rsidRDefault="00D57324" w:rsidP="00DC154C">
      <w:pPr>
        <w:pStyle w:val="ParaNum"/>
        <w:widowControl/>
        <w:tabs>
          <w:tab w:val="clear" w:pos="5310"/>
          <w:tab w:val="num" w:pos="1440"/>
        </w:tabs>
        <w:spacing w:line="240" w:lineRule="auto"/>
        <w:ind w:left="0"/>
      </w:pPr>
      <w:r w:rsidRPr="00CD2847">
        <w:t>T</w:t>
      </w:r>
      <w:r w:rsidR="00394736" w:rsidRPr="00CD2847">
        <w:t xml:space="preserve">he </w:t>
      </w:r>
      <w:r w:rsidR="00BF3CCB">
        <w:t xml:space="preserve">Applicants </w:t>
      </w:r>
      <w:r w:rsidR="00717F92">
        <w:t xml:space="preserve">respond </w:t>
      </w:r>
      <w:r w:rsidR="00394736" w:rsidRPr="00971D0D">
        <w:t xml:space="preserve">that </w:t>
      </w:r>
      <w:r w:rsidR="00E45CE0">
        <w:t>CCA’s</w:t>
      </w:r>
      <w:r w:rsidR="00394736" w:rsidRPr="00971D0D">
        <w:t xml:space="preserve"> objections are based on speculation regarding future events and potential Commission policies.</w:t>
      </w:r>
      <w:r w:rsidR="00394736" w:rsidRPr="00971D0D">
        <w:rPr>
          <w:rStyle w:val="FootnoteReference"/>
        </w:rPr>
        <w:footnoteReference w:id="39"/>
      </w:r>
      <w:r w:rsidR="00394736" w:rsidRPr="00971D0D">
        <w:t xml:space="preserve">  The </w:t>
      </w:r>
      <w:r w:rsidR="00BF3CCB">
        <w:t xml:space="preserve">Applicants </w:t>
      </w:r>
      <w:r w:rsidR="00394736" w:rsidRPr="00971D0D">
        <w:t>further contend that</w:t>
      </w:r>
      <w:r w:rsidR="00C018C3">
        <w:t xml:space="preserve"> CCA fails to </w:t>
      </w:r>
      <w:r w:rsidR="00394736" w:rsidRPr="00971D0D">
        <w:t xml:space="preserve">identify any </w:t>
      </w:r>
      <w:r w:rsidR="00B82834">
        <w:t xml:space="preserve">potential </w:t>
      </w:r>
      <w:r w:rsidR="00394736" w:rsidRPr="00971D0D">
        <w:t>competiti</w:t>
      </w:r>
      <w:r w:rsidR="00B82834">
        <w:t>ve</w:t>
      </w:r>
      <w:r w:rsidR="00394736" w:rsidRPr="00971D0D">
        <w:t xml:space="preserve"> or </w:t>
      </w:r>
      <w:r w:rsidR="00B82834">
        <w:t xml:space="preserve">other </w:t>
      </w:r>
      <w:r w:rsidR="00394736" w:rsidRPr="00971D0D">
        <w:t>public interest harms that would result under current market circumstances</w:t>
      </w:r>
      <w:r w:rsidR="00B82834">
        <w:t xml:space="preserve">; they further argue </w:t>
      </w:r>
      <w:r w:rsidR="00394736" w:rsidRPr="00971D0D">
        <w:t xml:space="preserve">that </w:t>
      </w:r>
      <w:r w:rsidR="002C290E">
        <w:t>CCA</w:t>
      </w:r>
      <w:r w:rsidR="00B82834">
        <w:t>’s</w:t>
      </w:r>
      <w:r w:rsidR="002C290E">
        <w:t xml:space="preserve"> </w:t>
      </w:r>
      <w:r w:rsidR="00394736" w:rsidRPr="00B76011">
        <w:t xml:space="preserve">generalized claims </w:t>
      </w:r>
      <w:r w:rsidR="00B82834">
        <w:t xml:space="preserve">fail to </w:t>
      </w:r>
      <w:r w:rsidR="00394736" w:rsidRPr="00B76011">
        <w:t>point to any specific facts.</w:t>
      </w:r>
      <w:r w:rsidR="00394736" w:rsidRPr="00971D0D">
        <w:rPr>
          <w:rStyle w:val="FootnoteReference"/>
        </w:rPr>
        <w:footnoteReference w:id="40"/>
      </w:r>
      <w:r w:rsidR="00394736" w:rsidRPr="00971D0D">
        <w:t xml:space="preserve">  </w:t>
      </w:r>
      <w:r w:rsidR="00C018C3">
        <w:t xml:space="preserve">The Applicants also argue that CCA’s claims that aggregation of mmW spectrum will </w:t>
      </w:r>
      <w:r w:rsidR="00B82834">
        <w:t xml:space="preserve">preclude </w:t>
      </w:r>
      <w:r w:rsidR="00C018C3">
        <w:t xml:space="preserve">5G competition rests on an invalid premise </w:t>
      </w:r>
      <w:r w:rsidR="00DC485D">
        <w:t xml:space="preserve">that competitive 5G service cannot be offered on spectrum bands other than the 28 GHz and 39 GHz bands, </w:t>
      </w:r>
      <w:r w:rsidR="00B82834">
        <w:t xml:space="preserve">and they note that </w:t>
      </w:r>
      <w:r w:rsidR="00DC485D">
        <w:t>T-Mobile and Sprint, both CCA members, have announced plans to use 600 MHz and 2.5</w:t>
      </w:r>
      <w:r w:rsidR="00717F92">
        <w:t xml:space="preserve"> </w:t>
      </w:r>
      <w:r w:rsidR="00DC485D">
        <w:t>GHz, respectively</w:t>
      </w:r>
      <w:r w:rsidR="00717F92">
        <w:t>,</w:t>
      </w:r>
      <w:r w:rsidR="00DC485D">
        <w:t xml:space="preserve"> for 5G service</w:t>
      </w:r>
      <w:r w:rsidR="002C290E">
        <w:t>.</w:t>
      </w:r>
      <w:r w:rsidR="00DC485D">
        <w:rPr>
          <w:rStyle w:val="FootnoteReference"/>
        </w:rPr>
        <w:footnoteReference w:id="41"/>
      </w:r>
      <w:r w:rsidR="00DC485D">
        <w:t xml:space="preserve">  As to Skyriver’s Petition, the Applicants state </w:t>
      </w:r>
      <w:r w:rsidR="00717F92">
        <w:t>that</w:t>
      </w:r>
      <w:r w:rsidR="00534275">
        <w:t xml:space="preserve"> </w:t>
      </w:r>
      <w:r w:rsidR="00DC485D">
        <w:t>Nextlink disagrees that this transaction triggered any particular contractual right of Skyriver</w:t>
      </w:r>
      <w:r w:rsidR="002C290E">
        <w:t>,</w:t>
      </w:r>
      <w:r w:rsidR="00DC485D">
        <w:t xml:space="preserve"> but that in any case</w:t>
      </w:r>
      <w:r w:rsidR="002C290E">
        <w:t>,</w:t>
      </w:r>
      <w:r w:rsidR="00DC485D">
        <w:t xml:space="preserve"> Skyriver has raised a private contractual </w:t>
      </w:r>
      <w:r w:rsidR="002C290E">
        <w:t xml:space="preserve">issue </w:t>
      </w:r>
      <w:r w:rsidR="00DC485D">
        <w:t xml:space="preserve">that is outside the scope of the Commission’s </w:t>
      </w:r>
      <w:r w:rsidR="002C290E">
        <w:t xml:space="preserve">secondary market </w:t>
      </w:r>
      <w:r w:rsidR="00DC485D">
        <w:t>transactions review.</w:t>
      </w:r>
      <w:r w:rsidR="00DC485D">
        <w:rPr>
          <w:rStyle w:val="FootnoteReference"/>
        </w:rPr>
        <w:footnoteReference w:id="42"/>
      </w:r>
    </w:p>
    <w:p w14:paraId="6A9B7889" w14:textId="61655014" w:rsidR="006F7226" w:rsidRDefault="00394736" w:rsidP="00EF347E">
      <w:pPr>
        <w:pStyle w:val="ParaNum"/>
        <w:widowControl/>
        <w:tabs>
          <w:tab w:val="clear" w:pos="5310"/>
          <w:tab w:val="num" w:pos="1440"/>
        </w:tabs>
        <w:spacing w:line="240" w:lineRule="auto"/>
        <w:ind w:left="0"/>
      </w:pPr>
      <w:r w:rsidRPr="00D153AB">
        <w:rPr>
          <w:i/>
        </w:rPr>
        <w:t>Discussion</w:t>
      </w:r>
      <w:r w:rsidRPr="00B76011">
        <w:t xml:space="preserve">.  In </w:t>
      </w:r>
      <w:r w:rsidR="00963C7F">
        <w:t xml:space="preserve">reviewing </w:t>
      </w:r>
      <w:r w:rsidRPr="00B76011">
        <w:t>proposed transaction</w:t>
      </w:r>
      <w:r w:rsidR="00963C7F">
        <w:t>s</w:t>
      </w:r>
      <w:r w:rsidRPr="00CD2847">
        <w:t>, the Commission evaluates the potential public interest harms</w:t>
      </w:r>
      <w:r w:rsidR="002C290E">
        <w:t>,</w:t>
      </w:r>
      <w:r w:rsidRPr="00CD2847">
        <w:t xml:space="preserve"> and undertakes a case-by-case review o</w:t>
      </w:r>
      <w:r w:rsidRPr="00971D0D">
        <w:t>f the competitive effects of any increase in market concentration or in spectrum holdings in the relevant markets.</w:t>
      </w:r>
      <w:r w:rsidRPr="00971D0D">
        <w:rPr>
          <w:rStyle w:val="FootnoteReference"/>
        </w:rPr>
        <w:footnoteReference w:id="43"/>
      </w:r>
      <w:r w:rsidRPr="00971D0D">
        <w:t xml:space="preserve">  </w:t>
      </w:r>
      <w:r w:rsidRPr="00D153AB">
        <w:rPr>
          <w:szCs w:val="22"/>
        </w:rPr>
        <w:t xml:space="preserve">Spectrum is an essential input in the provision of mobile wireless services, and ensuring that sufficient spectrum is available for incumbent licensees as well as potential new entrants is critical to promoting effective competition and innovation in the </w:t>
      </w:r>
      <w:r w:rsidR="008B3780">
        <w:rPr>
          <w:szCs w:val="22"/>
        </w:rPr>
        <w:t xml:space="preserve">mobile wireless </w:t>
      </w:r>
      <w:r w:rsidRPr="00D153AB">
        <w:rPr>
          <w:szCs w:val="22"/>
        </w:rPr>
        <w:t>marketplace.</w:t>
      </w:r>
      <w:r w:rsidRPr="00971D0D">
        <w:rPr>
          <w:rStyle w:val="FootnoteReference"/>
          <w:sz w:val="22"/>
          <w:szCs w:val="22"/>
        </w:rPr>
        <w:footnoteReference w:id="44"/>
      </w:r>
      <w:r w:rsidR="00EE5C69" w:rsidRPr="00D153AB">
        <w:rPr>
          <w:szCs w:val="22"/>
        </w:rPr>
        <w:t xml:space="preserve">  </w:t>
      </w:r>
    </w:p>
    <w:p w14:paraId="696C14A8" w14:textId="6B9E767D" w:rsidR="00E205AB" w:rsidRDefault="00963C7F" w:rsidP="002E0A1D">
      <w:pPr>
        <w:pStyle w:val="ParaNum"/>
        <w:tabs>
          <w:tab w:val="clear" w:pos="5310"/>
          <w:tab w:val="num" w:pos="1440"/>
        </w:tabs>
        <w:spacing w:line="240" w:lineRule="auto"/>
        <w:ind w:left="0"/>
      </w:pPr>
      <w:r>
        <w:t xml:space="preserve">Although </w:t>
      </w:r>
      <w:r w:rsidR="009515D2" w:rsidRPr="00B76011">
        <w:t xml:space="preserve">the </w:t>
      </w:r>
      <w:r w:rsidR="00B04EDB" w:rsidRPr="00B76011">
        <w:t xml:space="preserve">Commission’s spectrum screen historically </w:t>
      </w:r>
      <w:r w:rsidR="00D04A19">
        <w:t xml:space="preserve">has </w:t>
      </w:r>
      <w:r w:rsidR="00B04EDB" w:rsidRPr="00971D0D">
        <w:t>not include</w:t>
      </w:r>
      <w:r w:rsidR="00D04A19">
        <w:t>d</w:t>
      </w:r>
      <w:r w:rsidR="00B04EDB" w:rsidRPr="00971D0D">
        <w:t xml:space="preserve"> the mmW bands</w:t>
      </w:r>
      <w:r>
        <w:t>,</w:t>
      </w:r>
      <w:r w:rsidR="00194804" w:rsidRPr="00971D0D">
        <w:rPr>
          <w:rStyle w:val="FootnoteReference"/>
        </w:rPr>
        <w:footnoteReference w:id="45"/>
      </w:r>
      <w:r w:rsidR="00B04EDB" w:rsidRPr="00971D0D">
        <w:t xml:space="preserve"> the Commission in the </w:t>
      </w:r>
      <w:r w:rsidR="00B04EDB" w:rsidRPr="006F7226">
        <w:rPr>
          <w:i/>
        </w:rPr>
        <w:t>Spectrum Frontiers Order</w:t>
      </w:r>
      <w:r>
        <w:t xml:space="preserve"> </w:t>
      </w:r>
      <w:r w:rsidR="00CA70B7" w:rsidRPr="00971D0D">
        <w:t>found</w:t>
      </w:r>
      <w:r w:rsidR="00CA70B7">
        <w:t xml:space="preserve"> </w:t>
      </w:r>
      <w:r>
        <w:t>that</w:t>
      </w:r>
      <w:r w:rsidR="00691AE5">
        <w:t xml:space="preserve"> </w:t>
      </w:r>
      <w:r w:rsidR="00B04EDB" w:rsidRPr="00B76011">
        <w:t xml:space="preserve">the mmW bands are likely to be </w:t>
      </w:r>
      <w:r w:rsidR="00504E7F">
        <w:t xml:space="preserve">a </w:t>
      </w:r>
      <w:r w:rsidR="00B04EDB" w:rsidRPr="00B76011">
        <w:t xml:space="preserve">critical </w:t>
      </w:r>
      <w:r w:rsidR="00504E7F">
        <w:t>component in</w:t>
      </w:r>
      <w:r w:rsidR="00B04EDB" w:rsidRPr="00B76011">
        <w:t xml:space="preserve"> </w:t>
      </w:r>
      <w:r w:rsidR="009515D2" w:rsidRPr="00B76011">
        <w:t xml:space="preserve">the development of </w:t>
      </w:r>
      <w:r w:rsidR="00B04EDB" w:rsidRPr="00CD2847">
        <w:t>5G</w:t>
      </w:r>
      <w:r w:rsidR="0084202B">
        <w:t xml:space="preserve"> services</w:t>
      </w:r>
      <w:r w:rsidR="00E90E02">
        <w:t>,</w:t>
      </w:r>
      <w:r w:rsidR="009515D2" w:rsidRPr="00971D0D">
        <w:rPr>
          <w:rStyle w:val="FootnoteReference"/>
        </w:rPr>
        <w:footnoteReference w:id="46"/>
      </w:r>
      <w:r w:rsidR="009515D2" w:rsidRPr="00971D0D">
        <w:t xml:space="preserve"> </w:t>
      </w:r>
      <w:r w:rsidR="003B2E0D" w:rsidRPr="00971D0D">
        <w:t xml:space="preserve">and </w:t>
      </w:r>
      <w:r w:rsidR="00CA70B7">
        <w:t xml:space="preserve">it concluded </w:t>
      </w:r>
      <w:r w:rsidR="003B2E0D" w:rsidRPr="00971D0D">
        <w:t xml:space="preserve">that proposed secondary market transactions, such as this one, </w:t>
      </w:r>
      <w:r w:rsidR="003B2E0D">
        <w:t xml:space="preserve">should </w:t>
      </w:r>
      <w:r w:rsidR="003B2E0D" w:rsidRPr="00971D0D">
        <w:t>be analyzed on a case-by-case basis using a mmW spectrum threshold</w:t>
      </w:r>
      <w:r w:rsidR="003B2E0D">
        <w:t xml:space="preserve"> </w:t>
      </w:r>
      <w:r w:rsidR="00B04EDB" w:rsidRPr="00CD2847">
        <w:t>as an initial analytical tool to aid in identifying certain markets for further review</w:t>
      </w:r>
      <w:r w:rsidR="00B04EDB" w:rsidRPr="00971D0D">
        <w:t>.</w:t>
      </w:r>
      <w:r w:rsidR="009515D2" w:rsidRPr="00971D0D">
        <w:rPr>
          <w:rStyle w:val="FootnoteReference"/>
        </w:rPr>
        <w:footnoteReference w:id="47"/>
      </w:r>
      <w:r w:rsidR="00B04EDB" w:rsidRPr="00971D0D">
        <w:t xml:space="preserve">  </w:t>
      </w:r>
      <w:r w:rsidR="00194804">
        <w:t>In the</w:t>
      </w:r>
      <w:r w:rsidR="00B04EDB" w:rsidRPr="00971D0D">
        <w:t xml:space="preserve"> </w:t>
      </w:r>
      <w:r w:rsidR="0011365D" w:rsidRPr="006F7226">
        <w:rPr>
          <w:i/>
        </w:rPr>
        <w:t>Spectrum Frontiers Order</w:t>
      </w:r>
      <w:r w:rsidR="00194804" w:rsidRPr="008C6DC1">
        <w:t>, the Commission</w:t>
      </w:r>
      <w:r w:rsidR="00B04EDB" w:rsidRPr="00194804">
        <w:t xml:space="preserve"> </w:t>
      </w:r>
      <w:r w:rsidR="00B04EDB" w:rsidRPr="00B76011">
        <w:t xml:space="preserve">adopted a </w:t>
      </w:r>
      <w:r w:rsidR="00194804">
        <w:t xml:space="preserve">mmW </w:t>
      </w:r>
      <w:r w:rsidR="00B04EDB" w:rsidRPr="00B76011">
        <w:t xml:space="preserve">spectrum threshold </w:t>
      </w:r>
      <w:r w:rsidR="00194804">
        <w:t>of</w:t>
      </w:r>
      <w:r w:rsidR="00B04EDB" w:rsidRPr="00CD2847">
        <w:t xml:space="preserve"> 1250 megahertz </w:t>
      </w:r>
      <w:r w:rsidR="00194804">
        <w:t xml:space="preserve">for proposed secondary market transactions, out of the total of 3250 megahertz of mmW spectrum made available </w:t>
      </w:r>
      <w:r w:rsidR="0053162E">
        <w:t>at that time</w:t>
      </w:r>
      <w:r w:rsidR="00B04EDB" w:rsidRPr="00971D0D">
        <w:t>.</w:t>
      </w:r>
      <w:r w:rsidR="00B04EDB" w:rsidRPr="00971D0D">
        <w:rPr>
          <w:rStyle w:val="FootnoteReference"/>
        </w:rPr>
        <w:footnoteReference w:id="48"/>
      </w:r>
      <w:r w:rsidR="00B04EDB" w:rsidRPr="00971D0D">
        <w:t xml:space="preserve">  </w:t>
      </w:r>
    </w:p>
    <w:p w14:paraId="72616FA8" w14:textId="0032150E" w:rsidR="006061C1" w:rsidRPr="006061C1" w:rsidRDefault="00B118E6" w:rsidP="00CA2513">
      <w:pPr>
        <w:pStyle w:val="ParaNum"/>
        <w:widowControl/>
        <w:tabs>
          <w:tab w:val="num" w:pos="1440"/>
        </w:tabs>
        <w:spacing w:line="240" w:lineRule="auto"/>
        <w:ind w:left="0"/>
      </w:pPr>
      <w:r>
        <w:t>W</w:t>
      </w:r>
      <w:r w:rsidR="00704C87" w:rsidRPr="00971D0D">
        <w:t>e</w:t>
      </w:r>
      <w:r w:rsidR="00B04EDB" w:rsidRPr="00971D0D">
        <w:t xml:space="preserve"> </w:t>
      </w:r>
      <w:r>
        <w:t xml:space="preserve">begin by </w:t>
      </w:r>
      <w:r w:rsidR="00B04EDB" w:rsidRPr="00971D0D">
        <w:t>not</w:t>
      </w:r>
      <w:r>
        <w:t>ing</w:t>
      </w:r>
      <w:r w:rsidR="00B04EDB" w:rsidRPr="00971D0D">
        <w:t xml:space="preserve"> that </w:t>
      </w:r>
      <w:r w:rsidR="00E205AB">
        <w:t xml:space="preserve">the spectrum associated with the licenses being transferred is already attributed to Verizon under the existing long-term </w:t>
      </w:r>
      <w:r w:rsidR="00E205AB">
        <w:rPr>
          <w:i/>
        </w:rPr>
        <w:t xml:space="preserve">de facto </w:t>
      </w:r>
      <w:r w:rsidR="00E205AB" w:rsidRPr="00E205AB">
        <w:t>transfer lease</w:t>
      </w:r>
      <w:r w:rsidR="00B04EDB" w:rsidRPr="00E205AB">
        <w:rPr>
          <w:i/>
        </w:rPr>
        <w:t>.</w:t>
      </w:r>
      <w:r w:rsidR="008F5C69" w:rsidRPr="003F41A3">
        <w:rPr>
          <w:rStyle w:val="FootnoteReference"/>
        </w:rPr>
        <w:footnoteReference w:id="49"/>
      </w:r>
      <w:r w:rsidR="00B04EDB" w:rsidRPr="00FC35FA">
        <w:t xml:space="preserve"> </w:t>
      </w:r>
      <w:r w:rsidR="00B04EDB" w:rsidRPr="00971D0D">
        <w:t xml:space="preserve"> </w:t>
      </w:r>
      <w:r>
        <w:t>W</w:t>
      </w:r>
      <w:r w:rsidR="00B04EDB" w:rsidRPr="00971D0D">
        <w:t xml:space="preserve">e observe that </w:t>
      </w:r>
      <w:r>
        <w:t xml:space="preserve">post-transaction, </w:t>
      </w:r>
      <w:r w:rsidR="00B04EDB" w:rsidRPr="00971D0D">
        <w:t xml:space="preserve">Verizon Wireless would </w:t>
      </w:r>
      <w:r w:rsidR="00972EFD">
        <w:t>remain below the spectrum threshold of</w:t>
      </w:r>
      <w:r w:rsidR="00B04EDB" w:rsidRPr="00971D0D">
        <w:t xml:space="preserve"> </w:t>
      </w:r>
      <w:r w:rsidR="008F5C69" w:rsidRPr="00971D0D">
        <w:t>1</w:t>
      </w:r>
      <w:r w:rsidR="008F5C69">
        <w:t>2</w:t>
      </w:r>
      <w:r w:rsidR="008F5C69" w:rsidRPr="00971D0D">
        <w:t xml:space="preserve">50 </w:t>
      </w:r>
      <w:r w:rsidR="00B04EDB" w:rsidRPr="00971D0D">
        <w:t>megahertz.</w:t>
      </w:r>
      <w:r w:rsidR="00B04EDB" w:rsidRPr="00971D0D">
        <w:rPr>
          <w:rStyle w:val="FootnoteReference"/>
        </w:rPr>
        <w:footnoteReference w:id="50"/>
      </w:r>
      <w:r w:rsidR="00B04EDB" w:rsidRPr="00971D0D">
        <w:t xml:space="preserve">  </w:t>
      </w:r>
      <w:r w:rsidR="00972EFD">
        <w:t xml:space="preserve">In a recent order, the Commission also added additional mmW spectrum in the 24 GHz and 47 GHz bands to the </w:t>
      </w:r>
      <w:r w:rsidR="00FC35FA">
        <w:t xml:space="preserve">mmW </w:t>
      </w:r>
      <w:r w:rsidR="00972EFD">
        <w:t xml:space="preserve">spectrum </w:t>
      </w:r>
      <w:r w:rsidR="00FC35FA">
        <w:t>threshold</w:t>
      </w:r>
      <w:r w:rsidR="00972EFD">
        <w:t xml:space="preserve">.  This will increase the </w:t>
      </w:r>
      <w:r w:rsidR="00FC35FA">
        <w:t>threshold</w:t>
      </w:r>
      <w:r w:rsidR="00972EFD">
        <w:t xml:space="preserve"> to 1850 megaher</w:t>
      </w:r>
      <w:r w:rsidR="00635556">
        <w:t>t</w:t>
      </w:r>
      <w:r w:rsidR="00972EFD">
        <w:t>z in the near future.</w:t>
      </w:r>
      <w:r w:rsidR="009E2396">
        <w:rPr>
          <w:rStyle w:val="FootnoteReference"/>
        </w:rPr>
        <w:footnoteReference w:id="51"/>
      </w:r>
      <w:r w:rsidR="009E2396">
        <w:t xml:space="preserve">  Considering that this transaction</w:t>
      </w:r>
      <w:r>
        <w:t xml:space="preserve"> does not trigger </w:t>
      </w:r>
      <w:r w:rsidR="00F92452">
        <w:t>the currently-effective</w:t>
      </w:r>
      <w:r>
        <w:t xml:space="preserve"> mmW spectrum </w:t>
      </w:r>
      <w:r w:rsidR="004E63FC">
        <w:t>threshold, and b</w:t>
      </w:r>
      <w:r w:rsidR="00E010E2">
        <w:t xml:space="preserve">ased on our </w:t>
      </w:r>
      <w:r w:rsidR="00C55B72">
        <w:t xml:space="preserve">careful </w:t>
      </w:r>
      <w:r w:rsidR="00E010E2">
        <w:t>review of the record</w:t>
      </w:r>
      <w:r w:rsidR="004E63FC">
        <w:t xml:space="preserve"> and examining the various factors present in this case</w:t>
      </w:r>
      <w:r w:rsidR="00E010E2">
        <w:t xml:space="preserve">, </w:t>
      </w:r>
      <w:r w:rsidR="004E63FC">
        <w:t xml:space="preserve">we find that </w:t>
      </w:r>
      <w:r w:rsidR="00CD2847">
        <w:t xml:space="preserve">Verizon Wireless’s </w:t>
      </w:r>
      <w:r w:rsidR="00CD2847" w:rsidRPr="00E3572D">
        <w:rPr>
          <w:kern w:val="0"/>
        </w:rPr>
        <w:t xml:space="preserve">post-transaction spectrum holdings across the LMDS (28 GHz) and 39 GHz bands do not raise concerns in light of the current state of the marketplace. </w:t>
      </w:r>
      <w:r w:rsidR="00CD2847">
        <w:rPr>
          <w:kern w:val="0"/>
        </w:rPr>
        <w:t xml:space="preserve"> </w:t>
      </w:r>
    </w:p>
    <w:p w14:paraId="7E2F99F4" w14:textId="1C5E7223" w:rsidR="005C0CEF" w:rsidRDefault="006F7226" w:rsidP="0025247C">
      <w:pPr>
        <w:pStyle w:val="ParaNum"/>
        <w:tabs>
          <w:tab w:val="num" w:pos="1440"/>
        </w:tabs>
        <w:spacing w:line="240" w:lineRule="auto"/>
        <w:ind w:left="0"/>
      </w:pPr>
      <w:r w:rsidRPr="006A3C98">
        <w:rPr>
          <w:kern w:val="0"/>
        </w:rPr>
        <w:t xml:space="preserve">We are not persuaded </w:t>
      </w:r>
      <w:r w:rsidR="00947DF0" w:rsidRPr="006A3C98">
        <w:rPr>
          <w:kern w:val="0"/>
        </w:rPr>
        <w:t xml:space="preserve">otherwise </w:t>
      </w:r>
      <w:r w:rsidRPr="006A3C98">
        <w:rPr>
          <w:kern w:val="0"/>
        </w:rPr>
        <w:t>by CC</w:t>
      </w:r>
      <w:r w:rsidR="00B475F2">
        <w:rPr>
          <w:kern w:val="0"/>
        </w:rPr>
        <w:t xml:space="preserve">A’s </w:t>
      </w:r>
      <w:r w:rsidR="004674FD">
        <w:rPr>
          <w:kern w:val="0"/>
        </w:rPr>
        <w:t xml:space="preserve">allegations </w:t>
      </w:r>
      <w:r w:rsidR="00B475F2">
        <w:rPr>
          <w:kern w:val="0"/>
        </w:rPr>
        <w:t xml:space="preserve">of foreclosure and </w:t>
      </w:r>
      <w:r w:rsidR="0053162E">
        <w:rPr>
          <w:kern w:val="0"/>
        </w:rPr>
        <w:t xml:space="preserve">spectrum </w:t>
      </w:r>
      <w:r w:rsidR="00B475F2">
        <w:rPr>
          <w:kern w:val="0"/>
        </w:rPr>
        <w:t>aggregation</w:t>
      </w:r>
      <w:r w:rsidR="00A140B2">
        <w:rPr>
          <w:kern w:val="0"/>
        </w:rPr>
        <w:t xml:space="preserve">.  </w:t>
      </w:r>
      <w:r w:rsidR="009E2396">
        <w:rPr>
          <w:kern w:val="0"/>
        </w:rPr>
        <w:t>CCA’s allegations of harm are speculative, generalized</w:t>
      </w:r>
      <w:r w:rsidR="00EB1EC4">
        <w:rPr>
          <w:kern w:val="0"/>
        </w:rPr>
        <w:t>,</w:t>
      </w:r>
      <w:r w:rsidR="009E2396">
        <w:rPr>
          <w:kern w:val="0"/>
        </w:rPr>
        <w:t xml:space="preserve"> and not specific to this transaction.  </w:t>
      </w:r>
      <w:r w:rsidR="006E32B9">
        <w:rPr>
          <w:kern w:val="0"/>
        </w:rPr>
        <w:t>Moreover, CCA’s allegations</w:t>
      </w:r>
      <w:r w:rsidR="00B475F2">
        <w:rPr>
          <w:kern w:val="0"/>
        </w:rPr>
        <w:t xml:space="preserve"> are premised on the view that we should, in effect, combine our review of the instant transaction with those of two separate </w:t>
      </w:r>
      <w:r w:rsidR="00A140B2">
        <w:rPr>
          <w:kern w:val="0"/>
        </w:rPr>
        <w:t xml:space="preserve">and pending </w:t>
      </w:r>
      <w:r w:rsidR="00B475F2">
        <w:rPr>
          <w:kern w:val="0"/>
        </w:rPr>
        <w:t>transactions</w:t>
      </w:r>
      <w:r w:rsidR="00E90E02">
        <w:rPr>
          <w:kern w:val="0"/>
        </w:rPr>
        <w:t>—</w:t>
      </w:r>
      <w:r w:rsidR="00B475F2">
        <w:rPr>
          <w:kern w:val="0"/>
        </w:rPr>
        <w:t xml:space="preserve">one between Verizon </w:t>
      </w:r>
      <w:r w:rsidR="00F21229">
        <w:rPr>
          <w:kern w:val="0"/>
        </w:rPr>
        <w:t xml:space="preserve">Communications </w:t>
      </w:r>
      <w:r w:rsidR="00B475F2">
        <w:rPr>
          <w:kern w:val="0"/>
        </w:rPr>
        <w:t>and Straight P</w:t>
      </w:r>
      <w:r w:rsidR="004674FD">
        <w:rPr>
          <w:kern w:val="0"/>
        </w:rPr>
        <w:t>a</w:t>
      </w:r>
      <w:r w:rsidR="00B475F2">
        <w:rPr>
          <w:kern w:val="0"/>
        </w:rPr>
        <w:t>th</w:t>
      </w:r>
      <w:r w:rsidR="004674FD">
        <w:rPr>
          <w:kern w:val="0"/>
        </w:rPr>
        <w:t xml:space="preserve"> and one between AT&amp;T</w:t>
      </w:r>
      <w:r w:rsidR="00F21229">
        <w:rPr>
          <w:kern w:val="0"/>
        </w:rPr>
        <w:t xml:space="preserve"> </w:t>
      </w:r>
      <w:r w:rsidR="00F6346C">
        <w:rPr>
          <w:kern w:val="0"/>
        </w:rPr>
        <w:t xml:space="preserve">Mobility </w:t>
      </w:r>
      <w:r w:rsidR="00F21229">
        <w:rPr>
          <w:kern w:val="0"/>
        </w:rPr>
        <w:t>and FiberTower</w:t>
      </w:r>
      <w:r w:rsidR="0011325F">
        <w:rPr>
          <w:kern w:val="0"/>
        </w:rPr>
        <w:t>.</w:t>
      </w:r>
      <w:r w:rsidR="00F21229">
        <w:rPr>
          <w:rStyle w:val="FootnoteReference"/>
          <w:kern w:val="0"/>
        </w:rPr>
        <w:footnoteReference w:id="52"/>
      </w:r>
      <w:r w:rsidR="004674FD">
        <w:rPr>
          <w:kern w:val="0"/>
        </w:rPr>
        <w:t xml:space="preserve">  We decline to do so</w:t>
      </w:r>
      <w:r w:rsidR="0053162E">
        <w:rPr>
          <w:kern w:val="0"/>
        </w:rPr>
        <w:t>.</w:t>
      </w:r>
      <w:r w:rsidR="00CD0946">
        <w:rPr>
          <w:rStyle w:val="FootnoteReference"/>
          <w:kern w:val="0"/>
        </w:rPr>
        <w:footnoteReference w:id="53"/>
      </w:r>
      <w:r w:rsidR="00CD0946">
        <w:rPr>
          <w:kern w:val="0"/>
        </w:rPr>
        <w:t xml:space="preserve"> </w:t>
      </w:r>
      <w:r w:rsidR="004674FD">
        <w:rPr>
          <w:kern w:val="0"/>
        </w:rPr>
        <w:t xml:space="preserve"> </w:t>
      </w:r>
      <w:r w:rsidR="00E45CE0">
        <w:rPr>
          <w:kern w:val="0"/>
        </w:rPr>
        <w:t xml:space="preserve">CCA’s allegations of stunted </w:t>
      </w:r>
      <w:r w:rsidR="0053162E">
        <w:rPr>
          <w:kern w:val="0"/>
        </w:rPr>
        <w:t xml:space="preserve">5G </w:t>
      </w:r>
      <w:r w:rsidR="00E45CE0">
        <w:rPr>
          <w:kern w:val="0"/>
        </w:rPr>
        <w:t xml:space="preserve">development </w:t>
      </w:r>
      <w:r w:rsidR="002146D2">
        <w:rPr>
          <w:kern w:val="0"/>
        </w:rPr>
        <w:t>because of</w:t>
      </w:r>
      <w:r w:rsidR="00E45CE0">
        <w:rPr>
          <w:kern w:val="0"/>
        </w:rPr>
        <w:t xml:space="preserve"> potential holdings of mmW spectrum by Verizon </w:t>
      </w:r>
      <w:r w:rsidR="00F21229">
        <w:rPr>
          <w:kern w:val="0"/>
        </w:rPr>
        <w:t xml:space="preserve">Communications </w:t>
      </w:r>
      <w:r w:rsidR="00E45CE0">
        <w:rPr>
          <w:kern w:val="0"/>
        </w:rPr>
        <w:t xml:space="preserve">and AT&amp;T </w:t>
      </w:r>
      <w:r w:rsidR="00F6346C">
        <w:rPr>
          <w:kern w:val="0"/>
        </w:rPr>
        <w:t xml:space="preserve">Mobility </w:t>
      </w:r>
      <w:r w:rsidR="00E45CE0">
        <w:rPr>
          <w:kern w:val="0"/>
        </w:rPr>
        <w:t xml:space="preserve">through other transactions </w:t>
      </w:r>
      <w:r w:rsidR="00C85110">
        <w:rPr>
          <w:kern w:val="0"/>
        </w:rPr>
        <w:t>p</w:t>
      </w:r>
      <w:r w:rsidR="00E45CE0">
        <w:rPr>
          <w:kern w:val="0"/>
        </w:rPr>
        <w:t xml:space="preserve">rovide no basis for denying the </w:t>
      </w:r>
      <w:r w:rsidR="00A140B2">
        <w:rPr>
          <w:kern w:val="0"/>
        </w:rPr>
        <w:t xml:space="preserve">instant </w:t>
      </w:r>
      <w:r w:rsidR="00E45CE0">
        <w:rPr>
          <w:kern w:val="0"/>
        </w:rPr>
        <w:t xml:space="preserve">Application or imposing conditions.  </w:t>
      </w:r>
      <w:r w:rsidR="00CD2847" w:rsidRPr="006A3C98">
        <w:rPr>
          <w:szCs w:val="22"/>
        </w:rPr>
        <w:t>W</w:t>
      </w:r>
      <w:r w:rsidR="00B04EDB" w:rsidRPr="006A3C98">
        <w:rPr>
          <w:szCs w:val="22"/>
        </w:rPr>
        <w:t xml:space="preserve">e find that </w:t>
      </w:r>
      <w:r w:rsidR="005A4F91" w:rsidRPr="006A3C98">
        <w:rPr>
          <w:szCs w:val="22"/>
        </w:rPr>
        <w:t>Verizon Wireless’</w:t>
      </w:r>
      <w:r w:rsidR="002146D2">
        <w:rPr>
          <w:szCs w:val="22"/>
        </w:rPr>
        <w:t>s</w:t>
      </w:r>
      <w:r w:rsidR="005A4F91" w:rsidRPr="006A3C98">
        <w:rPr>
          <w:szCs w:val="22"/>
        </w:rPr>
        <w:t xml:space="preserve"> acquisition of the licenses </w:t>
      </w:r>
      <w:r w:rsidR="00947DF0" w:rsidRPr="006A3C98">
        <w:rPr>
          <w:szCs w:val="22"/>
        </w:rPr>
        <w:t xml:space="preserve">at issue </w:t>
      </w:r>
      <w:r w:rsidR="00B04EDB" w:rsidRPr="006A3C98">
        <w:rPr>
          <w:szCs w:val="22"/>
        </w:rPr>
        <w:t xml:space="preserve">is unlikely to foreclose rival service providers from obtaining access to sufficient spectrum for their own development of innovative new products and services.  </w:t>
      </w:r>
      <w:r w:rsidR="00947DF0" w:rsidRPr="006A3C98">
        <w:rPr>
          <w:szCs w:val="22"/>
        </w:rPr>
        <w:t>As noted above</w:t>
      </w:r>
      <w:r w:rsidR="0053162E">
        <w:rPr>
          <w:szCs w:val="22"/>
        </w:rPr>
        <w:t>,</w:t>
      </w:r>
      <w:r w:rsidR="00947DF0">
        <w:rPr>
          <w:rStyle w:val="FootnoteReference"/>
          <w:szCs w:val="22"/>
        </w:rPr>
        <w:footnoteReference w:id="54"/>
      </w:r>
      <w:r w:rsidR="00947DF0" w:rsidRPr="006A3C98">
        <w:rPr>
          <w:szCs w:val="22"/>
        </w:rPr>
        <w:t xml:space="preserve"> the Commission has recently made additional mmW spectrum available for wireless use.  Moreover, </w:t>
      </w:r>
      <w:r w:rsidR="00043BA1">
        <w:rPr>
          <w:szCs w:val="22"/>
        </w:rPr>
        <w:t xml:space="preserve">we find that </w:t>
      </w:r>
      <w:r w:rsidR="00947DF0" w:rsidRPr="006A3C98">
        <w:rPr>
          <w:szCs w:val="22"/>
        </w:rPr>
        <w:t xml:space="preserve">mmW spectrum is not, as CCA appears to contend, the only spectrum that may be useful for developing and providing 5G services.  </w:t>
      </w:r>
      <w:r w:rsidR="00CD2847" w:rsidRPr="006A3C98">
        <w:rPr>
          <w:szCs w:val="22"/>
        </w:rPr>
        <w:t>For these reasons, w</w:t>
      </w:r>
      <w:r w:rsidR="00B04EDB" w:rsidRPr="00CD2847">
        <w:t xml:space="preserve">e find that the likelihood of competitive harm </w:t>
      </w:r>
      <w:r w:rsidR="00CD2847">
        <w:t>from this particular</w:t>
      </w:r>
      <w:r w:rsidR="003B5920">
        <w:t xml:space="preserve"> transaction is </w:t>
      </w:r>
      <w:r w:rsidR="006E32B9">
        <w:t>unlikely</w:t>
      </w:r>
      <w:r w:rsidR="00EB1EC4">
        <w:t>.</w:t>
      </w:r>
    </w:p>
    <w:p w14:paraId="1F057F30" w14:textId="02A4E31B" w:rsidR="00B04EDB" w:rsidRPr="00971D0D" w:rsidRDefault="005C0CEF" w:rsidP="0025247C">
      <w:pPr>
        <w:pStyle w:val="ParaNum"/>
        <w:tabs>
          <w:tab w:val="num" w:pos="1440"/>
        </w:tabs>
        <w:spacing w:line="240" w:lineRule="auto"/>
        <w:ind w:left="0"/>
      </w:pPr>
      <w:r>
        <w:t>We also deny the Skyriver Petition.  Skyriver acknowledges that the Commission does not adjudicate in transaction proceedings private contractual disputes such as its dispute with Nextlink over rights of first refusal claimed by Skyriver under its lease agreement with Nextlink.</w:t>
      </w:r>
      <w:r w:rsidR="005336EC">
        <w:rPr>
          <w:rStyle w:val="FootnoteReference"/>
        </w:rPr>
        <w:footnoteReference w:id="55"/>
      </w:r>
      <w:r>
        <w:t xml:space="preserve">  Skyriver’s claim that there is a public interest in our holding the Application in partial abeyance pending resolution of its contractual dispute because, according to Skyriver, a material question exists as to Verizon Wireless’s willingness to honor its stated commitment to honor Nextlink’s existing third-party leases is without foundation.</w:t>
      </w:r>
      <w:r w:rsidR="005336EC">
        <w:rPr>
          <w:rStyle w:val="FootnoteReference"/>
        </w:rPr>
        <w:footnoteReference w:id="56"/>
      </w:r>
      <w:r>
        <w:t xml:space="preserve">  The only support Skyriver offers for that allegation is Nextlink’s disagreement that Skyriver’s contractual rights have been violated, which is precisely the private contractual dispute that Skyriver acknowledges is not within the scope of our transaction review process.</w:t>
      </w:r>
    </w:p>
    <w:p w14:paraId="30ED115B" w14:textId="77777777" w:rsidR="00E307B8" w:rsidRPr="00971D0D" w:rsidRDefault="003D7301" w:rsidP="0025247C">
      <w:pPr>
        <w:pStyle w:val="Heading3"/>
        <w:keepNext w:val="0"/>
        <w:tabs>
          <w:tab w:val="num" w:pos="1440"/>
        </w:tabs>
        <w:spacing w:line="240" w:lineRule="auto"/>
      </w:pPr>
      <w:r w:rsidRPr="00971D0D">
        <w:t xml:space="preserve">Potential </w:t>
      </w:r>
      <w:r w:rsidR="006C7E53" w:rsidRPr="00971D0D">
        <w:t xml:space="preserve">Public Interest </w:t>
      </w:r>
      <w:r w:rsidRPr="00971D0D">
        <w:t>Benefits</w:t>
      </w:r>
    </w:p>
    <w:p w14:paraId="11BF9D63" w14:textId="0AA92D85" w:rsidR="00C3143B" w:rsidRDefault="00C3143B" w:rsidP="0025247C">
      <w:pPr>
        <w:pStyle w:val="ParaNum"/>
        <w:tabs>
          <w:tab w:val="clear" w:pos="5310"/>
          <w:tab w:val="num" w:pos="1440"/>
        </w:tabs>
        <w:spacing w:line="240" w:lineRule="auto"/>
        <w:ind w:left="0"/>
        <w:rPr>
          <w:szCs w:val="22"/>
        </w:rPr>
      </w:pPr>
      <w:r>
        <w:t xml:space="preserve">Having </w:t>
      </w:r>
      <w:r w:rsidR="00EB1EC4">
        <w:t>found there are no significant</w:t>
      </w:r>
      <w:r>
        <w:t xml:space="preserve"> potential public interest harms of the transaction, w</w:t>
      </w:r>
      <w:r>
        <w:rPr>
          <w:szCs w:val="22"/>
        </w:rPr>
        <w:t xml:space="preserve">e </w:t>
      </w:r>
      <w:r w:rsidR="005336EC">
        <w:rPr>
          <w:szCs w:val="22"/>
        </w:rPr>
        <w:t>next</w:t>
      </w:r>
      <w:r w:rsidR="00043BA1">
        <w:rPr>
          <w:szCs w:val="22"/>
        </w:rPr>
        <w:t xml:space="preserve"> </w:t>
      </w:r>
      <w:r>
        <w:rPr>
          <w:szCs w:val="22"/>
        </w:rPr>
        <w:t xml:space="preserve">review the public interest benefits of the particular transaction, beyond fostering the free transferability of licenses and authorizations. </w:t>
      </w:r>
      <w:r w:rsidRPr="000D0BB5">
        <w:rPr>
          <w:szCs w:val="22"/>
        </w:rPr>
        <w:t xml:space="preserve"> </w:t>
      </w:r>
      <w:r>
        <w:t>The Commission has reco</w:t>
      </w:r>
      <w:r>
        <w:rPr>
          <w:szCs w:val="22"/>
        </w:rPr>
        <w:t>gnized that e</w:t>
      </w:r>
      <w:r w:rsidRPr="00D04174">
        <w:rPr>
          <w:szCs w:val="22"/>
        </w:rPr>
        <w:t xml:space="preserve">fficiencies generated through a </w:t>
      </w:r>
      <w:r>
        <w:rPr>
          <w:szCs w:val="22"/>
        </w:rPr>
        <w:t>transaction</w:t>
      </w:r>
      <w:r w:rsidRPr="00D04174">
        <w:rPr>
          <w:szCs w:val="22"/>
        </w:rPr>
        <w:t xml:space="preserve"> can mitigate competitive harms </w:t>
      </w:r>
      <w:r>
        <w:rPr>
          <w:szCs w:val="22"/>
        </w:rPr>
        <w:t>only “</w:t>
      </w:r>
      <w:r w:rsidRPr="00D04174">
        <w:rPr>
          <w:szCs w:val="22"/>
        </w:rPr>
        <w:t>if such effic</w:t>
      </w:r>
      <w:r>
        <w:rPr>
          <w:szCs w:val="22"/>
        </w:rPr>
        <w:t>iencies enhance the merged firm’</w:t>
      </w:r>
      <w:r w:rsidRPr="00D04174">
        <w:rPr>
          <w:szCs w:val="22"/>
        </w:rPr>
        <w:t>s ability and incentive to compete and therefore result in lower prices, improved quality, enhanced service or new products.”</w:t>
      </w:r>
      <w:r>
        <w:rPr>
          <w:rStyle w:val="FootnoteReference"/>
          <w:szCs w:val="22"/>
        </w:rPr>
        <w:footnoteReference w:id="57"/>
      </w:r>
      <w:r>
        <w:rPr>
          <w:szCs w:val="22"/>
        </w:rPr>
        <w:t xml:space="preserve">  Specifically, the Commission finds a claimed benefit to be cognizable only if it is transaction-specific</w:t>
      </w:r>
      <w:r w:rsidR="00043BA1">
        <w:rPr>
          <w:szCs w:val="22"/>
        </w:rPr>
        <w:t>—</w:t>
      </w:r>
      <w:r>
        <w:rPr>
          <w:szCs w:val="22"/>
        </w:rPr>
        <w:t>meaning it naturally arises as a result of the transaction</w:t>
      </w:r>
      <w:r>
        <w:rPr>
          <w:rStyle w:val="FootnoteReference"/>
          <w:szCs w:val="22"/>
        </w:rPr>
        <w:footnoteReference w:id="58"/>
      </w:r>
      <w:r w:rsidR="00043BA1">
        <w:rPr>
          <w:szCs w:val="22"/>
        </w:rPr>
        <w:t>—</w:t>
      </w:r>
      <w:r>
        <w:rPr>
          <w:szCs w:val="22"/>
        </w:rPr>
        <w:t>and verifiable, and is “more likely to find marginal cost reductions to be cognizable than reductions in fixed cost.”</w:t>
      </w:r>
      <w:r>
        <w:rPr>
          <w:rStyle w:val="FootnoteReference"/>
          <w:szCs w:val="22"/>
        </w:rPr>
        <w:footnoteReference w:id="59"/>
      </w:r>
    </w:p>
    <w:p w14:paraId="7F05A3D2" w14:textId="2AAAF62F" w:rsidR="001D16D8" w:rsidRPr="00971D0D" w:rsidRDefault="00E23034" w:rsidP="00F3156D">
      <w:pPr>
        <w:pStyle w:val="ParaNum"/>
        <w:widowControl/>
        <w:tabs>
          <w:tab w:val="num" w:pos="1440"/>
        </w:tabs>
        <w:spacing w:line="240" w:lineRule="auto"/>
        <w:ind w:left="86"/>
      </w:pPr>
      <w:r w:rsidRPr="00CA5C56">
        <w:rPr>
          <w:i/>
        </w:rPr>
        <w:t xml:space="preserve">Claims of the </w:t>
      </w:r>
      <w:r w:rsidR="00FA6941" w:rsidRPr="00CA5C56">
        <w:rPr>
          <w:i/>
        </w:rPr>
        <w:t>Applicant</w:t>
      </w:r>
      <w:r w:rsidRPr="00CA5C56">
        <w:rPr>
          <w:i/>
        </w:rPr>
        <w:t>s</w:t>
      </w:r>
      <w:r w:rsidR="00880FBB" w:rsidRPr="00B76011">
        <w:t xml:space="preserve">.  </w:t>
      </w:r>
      <w:r w:rsidR="00FD654A" w:rsidRPr="00B76011">
        <w:t xml:space="preserve">According to the </w:t>
      </w:r>
      <w:r w:rsidR="00FA6941">
        <w:t>Applicant</w:t>
      </w:r>
      <w:r w:rsidR="00FD654A" w:rsidRPr="00B76011">
        <w:t xml:space="preserve">s, </w:t>
      </w:r>
      <w:r w:rsidR="002422EA">
        <w:t>Verizon</w:t>
      </w:r>
      <w:r w:rsidR="00717F92">
        <w:t xml:space="preserve"> Wireless</w:t>
      </w:r>
      <w:r w:rsidR="002422EA">
        <w:t xml:space="preserve">’s </w:t>
      </w:r>
      <w:r w:rsidR="00D153AB">
        <w:t xml:space="preserve">continuing </w:t>
      </w:r>
      <w:r w:rsidR="00D44F36" w:rsidRPr="00B76011">
        <w:t>us</w:t>
      </w:r>
      <w:r w:rsidR="00D153AB">
        <w:t>e of the</w:t>
      </w:r>
      <w:r w:rsidR="00D44F36" w:rsidRPr="00B76011">
        <w:t xml:space="preserve"> mmW</w:t>
      </w:r>
      <w:r w:rsidR="00D44F36" w:rsidRPr="00CD2847">
        <w:t xml:space="preserve"> frequencies </w:t>
      </w:r>
      <w:r w:rsidR="00D23351">
        <w:t xml:space="preserve">that it is </w:t>
      </w:r>
      <w:r w:rsidR="00D153AB">
        <w:t>currently leas</w:t>
      </w:r>
      <w:r w:rsidR="00D23351">
        <w:t>ing</w:t>
      </w:r>
      <w:r w:rsidR="00D44F36" w:rsidRPr="00CD2847">
        <w:t xml:space="preserve"> </w:t>
      </w:r>
      <w:r w:rsidR="00D44F36" w:rsidRPr="00B76011">
        <w:t>would</w:t>
      </w:r>
      <w:r w:rsidR="001B10D0" w:rsidRPr="00B76011">
        <w:t xml:space="preserve"> </w:t>
      </w:r>
      <w:r w:rsidR="001D16D8" w:rsidRPr="00B76011">
        <w:t>facili</w:t>
      </w:r>
      <w:r w:rsidR="00D44F36" w:rsidRPr="00B76011">
        <w:t>tate</w:t>
      </w:r>
      <w:r w:rsidR="001B10D0" w:rsidRPr="00B76011">
        <w:t xml:space="preserve"> </w:t>
      </w:r>
      <w:r w:rsidR="002422EA">
        <w:t>5G development and deployment.</w:t>
      </w:r>
      <w:r w:rsidR="001B10D0" w:rsidRPr="00971D0D">
        <w:rPr>
          <w:rStyle w:val="FootnoteReference"/>
        </w:rPr>
        <w:footnoteReference w:id="60"/>
      </w:r>
      <w:r w:rsidR="001B10D0" w:rsidRPr="00971D0D">
        <w:t xml:space="preserve">  </w:t>
      </w:r>
      <w:r w:rsidR="001D16D8" w:rsidRPr="00971D0D">
        <w:t xml:space="preserve">The </w:t>
      </w:r>
      <w:r w:rsidR="00FA6941">
        <w:t xml:space="preserve">Applicants </w:t>
      </w:r>
      <w:r w:rsidR="001D16D8" w:rsidRPr="00971D0D">
        <w:t xml:space="preserve">maintain that Verizon Wireless has </w:t>
      </w:r>
      <w:r w:rsidR="00FA3015">
        <w:t>been driving the 5G ecosystem towards rapid commercialization with testing, standards development, fiber deployment and acquisitions for backhaul, and planned launches of pre-commercial 5G service trials.</w:t>
      </w:r>
      <w:r w:rsidR="00FA3015">
        <w:rPr>
          <w:rStyle w:val="FootnoteReference"/>
        </w:rPr>
        <w:footnoteReference w:id="61"/>
      </w:r>
      <w:r w:rsidR="00FA3015">
        <w:t xml:space="preserve">  </w:t>
      </w:r>
      <w:r w:rsidR="00FC32BD" w:rsidRPr="00971D0D">
        <w:t xml:space="preserve">The </w:t>
      </w:r>
      <w:r w:rsidR="00FA6941">
        <w:t>Applicant</w:t>
      </w:r>
      <w:r w:rsidR="00FC32BD" w:rsidRPr="00971D0D">
        <w:t xml:space="preserve">s </w:t>
      </w:r>
      <w:r w:rsidR="00973EB7" w:rsidRPr="00B76011">
        <w:t>also</w:t>
      </w:r>
      <w:r w:rsidR="00FC32BD" w:rsidRPr="00B76011">
        <w:t xml:space="preserve"> </w:t>
      </w:r>
      <w:r w:rsidR="00961787">
        <w:t>maintain</w:t>
      </w:r>
      <w:r w:rsidR="00FC32BD" w:rsidRPr="00B76011">
        <w:t xml:space="preserve"> that </w:t>
      </w:r>
      <w:r w:rsidR="00611E9C">
        <w:t>the transfer of the mmW licenses will further the Commission’s objective to foster innovation in 5G technologies and facilitate rapid deployment of 5G services and products to the benefit of American consumers and the United States economy.</w:t>
      </w:r>
      <w:r w:rsidR="00611E9C">
        <w:rPr>
          <w:rStyle w:val="FootnoteReference"/>
        </w:rPr>
        <w:footnoteReference w:id="62"/>
      </w:r>
      <w:r w:rsidR="00611E9C">
        <w:t xml:space="preserve">  The Applicants </w:t>
      </w:r>
      <w:r w:rsidR="008F0E47">
        <w:t>assert</w:t>
      </w:r>
      <w:r w:rsidR="00611E9C">
        <w:t xml:space="preserve"> that </w:t>
      </w:r>
      <w:r w:rsidR="00C27D35">
        <w:t xml:space="preserve">Verizon Wireless’s leasing of </w:t>
      </w:r>
      <w:r w:rsidR="00C27D35" w:rsidRPr="002F0CFD">
        <w:t>Ne</w:t>
      </w:r>
      <w:r w:rsidR="00503669">
        <w:t>x</w:t>
      </w:r>
      <w:r w:rsidR="00C27D35" w:rsidRPr="002F0CFD">
        <w:t>tlink’s mmW spectrum has</w:t>
      </w:r>
      <w:r w:rsidR="00C27D35">
        <w:t xml:space="preserve"> allowed testing of 5G equipment and devices, as well as 5G research and development more generally.</w:t>
      </w:r>
      <w:r w:rsidR="00C27D35">
        <w:rPr>
          <w:rStyle w:val="FootnoteReference"/>
        </w:rPr>
        <w:footnoteReference w:id="63"/>
      </w:r>
      <w:r w:rsidR="00FC32BD" w:rsidRPr="00971D0D">
        <w:t xml:space="preserve">  </w:t>
      </w:r>
      <w:r w:rsidR="00F1335C">
        <w:t>The Applicants state that Verizon Wireless is committed to being the first to market with commercial deployment of 5G in 2018,</w:t>
      </w:r>
      <w:r w:rsidR="00F1335C">
        <w:rPr>
          <w:rStyle w:val="FootnoteReference"/>
        </w:rPr>
        <w:footnoteReference w:id="64"/>
      </w:r>
      <w:r w:rsidR="00F1335C">
        <w:t xml:space="preserve"> and they</w:t>
      </w:r>
      <w:r w:rsidR="006F7226">
        <w:t xml:space="preserve"> </w:t>
      </w:r>
      <w:r w:rsidR="00C27D35">
        <w:t xml:space="preserve">assert that acquiring the Nextlink mmW licenses will advance Verizon Wireless’s commitment to </w:t>
      </w:r>
      <w:r w:rsidR="00635556">
        <w:t>the</w:t>
      </w:r>
      <w:r w:rsidR="00C27D35">
        <w:t xml:space="preserve"> continued deployment of 5G technology</w:t>
      </w:r>
      <w:r w:rsidR="00F1335C">
        <w:t>, providing the certainty to proceed with long-term planning and investments.</w:t>
      </w:r>
      <w:r w:rsidR="00C27D35">
        <w:rPr>
          <w:rStyle w:val="FootnoteReference"/>
        </w:rPr>
        <w:footnoteReference w:id="65"/>
      </w:r>
      <w:r w:rsidR="00F3459B" w:rsidRPr="00B76011">
        <w:t xml:space="preserve"> </w:t>
      </w:r>
    </w:p>
    <w:p w14:paraId="166AACB9" w14:textId="4C2E7A48" w:rsidR="00F3459B" w:rsidRPr="00B76011" w:rsidRDefault="00E23034" w:rsidP="0025247C">
      <w:pPr>
        <w:pStyle w:val="ParaNum"/>
        <w:widowControl/>
        <w:tabs>
          <w:tab w:val="num" w:pos="1440"/>
        </w:tabs>
        <w:spacing w:line="240" w:lineRule="auto"/>
        <w:ind w:left="86"/>
      </w:pPr>
      <w:r w:rsidRPr="00B76011">
        <w:rPr>
          <w:i/>
        </w:rPr>
        <w:t>Discussion</w:t>
      </w:r>
      <w:r w:rsidR="001D16D8" w:rsidRPr="00B76011">
        <w:rPr>
          <w:i/>
        </w:rPr>
        <w:t xml:space="preserve">.  </w:t>
      </w:r>
      <w:r w:rsidR="001D16D8" w:rsidRPr="00B76011">
        <w:t xml:space="preserve">We </w:t>
      </w:r>
      <w:r w:rsidR="00FC32BD" w:rsidRPr="00B76011">
        <w:t xml:space="preserve">have reviewed the </w:t>
      </w:r>
      <w:r w:rsidR="00FA6941">
        <w:t>Applicant</w:t>
      </w:r>
      <w:r w:rsidR="00FC32BD" w:rsidRPr="00B76011">
        <w:t xml:space="preserve">s’ </w:t>
      </w:r>
      <w:r w:rsidR="008F0E47">
        <w:t xml:space="preserve">claimed </w:t>
      </w:r>
      <w:r w:rsidR="00FC32BD" w:rsidRPr="00B76011">
        <w:t>public interest benefits an</w:t>
      </w:r>
      <w:r w:rsidR="00FC32BD" w:rsidRPr="00971D0D">
        <w:t xml:space="preserve">d find </w:t>
      </w:r>
      <w:r w:rsidR="001D16D8" w:rsidRPr="00B76011">
        <w:t>that</w:t>
      </w:r>
      <w:r w:rsidR="00FC32BD" w:rsidRPr="00B76011">
        <w:t>,</w:t>
      </w:r>
      <w:r w:rsidR="001D16D8" w:rsidRPr="00B76011">
        <w:t xml:space="preserve"> </w:t>
      </w:r>
      <w:r w:rsidR="00FC32BD" w:rsidRPr="00B76011">
        <w:t>as a direct result of the</w:t>
      </w:r>
      <w:r w:rsidR="00606906">
        <w:t xml:space="preserve"> transaction</w:t>
      </w:r>
      <w:r w:rsidR="00FC32BD" w:rsidRPr="00B76011">
        <w:t xml:space="preserve">, </w:t>
      </w:r>
      <w:r w:rsidR="001D16D8" w:rsidRPr="00B76011">
        <w:t xml:space="preserve">Verizon Wireless </w:t>
      </w:r>
      <w:r w:rsidR="008F0E47" w:rsidRPr="00B76011">
        <w:t xml:space="preserve">likely </w:t>
      </w:r>
      <w:r w:rsidR="00FC32BD" w:rsidRPr="00B76011">
        <w:t>would be better able t</w:t>
      </w:r>
      <w:r w:rsidR="001D16D8" w:rsidRPr="00B76011">
        <w:t xml:space="preserve">o </w:t>
      </w:r>
      <w:r w:rsidR="006F7226">
        <w:t xml:space="preserve">continue </w:t>
      </w:r>
      <w:r w:rsidR="001D16D8" w:rsidRPr="00B76011">
        <w:t>advanc</w:t>
      </w:r>
      <w:r w:rsidR="006F7226">
        <w:t>ing</w:t>
      </w:r>
      <w:r w:rsidR="001D16D8" w:rsidRPr="00B76011">
        <w:t xml:space="preserve"> 5G development </w:t>
      </w:r>
      <w:r w:rsidR="00353499" w:rsidRPr="00B76011">
        <w:t xml:space="preserve">to the benefit of </w:t>
      </w:r>
      <w:r w:rsidR="00FC32BD" w:rsidRPr="00B76011">
        <w:t>American consumer</w:t>
      </w:r>
      <w:r w:rsidR="00353499" w:rsidRPr="00B76011">
        <w:t>s</w:t>
      </w:r>
      <w:r w:rsidR="001D16D8" w:rsidRPr="00B76011">
        <w:t xml:space="preserve">.  </w:t>
      </w:r>
      <w:r w:rsidR="008B61E4" w:rsidRPr="00B76011">
        <w:t xml:space="preserve">As discussed in the </w:t>
      </w:r>
      <w:r w:rsidR="008B61E4" w:rsidRPr="00B76011">
        <w:rPr>
          <w:i/>
        </w:rPr>
        <w:t>Spectrum Frontiers Order</w:t>
      </w:r>
      <w:r w:rsidR="008B61E4" w:rsidRPr="00B76011">
        <w:t xml:space="preserve">, </w:t>
      </w:r>
      <w:r w:rsidR="00F3459B" w:rsidRPr="00B76011">
        <w:t xml:space="preserve">the </w:t>
      </w:r>
      <w:r w:rsidR="00B76011">
        <w:t xml:space="preserve">28 GHz </w:t>
      </w:r>
      <w:r w:rsidR="00F3459B" w:rsidRPr="00B76011">
        <w:t xml:space="preserve">and 39 GHz spectrum that is included in the </w:t>
      </w:r>
      <w:r w:rsidR="00E95F72">
        <w:t xml:space="preserve">proposed </w:t>
      </w:r>
      <w:r w:rsidR="00606906">
        <w:t xml:space="preserve">transaction </w:t>
      </w:r>
      <w:r w:rsidR="00F3459B" w:rsidRPr="00B76011">
        <w:t xml:space="preserve">is </w:t>
      </w:r>
      <w:r w:rsidR="00F6386C">
        <w:t xml:space="preserve">likely to be </w:t>
      </w:r>
      <w:r w:rsidR="00F3459B" w:rsidRPr="00B76011">
        <w:t>crucial to 5G deployment.</w:t>
      </w:r>
      <w:r w:rsidR="00F3459B" w:rsidRPr="00971D0D">
        <w:rPr>
          <w:rStyle w:val="FootnoteReference"/>
        </w:rPr>
        <w:footnoteReference w:id="66"/>
      </w:r>
      <w:r w:rsidR="00F3459B" w:rsidRPr="00971D0D">
        <w:t xml:space="preserve">  </w:t>
      </w:r>
      <w:r w:rsidR="00B84DDD" w:rsidRPr="008A7114">
        <w:t>Verizon</w:t>
      </w:r>
      <w:r w:rsidR="00B84DDD">
        <w:t xml:space="preserve"> Wireless has publicly committed to an aggressive schedule in developing </w:t>
      </w:r>
      <w:r w:rsidR="008F0E47">
        <w:t xml:space="preserve">and deploying </w:t>
      </w:r>
      <w:r w:rsidR="00B84DDD">
        <w:t>5G technology</w:t>
      </w:r>
      <w:r w:rsidR="006F7226">
        <w:t xml:space="preserve"> and services</w:t>
      </w:r>
      <w:r w:rsidR="00B84DDD">
        <w:t xml:space="preserve"> </w:t>
      </w:r>
      <w:r w:rsidR="008F0E47">
        <w:t xml:space="preserve">and, </w:t>
      </w:r>
      <w:r w:rsidR="00B84DDD">
        <w:t xml:space="preserve">without </w:t>
      </w:r>
      <w:r w:rsidR="006F7226">
        <w:t xml:space="preserve">continued </w:t>
      </w:r>
      <w:r w:rsidR="00B84DDD">
        <w:t xml:space="preserve">access to the spectrum </w:t>
      </w:r>
      <w:r w:rsidR="006F7226">
        <w:t>that it has been leasing and using in its development efforts to date</w:t>
      </w:r>
      <w:r w:rsidR="00B84DDD">
        <w:t xml:space="preserve">, it would be severely hampered in its efforts.  </w:t>
      </w:r>
      <w:r w:rsidR="00F3459B" w:rsidRPr="00971D0D">
        <w:t xml:space="preserve">We believe </w:t>
      </w:r>
      <w:r w:rsidR="00B84DDD">
        <w:t xml:space="preserve">therefore </w:t>
      </w:r>
      <w:r w:rsidR="00F3459B" w:rsidRPr="00971D0D">
        <w:t xml:space="preserve">that </w:t>
      </w:r>
      <w:r w:rsidRPr="00971D0D">
        <w:t>consenting to</w:t>
      </w:r>
      <w:r w:rsidR="00F3459B" w:rsidRPr="00B76011">
        <w:t xml:space="preserve"> the subject </w:t>
      </w:r>
      <w:r w:rsidR="00FA6941">
        <w:t>transaction</w:t>
      </w:r>
      <w:r w:rsidR="00F3459B" w:rsidRPr="00B76011">
        <w:t xml:space="preserve"> w</w:t>
      </w:r>
      <w:r w:rsidRPr="00B76011">
        <w:t>ill</w:t>
      </w:r>
      <w:r w:rsidR="00F3459B" w:rsidRPr="00B76011">
        <w:t xml:space="preserve"> allow Verizon Wireless</w:t>
      </w:r>
      <w:r w:rsidR="002D7CE4" w:rsidRPr="00B76011">
        <w:t xml:space="preserve">, which does not currently hold </w:t>
      </w:r>
      <w:r w:rsidR="00606906">
        <w:t xml:space="preserve">licenses to </w:t>
      </w:r>
      <w:r w:rsidR="002D7CE4" w:rsidRPr="00B76011">
        <w:t>any of this spectrum,</w:t>
      </w:r>
      <w:r w:rsidR="00F3459B" w:rsidRPr="00B76011">
        <w:t xml:space="preserve"> to </w:t>
      </w:r>
      <w:r w:rsidR="00606906">
        <w:t xml:space="preserve">continue to </w:t>
      </w:r>
      <w:r w:rsidR="00F3459B" w:rsidRPr="00B76011">
        <w:t xml:space="preserve">develop </w:t>
      </w:r>
      <w:r w:rsidR="009533AA" w:rsidRPr="00B76011">
        <w:t xml:space="preserve">potentially </w:t>
      </w:r>
      <w:r w:rsidR="00220916" w:rsidRPr="00B76011">
        <w:t xml:space="preserve">important </w:t>
      </w:r>
      <w:r w:rsidR="00F3459B" w:rsidRPr="00B76011">
        <w:t xml:space="preserve">uses and </w:t>
      </w:r>
      <w:r w:rsidR="009533AA" w:rsidRPr="00B76011">
        <w:t>new t</w:t>
      </w:r>
      <w:r w:rsidR="00F3459B" w:rsidRPr="00B76011">
        <w:t xml:space="preserve">echnology for these mmW spectrum bands.  </w:t>
      </w:r>
    </w:p>
    <w:p w14:paraId="1570EB62" w14:textId="77777777" w:rsidR="003D7301" w:rsidRPr="00971D0D" w:rsidRDefault="003B3E2E" w:rsidP="00B118E6">
      <w:pPr>
        <w:pStyle w:val="Heading1"/>
        <w:tabs>
          <w:tab w:val="num" w:pos="1440"/>
        </w:tabs>
        <w:spacing w:line="240" w:lineRule="auto"/>
      </w:pPr>
      <w:bookmarkStart w:id="68" w:name="_Toc413413920"/>
      <w:bookmarkStart w:id="69" w:name="_Toc413661531"/>
      <w:bookmarkStart w:id="70" w:name="_Toc418763701"/>
      <w:bookmarkStart w:id="71" w:name="_Toc418780426"/>
      <w:bookmarkStart w:id="72" w:name="_Toc418781220"/>
      <w:bookmarkStart w:id="73" w:name="_Toc419201474"/>
      <w:bookmarkStart w:id="74" w:name="_Toc419206335"/>
      <w:bookmarkStart w:id="75" w:name="_Toc419206931"/>
      <w:bookmarkStart w:id="76" w:name="_Toc419207009"/>
      <w:bookmarkStart w:id="77" w:name="_Toc419287181"/>
      <w:bookmarkStart w:id="78" w:name="_Toc419447053"/>
      <w:bookmarkStart w:id="79" w:name="_Toc419815672"/>
      <w:bookmarkStart w:id="80" w:name="_Toc420400643"/>
      <w:bookmarkStart w:id="81" w:name="_Toc420499771"/>
      <w:bookmarkStart w:id="82" w:name="_Toc426371655"/>
      <w:bookmarkStart w:id="83" w:name="_Toc431369391"/>
      <w:bookmarkStart w:id="84" w:name="_Toc432079510"/>
      <w:bookmarkStart w:id="85" w:name="_Toc433031351"/>
      <w:bookmarkStart w:id="86" w:name="_Toc433613271"/>
      <w:bookmarkStart w:id="87" w:name="_Toc433631091"/>
      <w:bookmarkStart w:id="88" w:name="_Toc433631154"/>
      <w:bookmarkStart w:id="89" w:name="_Toc433631219"/>
      <w:bookmarkStart w:id="90" w:name="_Toc433631273"/>
      <w:bookmarkStart w:id="91" w:name="_Toc433631617"/>
      <w:bookmarkStart w:id="92" w:name="_Toc434313063"/>
      <w:r>
        <w:t>Conclusion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802CE98" w14:textId="693B511C" w:rsidR="003D7301" w:rsidRPr="00971D0D" w:rsidRDefault="00F8432C" w:rsidP="00CA2513">
      <w:pPr>
        <w:pStyle w:val="ParaNum"/>
        <w:tabs>
          <w:tab w:val="num" w:pos="1440"/>
        </w:tabs>
        <w:spacing w:line="240" w:lineRule="auto"/>
        <w:ind w:left="86"/>
      </w:pPr>
      <w:r w:rsidRPr="00971D0D">
        <w:t>B</w:t>
      </w:r>
      <w:r w:rsidR="00047060" w:rsidRPr="00971D0D">
        <w:t xml:space="preserve">ased on our careful </w:t>
      </w:r>
      <w:r w:rsidRPr="00971D0D">
        <w:t>evaluation of the likely c</w:t>
      </w:r>
      <w:r w:rsidRPr="00B76011">
        <w:t>ompetitive effects</w:t>
      </w:r>
      <w:r w:rsidR="00047060" w:rsidRPr="00B76011">
        <w:t xml:space="preserve">, we find that the </w:t>
      </w:r>
      <w:r w:rsidR="00606906">
        <w:t xml:space="preserve">transaction </w:t>
      </w:r>
      <w:r w:rsidR="00047060" w:rsidRPr="00B76011">
        <w:t xml:space="preserve">is unlikely to result in any significant public interest harms. </w:t>
      </w:r>
      <w:r w:rsidRPr="00B76011">
        <w:t xml:space="preserve"> </w:t>
      </w:r>
      <w:r w:rsidRPr="00971D0D">
        <w:t xml:space="preserve">In addition, </w:t>
      </w:r>
      <w:r w:rsidRPr="00971D0D">
        <w:rPr>
          <w:snapToGrid/>
          <w:color w:val="000000" w:themeColor="text1"/>
          <w:szCs w:val="22"/>
        </w:rPr>
        <w:t xml:space="preserve">we </w:t>
      </w:r>
      <w:r w:rsidRPr="00971D0D">
        <w:rPr>
          <w:snapToGrid/>
          <w:color w:val="000000" w:themeColor="text1"/>
          <w:kern w:val="0"/>
          <w:szCs w:val="22"/>
        </w:rPr>
        <w:t xml:space="preserve">find that </w:t>
      </w:r>
      <w:r w:rsidRPr="00971D0D">
        <w:t xml:space="preserve">the record provides general support for the </w:t>
      </w:r>
      <w:r w:rsidR="00606906">
        <w:t>Applican</w:t>
      </w:r>
      <w:r w:rsidRPr="00971D0D">
        <w:t xml:space="preserve">ts’ </w:t>
      </w:r>
      <w:r w:rsidR="007C6005" w:rsidRPr="00971D0D">
        <w:t>assertions</w:t>
      </w:r>
      <w:r w:rsidRPr="00971D0D">
        <w:t xml:space="preserve"> that the </w:t>
      </w:r>
      <w:r w:rsidR="00606906">
        <w:t xml:space="preserve">transaction </w:t>
      </w:r>
      <w:r w:rsidR="008F0E47" w:rsidRPr="00971D0D">
        <w:t xml:space="preserve">likely </w:t>
      </w:r>
      <w:r w:rsidRPr="00971D0D">
        <w:t xml:space="preserve">would result in </w:t>
      </w:r>
      <w:r w:rsidR="00B76011">
        <w:t>certain</w:t>
      </w:r>
      <w:r w:rsidR="00B76011" w:rsidRPr="00B76011">
        <w:t xml:space="preserve"> </w:t>
      </w:r>
      <w:r w:rsidRPr="00B76011">
        <w:t xml:space="preserve">public interest benefits.  As a result, based on </w:t>
      </w:r>
      <w:r w:rsidR="008F0E47">
        <w:t xml:space="preserve">our review of </w:t>
      </w:r>
      <w:r w:rsidRPr="00B76011">
        <w:t xml:space="preserve">the record before us, we find that consent to the proposed </w:t>
      </w:r>
      <w:r w:rsidR="00322260">
        <w:t xml:space="preserve">transfer of control </w:t>
      </w:r>
      <w:r w:rsidRPr="00CD2847">
        <w:t>would serve the public interest, convenience, and necessity.</w:t>
      </w:r>
    </w:p>
    <w:p w14:paraId="0EBC5558" w14:textId="77777777" w:rsidR="00C22202" w:rsidRPr="00971D0D" w:rsidRDefault="00C22202" w:rsidP="0025247C">
      <w:pPr>
        <w:pStyle w:val="Heading1"/>
        <w:keepNext w:val="0"/>
        <w:tabs>
          <w:tab w:val="num" w:pos="1440"/>
        </w:tabs>
        <w:spacing w:line="240" w:lineRule="auto"/>
      </w:pPr>
      <w:r w:rsidRPr="00971D0D">
        <w:t>ordering clauses</w:t>
      </w:r>
    </w:p>
    <w:p w14:paraId="6A22C651" w14:textId="77777777" w:rsidR="00047060" w:rsidRPr="00971D0D" w:rsidRDefault="00047060" w:rsidP="0025247C">
      <w:pPr>
        <w:pStyle w:val="ParaNum"/>
        <w:tabs>
          <w:tab w:val="num" w:pos="1440"/>
        </w:tabs>
        <w:spacing w:line="240" w:lineRule="auto"/>
        <w:ind w:left="86"/>
      </w:pPr>
      <w:r w:rsidRPr="00971D0D">
        <w:t xml:space="preserve">Accordingly, having reviewed the application and the record in this matter, </w:t>
      </w:r>
      <w:r w:rsidRPr="00C121CD">
        <w:rPr>
          <w:b/>
        </w:rPr>
        <w:t>I</w:t>
      </w:r>
      <w:r w:rsidR="00712455" w:rsidRPr="00C121CD">
        <w:rPr>
          <w:b/>
        </w:rPr>
        <w:t>T IS ORDERED</w:t>
      </w:r>
      <w:r w:rsidR="00712455">
        <w:t xml:space="preserve"> that, pursuant to S</w:t>
      </w:r>
      <w:r w:rsidRPr="00971D0D">
        <w:t xml:space="preserve">ections 4(i)-(j), </w:t>
      </w:r>
      <w:r w:rsidR="00971315" w:rsidRPr="00971D0D">
        <w:t>303(r)</w:t>
      </w:r>
      <w:r w:rsidRPr="00971D0D">
        <w:t>, 309, and 310(d) of the Communications Act of 1934, as amended, 47 U.S.C. §§ 154(i)-(j</w:t>
      </w:r>
      <w:r w:rsidRPr="00B76011">
        <w:t>),</w:t>
      </w:r>
      <w:r w:rsidR="00971315" w:rsidRPr="00B76011">
        <w:t xml:space="preserve"> 303(r)</w:t>
      </w:r>
      <w:r w:rsidRPr="00B76011">
        <w:t xml:space="preserve">, </w:t>
      </w:r>
      <w:r w:rsidR="00971315" w:rsidRPr="00B76011">
        <w:t xml:space="preserve">309, </w:t>
      </w:r>
      <w:r w:rsidRPr="00B76011">
        <w:t xml:space="preserve">310(d), the </w:t>
      </w:r>
      <w:r w:rsidR="00AC677C" w:rsidRPr="00B76011">
        <w:t xml:space="preserve">application for consent to the </w:t>
      </w:r>
      <w:r w:rsidR="003B3E2E">
        <w:t xml:space="preserve">transfer of control </w:t>
      </w:r>
      <w:r w:rsidR="00971315" w:rsidRPr="00971D0D">
        <w:t xml:space="preserve">filed by Verizon Wireless and </w:t>
      </w:r>
      <w:r w:rsidR="003B3E2E">
        <w:t xml:space="preserve">XO Holdings </w:t>
      </w:r>
      <w:r w:rsidRPr="00C121CD">
        <w:rPr>
          <w:b/>
        </w:rPr>
        <w:t>IS GRANTED</w:t>
      </w:r>
      <w:r w:rsidRPr="00971D0D">
        <w:t>.</w:t>
      </w:r>
    </w:p>
    <w:p w14:paraId="531EF7DA" w14:textId="2F680E10" w:rsidR="00C121CD" w:rsidRPr="00C121CD" w:rsidRDefault="00047060" w:rsidP="0025247C">
      <w:pPr>
        <w:pStyle w:val="ParaNum"/>
        <w:widowControl/>
        <w:tabs>
          <w:tab w:val="clear" w:pos="5310"/>
          <w:tab w:val="num" w:pos="1440"/>
        </w:tabs>
        <w:spacing w:line="240" w:lineRule="auto"/>
        <w:ind w:left="0"/>
      </w:pPr>
      <w:r w:rsidRPr="00C121CD">
        <w:rPr>
          <w:b/>
        </w:rPr>
        <w:t>IT IS FUR</w:t>
      </w:r>
      <w:r w:rsidR="00712455" w:rsidRPr="00C121CD">
        <w:rPr>
          <w:b/>
        </w:rPr>
        <w:t>THER ORDERED</w:t>
      </w:r>
      <w:r w:rsidR="00712455">
        <w:t xml:space="preserve"> that, pursuant to S</w:t>
      </w:r>
      <w:r w:rsidRPr="00971D0D">
        <w:t>ections 63.10, 63.13, and 1.939 of the Commission’s Rules, 47 C.F.R. §§ 63.10, 63.13</w:t>
      </w:r>
      <w:r w:rsidR="006975EA">
        <w:t xml:space="preserve">, 1.939, the petition of </w:t>
      </w:r>
      <w:r w:rsidR="003B3E2E">
        <w:t xml:space="preserve">CCA </w:t>
      </w:r>
      <w:r w:rsidRPr="00971D0D">
        <w:t xml:space="preserve">to deny the </w:t>
      </w:r>
      <w:r w:rsidR="00971315" w:rsidRPr="00971D0D">
        <w:t>a</w:t>
      </w:r>
      <w:r w:rsidRPr="00971D0D">
        <w:t xml:space="preserve">pplication </w:t>
      </w:r>
      <w:r w:rsidR="003B3E2E">
        <w:t xml:space="preserve">and the petition of Skyriver to hold the application in partial abeyance </w:t>
      </w:r>
      <w:r w:rsidR="006C7E53" w:rsidRPr="00C121CD">
        <w:rPr>
          <w:b/>
        </w:rPr>
        <w:t>ARE</w:t>
      </w:r>
      <w:r w:rsidRPr="00C121CD">
        <w:rPr>
          <w:b/>
        </w:rPr>
        <w:t xml:space="preserve"> DENIED</w:t>
      </w:r>
      <w:r w:rsidRPr="00971D0D">
        <w:t xml:space="preserve"> as discussed above</w:t>
      </w:r>
      <w:r w:rsidR="00B8452B">
        <w:t>.</w:t>
      </w:r>
      <w:r w:rsidR="00C121CD" w:rsidRPr="00C121CD">
        <w:rPr>
          <w:b/>
          <w:bCs/>
        </w:rPr>
        <w:t xml:space="preserve"> </w:t>
      </w:r>
    </w:p>
    <w:p w14:paraId="66174BA5" w14:textId="2E15F1A7" w:rsidR="00047060" w:rsidRPr="00971D0D" w:rsidRDefault="00C121CD" w:rsidP="0025247C">
      <w:pPr>
        <w:pStyle w:val="ParaNum"/>
        <w:widowControl/>
        <w:tabs>
          <w:tab w:val="clear" w:pos="5310"/>
          <w:tab w:val="num" w:pos="1440"/>
        </w:tabs>
        <w:spacing w:line="240" w:lineRule="auto"/>
        <w:ind w:left="86"/>
      </w:pPr>
      <w:r w:rsidRPr="00C121CD">
        <w:rPr>
          <w:b/>
          <w:bCs/>
        </w:rPr>
        <w:t xml:space="preserve">IT IS FURTHER ORDERED </w:t>
      </w:r>
      <w:r w:rsidRPr="00C7200D">
        <w:t xml:space="preserve">that the above grant shall include authority for </w:t>
      </w:r>
      <w:r w:rsidR="006A3C98">
        <w:t>Verizon Wireless</w:t>
      </w:r>
      <w:r w:rsidRPr="00C7200D">
        <w:t xml:space="preserve">, consistent with the terms of this Memorandum Opinion and Order, to acquire control of: </w:t>
      </w:r>
      <w:r w:rsidR="00E95F72">
        <w:t xml:space="preserve"> </w:t>
      </w:r>
      <w:r w:rsidRPr="00C7200D">
        <w:t>(1)</w:t>
      </w:r>
      <w:r w:rsidR="00EB1EC4">
        <w:t> </w:t>
      </w:r>
      <w:r w:rsidRPr="00C7200D">
        <w:t xml:space="preserve">any licenses and authorizations issued to </w:t>
      </w:r>
      <w:r w:rsidR="006A3C98">
        <w:t xml:space="preserve">Nextlink </w:t>
      </w:r>
      <w:r w:rsidRPr="00C7200D">
        <w:t xml:space="preserve">during the Commission’s consideration of the Application and the period required for consummation of the </w:t>
      </w:r>
      <w:r>
        <w:t>transaction</w:t>
      </w:r>
      <w:r w:rsidRPr="00C7200D">
        <w:t xml:space="preserve"> following approval; (2) any applications that have been filed by</w:t>
      </w:r>
      <w:r w:rsidR="00043BA1">
        <w:t xml:space="preserve"> </w:t>
      </w:r>
      <w:r w:rsidR="006A3C98">
        <w:t>Nextlink</w:t>
      </w:r>
      <w:r>
        <w:t xml:space="preserve"> </w:t>
      </w:r>
      <w:r w:rsidRPr="00C7200D">
        <w:t>that are pending at the time of consu</w:t>
      </w:r>
      <w:r>
        <w:t xml:space="preserve">mmation of the transaction; and </w:t>
      </w:r>
      <w:r w:rsidRPr="00C7200D">
        <w:t xml:space="preserve">(3) licenses that may have been inadvertently omitted from the Application that are held by </w:t>
      </w:r>
      <w:r w:rsidR="006A3C98">
        <w:t xml:space="preserve">Nextlink </w:t>
      </w:r>
      <w:r w:rsidRPr="00C7200D">
        <w:t xml:space="preserve">at the time of consummation of the </w:t>
      </w:r>
      <w:r>
        <w:t>transaction</w:t>
      </w:r>
      <w:r w:rsidRPr="00C7200D">
        <w:t>.</w:t>
      </w:r>
    </w:p>
    <w:p w14:paraId="26BDF6E6" w14:textId="77777777" w:rsidR="00971315" w:rsidRPr="00971D0D" w:rsidRDefault="00971315" w:rsidP="0025247C">
      <w:pPr>
        <w:pStyle w:val="ParaNum"/>
        <w:tabs>
          <w:tab w:val="num" w:pos="1440"/>
        </w:tabs>
        <w:spacing w:line="240" w:lineRule="auto"/>
        <w:ind w:left="86"/>
      </w:pPr>
      <w:r w:rsidRPr="00C121CD">
        <w:rPr>
          <w:b/>
        </w:rPr>
        <w:t>IT IS FURTHER ORDERED</w:t>
      </w:r>
      <w:r w:rsidRPr="00971D0D">
        <w:t xml:space="preserve"> that this Memorandum Opinion and Order </w:t>
      </w:r>
      <w:r w:rsidRPr="006061C1">
        <w:rPr>
          <w:b/>
        </w:rPr>
        <w:t>SHALL BE EFFECTIVE</w:t>
      </w:r>
      <w:r w:rsidRPr="00971D0D">
        <w:t xml:space="preserve"> upon release.  Petit</w:t>
      </w:r>
      <w:r w:rsidR="00712455">
        <w:t>ions for Reconsideration under S</w:t>
      </w:r>
      <w:r w:rsidRPr="00971D0D">
        <w:t>ection 1.106 of the Commission’s Rules, 47 C.F.R. § 1.106, may be filed within thirty days of the date of release of this Memorandum Opinion and Order.</w:t>
      </w:r>
    </w:p>
    <w:p w14:paraId="60B595FE" w14:textId="77777777" w:rsidR="00971315" w:rsidRPr="00971D0D" w:rsidRDefault="00971315" w:rsidP="0025247C">
      <w:pPr>
        <w:pStyle w:val="ParaNum"/>
        <w:tabs>
          <w:tab w:val="num" w:pos="1440"/>
        </w:tabs>
        <w:spacing w:line="240" w:lineRule="auto"/>
        <w:ind w:left="86"/>
      </w:pPr>
      <w:r w:rsidRPr="00971D0D">
        <w:t>This action is taken under d</w:t>
      </w:r>
      <w:r w:rsidR="00712455">
        <w:t>elegated authority pursuant to S</w:t>
      </w:r>
      <w:r w:rsidRPr="00971D0D">
        <w:t xml:space="preserve">ections 0.131 and 0.331 of the Commission’s Rules, 47 C.F.R. §§ 0.131, 0.331. </w:t>
      </w:r>
    </w:p>
    <w:p w14:paraId="31481335" w14:textId="77777777" w:rsidR="00973EB7" w:rsidRPr="00971D0D" w:rsidRDefault="00973EB7" w:rsidP="0025247C">
      <w:pPr>
        <w:widowControl/>
        <w:tabs>
          <w:tab w:val="num" w:pos="1440"/>
        </w:tabs>
        <w:spacing w:line="240" w:lineRule="auto"/>
        <w:ind w:left="3600" w:firstLine="720"/>
      </w:pPr>
      <w:r w:rsidRPr="00971D0D">
        <w:t>FEDERAL COMMUNICATIONS COMMISSION</w:t>
      </w:r>
    </w:p>
    <w:p w14:paraId="35159B3E" w14:textId="77777777" w:rsidR="00973EB7" w:rsidRPr="00971D0D" w:rsidRDefault="00973EB7" w:rsidP="0025247C">
      <w:pPr>
        <w:widowControl/>
        <w:tabs>
          <w:tab w:val="num" w:pos="1440"/>
        </w:tabs>
        <w:spacing w:after="0" w:line="240" w:lineRule="auto"/>
      </w:pPr>
    </w:p>
    <w:p w14:paraId="18F15BD6" w14:textId="77777777" w:rsidR="00B04EDB" w:rsidRPr="00971D0D" w:rsidRDefault="00B04EDB" w:rsidP="0025247C">
      <w:pPr>
        <w:widowControl/>
        <w:tabs>
          <w:tab w:val="num" w:pos="1440"/>
        </w:tabs>
        <w:spacing w:after="0" w:line="240" w:lineRule="auto"/>
      </w:pPr>
    </w:p>
    <w:p w14:paraId="7E5CF110" w14:textId="77777777" w:rsidR="00973EB7" w:rsidRPr="00971D0D" w:rsidRDefault="00973EB7" w:rsidP="0025247C">
      <w:pPr>
        <w:widowControl/>
        <w:tabs>
          <w:tab w:val="num" w:pos="1440"/>
        </w:tabs>
        <w:spacing w:after="0" w:line="240" w:lineRule="auto"/>
      </w:pPr>
    </w:p>
    <w:p w14:paraId="4E98E839" w14:textId="77777777" w:rsidR="00973EB7" w:rsidRPr="00971D0D" w:rsidRDefault="00973EB7" w:rsidP="0025247C">
      <w:pPr>
        <w:widowControl/>
        <w:tabs>
          <w:tab w:val="num" w:pos="1440"/>
        </w:tabs>
        <w:spacing w:after="0" w:line="240" w:lineRule="auto"/>
      </w:pPr>
    </w:p>
    <w:p w14:paraId="5B11C4D2" w14:textId="77777777" w:rsidR="00973EB7" w:rsidRPr="00971D0D" w:rsidRDefault="00FA4764" w:rsidP="0025247C">
      <w:pPr>
        <w:widowControl/>
        <w:tabs>
          <w:tab w:val="num" w:pos="1440"/>
        </w:tabs>
        <w:spacing w:after="0" w:line="240" w:lineRule="auto"/>
      </w:pPr>
      <w:r w:rsidRPr="00971D0D">
        <w:tab/>
      </w:r>
      <w:r w:rsidRPr="00971D0D">
        <w:tab/>
      </w:r>
      <w:r w:rsidRPr="00971D0D">
        <w:tab/>
      </w:r>
      <w:r w:rsidRPr="00971D0D">
        <w:tab/>
      </w:r>
      <w:r w:rsidRPr="00971D0D">
        <w:tab/>
      </w:r>
      <w:r w:rsidR="004B784D">
        <w:t>Donald Stockdale</w:t>
      </w:r>
    </w:p>
    <w:p w14:paraId="53B89EA1" w14:textId="77777777" w:rsidR="00973EB7" w:rsidRPr="00971D0D" w:rsidRDefault="00973EB7" w:rsidP="0025247C">
      <w:pPr>
        <w:widowControl/>
        <w:tabs>
          <w:tab w:val="num" w:pos="1440"/>
        </w:tabs>
        <w:spacing w:after="0" w:line="240" w:lineRule="auto"/>
        <w:ind w:left="3600" w:firstLine="720"/>
      </w:pPr>
      <w:r w:rsidRPr="00971D0D">
        <w:t>Chief</w:t>
      </w:r>
    </w:p>
    <w:p w14:paraId="6CAA675E" w14:textId="77777777" w:rsidR="00AC1B4C" w:rsidRPr="003D7301" w:rsidRDefault="00973EB7" w:rsidP="0025247C">
      <w:pPr>
        <w:widowControl/>
        <w:tabs>
          <w:tab w:val="num" w:pos="1440"/>
        </w:tabs>
        <w:spacing w:after="0" w:line="240" w:lineRule="auto"/>
        <w:ind w:left="3600" w:firstLine="720"/>
      </w:pPr>
      <w:r w:rsidRPr="00971D0D">
        <w:t>Wireless Telecommunications Bureau</w:t>
      </w:r>
    </w:p>
    <w:sectPr w:rsidR="00AC1B4C" w:rsidRPr="003D7301" w:rsidSect="00B506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2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CEC73" w14:textId="77777777" w:rsidR="00243822" w:rsidRDefault="00243822">
      <w:pPr>
        <w:spacing w:line="20" w:lineRule="exact"/>
      </w:pPr>
    </w:p>
  </w:endnote>
  <w:endnote w:type="continuationSeparator" w:id="0">
    <w:p w14:paraId="50ADB48C" w14:textId="77777777" w:rsidR="00243822" w:rsidRDefault="00243822">
      <w:r>
        <w:t xml:space="preserve"> </w:t>
      </w:r>
    </w:p>
  </w:endnote>
  <w:endnote w:type="continuationNotice" w:id="1">
    <w:p w14:paraId="61B3B438" w14:textId="77777777" w:rsidR="00243822" w:rsidRDefault="002438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8CA5" w14:textId="77777777" w:rsidR="00947DF0" w:rsidRDefault="00947DF0" w:rsidP="0055614C">
    <w:pPr>
      <w:pStyle w:val="Footer"/>
      <w:framePr w:wrap="around" w:vAnchor="text" w:hAnchor="margin" w:xAlign="center" w:y="1"/>
    </w:pPr>
    <w:r>
      <w:fldChar w:fldCharType="begin"/>
    </w:r>
    <w:r>
      <w:instrText xml:space="preserve">PAGE  </w:instrText>
    </w:r>
    <w:r>
      <w:fldChar w:fldCharType="end"/>
    </w:r>
  </w:p>
  <w:p w14:paraId="05D182BE" w14:textId="77777777" w:rsidR="00947DF0" w:rsidRDefault="00947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9F3E" w14:textId="1F4B1ED7" w:rsidR="00947DF0" w:rsidRDefault="00947DF0" w:rsidP="0055614C">
    <w:pPr>
      <w:pStyle w:val="Footer"/>
      <w:framePr w:wrap="around" w:vAnchor="text" w:hAnchor="margin" w:xAlign="center" w:y="1"/>
    </w:pPr>
    <w:r>
      <w:fldChar w:fldCharType="begin"/>
    </w:r>
    <w:r>
      <w:instrText xml:space="preserve">PAGE  </w:instrText>
    </w:r>
    <w:r>
      <w:fldChar w:fldCharType="separate"/>
    </w:r>
    <w:r w:rsidR="00BF540D">
      <w:rPr>
        <w:noProof/>
      </w:rPr>
      <w:t>2</w:t>
    </w:r>
    <w:r>
      <w:fldChar w:fldCharType="end"/>
    </w:r>
  </w:p>
  <w:p w14:paraId="56DBEDCE" w14:textId="77777777" w:rsidR="00947DF0" w:rsidRDefault="00947DF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EC21" w14:textId="77777777" w:rsidR="00947DF0" w:rsidRDefault="00947DF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B7615" w14:textId="77777777" w:rsidR="00243822" w:rsidRDefault="00243822">
      <w:r>
        <w:separator/>
      </w:r>
    </w:p>
  </w:footnote>
  <w:footnote w:type="continuationSeparator" w:id="0">
    <w:p w14:paraId="45DF1D74" w14:textId="77777777" w:rsidR="00243822" w:rsidRDefault="00243822" w:rsidP="00C721AC">
      <w:pPr>
        <w:spacing w:before="120"/>
        <w:rPr>
          <w:sz w:val="20"/>
        </w:rPr>
      </w:pPr>
      <w:r>
        <w:rPr>
          <w:sz w:val="20"/>
        </w:rPr>
        <w:t xml:space="preserve">(Continued from previous page)  </w:t>
      </w:r>
      <w:r>
        <w:rPr>
          <w:sz w:val="20"/>
        </w:rPr>
        <w:separator/>
      </w:r>
    </w:p>
  </w:footnote>
  <w:footnote w:type="continuationNotice" w:id="1">
    <w:p w14:paraId="26DD6182" w14:textId="77777777" w:rsidR="00243822" w:rsidRDefault="00243822" w:rsidP="00C721AC">
      <w:pPr>
        <w:jc w:val="right"/>
        <w:rPr>
          <w:sz w:val="20"/>
        </w:rPr>
      </w:pPr>
      <w:r>
        <w:rPr>
          <w:sz w:val="20"/>
        </w:rPr>
        <w:t>(continued….)</w:t>
      </w:r>
    </w:p>
  </w:footnote>
  <w:footnote w:id="2">
    <w:p w14:paraId="426F23E3" w14:textId="77777777" w:rsidR="00947DF0" w:rsidRPr="001471E0" w:rsidRDefault="00947DF0" w:rsidP="0025247C">
      <w:pPr>
        <w:pStyle w:val="FootnoteText"/>
        <w:spacing w:line="240" w:lineRule="auto"/>
      </w:pPr>
      <w:r>
        <w:rPr>
          <w:rStyle w:val="FootnoteReference"/>
        </w:rPr>
        <w:footnoteRef/>
      </w:r>
      <w:r>
        <w:t xml:space="preserve"> </w:t>
      </w:r>
      <w:r>
        <w:rPr>
          <w:i/>
        </w:rPr>
        <w:t>Applications of Cellco Partnership d/b/a Verizon Wireless and Nextlink Wireless, LLC for Consent to Long-Term De Facto Transfer Spectrum Leasing Arrangement</w:t>
      </w:r>
      <w:r>
        <w:t>, Memorandum Opinion and Order, 31 FCC Rcd 7767 (WTB 2016)</w:t>
      </w:r>
      <w:r w:rsidRPr="00AA6003">
        <w:t xml:space="preserve"> </w:t>
      </w:r>
      <w:r>
        <w:t>(</w:t>
      </w:r>
      <w:r>
        <w:rPr>
          <w:i/>
        </w:rPr>
        <w:t>Verizon-Nextlink Leasing Order</w:t>
      </w:r>
      <w:r>
        <w:t>) (granting consent to leasing arrangement).</w:t>
      </w:r>
    </w:p>
  </w:footnote>
  <w:footnote w:id="3">
    <w:p w14:paraId="3CC097A1" w14:textId="35A8E0C7" w:rsidR="00947DF0" w:rsidRDefault="00947DF0" w:rsidP="0025247C">
      <w:pPr>
        <w:pStyle w:val="FootnoteText"/>
        <w:spacing w:line="240" w:lineRule="auto"/>
      </w:pPr>
      <w:r>
        <w:rPr>
          <w:rStyle w:val="FootnoteReference"/>
        </w:rPr>
        <w:footnoteRef/>
      </w:r>
      <w:r w:rsidR="006309DA">
        <w:t xml:space="preserve"> </w:t>
      </w:r>
      <w:r w:rsidRPr="002D0DCC">
        <w:rPr>
          <w:i/>
        </w:rPr>
        <w:t xml:space="preserve">Application of Cellco Partnership and </w:t>
      </w:r>
      <w:r>
        <w:rPr>
          <w:i/>
        </w:rPr>
        <w:t xml:space="preserve">XO Holdings </w:t>
      </w:r>
      <w:r w:rsidRPr="002D0DCC">
        <w:rPr>
          <w:i/>
        </w:rPr>
        <w:t xml:space="preserve">for Transfer </w:t>
      </w:r>
      <w:r>
        <w:rPr>
          <w:i/>
        </w:rPr>
        <w:t>of Control of Licenses</w:t>
      </w:r>
      <w:r>
        <w:t xml:space="preserve">, </w:t>
      </w:r>
      <w:r w:rsidR="008C6DC1">
        <w:t xml:space="preserve">ULS </w:t>
      </w:r>
      <w:r>
        <w:t>File No. 0007765708</w:t>
      </w:r>
      <w:r w:rsidR="008C6DC1">
        <w:t xml:space="preserve"> (filed May 11, 2017) (</w:t>
      </w:r>
      <w:r w:rsidR="005233FA">
        <w:t>Application</w:t>
      </w:r>
      <w:r w:rsidR="008C6DC1">
        <w:t>)</w:t>
      </w:r>
      <w:r>
        <w:t xml:space="preserve">, Ex. 1 – Description of Transaction and Public Interest Statement at 2 (Public Interest Statement).  Verizon Wireless is a wholly-owned subsidiary of Verizon Communications Inc., a publicly-traded holding company incorporated in Delaware.  </w:t>
      </w:r>
      <w:r w:rsidRPr="004131DF">
        <w:rPr>
          <w:i/>
        </w:rPr>
        <w:t>Id</w:t>
      </w:r>
      <w:r>
        <w:t>.</w:t>
      </w:r>
    </w:p>
  </w:footnote>
  <w:footnote w:id="4">
    <w:p w14:paraId="4385BF00" w14:textId="38E0AA90" w:rsidR="00947DF0" w:rsidRPr="00A61147" w:rsidRDefault="00947DF0" w:rsidP="0025247C">
      <w:pPr>
        <w:pStyle w:val="FootnoteText"/>
        <w:spacing w:line="240" w:lineRule="auto"/>
      </w:pPr>
      <w:r>
        <w:rPr>
          <w:rStyle w:val="FootnoteReference"/>
        </w:rPr>
        <w:footnoteRef/>
      </w:r>
      <w:r>
        <w:t xml:space="preserve"> </w:t>
      </w:r>
      <w:r>
        <w:rPr>
          <w:i/>
        </w:rPr>
        <w:t>Id.</w:t>
      </w:r>
      <w:r w:rsidR="00E939D4">
        <w:rPr>
          <w:i/>
        </w:rPr>
        <w:t xml:space="preserve"> </w:t>
      </w:r>
      <w:r>
        <w:t>at 1.</w:t>
      </w:r>
    </w:p>
  </w:footnote>
  <w:footnote w:id="5">
    <w:p w14:paraId="7CFD2FB9" w14:textId="77777777" w:rsidR="00947DF0" w:rsidRPr="00D57324" w:rsidRDefault="00947DF0" w:rsidP="0025247C">
      <w:pPr>
        <w:pStyle w:val="FootnoteText"/>
        <w:spacing w:line="240" w:lineRule="auto"/>
      </w:pPr>
      <w:r>
        <w:rPr>
          <w:rStyle w:val="FootnoteReference"/>
        </w:rPr>
        <w:footnoteRef/>
      </w:r>
      <w:r>
        <w:t xml:space="preserve"> </w:t>
      </w:r>
      <w:r>
        <w:rPr>
          <w:i/>
        </w:rPr>
        <w:t>Id.</w:t>
      </w:r>
    </w:p>
  </w:footnote>
  <w:footnote w:id="6">
    <w:p w14:paraId="181CCC69" w14:textId="77777777" w:rsidR="00947DF0" w:rsidRDefault="00947DF0" w:rsidP="0025247C">
      <w:pPr>
        <w:pStyle w:val="FootnoteText"/>
        <w:spacing w:line="240" w:lineRule="auto"/>
      </w:pPr>
      <w:r>
        <w:rPr>
          <w:rStyle w:val="FootnoteReference"/>
        </w:rPr>
        <w:footnoteRef/>
      </w:r>
      <w:r>
        <w:t xml:space="preserve"> 47 U.S.C. § 310(d).  </w:t>
      </w:r>
    </w:p>
  </w:footnote>
  <w:footnote w:id="7">
    <w:p w14:paraId="23DAA9E5" w14:textId="77777777" w:rsidR="00947DF0" w:rsidRPr="00F21229" w:rsidRDefault="00947DF0" w:rsidP="0025247C">
      <w:pPr>
        <w:pStyle w:val="FootnoteText"/>
        <w:spacing w:line="240" w:lineRule="auto"/>
        <w:rPr>
          <w:i/>
        </w:rPr>
      </w:pPr>
      <w:r>
        <w:rPr>
          <w:rStyle w:val="FootnoteReference"/>
        </w:rPr>
        <w:footnoteRef/>
      </w:r>
      <w:r>
        <w:t xml:space="preserve"> Public Interest Statement at 2.  The Applicants state that the leasing arrangement will terminate when the proposed transfer of control has been completed.</w:t>
      </w:r>
      <w:r w:rsidR="00F21229">
        <w:t xml:space="preserve">  </w:t>
      </w:r>
      <w:r w:rsidR="00F21229">
        <w:rPr>
          <w:i/>
        </w:rPr>
        <w:t>Id.</w:t>
      </w:r>
    </w:p>
  </w:footnote>
  <w:footnote w:id="8">
    <w:p w14:paraId="16B47030" w14:textId="00AF0FFE" w:rsidR="00947DF0" w:rsidRDefault="00947DF0" w:rsidP="0025247C">
      <w:pPr>
        <w:pStyle w:val="FootnoteText"/>
        <w:spacing w:line="240" w:lineRule="auto"/>
      </w:pPr>
      <w:r>
        <w:rPr>
          <w:rStyle w:val="FootnoteReference"/>
        </w:rPr>
        <w:footnoteRef/>
      </w:r>
      <w:r>
        <w:t xml:space="preserve"> </w:t>
      </w:r>
      <w:r>
        <w:rPr>
          <w:i/>
        </w:rPr>
        <w:t xml:space="preserve">Cellco Partnership d/b/a Verizon Wireless and XO Holdings Seek FCC Consent to the Transfer of Control of Local Multipoint Distribution Service and 39 GHz Licenses Held by XO Holdings Subsidiary Nextlink Wireless LLC, </w:t>
      </w:r>
      <w:r>
        <w:t xml:space="preserve">ULS File No. 0007765708, Public Notice, </w:t>
      </w:r>
      <w:r w:rsidR="000D781D">
        <w:t>32</w:t>
      </w:r>
      <w:r>
        <w:t xml:space="preserve"> FCC Rcd </w:t>
      </w:r>
      <w:r w:rsidR="000D781D">
        <w:t>4723</w:t>
      </w:r>
      <w:r>
        <w:t xml:space="preserve"> (WTB 2017) (Accepted for Filing </w:t>
      </w:r>
      <w:r w:rsidRPr="00C241BE">
        <w:t>Public Notice</w:t>
      </w:r>
      <w:r>
        <w:t>).</w:t>
      </w:r>
    </w:p>
  </w:footnote>
  <w:footnote w:id="9">
    <w:p w14:paraId="2340AB8B" w14:textId="77777777" w:rsidR="00947DF0" w:rsidRDefault="00947DF0" w:rsidP="0025247C">
      <w:pPr>
        <w:pStyle w:val="FootnoteText"/>
        <w:spacing w:line="240" w:lineRule="auto"/>
      </w:pPr>
      <w:r>
        <w:rPr>
          <w:rStyle w:val="FootnoteReference"/>
        </w:rPr>
        <w:footnoteRef/>
      </w:r>
      <w:r>
        <w:t xml:space="preserve"> Competitive Carriers Association Petition to Deny (filed June 26, 2017) (CCA Petition); Skyriver Communications, Inc. Petition to Hold in Partial Abeyance (filed June 26, 2017) (Skyriver Petition); Reply of Competitive Carriers Association (filed July 11, 2017) (CCA Reply); Skyriver Reply to Joint Opposition to Petition (filed July 11, 2017) (Skyriver Reply).</w:t>
      </w:r>
    </w:p>
    <w:p w14:paraId="0301BFA1" w14:textId="77777777" w:rsidR="00947DF0" w:rsidRDefault="00947DF0" w:rsidP="0025247C">
      <w:pPr>
        <w:pStyle w:val="FootnoteText"/>
        <w:spacing w:line="240" w:lineRule="auto"/>
      </w:pPr>
      <w:r>
        <w:t xml:space="preserve">Additionally, CCA filed two </w:t>
      </w:r>
      <w:r>
        <w:rPr>
          <w:i/>
        </w:rPr>
        <w:t xml:space="preserve">ex parte </w:t>
      </w:r>
      <w:r w:rsidRPr="00711CA4">
        <w:t>submissions</w:t>
      </w:r>
      <w:r>
        <w:t>.  Letter from Courtney Neville, Policy Counsel, Competitive Carriers Association, to Marlene H. Dortch, Secretary, FCC, GN Docket No. 14-177, IB Docket Nos. 15-296 &amp; 97-95, RM-1164, WT Docket No. 10-112; ULS File Nos. 0007652635 &amp; 0007652637; ULS File No. 0007765708; ULS File No. 0007783428</w:t>
      </w:r>
      <w:r>
        <w:rPr>
          <w:i/>
        </w:rPr>
        <w:t xml:space="preserve"> </w:t>
      </w:r>
      <w:r>
        <w:t>(dated October 20, 2017); Letter from Courtney Neville, Policy Counsel, Competitive Carriers Association, to Marlene H. Dortch, Secretary, FCC, GN Docket No. 14-177, IB Docket Nos. 15-296 &amp; 97-95, RM-1164, WT Docket No. 10-112; ULS File Nos. 0007652635 &amp; 0007652637; ULS File No. 0007765708; ULS File No. 0007783428</w:t>
      </w:r>
      <w:r>
        <w:rPr>
          <w:i/>
        </w:rPr>
        <w:t xml:space="preserve"> </w:t>
      </w:r>
      <w:r>
        <w:t>(dated October 24, 2017)</w:t>
      </w:r>
      <w:r>
        <w:rPr>
          <w:i/>
        </w:rPr>
        <w:t>.</w:t>
      </w:r>
      <w:r>
        <w:t xml:space="preserve">  </w:t>
      </w:r>
    </w:p>
    <w:p w14:paraId="20E02DA2" w14:textId="1671486B" w:rsidR="00730CCC" w:rsidRDefault="00730CCC" w:rsidP="0025247C">
      <w:pPr>
        <w:pStyle w:val="FootnoteText"/>
        <w:spacing w:line="240" w:lineRule="auto"/>
      </w:pPr>
      <w:r>
        <w:t xml:space="preserve">Verizon Wireless also filed an </w:t>
      </w:r>
      <w:r>
        <w:rPr>
          <w:i/>
        </w:rPr>
        <w:t xml:space="preserve">ex parte </w:t>
      </w:r>
      <w:r>
        <w:t>submission.  Letter from Adam D. Krinsky, Counsel to Verizon, to Marlene H. Dortch, ULS File No. 0007765708; ULS File No. 0007783428 (dated November 20, 2017).</w:t>
      </w:r>
    </w:p>
    <w:p w14:paraId="75212594" w14:textId="77777777" w:rsidR="00947DF0" w:rsidRPr="008F154A" w:rsidRDefault="00947DF0" w:rsidP="0025247C">
      <w:pPr>
        <w:pStyle w:val="FootnoteText"/>
        <w:spacing w:line="240" w:lineRule="auto"/>
      </w:pPr>
      <w:r>
        <w:t xml:space="preserve">CCA also filed, on June 13, 2017, a motion to consolidate review of the Application with that of the application of Verizon Communications, Inc. </w:t>
      </w:r>
      <w:r w:rsidR="00F21229">
        <w:t xml:space="preserve">(Verizon Communications) </w:t>
      </w:r>
      <w:r>
        <w:t xml:space="preserve">and Straight Path Communications, Inc. </w:t>
      </w:r>
      <w:r w:rsidR="00B475F2">
        <w:t xml:space="preserve">(Straight Path) </w:t>
      </w:r>
      <w:r>
        <w:t xml:space="preserve">for consent to the transfer of control of Straight Path Spectrum, LLC, ULS File No. 0007783428 </w:t>
      </w:r>
      <w:r w:rsidR="00B77554">
        <w:t>(filed June 1, 2017)</w:t>
      </w:r>
      <w:r w:rsidR="00B77554" w:rsidRPr="00B77554">
        <w:t xml:space="preserve"> </w:t>
      </w:r>
      <w:r w:rsidR="00B77554">
        <w:t>(CCA Motion to Consolidate)</w:t>
      </w:r>
      <w:r>
        <w:t xml:space="preserve">.  The CCA Motion to Consolidate was denied.  </w:t>
      </w:r>
      <w:r>
        <w:rPr>
          <w:i/>
        </w:rPr>
        <w:t xml:space="preserve">Application of Cellco Partnership d/b/a Verizon Wireless and XO Holdings and Application of Verizon Communications, Inc. and Straight Path Communications, Inc., </w:t>
      </w:r>
      <w:r>
        <w:t>Memorandum Opinion and Order, DA 17-610 (WTB Broadband Division rel. June 22, 2017).</w:t>
      </w:r>
    </w:p>
  </w:footnote>
  <w:footnote w:id="10">
    <w:p w14:paraId="13AB9169" w14:textId="77777777" w:rsidR="00947DF0" w:rsidRPr="001F0EE9" w:rsidRDefault="00947DF0" w:rsidP="0025247C">
      <w:pPr>
        <w:pStyle w:val="FootnoteText"/>
        <w:spacing w:line="240" w:lineRule="auto"/>
        <w:rPr>
          <w:u w:val="single"/>
        </w:rPr>
      </w:pPr>
      <w:r>
        <w:rPr>
          <w:rStyle w:val="FootnoteReference"/>
        </w:rPr>
        <w:footnoteRef/>
      </w:r>
      <w:r>
        <w:t xml:space="preserve"> Verizon Wireless and XO Holdings Joint Opposition to Petitions (filed July 3, 2017) (Joint Opposition).  </w:t>
      </w:r>
    </w:p>
  </w:footnote>
  <w:footnote w:id="11">
    <w:p w14:paraId="37F63041" w14:textId="2AC3EFE3" w:rsidR="00947DF0" w:rsidRPr="00DC3470" w:rsidRDefault="00947DF0" w:rsidP="0025247C">
      <w:pPr>
        <w:pStyle w:val="FootnoteText"/>
        <w:spacing w:line="240" w:lineRule="auto"/>
      </w:pPr>
      <w:r w:rsidRPr="00DC3470">
        <w:rPr>
          <w:rStyle w:val="FootnoteReference"/>
        </w:rPr>
        <w:footnoteRef/>
      </w:r>
      <w:r w:rsidRPr="00DC3470">
        <w:t xml:space="preserve"> 47 U.S.C. § 310(d).  Section 310(d) of the Act requires that we consider applications for transfer of Title III licenses under the same standard as if the proposed transferee were applying for licenses directly under </w:t>
      </w:r>
      <w:r w:rsidR="00C7767B">
        <w:t>S</w:t>
      </w:r>
      <w:r w:rsidRPr="00DC3470">
        <w:t xml:space="preserve">ection 308 of the Act, 47 U.S.C. § 308.  </w:t>
      </w:r>
      <w:r w:rsidRPr="00DC3470">
        <w:rPr>
          <w:i/>
          <w:iCs/>
        </w:rPr>
        <w:t>See, e.g.</w:t>
      </w:r>
      <w:r w:rsidRPr="00DC3470">
        <w:t xml:space="preserve">, </w:t>
      </w:r>
      <w:r w:rsidRPr="00DC3470">
        <w:rPr>
          <w:i/>
          <w:iCs/>
        </w:rPr>
        <w:t>AT&amp;T Inc. and BellSouth Corporation Application for Transfer of</w:t>
      </w:r>
      <w:r w:rsidRPr="00DC3470">
        <w:t xml:space="preserve"> </w:t>
      </w:r>
      <w:r w:rsidRPr="00DC3470">
        <w:rPr>
          <w:i/>
          <w:iCs/>
        </w:rPr>
        <w:t>Control</w:t>
      </w:r>
      <w:r w:rsidRPr="00DC3470">
        <w:t>, Memorandum Opinion and Order, 22 FCC Rcd 5662, 5672, para. 19 (2007) (</w:t>
      </w:r>
      <w:r w:rsidRPr="00DC3470">
        <w:rPr>
          <w:i/>
          <w:iCs/>
        </w:rPr>
        <w:t>AT&amp;T-BellSouth Order</w:t>
      </w:r>
      <w:r w:rsidRPr="00DC3470">
        <w:t>).</w:t>
      </w:r>
    </w:p>
  </w:footnote>
  <w:footnote w:id="12">
    <w:p w14:paraId="7AA5EF8C" w14:textId="714F869C" w:rsidR="00947DF0" w:rsidRPr="00DC3470" w:rsidRDefault="00947DF0" w:rsidP="0025247C">
      <w:pPr>
        <w:pStyle w:val="FootnoteText"/>
        <w:spacing w:line="240" w:lineRule="auto"/>
      </w:pPr>
      <w:r w:rsidRPr="00DC3470">
        <w:rPr>
          <w:rStyle w:val="FootnoteReference"/>
        </w:rPr>
        <w:footnoteRef/>
      </w:r>
      <w:r w:rsidRPr="00DC3470">
        <w:t xml:space="preserve"> 47 U.S.C. § 310(d); </w:t>
      </w:r>
      <w:r>
        <w:rPr>
          <w:i/>
        </w:rPr>
        <w:t xml:space="preserve">Applications of Level 3 Communications, Inc. and CenturyLink, Inc. for Consent to Transfer Control of Licenses and </w:t>
      </w:r>
      <w:r w:rsidRPr="008B6027">
        <w:rPr>
          <w:i/>
        </w:rPr>
        <w:t>Au</w:t>
      </w:r>
      <w:r w:rsidRPr="00A60DBA">
        <w:rPr>
          <w:i/>
        </w:rPr>
        <w:t>th</w:t>
      </w:r>
      <w:r w:rsidRPr="008B6027">
        <w:rPr>
          <w:i/>
        </w:rPr>
        <w:t>orizations</w:t>
      </w:r>
      <w:r>
        <w:t xml:space="preserve">, Memorandum Opinion and Order, </w:t>
      </w:r>
      <w:r w:rsidRPr="00C544FA">
        <w:t>FCC 17-</w:t>
      </w:r>
      <w:r w:rsidRPr="00781D7B">
        <w:t>142</w:t>
      </w:r>
      <w:r>
        <w:t xml:space="preserve">, </w:t>
      </w:r>
      <w:r w:rsidR="00B65390">
        <w:t xml:space="preserve">at </w:t>
      </w:r>
      <w:r w:rsidR="00FC35FA">
        <w:t>5,</w:t>
      </w:r>
      <w:r>
        <w:t xml:space="preserve"> para. 8 (</w:t>
      </w:r>
      <w:r w:rsidR="00B65390">
        <w:t xml:space="preserve">Oct. 30, </w:t>
      </w:r>
      <w:r>
        <w:t>2017) (</w:t>
      </w:r>
      <w:bookmarkStart w:id="31" w:name="_Hlk496693448"/>
      <w:r>
        <w:rPr>
          <w:i/>
        </w:rPr>
        <w:t>CenturyLink-Level 3 Order</w:t>
      </w:r>
      <w:bookmarkEnd w:id="31"/>
      <w:r w:rsidRPr="00942D23">
        <w:t>)</w:t>
      </w:r>
      <w:r w:rsidRPr="00942D23">
        <w:rPr>
          <w:i/>
          <w:iCs/>
        </w:rPr>
        <w:t xml:space="preserve"> </w:t>
      </w:r>
      <w:r w:rsidRPr="00942D23">
        <w:rPr>
          <w:iCs/>
        </w:rPr>
        <w:t>(citing</w:t>
      </w:r>
      <w:r>
        <w:rPr>
          <w:iCs/>
        </w:rPr>
        <w:t xml:space="preserve"> </w:t>
      </w:r>
      <w:r w:rsidRPr="00DC3470">
        <w:rPr>
          <w:i/>
          <w:iCs/>
        </w:rPr>
        <w:t xml:space="preserve">Applications of AT&amp;T, Inc. and DIRECTV for Consent to Assign or Transfer Control of Licenses and Authorizations, </w:t>
      </w:r>
      <w:r w:rsidRPr="00DC3470">
        <w:t>Memorandum Opinion and Order, 30 FCC Rcd 9131, 9139-40, para. 18 (2015</w:t>
      </w:r>
      <w:r w:rsidRPr="005749B6">
        <w:t xml:space="preserve">) </w:t>
      </w:r>
      <w:r w:rsidRPr="005749B6">
        <w:rPr>
          <w:iCs/>
        </w:rPr>
        <w:t>(</w:t>
      </w:r>
      <w:r w:rsidRPr="00DC3470">
        <w:rPr>
          <w:i/>
          <w:iCs/>
        </w:rPr>
        <w:t>AT&amp;T-DIRECTV Order</w:t>
      </w:r>
      <w:r w:rsidRPr="005749B6">
        <w:rPr>
          <w:iCs/>
        </w:rPr>
        <w:t>)</w:t>
      </w:r>
      <w:r w:rsidR="00C7767B">
        <w:rPr>
          <w:iCs/>
        </w:rPr>
        <w:t>)</w:t>
      </w:r>
      <w:r w:rsidRPr="005749B6">
        <w:t>;</w:t>
      </w:r>
      <w:r w:rsidRPr="00DC3470">
        <w:t xml:space="preserve"> </w:t>
      </w:r>
      <w:r w:rsidRPr="00DC3470">
        <w:rPr>
          <w:i/>
          <w:iCs/>
        </w:rPr>
        <w:t>Applications of Comcast Corp., General Electric Co., and NBC Universal, Inc. for Consent to Assign Licenses and Transfer Control of Licensees</w:t>
      </w:r>
      <w:r w:rsidRPr="00DC3470">
        <w:t>, Memorandum Opinion and Order, 26 FCC Rcd 4238, 4247, para. 22 (2011) (</w:t>
      </w:r>
      <w:r w:rsidRPr="00DC3470">
        <w:rPr>
          <w:i/>
          <w:iCs/>
        </w:rPr>
        <w:t>Comcast-NBCU Order</w:t>
      </w:r>
      <w:r w:rsidRPr="00DC3470">
        <w:t xml:space="preserve">); </w:t>
      </w:r>
      <w:r w:rsidRPr="00DC3470">
        <w:rPr>
          <w:i/>
        </w:rPr>
        <w:t xml:space="preserve">Application of EchoStar Communications Corp., General Motors Corp., and Hughes Electronics Corp., Transferors, and EchoStar Communications Corp., Transferee, </w:t>
      </w:r>
      <w:r w:rsidRPr="00DC3470">
        <w:t>Hearing Designation Order, 17 FCC Rcd 20559</w:t>
      </w:r>
      <w:r w:rsidR="000C6A3E">
        <w:t>,</w:t>
      </w:r>
      <w:r w:rsidRPr="00DC3470">
        <w:t xml:space="preserve"> 20574, para. 25 (2002) (</w:t>
      </w:r>
      <w:r w:rsidRPr="00DC3470">
        <w:rPr>
          <w:i/>
        </w:rPr>
        <w:t>EchoStar-DIRECTV HDO</w:t>
      </w:r>
      <w:r>
        <w:t>).</w:t>
      </w:r>
    </w:p>
  </w:footnote>
  <w:footnote w:id="13">
    <w:p w14:paraId="4AE3C811" w14:textId="678EDC25" w:rsidR="00947DF0" w:rsidRPr="00DC3470" w:rsidRDefault="00947DF0" w:rsidP="0025247C">
      <w:pPr>
        <w:widowControl/>
        <w:autoSpaceDE w:val="0"/>
        <w:autoSpaceDN w:val="0"/>
        <w:adjustRightInd w:val="0"/>
        <w:spacing w:after="120" w:line="240" w:lineRule="auto"/>
        <w:rPr>
          <w:sz w:val="20"/>
        </w:rPr>
      </w:pPr>
      <w:r w:rsidRPr="00EF43B8">
        <w:rPr>
          <w:rStyle w:val="FootnoteReference"/>
        </w:rPr>
        <w:footnoteRef/>
      </w:r>
      <w:r w:rsidRPr="00EF43B8">
        <w:rPr>
          <w:sz w:val="20"/>
        </w:rPr>
        <w:t xml:space="preserve"> </w:t>
      </w:r>
      <w:r w:rsidRPr="00A60DBA">
        <w:rPr>
          <w:i/>
          <w:sz w:val="20"/>
        </w:rPr>
        <w:t>CenturyLink-Level 3 Order</w:t>
      </w:r>
      <w:r w:rsidRPr="00A60DBA">
        <w:rPr>
          <w:sz w:val="20"/>
        </w:rPr>
        <w:t xml:space="preserve"> at </w:t>
      </w:r>
      <w:r w:rsidR="00FC35FA">
        <w:rPr>
          <w:sz w:val="20"/>
        </w:rPr>
        <w:t xml:space="preserve">5, </w:t>
      </w:r>
      <w:r w:rsidRPr="00A60DBA">
        <w:rPr>
          <w:sz w:val="20"/>
        </w:rPr>
        <w:t>para. 9</w:t>
      </w:r>
      <w:r>
        <w:rPr>
          <w:i/>
          <w:sz w:val="20"/>
        </w:rPr>
        <w:t xml:space="preserve"> </w:t>
      </w:r>
      <w:r w:rsidRPr="00EF43B8">
        <w:rPr>
          <w:sz w:val="20"/>
        </w:rPr>
        <w:t>(citing</w:t>
      </w:r>
      <w:r w:rsidRPr="00EF43B8">
        <w:rPr>
          <w:i/>
          <w:sz w:val="20"/>
        </w:rPr>
        <w:t xml:space="preserve"> </w:t>
      </w:r>
      <w:r w:rsidRPr="00EF43B8">
        <w:rPr>
          <w:i/>
          <w:iCs/>
          <w:sz w:val="20"/>
        </w:rPr>
        <w:t>AT</w:t>
      </w:r>
      <w:r w:rsidRPr="00DC3470">
        <w:rPr>
          <w:i/>
          <w:iCs/>
          <w:sz w:val="20"/>
        </w:rPr>
        <w:t>&amp;T-DIRECTV Order</w:t>
      </w:r>
      <w:r w:rsidRPr="00DC3470">
        <w:rPr>
          <w:sz w:val="20"/>
        </w:rPr>
        <w:t xml:space="preserve">, 30 FCC Rcd at 9140, para. 18; </w:t>
      </w:r>
      <w:bookmarkStart w:id="32" w:name="_Hlk495271203"/>
      <w:r w:rsidRPr="00DC3470">
        <w:rPr>
          <w:i/>
          <w:iCs/>
          <w:sz w:val="20"/>
        </w:rPr>
        <w:t>Comcast-NBCU Order</w:t>
      </w:r>
      <w:r w:rsidRPr="00DC3470">
        <w:rPr>
          <w:sz w:val="20"/>
        </w:rPr>
        <w:t>, 26 FCC Rcd at 4247</w:t>
      </w:r>
      <w:bookmarkEnd w:id="32"/>
      <w:r w:rsidRPr="00DC3470">
        <w:rPr>
          <w:sz w:val="20"/>
        </w:rPr>
        <w:t xml:space="preserve">, para. 22; </w:t>
      </w:r>
      <w:r w:rsidRPr="00DC3470">
        <w:rPr>
          <w:i/>
          <w:iCs/>
          <w:sz w:val="20"/>
        </w:rPr>
        <w:t>EchoStar-DIRECTV HDO</w:t>
      </w:r>
      <w:r w:rsidRPr="00DC3470">
        <w:rPr>
          <w:sz w:val="20"/>
        </w:rPr>
        <w:t>, 17 FCC Rcd at 20574, para. 25</w:t>
      </w:r>
      <w:r w:rsidR="00252CC4">
        <w:rPr>
          <w:sz w:val="20"/>
        </w:rPr>
        <w:t>)</w:t>
      </w:r>
      <w:r w:rsidRPr="00DC3470">
        <w:rPr>
          <w:sz w:val="20"/>
        </w:rPr>
        <w:t>.</w:t>
      </w:r>
    </w:p>
  </w:footnote>
  <w:footnote w:id="14">
    <w:p w14:paraId="1F7F17E8" w14:textId="766719A0" w:rsidR="00947DF0" w:rsidRDefault="00947DF0"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Pr="00A60DBA">
        <w:t xml:space="preserve"> at </w:t>
      </w:r>
      <w:r w:rsidR="00FC35FA">
        <w:t xml:space="preserve">5, </w:t>
      </w:r>
      <w:r w:rsidRPr="00A60DBA">
        <w:t>para. 9</w:t>
      </w:r>
      <w:r>
        <w:t xml:space="preserve"> (citing</w:t>
      </w:r>
      <w:r w:rsidRPr="00B83976">
        <w:rPr>
          <w:i/>
        </w:rPr>
        <w:t xml:space="preserve"> Satellite Bus. Sys.</w:t>
      </w:r>
      <w:r w:rsidRPr="00B83976">
        <w:t xml:space="preserve">, 62 FCC 2d 997, 1068-73, 1088 (1977), </w:t>
      </w:r>
      <w:r w:rsidRPr="00B83976">
        <w:rPr>
          <w:i/>
        </w:rPr>
        <w:t>aff’d sub nom United States v. FCC</w:t>
      </w:r>
      <w:r w:rsidRPr="00B83976">
        <w:t>, 652 F.2d 72 (D.C. Cir. 1980) (</w:t>
      </w:r>
      <w:r w:rsidRPr="00B83976">
        <w:rPr>
          <w:i/>
        </w:rPr>
        <w:t>en banc</w:t>
      </w:r>
      <w:r w:rsidRPr="00B83976">
        <w:t>)</w:t>
      </w:r>
      <w:r w:rsidR="005E4CF9">
        <w:t>)</w:t>
      </w:r>
      <w:r w:rsidRPr="00B83976">
        <w:t xml:space="preserve">; </w:t>
      </w:r>
      <w:r w:rsidRPr="00B83976">
        <w:rPr>
          <w:i/>
        </w:rPr>
        <w:t>see also Northeast Utils. Serv. Co. v. FERC</w:t>
      </w:r>
      <w:r w:rsidRPr="00B83976">
        <w:t>, 993 F.2d 937, 947 (1st Cir. 1993) (public interest standard does not require agencies “to analyze proposed mergers under the same standards that the Departmen</w:t>
      </w:r>
      <w:r>
        <w:t>t of Justice . . . must apply”)</w:t>
      </w:r>
      <w:r w:rsidRPr="00B83976">
        <w:rPr>
          <w:iCs/>
        </w:rPr>
        <w:t>.</w:t>
      </w:r>
    </w:p>
  </w:footnote>
  <w:footnote w:id="15">
    <w:p w14:paraId="69C4F00D" w14:textId="01F86211" w:rsidR="00947DF0" w:rsidRPr="00DC3470" w:rsidRDefault="00947DF0" w:rsidP="0025247C">
      <w:pPr>
        <w:pStyle w:val="FootnoteText"/>
        <w:spacing w:line="240" w:lineRule="auto"/>
      </w:pPr>
      <w:r w:rsidRPr="00DC3470">
        <w:rPr>
          <w:rStyle w:val="FootnoteReference"/>
        </w:rPr>
        <w:footnoteRef/>
      </w:r>
      <w:r w:rsidRPr="00DC3470">
        <w:t xml:space="preserve"> </w:t>
      </w:r>
      <w:bookmarkStart w:id="33" w:name="_Hlk496679008"/>
      <w:r>
        <w:rPr>
          <w:i/>
        </w:rPr>
        <w:t xml:space="preserve">CenturyLink-Level 3 </w:t>
      </w:r>
      <w:r w:rsidRPr="00B70DCF">
        <w:rPr>
          <w:i/>
        </w:rPr>
        <w:t>Order</w:t>
      </w:r>
      <w:r w:rsidRPr="00A60DBA">
        <w:t xml:space="preserve"> at </w:t>
      </w:r>
      <w:r w:rsidR="00FC35FA">
        <w:t xml:space="preserve">5-6, </w:t>
      </w:r>
      <w:r w:rsidRPr="00A60DBA">
        <w:t>para. 9</w:t>
      </w:r>
      <w:bookmarkEnd w:id="33"/>
      <w:r>
        <w:t xml:space="preserve"> (citing</w:t>
      </w:r>
      <w:r w:rsidRPr="00DC3470">
        <w:rPr>
          <w:i/>
          <w:iCs/>
        </w:rPr>
        <w:t xml:space="preserve"> AT&amp;T-DIRECTV Order</w:t>
      </w:r>
      <w:r w:rsidRPr="0076057C">
        <w:t xml:space="preserve">, </w:t>
      </w:r>
      <w:r w:rsidRPr="00DC3470">
        <w:t xml:space="preserve">30 FCC Rcd at 9141, para. 22; </w:t>
      </w:r>
      <w:r w:rsidRPr="00DC3470">
        <w:rPr>
          <w:i/>
        </w:rPr>
        <w:t xml:space="preserve">Applications filed by </w:t>
      </w:r>
      <w:r w:rsidRPr="00DC3470">
        <w:rPr>
          <w:i/>
          <w:iCs/>
        </w:rPr>
        <w:t>Qwest Communications International Inc. and CenturyTel, Inc. d/b/a CenturyLink for Consent to Transfer Control</w:t>
      </w:r>
      <w:r w:rsidRPr="00DC3470">
        <w:t>, Memorandum Opinion a</w:t>
      </w:r>
      <w:r>
        <w:t xml:space="preserve">nd </w:t>
      </w:r>
      <w:r w:rsidRPr="0076057C">
        <w:t xml:space="preserve">Order, </w:t>
      </w:r>
      <w:r>
        <w:t>26 FCC Rcd 4194, 4199,</w:t>
      </w:r>
      <w:r w:rsidRPr="00DC3470">
        <w:t xml:space="preserve"> para. </w:t>
      </w:r>
      <w:r>
        <w:t>10</w:t>
      </w:r>
      <w:r w:rsidRPr="00DC3470">
        <w:t xml:space="preserve"> (2011) (</w:t>
      </w:r>
      <w:r w:rsidRPr="00DC3470">
        <w:rPr>
          <w:i/>
          <w:iCs/>
        </w:rPr>
        <w:t>Qwest-CenturyLink Order</w:t>
      </w:r>
      <w:r w:rsidRPr="00DC3470">
        <w:t>)</w:t>
      </w:r>
      <w:r>
        <w:t>)</w:t>
      </w:r>
      <w:r w:rsidRPr="00DC3470">
        <w:t xml:space="preserve">. </w:t>
      </w:r>
    </w:p>
  </w:footnote>
  <w:footnote w:id="16">
    <w:p w14:paraId="433A1B95" w14:textId="343E66F8" w:rsidR="00947DF0" w:rsidRPr="00531B7F" w:rsidRDefault="00947DF0"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Pr="00A60DBA">
        <w:t xml:space="preserve"> at </w:t>
      </w:r>
      <w:r w:rsidR="00FC35FA">
        <w:t xml:space="preserve">6, </w:t>
      </w:r>
      <w:r w:rsidRPr="00A60DBA">
        <w:t>para. 9</w:t>
      </w:r>
      <w:r>
        <w:t xml:space="preserve"> (citing </w:t>
      </w:r>
      <w:r w:rsidRPr="00DC3470">
        <w:rPr>
          <w:i/>
        </w:rPr>
        <w:t>SBC</w:t>
      </w:r>
      <w:r w:rsidR="00FC35FA">
        <w:rPr>
          <w:i/>
        </w:rPr>
        <w:t xml:space="preserve"> Communications Inc. and AT&amp;T</w:t>
      </w:r>
      <w:r w:rsidR="00DF6BD5">
        <w:rPr>
          <w:i/>
        </w:rPr>
        <w:t xml:space="preserve"> </w:t>
      </w:r>
      <w:r w:rsidR="00FC35FA">
        <w:rPr>
          <w:i/>
        </w:rPr>
        <w:t>Applications for Approval of Transfer of Control</w:t>
      </w:r>
      <w:r w:rsidRPr="00DC3470">
        <w:t xml:space="preserve">, 20 FCC Rcd </w:t>
      </w:r>
      <w:r w:rsidR="00DF6BD5">
        <w:t>18290,</w:t>
      </w:r>
      <w:r w:rsidRPr="00DC3470">
        <w:t xml:space="preserve"> </w:t>
      </w:r>
      <w:r>
        <w:t>18303</w:t>
      </w:r>
      <w:r w:rsidRPr="00DC3470">
        <w:t xml:space="preserve">, para. </w:t>
      </w:r>
      <w:r>
        <w:t>19</w:t>
      </w:r>
      <w:r w:rsidR="00DF6BD5">
        <w:t xml:space="preserve"> </w:t>
      </w:r>
      <w:r w:rsidR="00B65390">
        <w:t>(</w:t>
      </w:r>
      <w:r w:rsidR="00DF6BD5">
        <w:t>2005)</w:t>
      </w:r>
      <w:r>
        <w:t xml:space="preserve">; </w:t>
      </w:r>
      <w:r>
        <w:rPr>
          <w:i/>
        </w:rPr>
        <w:t>Applications of AT&amp;T Wireless Services, Inc. and Cingular Wireless Corporation for Consent to Transfer Control of Licenses and Authorizations</w:t>
      </w:r>
      <w:r>
        <w:t xml:space="preserve"> </w:t>
      </w:r>
      <w:r>
        <w:rPr>
          <w:i/>
        </w:rPr>
        <w:t>et al.</w:t>
      </w:r>
      <w:r>
        <w:t>, Memorandum Opinion and Order, 19 FCC Rcd 21522, 21545-46, para. 43 (2004)</w:t>
      </w:r>
      <w:r w:rsidR="004316E8">
        <w:t>)</w:t>
      </w:r>
      <w:r>
        <w:t xml:space="preserve">; </w:t>
      </w:r>
      <w:r w:rsidRPr="00CF3818">
        <w:rPr>
          <w:i/>
        </w:rPr>
        <w:t>see also</w:t>
      </w:r>
      <w:r>
        <w:t xml:space="preserve"> </w:t>
      </w:r>
      <w:r>
        <w:rPr>
          <w:i/>
        </w:rPr>
        <w:t>Applications of Nextel Partners, Inc. Transferor, and Nextel WIP Corp. and Sprint Nextel Corporation, Transferees, for Consent to Transfer Control of Licenses and Authorizations</w:t>
      </w:r>
      <w:r>
        <w:t>, Memorandum Opinion and Order, 21 FCC Rcd 7358, 7361</w:t>
      </w:r>
      <w:r w:rsidRPr="00B83976">
        <w:t xml:space="preserve">, para. </w:t>
      </w:r>
      <w:r>
        <w:t xml:space="preserve">9 (2006); </w:t>
      </w:r>
      <w:r>
        <w:rPr>
          <w:i/>
        </w:rPr>
        <w:t>Applications of AT&amp;T Inc. and CellCo Partnership d/b/a Verizon Wireless for Consent to Assign or Transfer Control of Licenses and Authorizations and Modify a Spectrum Leasing Arrangement</w:t>
      </w:r>
      <w:r>
        <w:t>, Memorandum Opinion and Order, 25 FCC Rcd 8704, 8747, para. 101 (2010).</w:t>
      </w:r>
    </w:p>
  </w:footnote>
  <w:footnote w:id="17">
    <w:p w14:paraId="2740FC72" w14:textId="553F8A12" w:rsidR="00947DF0" w:rsidRDefault="00947DF0" w:rsidP="0025247C">
      <w:pPr>
        <w:pStyle w:val="FootnoteText"/>
        <w:spacing w:line="240" w:lineRule="auto"/>
      </w:pPr>
      <w:r w:rsidRPr="0068677D">
        <w:rPr>
          <w:rStyle w:val="FootnoteReference"/>
        </w:rPr>
        <w:footnoteRef/>
      </w:r>
      <w:r w:rsidRPr="0068677D">
        <w:t xml:space="preserve"> </w:t>
      </w:r>
      <w:r w:rsidRPr="0068677D">
        <w:rPr>
          <w:i/>
        </w:rPr>
        <w:t>CenturyLink-Level 3 Order</w:t>
      </w:r>
      <w:r w:rsidRPr="0068677D">
        <w:t xml:space="preserve"> at </w:t>
      </w:r>
      <w:r w:rsidR="00DF6BD5" w:rsidRPr="0068677D">
        <w:t xml:space="preserve">6, </w:t>
      </w:r>
      <w:r w:rsidRPr="0068677D">
        <w:t>para. 10 (citing</w:t>
      </w:r>
      <w:r w:rsidRPr="0068677D">
        <w:rPr>
          <w:i/>
          <w:szCs w:val="22"/>
        </w:rPr>
        <w:t xml:space="preserve"> Amendment of Section 73.3596 of the Commission’s Rules (Applications for Voluntary Assignments or Transfers of Control)</w:t>
      </w:r>
      <w:r w:rsidRPr="0068677D">
        <w:rPr>
          <w:szCs w:val="22"/>
        </w:rPr>
        <w:t>, Memorandum Opinion and Order, 4 FCC Rcd 1710 (1988), affirming 59 RR 2d 1081 (1982) (affirming elimination of requirement</w:t>
      </w:r>
      <w:r>
        <w:rPr>
          <w:szCs w:val="22"/>
        </w:rPr>
        <w:t xml:space="preserve"> that broadcast licenses be held three years before they can be assigned or transferred, stating “the public interest is usually best served by allowing station sales transactions to be regulated primarily by marketplace forces,” and holding that the listening public benefits from freely allowing sales to new owners); </w:t>
      </w:r>
      <w:r>
        <w:rPr>
          <w:i/>
          <w:szCs w:val="22"/>
        </w:rPr>
        <w:t>id.</w:t>
      </w:r>
      <w:r w:rsidR="00776340">
        <w:rPr>
          <w:i/>
          <w:szCs w:val="22"/>
        </w:rPr>
        <w:t>,</w:t>
      </w:r>
      <w:r>
        <w:rPr>
          <w:szCs w:val="22"/>
        </w:rPr>
        <w:t xml:space="preserve"> 55 RR 2d at 1087-88 (holding buyer who is willing to pay market price more likely to deliver service audiences desire and recognizing public benefit of ready market for broadcast licenses); </w:t>
      </w:r>
      <w:r>
        <w:rPr>
          <w:i/>
          <w:szCs w:val="22"/>
        </w:rPr>
        <w:t>Amendment of the Commission’s Space Station Licensing Rules and Policies</w:t>
      </w:r>
      <w:r>
        <w:rPr>
          <w:szCs w:val="22"/>
        </w:rPr>
        <w:t>, First Report and Order and Further Notice of Proposed Rulemaking, 18 FCC Rcd 10760, 10841-44 (2003) (eliminating anti-trafficking policy for satellite licenses expedites service to the public by facilitating the transfer of licenses to those parties that have the greatest incentive and ability to construct a satellite system; enables satellite spectrum to move more efficiently to its highest and best use; and helps licensees mitigate risk thereby encouraging investment)</w:t>
      </w:r>
      <w:r w:rsidR="00252CC4">
        <w:rPr>
          <w:szCs w:val="22"/>
        </w:rPr>
        <w:t>)</w:t>
      </w:r>
      <w:r>
        <w:rPr>
          <w:szCs w:val="22"/>
        </w:rPr>
        <w:t>.</w:t>
      </w:r>
    </w:p>
  </w:footnote>
  <w:footnote w:id="18">
    <w:p w14:paraId="032168AD" w14:textId="68670AB9" w:rsidR="00947DF0" w:rsidRPr="00CA56B2" w:rsidRDefault="00947DF0" w:rsidP="0025247C">
      <w:pPr>
        <w:pStyle w:val="FootnoteText"/>
        <w:spacing w:line="240" w:lineRule="auto"/>
      </w:pPr>
      <w:r>
        <w:rPr>
          <w:rStyle w:val="FootnoteReference"/>
        </w:rPr>
        <w:footnoteRef/>
      </w:r>
      <w:r>
        <w:t xml:space="preserve"> </w:t>
      </w:r>
      <w:r>
        <w:rPr>
          <w:i/>
        </w:rPr>
        <w:t xml:space="preserve">CenturyLink-Level 3 </w:t>
      </w:r>
      <w:r w:rsidRPr="00B70DCF">
        <w:rPr>
          <w:i/>
        </w:rPr>
        <w:t>Order</w:t>
      </w:r>
      <w:r w:rsidRPr="00A60DBA">
        <w:t xml:space="preserve"> at </w:t>
      </w:r>
      <w:r w:rsidR="00DF6BD5">
        <w:t xml:space="preserve">6, </w:t>
      </w:r>
      <w:r w:rsidRPr="00A60DBA">
        <w:t>para. 10</w:t>
      </w:r>
      <w:r>
        <w:t xml:space="preserve"> (citing </w:t>
      </w:r>
      <w:r>
        <w:rPr>
          <w:i/>
        </w:rPr>
        <w:t>Implementation of Further Streamlining Measures for Domestic Section 214 Authorizations</w:t>
      </w:r>
      <w:r>
        <w:t>, Report and Order, 17 FCC Rcd 5517, 5533-35, paras. 29-34 (2002)).</w:t>
      </w:r>
    </w:p>
  </w:footnote>
  <w:footnote w:id="19">
    <w:p w14:paraId="33B95E5C" w14:textId="53C8DF6D" w:rsidR="00947DF0" w:rsidRDefault="00947DF0" w:rsidP="0025247C">
      <w:pPr>
        <w:pStyle w:val="FootnoteText"/>
        <w:spacing w:line="240" w:lineRule="auto"/>
      </w:pPr>
      <w:r>
        <w:rPr>
          <w:rStyle w:val="FootnoteReference"/>
        </w:rPr>
        <w:footnoteRef/>
      </w:r>
      <w:r>
        <w:t xml:space="preserve"> </w:t>
      </w:r>
      <w:r w:rsidRPr="00B83976">
        <w:t xml:space="preserve">47 U.S.C. § 309(e); </w:t>
      </w:r>
      <w:r w:rsidRPr="00B83976">
        <w:rPr>
          <w:i/>
          <w:iCs/>
        </w:rPr>
        <w:t xml:space="preserve">see </w:t>
      </w:r>
      <w:r>
        <w:rPr>
          <w:i/>
        </w:rPr>
        <w:t>CenturyLink-Level 3 Order</w:t>
      </w:r>
      <w:r>
        <w:t xml:space="preserve"> at </w:t>
      </w:r>
      <w:r w:rsidR="00DF6BD5">
        <w:t xml:space="preserve">6, </w:t>
      </w:r>
      <w:r>
        <w:t>para. 10</w:t>
      </w:r>
      <w:r w:rsidRPr="00B83976">
        <w:rPr>
          <w:i/>
          <w:iCs/>
        </w:rPr>
        <w:t xml:space="preserve"> </w:t>
      </w:r>
      <w:r>
        <w:rPr>
          <w:iCs/>
        </w:rPr>
        <w:t xml:space="preserve">(citing </w:t>
      </w:r>
      <w:r w:rsidRPr="00B83976">
        <w:rPr>
          <w:i/>
          <w:iCs/>
        </w:rPr>
        <w:t>AT&amp;T-DIRECTV Order</w:t>
      </w:r>
      <w:r w:rsidRPr="00B83976">
        <w:rPr>
          <w:iCs/>
        </w:rPr>
        <w:t xml:space="preserve">, </w:t>
      </w:r>
      <w:r w:rsidRPr="00B83976">
        <w:t xml:space="preserve">30 </w:t>
      </w:r>
      <w:r w:rsidRPr="00B83976">
        <w:rPr>
          <w:iCs/>
        </w:rPr>
        <w:t>FCC Rcd at 9140, para. 18;</w:t>
      </w:r>
      <w:r w:rsidRPr="003F41A3">
        <w:rPr>
          <w:i/>
          <w:iCs/>
        </w:rPr>
        <w:t xml:space="preserve"> </w:t>
      </w:r>
      <w:r w:rsidR="00DF6BD5" w:rsidRPr="003F41A3">
        <w:rPr>
          <w:i/>
          <w:iCs/>
        </w:rPr>
        <w:t>Applications for Consent to the Assignment and/or</w:t>
      </w:r>
      <w:r w:rsidR="00DF6BD5">
        <w:rPr>
          <w:i/>
          <w:iCs/>
        </w:rPr>
        <w:t xml:space="preserve"> Transfer of Control of Licenses, </w:t>
      </w:r>
      <w:r w:rsidRPr="00DF6BD5">
        <w:rPr>
          <w:i/>
        </w:rPr>
        <w:t>A</w:t>
      </w:r>
      <w:r w:rsidRPr="00B83976">
        <w:rPr>
          <w:i/>
        </w:rPr>
        <w:t>delphia</w:t>
      </w:r>
      <w:r w:rsidR="00DF6BD5">
        <w:rPr>
          <w:i/>
        </w:rPr>
        <w:t xml:space="preserve"> Communications Corporation, Assignors, to Time </w:t>
      </w:r>
      <w:r w:rsidR="005D0A47">
        <w:rPr>
          <w:i/>
        </w:rPr>
        <w:t>W</w:t>
      </w:r>
      <w:r w:rsidR="00DF6BD5">
        <w:rPr>
          <w:i/>
        </w:rPr>
        <w:t>arner Cable</w:t>
      </w:r>
      <w:r w:rsidR="005D0A47">
        <w:rPr>
          <w:i/>
        </w:rPr>
        <w:t xml:space="preserve"> </w:t>
      </w:r>
      <w:r w:rsidR="00DF6BD5">
        <w:rPr>
          <w:i/>
        </w:rPr>
        <w:t>Inc., Assignees</w:t>
      </w:r>
      <w:r w:rsidRPr="00B83976">
        <w:t xml:space="preserve">, 21 FCC Rcd </w:t>
      </w:r>
      <w:r w:rsidR="00DF6BD5">
        <w:t>8203,</w:t>
      </w:r>
      <w:r w:rsidRPr="00B83976">
        <w:t xml:space="preserve"> 8217, para. 23</w:t>
      </w:r>
      <w:r w:rsidR="00DF6BD5">
        <w:t xml:space="preserve"> (2006)</w:t>
      </w:r>
      <w:r w:rsidRPr="00B83976">
        <w:t xml:space="preserve">; </w:t>
      </w:r>
      <w:r w:rsidRPr="00B83976">
        <w:rPr>
          <w:i/>
        </w:rPr>
        <w:t>EchoStar-DIRECTV HDO</w:t>
      </w:r>
      <w:r w:rsidRPr="00B83976">
        <w:t>, 17 FCC Rcd at 20574, para. 25</w:t>
      </w:r>
      <w:r w:rsidR="00CD53FF">
        <w:t>)</w:t>
      </w:r>
      <w:r>
        <w:t>)</w:t>
      </w:r>
      <w:r w:rsidRPr="00B83976">
        <w:t>.</w:t>
      </w:r>
    </w:p>
  </w:footnote>
  <w:footnote w:id="20">
    <w:p w14:paraId="6965BB06" w14:textId="691FCAE1" w:rsidR="00947DF0" w:rsidRPr="003126DA" w:rsidRDefault="00947DF0" w:rsidP="0025247C">
      <w:pPr>
        <w:pStyle w:val="FootnoteText"/>
        <w:spacing w:line="240" w:lineRule="auto"/>
      </w:pPr>
      <w:r>
        <w:rPr>
          <w:rStyle w:val="FootnoteReference"/>
        </w:rPr>
        <w:footnoteRef/>
      </w:r>
      <w:r>
        <w:t xml:space="preserve"> </w:t>
      </w:r>
      <w:r>
        <w:rPr>
          <w:i/>
        </w:rPr>
        <w:t xml:space="preserve">CenturyLink-Level 3 Order </w:t>
      </w:r>
      <w:r>
        <w:t xml:space="preserve">at </w:t>
      </w:r>
      <w:r w:rsidR="00DF6BD5">
        <w:t xml:space="preserve">6, </w:t>
      </w:r>
      <w:r>
        <w:t xml:space="preserve">para. 11 </w:t>
      </w:r>
      <w:r w:rsidRPr="00B70DCF">
        <w:t>(</w:t>
      </w:r>
      <w:r>
        <w:t>stating that “</w:t>
      </w:r>
      <w:r w:rsidR="005F2913">
        <w:t>[a]</w:t>
      </w:r>
      <w:r>
        <w:t xml:space="preserve">lthough the Commission has suggested in the past that it may employ a ‘balancing test,’” </w:t>
      </w:r>
      <w:r>
        <w:rPr>
          <w:i/>
        </w:rPr>
        <w:t>see, e.g.</w:t>
      </w:r>
      <w:r>
        <w:t xml:space="preserve">, </w:t>
      </w:r>
      <w:r w:rsidRPr="00DC3470">
        <w:rPr>
          <w:i/>
        </w:rPr>
        <w:t>AT&amp;T-DIRECTV Order</w:t>
      </w:r>
      <w:r w:rsidRPr="00DC3470">
        <w:t>, 30 FCC Rcd at 9140, para. 18</w:t>
      </w:r>
      <w:r>
        <w:t xml:space="preserve">, or a ‘sliding scale approach,’” </w:t>
      </w:r>
      <w:r>
        <w:rPr>
          <w:i/>
        </w:rPr>
        <w:t>see, e.g.</w:t>
      </w:r>
      <w:r>
        <w:t xml:space="preserve">, </w:t>
      </w:r>
      <w:r>
        <w:rPr>
          <w:i/>
        </w:rPr>
        <w:t>AT&amp;T-BellSouth Order</w:t>
      </w:r>
      <w:r>
        <w:t>, 22 FCC Rcd at 5761, para. 203, “in practice the Commission has not allowed potential competitive harms to go unremedied nor allowed them to be offset by benefits that are not transaction-specific, i.e., benefits that do not naturally arise from the transaction at issue.”).</w:t>
      </w:r>
    </w:p>
  </w:footnote>
  <w:footnote w:id="21">
    <w:p w14:paraId="7EC4D095" w14:textId="124D6F61" w:rsidR="00947DF0" w:rsidRPr="00DC3470" w:rsidRDefault="00947DF0" w:rsidP="0025247C">
      <w:pPr>
        <w:pStyle w:val="FootnoteText"/>
        <w:spacing w:line="240" w:lineRule="auto"/>
      </w:pPr>
      <w:r w:rsidRPr="00DC3470">
        <w:rPr>
          <w:rStyle w:val="FootnoteReference"/>
        </w:rPr>
        <w:footnoteRef/>
      </w:r>
      <w:r w:rsidRPr="00DC3470">
        <w:t xml:space="preserve"> 47 U.S.C. § 309(e)</w:t>
      </w:r>
      <w:r w:rsidRPr="00B83976">
        <w:rPr>
          <w:iCs/>
        </w:rPr>
        <w:t xml:space="preserve">; </w:t>
      </w:r>
      <w:r>
        <w:rPr>
          <w:i/>
        </w:rPr>
        <w:t xml:space="preserve">CenturyLink-Level 3 </w:t>
      </w:r>
      <w:r w:rsidRPr="00B70DCF">
        <w:rPr>
          <w:i/>
        </w:rPr>
        <w:t>Order</w:t>
      </w:r>
      <w:r w:rsidRPr="00A60DBA">
        <w:t xml:space="preserve"> at </w:t>
      </w:r>
      <w:r w:rsidR="005D0A47">
        <w:t xml:space="preserve">6-7, </w:t>
      </w:r>
      <w:r w:rsidRPr="00A60DBA">
        <w:t>para. 11</w:t>
      </w:r>
      <w:r>
        <w:t xml:space="preserve"> </w:t>
      </w:r>
      <w:r w:rsidRPr="00B70DCF">
        <w:t>(citing</w:t>
      </w:r>
      <w:r>
        <w:t xml:space="preserve"> </w:t>
      </w:r>
      <w:r w:rsidRPr="00B83976">
        <w:rPr>
          <w:i/>
        </w:rPr>
        <w:t>EchoStar-DIRECTV HDO</w:t>
      </w:r>
      <w:r w:rsidRPr="00B83976">
        <w:t>, 17 FCC Rcd at 20562-63, para. 3</w:t>
      </w:r>
      <w:r>
        <w:t>)</w:t>
      </w:r>
      <w:r w:rsidRPr="00B83976">
        <w:t xml:space="preserve">.  Section 309(e)’s requirement applies only to those applications to which Title III of the Act applies.  We are not required to designate for hearing applications for the transfer or assignment of Title II authorizations when we are unable to find that the public interest would be served by granting the applications, </w:t>
      </w:r>
      <w:r w:rsidRPr="00B83976">
        <w:rPr>
          <w:i/>
        </w:rPr>
        <w:t>see ITT World Communications, Inc. v. FCC</w:t>
      </w:r>
      <w:r w:rsidRPr="00B83976">
        <w:t>, 595 F.2d 897, 901 (2d Cir. 1979), but may do so if we find that a hearing would be in the public interest.</w:t>
      </w:r>
    </w:p>
  </w:footnote>
  <w:footnote w:id="22">
    <w:p w14:paraId="5F82EA8C" w14:textId="77777777" w:rsidR="00947DF0" w:rsidRPr="00DC3470" w:rsidRDefault="00947DF0" w:rsidP="0025247C">
      <w:pPr>
        <w:pStyle w:val="FootnoteText"/>
        <w:spacing w:line="240" w:lineRule="auto"/>
      </w:pPr>
      <w:r w:rsidRPr="00DC3470">
        <w:rPr>
          <w:rStyle w:val="FootnoteReference"/>
        </w:rPr>
        <w:footnoteRef/>
      </w:r>
      <w:r w:rsidRPr="00DC3470">
        <w:t xml:space="preserve"> 47 U.S.C. § 310(d).</w:t>
      </w:r>
    </w:p>
  </w:footnote>
  <w:footnote w:id="23">
    <w:p w14:paraId="3C6CF7F8" w14:textId="1CF5934E" w:rsidR="00947DF0" w:rsidRPr="00DC3470" w:rsidRDefault="00947DF0" w:rsidP="0025247C">
      <w:pPr>
        <w:pStyle w:val="FootnoteText"/>
        <w:spacing w:line="240" w:lineRule="auto"/>
      </w:pPr>
      <w:r w:rsidRPr="00DC3470">
        <w:rPr>
          <w:rStyle w:val="FootnoteReference"/>
        </w:rPr>
        <w:footnoteRef/>
      </w:r>
      <w:r w:rsidRPr="00DC3470">
        <w:t xml:space="preserve"> 47 U.S.C. §§ 308, 310(d); </w:t>
      </w:r>
      <w:r w:rsidRPr="00DC3470">
        <w:rPr>
          <w:i/>
        </w:rPr>
        <w:t>see also</w:t>
      </w:r>
      <w:r w:rsidRPr="00DC3470">
        <w:t xml:space="preserve"> </w:t>
      </w:r>
      <w:r w:rsidRPr="00DC3470">
        <w:rPr>
          <w:i/>
        </w:rPr>
        <w:t>AT&amp;T-DIRECTV Order</w:t>
      </w:r>
      <w:r w:rsidRPr="00DC3470">
        <w:t xml:space="preserve">, 30 FCC Rcd at 9142, para. 24; </w:t>
      </w:r>
      <w:r w:rsidRPr="00DC3470">
        <w:rPr>
          <w:i/>
        </w:rPr>
        <w:t>Qwest-CenturyLink</w:t>
      </w:r>
      <w:r w:rsidRPr="00DC3470" w:rsidDel="00B47A6A">
        <w:rPr>
          <w:i/>
        </w:rPr>
        <w:t xml:space="preserve"> </w:t>
      </w:r>
      <w:r w:rsidRPr="00DC3470">
        <w:rPr>
          <w:i/>
        </w:rPr>
        <w:t xml:space="preserve">Order, </w:t>
      </w:r>
      <w:r w:rsidRPr="00DC3470">
        <w:t>26 FCC Rcd at 4199, para.</w:t>
      </w:r>
      <w:r w:rsidR="00004F04">
        <w:t xml:space="preserve"> </w:t>
      </w:r>
      <w:r w:rsidRPr="00DC3470">
        <w:t xml:space="preserve">11; </w:t>
      </w:r>
      <w:r w:rsidRPr="00DC3470">
        <w:rPr>
          <w:i/>
        </w:rPr>
        <w:t xml:space="preserve">AT&amp;T-BellSouth Order, </w:t>
      </w:r>
      <w:r w:rsidRPr="00DC3470">
        <w:t xml:space="preserve">22 FCC Rcd at 5756, para. 191; </w:t>
      </w:r>
      <w:r w:rsidRPr="00DC3470">
        <w:rPr>
          <w:i/>
        </w:rPr>
        <w:t>SBC-AT&amp;T Order</w:t>
      </w:r>
      <w:r w:rsidRPr="00DC3470">
        <w:t xml:space="preserve">, 20 FCC Rcd at 18379, para. 171. </w:t>
      </w:r>
    </w:p>
  </w:footnote>
  <w:footnote w:id="24">
    <w:p w14:paraId="3B71A947" w14:textId="6DA6BA6B" w:rsidR="00947DF0" w:rsidRPr="00DC3470" w:rsidRDefault="00947DF0" w:rsidP="0025247C">
      <w:pPr>
        <w:pStyle w:val="FootnoteText"/>
        <w:spacing w:line="240" w:lineRule="auto"/>
      </w:pPr>
      <w:r w:rsidRPr="00DC3470">
        <w:rPr>
          <w:rStyle w:val="FootnoteReference"/>
        </w:rPr>
        <w:footnoteRef/>
      </w:r>
      <w:r w:rsidRPr="00DC3470">
        <w:t xml:space="preserve"> </w:t>
      </w:r>
      <w:r w:rsidRPr="00DC3470">
        <w:rPr>
          <w:i/>
        </w:rPr>
        <w:t>AT&amp;T-DIRECTV Order</w:t>
      </w:r>
      <w:r w:rsidRPr="00DC3470">
        <w:t xml:space="preserve">, 30 FCC Rcd at 9142, para. 24; </w:t>
      </w:r>
      <w:r w:rsidRPr="00DC3470">
        <w:rPr>
          <w:i/>
        </w:rPr>
        <w:t>Qwest-CenturyLink</w:t>
      </w:r>
      <w:r w:rsidRPr="00DC3470" w:rsidDel="00B47A6A">
        <w:rPr>
          <w:i/>
        </w:rPr>
        <w:t xml:space="preserve"> </w:t>
      </w:r>
      <w:r w:rsidRPr="00DC3470">
        <w:rPr>
          <w:i/>
        </w:rPr>
        <w:t xml:space="preserve">Order, </w:t>
      </w:r>
      <w:r w:rsidRPr="00DC3470">
        <w:t xml:space="preserve">26 FCC Rcd at 4199, para.11; </w:t>
      </w:r>
      <w:r w:rsidRPr="00DC3470">
        <w:rPr>
          <w:i/>
        </w:rPr>
        <w:t xml:space="preserve">AT&amp;T-BellSouth Order, </w:t>
      </w:r>
      <w:r w:rsidRPr="00DC3470">
        <w:t>22 FCC Rcd at 5756, para. 191</w:t>
      </w:r>
      <w:r w:rsidRPr="00DC3470">
        <w:rPr>
          <w:i/>
        </w:rPr>
        <w:t>.</w:t>
      </w:r>
    </w:p>
  </w:footnote>
  <w:footnote w:id="25">
    <w:p w14:paraId="1277EDE0" w14:textId="77777777" w:rsidR="00947DF0" w:rsidRDefault="00947DF0" w:rsidP="0025247C">
      <w:pPr>
        <w:pStyle w:val="FootnoteText"/>
        <w:spacing w:line="240" w:lineRule="auto"/>
      </w:pPr>
      <w:r>
        <w:rPr>
          <w:rStyle w:val="FootnoteReference"/>
        </w:rPr>
        <w:footnoteRef/>
      </w:r>
      <w:r>
        <w:t xml:space="preserve"> </w:t>
      </w:r>
      <w:r>
        <w:rPr>
          <w:i/>
        </w:rPr>
        <w:t>See, e.g.</w:t>
      </w:r>
      <w:r>
        <w:t xml:space="preserve">, </w:t>
      </w:r>
      <w:r w:rsidRPr="00013A2A">
        <w:rPr>
          <w:i/>
        </w:rPr>
        <w:t>Applications of Cellco Partnership d/b/a Verizon Wireless and</w:t>
      </w:r>
      <w:r w:rsidRPr="00013A2A">
        <w:t xml:space="preserve"> </w:t>
      </w:r>
      <w:r w:rsidRPr="0053362C">
        <w:rPr>
          <w:i/>
          <w:iCs/>
          <w:snapToGrid w:val="0"/>
        </w:rPr>
        <w:t>SpectrumCo LLC and Cox TMI, LLC for Consent To Assign AWS-1 Licenses</w:t>
      </w:r>
      <w:r w:rsidRPr="0053362C">
        <w:rPr>
          <w:snapToGrid w:val="0"/>
        </w:rPr>
        <w:t>, Memorandum Opinion and</w:t>
      </w:r>
      <w:r>
        <w:rPr>
          <w:snapToGrid w:val="0"/>
        </w:rPr>
        <w:t xml:space="preserve"> Order, 27 FCC Rcd 10698, 10714, para. 17 (2012); </w:t>
      </w:r>
      <w:r>
        <w:rPr>
          <w:i/>
        </w:rPr>
        <w:t>Applications of Atlantic Tele-Network, Inc. and Cellco Partnership d/b/a Verizon Wireless for Consent to Assign or Transfer Control of Licenses and Authorizations</w:t>
      </w:r>
      <w:r>
        <w:t>, Memorandum Opinion and Order, 25 FCC Rcd 3763, 3777, para. 26 &amp; nn.108-09 (2008).</w:t>
      </w:r>
    </w:p>
  </w:footnote>
  <w:footnote w:id="26">
    <w:p w14:paraId="1DED5F20" w14:textId="35354761" w:rsidR="00947DF0" w:rsidRDefault="00947DF0" w:rsidP="0025247C">
      <w:pPr>
        <w:pStyle w:val="FootnoteText"/>
        <w:spacing w:line="240" w:lineRule="auto"/>
      </w:pPr>
      <w:r>
        <w:rPr>
          <w:rStyle w:val="FootnoteReference"/>
        </w:rPr>
        <w:footnoteRef/>
      </w:r>
      <w:r>
        <w:t xml:space="preserve"> 47 U.S.C. § 310(d); 47 C.F.R. § 1.948.  </w:t>
      </w:r>
      <w:r w:rsidRPr="00793143">
        <w:rPr>
          <w:szCs w:val="22"/>
        </w:rPr>
        <w:t>The Commission generally does not reevaluate the qualifications of transferors unless issues related to basic qualifications have been sufficiently raised in petitions to warrant designation for hearing.</w:t>
      </w:r>
      <w:r>
        <w:rPr>
          <w:szCs w:val="22"/>
        </w:rPr>
        <w:t xml:space="preserve">  </w:t>
      </w:r>
      <w:r w:rsidRPr="00DC3470">
        <w:rPr>
          <w:i/>
        </w:rPr>
        <w:t>AT&amp;T-DIRECTV Order</w:t>
      </w:r>
      <w:r w:rsidRPr="00DC3470">
        <w:t>, 30 FCC Rcd at 9142, para. 25</w:t>
      </w:r>
      <w:r>
        <w:t xml:space="preserve">; </w:t>
      </w:r>
      <w:r w:rsidRPr="008F0EB3">
        <w:rPr>
          <w:i/>
        </w:rPr>
        <w:t>Applications of Sprint Nextel Corp. and SoftBank Corp. and Starburst II, Inc. for Consent to Transfer Control of Licenses and Authorizations</w:t>
      </w:r>
      <w:r w:rsidRPr="008F0EB3">
        <w:t>, Memorandum Opinion and Order, Declaratory Ruling, and Order on Reconsideration, 28 FCC Rcd 9642, 96</w:t>
      </w:r>
      <w:r>
        <w:t>53</w:t>
      </w:r>
      <w:r w:rsidRPr="008F0EB3">
        <w:t xml:space="preserve">, para. </w:t>
      </w:r>
      <w:r>
        <w:t>27</w:t>
      </w:r>
      <w:r w:rsidRPr="008F0EB3">
        <w:t xml:space="preserve"> (2013</w:t>
      </w:r>
      <w:r>
        <w:t>)</w:t>
      </w:r>
      <w:r w:rsidRPr="00B950B1">
        <w:t>.</w:t>
      </w:r>
    </w:p>
  </w:footnote>
  <w:footnote w:id="27">
    <w:p w14:paraId="366723AB" w14:textId="58001221" w:rsidR="00947DF0" w:rsidRPr="00DC3470" w:rsidRDefault="00947DF0" w:rsidP="0025247C">
      <w:pPr>
        <w:pStyle w:val="FootnoteText"/>
        <w:spacing w:line="240" w:lineRule="auto"/>
      </w:pPr>
      <w:r w:rsidRPr="00DC3470">
        <w:rPr>
          <w:rStyle w:val="FootnoteReference"/>
        </w:rPr>
        <w:footnoteRef/>
      </w:r>
      <w:r w:rsidRPr="00DC3470">
        <w:t xml:space="preserve"> </w:t>
      </w:r>
      <w:r w:rsidRPr="00DC3470">
        <w:rPr>
          <w:i/>
        </w:rPr>
        <w:t>AT&amp;T-DIRECTV Order</w:t>
      </w:r>
      <w:r w:rsidRPr="00DC3470">
        <w:t>, 30 FCC Rcd at 9154, para. 52.</w:t>
      </w:r>
    </w:p>
  </w:footnote>
  <w:footnote w:id="28">
    <w:p w14:paraId="2DD0372E" w14:textId="77777777" w:rsidR="00947DF0" w:rsidRDefault="00947DF0" w:rsidP="0025247C">
      <w:pPr>
        <w:pStyle w:val="FootnoteText"/>
        <w:spacing w:line="240" w:lineRule="auto"/>
      </w:pPr>
      <w:r>
        <w:rPr>
          <w:rStyle w:val="FootnoteReference"/>
        </w:rPr>
        <w:footnoteRef/>
      </w:r>
      <w:r>
        <w:t xml:space="preserve"> Public Interest Statement at 5-6.</w:t>
      </w:r>
    </w:p>
  </w:footnote>
  <w:footnote w:id="29">
    <w:p w14:paraId="27E1B44F" w14:textId="77777777" w:rsidR="00947DF0" w:rsidRPr="00972B11" w:rsidRDefault="00947DF0" w:rsidP="0025247C">
      <w:pPr>
        <w:pStyle w:val="FootnoteText"/>
        <w:spacing w:line="240" w:lineRule="auto"/>
      </w:pPr>
      <w:r w:rsidRPr="00972B11">
        <w:rPr>
          <w:rStyle w:val="FootnoteReference"/>
        </w:rPr>
        <w:footnoteRef/>
      </w:r>
      <w:r w:rsidR="00B77554">
        <w:rPr>
          <w:i/>
        </w:rPr>
        <w:t xml:space="preserve"> </w:t>
      </w:r>
      <w:r w:rsidR="005F2913">
        <w:rPr>
          <w:i/>
        </w:rPr>
        <w:t>Id</w:t>
      </w:r>
      <w:r w:rsidRPr="003D4725">
        <w:t>.</w:t>
      </w:r>
    </w:p>
  </w:footnote>
  <w:footnote w:id="30">
    <w:p w14:paraId="18CEF0F3" w14:textId="77777777" w:rsidR="0025247C" w:rsidRDefault="0025247C">
      <w:pPr>
        <w:pStyle w:val="FootnoteText"/>
      </w:pPr>
      <w:r>
        <w:rPr>
          <w:rStyle w:val="FootnoteReference"/>
        </w:rPr>
        <w:footnoteRef/>
      </w:r>
      <w:r>
        <w:t xml:space="preserve"> </w:t>
      </w:r>
      <w:r w:rsidR="005F2913">
        <w:rPr>
          <w:i/>
        </w:rPr>
        <w:t>Id.</w:t>
      </w:r>
      <w:r w:rsidR="00232B3B">
        <w:rPr>
          <w:i/>
        </w:rPr>
        <w:t xml:space="preserve"> </w:t>
      </w:r>
      <w:r w:rsidR="00232B3B">
        <w:t>at 6</w:t>
      </w:r>
      <w:r>
        <w:t>.</w:t>
      </w:r>
    </w:p>
  </w:footnote>
  <w:footnote w:id="31">
    <w:p w14:paraId="55FE613C" w14:textId="4D6B55EB" w:rsidR="00947DF0" w:rsidRDefault="00947DF0" w:rsidP="0025247C">
      <w:pPr>
        <w:pStyle w:val="FootnoteText"/>
        <w:spacing w:line="240" w:lineRule="auto"/>
      </w:pPr>
      <w:r>
        <w:rPr>
          <w:rStyle w:val="FootnoteReference"/>
        </w:rPr>
        <w:footnoteRef/>
      </w:r>
      <w:r>
        <w:t xml:space="preserve"> </w:t>
      </w:r>
      <w:r w:rsidR="00232B3B">
        <w:rPr>
          <w:i/>
        </w:rPr>
        <w:t>Use of Spectrum Bands Above 24GHz for Mobile Radio Services</w:t>
      </w:r>
      <w:r w:rsidR="00232B3B">
        <w:t xml:space="preserve">, Report and Order and Further Notice of Proposed Rulemaking, 31 FCC Rcd 8014, 8081 n.486 </w:t>
      </w:r>
      <w:r w:rsidR="00B8452B">
        <w:t xml:space="preserve">(2016) </w:t>
      </w:r>
      <w:r w:rsidR="00232B3B">
        <w:t>(</w:t>
      </w:r>
      <w:r w:rsidR="00232B3B">
        <w:rPr>
          <w:i/>
        </w:rPr>
        <w:t>Spectrum Frontiers Order</w:t>
      </w:r>
      <w:r w:rsidR="00232B3B">
        <w:t>).</w:t>
      </w:r>
    </w:p>
  </w:footnote>
  <w:footnote w:id="32">
    <w:p w14:paraId="1AE5152A" w14:textId="77777777" w:rsidR="0025247C" w:rsidRDefault="0025247C" w:rsidP="0025247C">
      <w:pPr>
        <w:pStyle w:val="FootnoteText"/>
        <w:spacing w:line="240" w:lineRule="auto"/>
      </w:pPr>
      <w:r>
        <w:rPr>
          <w:rStyle w:val="FootnoteReference"/>
        </w:rPr>
        <w:footnoteRef/>
      </w:r>
      <w:r>
        <w:t xml:space="preserve"> Public Interest Statement at</w:t>
      </w:r>
      <w:r w:rsidR="00232B3B">
        <w:t xml:space="preserve"> 6</w:t>
      </w:r>
      <w:r>
        <w:t>.</w:t>
      </w:r>
    </w:p>
  </w:footnote>
  <w:footnote w:id="33">
    <w:p w14:paraId="6169A1FB" w14:textId="77777777" w:rsidR="00947DF0" w:rsidRPr="00972B11" w:rsidRDefault="00947DF0" w:rsidP="0025247C">
      <w:pPr>
        <w:pStyle w:val="FootnoteText"/>
        <w:spacing w:line="240" w:lineRule="auto"/>
      </w:pPr>
      <w:r w:rsidRPr="00972B11">
        <w:rPr>
          <w:rStyle w:val="FootnoteReference"/>
        </w:rPr>
        <w:footnoteRef/>
      </w:r>
      <w:r w:rsidR="00232B3B">
        <w:t xml:space="preserve"> </w:t>
      </w:r>
      <w:r w:rsidR="00232B3B">
        <w:rPr>
          <w:i/>
        </w:rPr>
        <w:t>Id</w:t>
      </w:r>
      <w:r w:rsidRPr="00972B11">
        <w:t>.</w:t>
      </w:r>
      <w:r w:rsidR="00424CF9">
        <w:t>; Joint Opposition at 10.</w:t>
      </w:r>
    </w:p>
  </w:footnote>
  <w:footnote w:id="34">
    <w:p w14:paraId="2C77FD17" w14:textId="77777777" w:rsidR="00947DF0" w:rsidRPr="003D4725" w:rsidRDefault="00947DF0" w:rsidP="0025247C">
      <w:pPr>
        <w:pStyle w:val="FootnoteText"/>
        <w:spacing w:line="240" w:lineRule="auto"/>
      </w:pPr>
      <w:r w:rsidRPr="003D4725">
        <w:rPr>
          <w:rStyle w:val="FootnoteReference"/>
        </w:rPr>
        <w:footnoteRef/>
      </w:r>
      <w:r w:rsidRPr="003D4725">
        <w:t xml:space="preserve"> CCA </w:t>
      </w:r>
      <w:r w:rsidR="00B475F2">
        <w:t>Petition</w:t>
      </w:r>
      <w:r w:rsidRPr="003D4725">
        <w:t xml:space="preserve"> at 4-5</w:t>
      </w:r>
      <w:r>
        <w:t>.</w:t>
      </w:r>
    </w:p>
  </w:footnote>
  <w:footnote w:id="35">
    <w:p w14:paraId="12352C35" w14:textId="77777777" w:rsidR="00947DF0" w:rsidRPr="003D4725" w:rsidRDefault="00947DF0" w:rsidP="0025247C">
      <w:pPr>
        <w:pStyle w:val="FootnoteText"/>
        <w:spacing w:line="240" w:lineRule="auto"/>
      </w:pPr>
      <w:r w:rsidRPr="003D4725">
        <w:rPr>
          <w:rStyle w:val="FootnoteReference"/>
        </w:rPr>
        <w:footnoteRef/>
      </w:r>
      <w:r w:rsidR="00B475F2">
        <w:t xml:space="preserve"> </w:t>
      </w:r>
      <w:r w:rsidR="00D86D53">
        <w:rPr>
          <w:i/>
        </w:rPr>
        <w:t xml:space="preserve">Id. </w:t>
      </w:r>
      <w:r w:rsidR="00D86D53">
        <w:t>at</w:t>
      </w:r>
      <w:r w:rsidR="00B475F2">
        <w:t xml:space="preserve"> 6-8</w:t>
      </w:r>
      <w:r w:rsidRPr="003D4725">
        <w:t xml:space="preserve">.  </w:t>
      </w:r>
    </w:p>
  </w:footnote>
  <w:footnote w:id="36">
    <w:p w14:paraId="1CEDA05C" w14:textId="77777777" w:rsidR="002C290E" w:rsidRDefault="002C290E">
      <w:pPr>
        <w:pStyle w:val="FootnoteText"/>
      </w:pPr>
      <w:r>
        <w:rPr>
          <w:rStyle w:val="FootnoteReference"/>
        </w:rPr>
        <w:footnoteRef/>
      </w:r>
      <w:r>
        <w:t xml:space="preserve"> Skyriver Petition at</w:t>
      </w:r>
      <w:r w:rsidR="00717F92">
        <w:t xml:space="preserve"> 2</w:t>
      </w:r>
      <w:r>
        <w:t>.</w:t>
      </w:r>
    </w:p>
  </w:footnote>
  <w:footnote w:id="37">
    <w:p w14:paraId="632D9840" w14:textId="77777777" w:rsidR="002C290E" w:rsidRDefault="002C290E">
      <w:pPr>
        <w:pStyle w:val="FootnoteText"/>
      </w:pPr>
      <w:r>
        <w:rPr>
          <w:rStyle w:val="FootnoteReference"/>
        </w:rPr>
        <w:footnoteRef/>
      </w:r>
      <w:r>
        <w:t xml:space="preserve"> </w:t>
      </w:r>
      <w:r w:rsidR="00D86D53">
        <w:rPr>
          <w:i/>
        </w:rPr>
        <w:t>Id.</w:t>
      </w:r>
      <w:r>
        <w:t xml:space="preserve"> at</w:t>
      </w:r>
      <w:r w:rsidR="00717F92">
        <w:t xml:space="preserve"> 2</w:t>
      </w:r>
      <w:r>
        <w:t>.</w:t>
      </w:r>
    </w:p>
  </w:footnote>
  <w:footnote w:id="38">
    <w:p w14:paraId="6736BD3E" w14:textId="77777777" w:rsidR="00FF4876" w:rsidRDefault="00FF4876" w:rsidP="0025247C">
      <w:pPr>
        <w:pStyle w:val="FootnoteText"/>
        <w:spacing w:line="240" w:lineRule="auto"/>
      </w:pPr>
      <w:r>
        <w:rPr>
          <w:rStyle w:val="FootnoteReference"/>
        </w:rPr>
        <w:footnoteRef/>
      </w:r>
      <w:r w:rsidR="00D86D53">
        <w:t xml:space="preserve"> </w:t>
      </w:r>
      <w:r w:rsidR="00D86D53">
        <w:rPr>
          <w:i/>
        </w:rPr>
        <w:t>Id.</w:t>
      </w:r>
      <w:r>
        <w:t xml:space="preserve"> at 2-3.</w:t>
      </w:r>
    </w:p>
  </w:footnote>
  <w:footnote w:id="39">
    <w:p w14:paraId="3A06E63D" w14:textId="77777777" w:rsidR="00947DF0" w:rsidRPr="003D4725" w:rsidRDefault="00947DF0" w:rsidP="0025247C">
      <w:pPr>
        <w:pStyle w:val="FootnoteText"/>
        <w:spacing w:line="240" w:lineRule="auto"/>
      </w:pPr>
      <w:r w:rsidRPr="003D4725">
        <w:rPr>
          <w:rStyle w:val="FootnoteReference"/>
        </w:rPr>
        <w:footnoteRef/>
      </w:r>
      <w:r w:rsidRPr="003D4725">
        <w:t xml:space="preserve"> Joint Opposition at 3.</w:t>
      </w:r>
    </w:p>
  </w:footnote>
  <w:footnote w:id="40">
    <w:p w14:paraId="35BB8F86" w14:textId="77777777" w:rsidR="00947DF0" w:rsidRPr="003D4725" w:rsidRDefault="00947DF0" w:rsidP="0025247C">
      <w:pPr>
        <w:pStyle w:val="FootnoteText"/>
        <w:spacing w:line="240" w:lineRule="auto"/>
      </w:pPr>
      <w:r w:rsidRPr="003D4725">
        <w:rPr>
          <w:rStyle w:val="FootnoteReference"/>
        </w:rPr>
        <w:footnoteRef/>
      </w:r>
      <w:r w:rsidRPr="003D4725">
        <w:t xml:space="preserve"> </w:t>
      </w:r>
      <w:r w:rsidR="00D86D53">
        <w:rPr>
          <w:i/>
        </w:rPr>
        <w:t>Id.</w:t>
      </w:r>
      <w:r w:rsidR="00D86D53">
        <w:t xml:space="preserve"> </w:t>
      </w:r>
      <w:r w:rsidRPr="003D4725">
        <w:t>at 3-4.</w:t>
      </w:r>
    </w:p>
  </w:footnote>
  <w:footnote w:id="41">
    <w:p w14:paraId="777DC797" w14:textId="77777777" w:rsidR="00DC485D" w:rsidRDefault="00DC485D" w:rsidP="0025247C">
      <w:pPr>
        <w:pStyle w:val="FootnoteText"/>
        <w:spacing w:line="240" w:lineRule="auto"/>
      </w:pPr>
      <w:r>
        <w:rPr>
          <w:rStyle w:val="FootnoteReference"/>
        </w:rPr>
        <w:footnoteRef/>
      </w:r>
      <w:r>
        <w:t xml:space="preserve"> </w:t>
      </w:r>
      <w:r w:rsidR="00D86D53">
        <w:rPr>
          <w:i/>
        </w:rPr>
        <w:t>Id.</w:t>
      </w:r>
      <w:r>
        <w:t xml:space="preserve"> at 7-8</w:t>
      </w:r>
      <w:r w:rsidR="00A066C3">
        <w:t>.</w:t>
      </w:r>
    </w:p>
  </w:footnote>
  <w:footnote w:id="42">
    <w:p w14:paraId="2F5EE9BD" w14:textId="77777777" w:rsidR="00DC485D" w:rsidRDefault="00DC485D" w:rsidP="0025247C">
      <w:pPr>
        <w:pStyle w:val="FootnoteText"/>
        <w:spacing w:line="240" w:lineRule="auto"/>
      </w:pPr>
      <w:r>
        <w:rPr>
          <w:rStyle w:val="FootnoteReference"/>
        </w:rPr>
        <w:footnoteRef/>
      </w:r>
      <w:r>
        <w:t xml:space="preserve"> </w:t>
      </w:r>
      <w:r w:rsidR="00D86D53">
        <w:rPr>
          <w:i/>
        </w:rPr>
        <w:t>Id.</w:t>
      </w:r>
      <w:r w:rsidR="00A066C3">
        <w:t xml:space="preserve"> at 10-11.</w:t>
      </w:r>
    </w:p>
  </w:footnote>
  <w:footnote w:id="43">
    <w:p w14:paraId="6739B121" w14:textId="15C4572E" w:rsidR="00947DF0" w:rsidRPr="003D4725" w:rsidRDefault="00947DF0" w:rsidP="0025247C">
      <w:pPr>
        <w:pStyle w:val="FootnoteText"/>
        <w:spacing w:line="240" w:lineRule="auto"/>
      </w:pPr>
      <w:r w:rsidRPr="003D4725">
        <w:rPr>
          <w:rStyle w:val="FootnoteReference"/>
        </w:rPr>
        <w:footnoteRef/>
      </w:r>
      <w:r w:rsidRPr="003D4725">
        <w:t xml:space="preserve"> </w:t>
      </w:r>
      <w:r w:rsidRPr="003D4725">
        <w:rPr>
          <w:i/>
        </w:rPr>
        <w:t>See, e.g.</w:t>
      </w:r>
      <w:r w:rsidRPr="003D4725">
        <w:t>,</w:t>
      </w:r>
      <w:r w:rsidRPr="003D4725">
        <w:rPr>
          <w:i/>
        </w:rPr>
        <w:t xml:space="preserve"> </w:t>
      </w:r>
      <w:r w:rsidR="004B20A8" w:rsidRPr="0065748A">
        <w:rPr>
          <w:i/>
        </w:rPr>
        <w:t>Applications of S</w:t>
      </w:r>
      <w:r w:rsidR="004B20A8"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4B20A8">
        <w:rPr>
          <w:spacing w:val="-2"/>
        </w:rPr>
        <w:t xml:space="preserve">, </w:t>
      </w:r>
      <w:r w:rsidR="004B20A8">
        <w:t>Memorandum Opinion and Order, 31 FCC Rcd 3631, 363</w:t>
      </w:r>
      <w:r w:rsidR="008B3780">
        <w:t>5-36</w:t>
      </w:r>
      <w:r w:rsidR="004B20A8">
        <w:t xml:space="preserve">, para. </w:t>
      </w:r>
      <w:r w:rsidR="008B3780">
        <w:t>9</w:t>
      </w:r>
      <w:r w:rsidR="004B20A8">
        <w:t xml:space="preserve"> (WTB/IB 2016) (</w:t>
      </w:r>
      <w:r w:rsidR="004B20A8" w:rsidRPr="00B1346E">
        <w:rPr>
          <w:i/>
        </w:rPr>
        <w:t>Sprint-Shentel-NTELOS Order</w:t>
      </w:r>
      <w:r w:rsidR="004B20A8">
        <w:t xml:space="preserve">); </w:t>
      </w:r>
      <w:r w:rsidR="00032993" w:rsidRPr="003D4725">
        <w:rPr>
          <w:i/>
        </w:rPr>
        <w:t>Applications of AT&amp;T Inc., Leap Wireless International, Inc., Cricket License Co., LLC and Leap Licenseco, Inc. for Consent To Transfer Control and Assign Licenses and Authorizations</w:t>
      </w:r>
      <w:r w:rsidR="00032993" w:rsidRPr="003D4725">
        <w:t xml:space="preserve">, </w:t>
      </w:r>
      <w:r w:rsidR="00032993" w:rsidRPr="003D4725">
        <w:rPr>
          <w:iCs/>
        </w:rPr>
        <w:t>Memorandum Opinion and Order</w:t>
      </w:r>
      <w:r w:rsidR="00032993" w:rsidRPr="003D4725">
        <w:t>,</w:t>
      </w:r>
      <w:r w:rsidR="00032993" w:rsidRPr="003D4725">
        <w:rPr>
          <w:i/>
          <w:iCs/>
        </w:rPr>
        <w:t xml:space="preserve"> </w:t>
      </w:r>
      <w:r w:rsidR="00032993" w:rsidRPr="003D4725">
        <w:t xml:space="preserve">29 FCC Rcd 2735, </w:t>
      </w:r>
      <w:r w:rsidR="00032993">
        <w:t>2745</w:t>
      </w:r>
      <w:r w:rsidR="00032993" w:rsidRPr="003D4725">
        <w:t xml:space="preserve">, para. </w:t>
      </w:r>
      <w:r w:rsidR="00032993">
        <w:t>20</w:t>
      </w:r>
      <w:r w:rsidR="00032993" w:rsidRPr="003D4725">
        <w:t xml:space="preserve"> (WTB, IB 2014) (</w:t>
      </w:r>
      <w:r w:rsidR="00032993" w:rsidRPr="003D4725">
        <w:rPr>
          <w:i/>
        </w:rPr>
        <w:t>AT&amp;T-Leap Order</w:t>
      </w:r>
      <w:r w:rsidR="00032993">
        <w:t>)</w:t>
      </w:r>
      <w:r w:rsidRPr="003D4725">
        <w:t>.</w:t>
      </w:r>
    </w:p>
  </w:footnote>
  <w:footnote w:id="44">
    <w:p w14:paraId="2B4D250B" w14:textId="77777777" w:rsidR="00947DF0" w:rsidRPr="00711CA4" w:rsidRDefault="00947DF0" w:rsidP="0025247C">
      <w:pPr>
        <w:pStyle w:val="FootnoteText"/>
        <w:spacing w:line="240" w:lineRule="auto"/>
        <w:rPr>
          <w:i/>
          <w:color w:val="010101"/>
        </w:rPr>
      </w:pPr>
      <w:r w:rsidRPr="00AA365B">
        <w:rPr>
          <w:rStyle w:val="FootnoteReference"/>
        </w:rPr>
        <w:footnoteRef/>
      </w:r>
      <w:r w:rsidRPr="00AA365B">
        <w:t xml:space="preserve"> </w:t>
      </w:r>
      <w:r w:rsidRPr="00AA365B">
        <w:rPr>
          <w:i/>
          <w:color w:val="010101"/>
        </w:rPr>
        <w:t>See, e.g.</w:t>
      </w:r>
      <w:r w:rsidRPr="00AA365B">
        <w:rPr>
          <w:color w:val="010101"/>
        </w:rPr>
        <w:t>,</w:t>
      </w:r>
      <w:r w:rsidRPr="00AA365B">
        <w:rPr>
          <w:i/>
          <w:color w:val="010101"/>
        </w:rPr>
        <w:t xml:space="preserve"> </w:t>
      </w:r>
      <w:r w:rsidR="008B3780" w:rsidRPr="009F3286">
        <w:rPr>
          <w:i/>
          <w:color w:val="010101"/>
        </w:rPr>
        <w:t>Policies Regarding Mobile Spectrum Holdings; Expanding the Economic and Innovation Opportunities of Spectrum Through Incentive Auctions</w:t>
      </w:r>
      <w:r w:rsidR="008B3780" w:rsidRPr="00D97728">
        <w:rPr>
          <w:color w:val="010101"/>
        </w:rPr>
        <w:t xml:space="preserve">, </w:t>
      </w:r>
      <w:r w:rsidR="008B3780" w:rsidRPr="00F867CE">
        <w:rPr>
          <w:iCs/>
          <w:color w:val="010101"/>
        </w:rPr>
        <w:t>Report and Order</w:t>
      </w:r>
      <w:r w:rsidR="008B3780" w:rsidRPr="00F867CE">
        <w:rPr>
          <w:color w:val="010101"/>
        </w:rPr>
        <w:t>,</w:t>
      </w:r>
      <w:r w:rsidR="008B3780" w:rsidRPr="00D97728">
        <w:rPr>
          <w:color w:val="010101"/>
        </w:rPr>
        <w:t xml:space="preserve"> 29 FCC </w:t>
      </w:r>
      <w:r w:rsidR="008B3780">
        <w:rPr>
          <w:color w:val="010101"/>
        </w:rPr>
        <w:t xml:space="preserve">Rcd </w:t>
      </w:r>
      <w:r w:rsidR="008B3780" w:rsidRPr="00D97728">
        <w:rPr>
          <w:color w:val="010101"/>
        </w:rPr>
        <w:t>613</w:t>
      </w:r>
      <w:r w:rsidR="008B3780">
        <w:rPr>
          <w:color w:val="010101"/>
        </w:rPr>
        <w:t>3, 6238-40, paras. 282-88 (</w:t>
      </w:r>
      <w:r w:rsidR="008B3780" w:rsidRPr="00D97728">
        <w:rPr>
          <w:color w:val="010101"/>
        </w:rPr>
        <w:t>2014) (</w:t>
      </w:r>
      <w:r w:rsidR="008B3780" w:rsidRPr="00D97728">
        <w:rPr>
          <w:i/>
          <w:iCs/>
          <w:color w:val="010101"/>
        </w:rPr>
        <w:t>Mobile Spectrum Holdings Report and Order</w:t>
      </w:r>
      <w:r w:rsidR="008B3780" w:rsidRPr="00D97728">
        <w:rPr>
          <w:color w:val="010101"/>
        </w:rPr>
        <w:t>)</w:t>
      </w:r>
      <w:r w:rsidR="008B3780">
        <w:rPr>
          <w:color w:val="010101"/>
        </w:rPr>
        <w:t xml:space="preserve">, </w:t>
      </w:r>
      <w:r w:rsidR="008B3780" w:rsidRPr="0044008A">
        <w:rPr>
          <w:i/>
          <w:color w:val="010101"/>
        </w:rPr>
        <w:t>recon</w:t>
      </w:r>
      <w:r w:rsidR="008B3780" w:rsidRPr="00D97728">
        <w:rPr>
          <w:color w:val="010101"/>
        </w:rPr>
        <w:t>.</w:t>
      </w:r>
      <w:r w:rsidR="008B3780">
        <w:rPr>
          <w:color w:val="010101"/>
        </w:rPr>
        <w:t xml:space="preserve"> </w:t>
      </w:r>
      <w:r w:rsidR="008B3780">
        <w:rPr>
          <w:i/>
          <w:color w:val="010101"/>
        </w:rPr>
        <w:t>denied</w:t>
      </w:r>
      <w:r w:rsidR="008B3780">
        <w:rPr>
          <w:color w:val="010101"/>
        </w:rPr>
        <w:t xml:space="preserve">, </w:t>
      </w:r>
      <w:r w:rsidR="008B3780" w:rsidRPr="00F867CE">
        <w:rPr>
          <w:color w:val="010101"/>
        </w:rPr>
        <w:t>Order on Reconsideration</w:t>
      </w:r>
      <w:r w:rsidR="008B3780">
        <w:rPr>
          <w:color w:val="010101"/>
        </w:rPr>
        <w:t>, 30 FCC Rcd 8635 (2015)</w:t>
      </w:r>
      <w:r>
        <w:rPr>
          <w:color w:val="010101"/>
        </w:rPr>
        <w:t xml:space="preserve">; </w:t>
      </w:r>
      <w:r w:rsidRPr="00AA365B">
        <w:rPr>
          <w:i/>
        </w:rPr>
        <w:t>AT&amp;T-Leap Order</w:t>
      </w:r>
      <w:r w:rsidRPr="00AA365B">
        <w:t>, 29 FCC Rcd at 2745-46, para. 21.</w:t>
      </w:r>
    </w:p>
  </w:footnote>
  <w:footnote w:id="45">
    <w:p w14:paraId="4992D99B" w14:textId="77777777" w:rsidR="00194804" w:rsidRDefault="00194804" w:rsidP="00194804">
      <w:pPr>
        <w:pStyle w:val="FootnoteText"/>
        <w:spacing w:line="240" w:lineRule="auto"/>
      </w:pPr>
      <w:r>
        <w:rPr>
          <w:rStyle w:val="FootnoteReference"/>
        </w:rPr>
        <w:footnoteRef/>
      </w:r>
      <w:r>
        <w:t xml:space="preserve"> </w:t>
      </w:r>
      <w:r w:rsidRPr="003D4725">
        <w:rPr>
          <w:i/>
        </w:rPr>
        <w:t>See, e.g</w:t>
      </w:r>
      <w:r w:rsidRPr="005F5D89">
        <w:rPr>
          <w:i/>
        </w:rPr>
        <w:t>.</w:t>
      </w:r>
      <w:r w:rsidRPr="005F5D89">
        <w:t>,</w:t>
      </w:r>
      <w:r w:rsidRPr="005F5D89">
        <w:rPr>
          <w:i/>
        </w:rPr>
        <w:t xml:space="preserve"> Sprint-Shentel-NTELOS </w:t>
      </w:r>
      <w:r w:rsidRPr="00EF347E">
        <w:rPr>
          <w:i/>
        </w:rPr>
        <w:t>Order</w:t>
      </w:r>
      <w:r w:rsidRPr="005F5D89">
        <w:t>, 31</w:t>
      </w:r>
      <w:r>
        <w:t xml:space="preserve"> FCC Rcd at 3637, para. 13; </w:t>
      </w:r>
      <w:r w:rsidRPr="00D97728">
        <w:rPr>
          <w:i/>
          <w:iCs/>
          <w:color w:val="010101"/>
        </w:rPr>
        <w:t xml:space="preserve">Mobile Spectrum Holdings Report and </w:t>
      </w:r>
      <w:r w:rsidRPr="003F41A3">
        <w:rPr>
          <w:i/>
          <w:iCs/>
          <w:color w:val="010101"/>
        </w:rPr>
        <w:t>Order</w:t>
      </w:r>
      <w:r>
        <w:rPr>
          <w:iCs/>
          <w:color w:val="010101"/>
        </w:rPr>
        <w:t>, 29 FCC Rcd at 6169, para. 70</w:t>
      </w:r>
      <w:r w:rsidRPr="003D4725">
        <w:t>.</w:t>
      </w:r>
    </w:p>
  </w:footnote>
  <w:footnote w:id="46">
    <w:p w14:paraId="21B2FB82" w14:textId="77777777" w:rsidR="00947DF0" w:rsidRPr="007768EA" w:rsidRDefault="00947DF0" w:rsidP="0025247C">
      <w:pPr>
        <w:pStyle w:val="FootnoteText"/>
        <w:spacing w:line="240" w:lineRule="auto"/>
      </w:pPr>
      <w:r>
        <w:rPr>
          <w:rStyle w:val="FootnoteReference"/>
        </w:rPr>
        <w:footnoteRef/>
      </w:r>
      <w:r>
        <w:t xml:space="preserve"> </w:t>
      </w:r>
      <w:r>
        <w:rPr>
          <w:i/>
        </w:rPr>
        <w:t>Spectrum Frontiers Order</w:t>
      </w:r>
      <w:r w:rsidRPr="00013A2A">
        <w:t>,</w:t>
      </w:r>
      <w:r>
        <w:rPr>
          <w:i/>
        </w:rPr>
        <w:t xml:space="preserve"> </w:t>
      </w:r>
      <w:r w:rsidR="00504E7F">
        <w:t>31 FCC Rcd at 8081</w:t>
      </w:r>
      <w:r>
        <w:t xml:space="preserve">, para. 184.  </w:t>
      </w:r>
    </w:p>
  </w:footnote>
  <w:footnote w:id="47">
    <w:p w14:paraId="6A6768CA" w14:textId="77777777" w:rsidR="00947DF0" w:rsidRPr="003B2E0D" w:rsidRDefault="00947DF0" w:rsidP="0025247C">
      <w:pPr>
        <w:pStyle w:val="FootnoteText"/>
        <w:spacing w:line="240" w:lineRule="auto"/>
      </w:pPr>
      <w:r>
        <w:rPr>
          <w:rStyle w:val="FootnoteReference"/>
        </w:rPr>
        <w:footnoteRef/>
      </w:r>
      <w:r>
        <w:t xml:space="preserve"> </w:t>
      </w:r>
      <w:r w:rsidR="00B77554">
        <w:rPr>
          <w:i/>
        </w:rPr>
        <w:t>Id.</w:t>
      </w:r>
      <w:r w:rsidR="00B77554">
        <w:t>, 31 FCC Rcd</w:t>
      </w:r>
      <w:r w:rsidR="004719A8">
        <w:t xml:space="preserve"> at 8082</w:t>
      </w:r>
      <w:r>
        <w:t>, para. 185</w:t>
      </w:r>
      <w:r w:rsidRPr="00696F19">
        <w:t>.</w:t>
      </w:r>
      <w:r>
        <w:t xml:space="preserve">  </w:t>
      </w:r>
    </w:p>
  </w:footnote>
  <w:footnote w:id="48">
    <w:p w14:paraId="1C2C00ED" w14:textId="3FB69F39" w:rsidR="00947DF0" w:rsidRPr="003D4725" w:rsidRDefault="00947DF0" w:rsidP="0025247C">
      <w:pPr>
        <w:pStyle w:val="FootnoteText"/>
        <w:spacing w:line="240" w:lineRule="auto"/>
      </w:pPr>
      <w:r w:rsidRPr="00696F19">
        <w:rPr>
          <w:rStyle w:val="FootnoteReference"/>
        </w:rPr>
        <w:footnoteRef/>
      </w:r>
      <w:r w:rsidRPr="00696F19">
        <w:t xml:space="preserve"> </w:t>
      </w:r>
      <w:r w:rsidR="00B77554">
        <w:rPr>
          <w:i/>
        </w:rPr>
        <w:t>Id.</w:t>
      </w:r>
      <w:r w:rsidR="00B77554">
        <w:t xml:space="preserve">, </w:t>
      </w:r>
      <w:r w:rsidR="004719A8">
        <w:t>31 FCC Rcd a</w:t>
      </w:r>
      <w:r>
        <w:t xml:space="preserve">t </w:t>
      </w:r>
      <w:r w:rsidR="004719A8">
        <w:t>8081-84</w:t>
      </w:r>
      <w:r>
        <w:t>, paras. 184-85, 189</w:t>
      </w:r>
      <w:r w:rsidRPr="00696F19">
        <w:t>.</w:t>
      </w:r>
      <w:r>
        <w:t xml:space="preserve">  </w:t>
      </w:r>
      <w:r w:rsidR="004719A8">
        <w:t>T</w:t>
      </w:r>
      <w:r w:rsidR="008F5C69">
        <w:t xml:space="preserve">he Commission </w:t>
      </w:r>
      <w:r w:rsidR="004719A8">
        <w:t xml:space="preserve">recently </w:t>
      </w:r>
      <w:r w:rsidR="00776340">
        <w:t>adopted rules to make</w:t>
      </w:r>
      <w:r w:rsidR="008F5C69">
        <w:t xml:space="preserve"> </w:t>
      </w:r>
      <w:r w:rsidR="00456EE3">
        <w:t xml:space="preserve">available </w:t>
      </w:r>
      <w:r w:rsidR="008F5C69">
        <w:t>an additional 1700 megahertz of mmW spectrum, in the 24 GHz and 47 GHz bands</w:t>
      </w:r>
      <w:r w:rsidR="00776340">
        <w:t>.  This will increase</w:t>
      </w:r>
      <w:r w:rsidR="008F5C69">
        <w:t xml:space="preserve"> the </w:t>
      </w:r>
      <w:r w:rsidR="00776340">
        <w:t xml:space="preserve">total available </w:t>
      </w:r>
      <w:r w:rsidR="008F5C69">
        <w:t xml:space="preserve">mmW spectrum </w:t>
      </w:r>
      <w:r w:rsidR="00776340">
        <w:t xml:space="preserve">to </w:t>
      </w:r>
      <w:r w:rsidR="008F5C69">
        <w:t>4950 megahertz.</w:t>
      </w:r>
      <w:r w:rsidR="004719A8" w:rsidRPr="004719A8">
        <w:rPr>
          <w:i/>
        </w:rPr>
        <w:t xml:space="preserve"> </w:t>
      </w:r>
      <w:r w:rsidR="00BE10EA">
        <w:rPr>
          <w:i/>
        </w:rPr>
        <w:t xml:space="preserve"> </w:t>
      </w:r>
      <w:r w:rsidR="004719A8">
        <w:rPr>
          <w:i/>
        </w:rPr>
        <w:t>Use of Spectrum Bands Above 24GHz for Mobile Radio Services</w:t>
      </w:r>
      <w:r w:rsidR="004719A8">
        <w:t xml:space="preserve">, </w:t>
      </w:r>
      <w:r w:rsidR="00BE10EA" w:rsidRPr="003F41A3">
        <w:t xml:space="preserve">Second </w:t>
      </w:r>
      <w:r w:rsidR="004719A8" w:rsidRPr="003F41A3">
        <w:t>Report and Order</w:t>
      </w:r>
      <w:r w:rsidR="00BE10EA" w:rsidRPr="003F41A3">
        <w:t xml:space="preserve">, Second </w:t>
      </w:r>
      <w:r w:rsidR="004719A8" w:rsidRPr="003F41A3">
        <w:t>Further Notice of Proposed Rulemaking</w:t>
      </w:r>
      <w:r w:rsidR="00BE10EA" w:rsidRPr="003F41A3">
        <w:t>, Order on Reconsideration, and Memorandum Opinion and Order,</w:t>
      </w:r>
      <w:r w:rsidR="00BE10EA">
        <w:rPr>
          <w:i/>
        </w:rPr>
        <w:t xml:space="preserve"> </w:t>
      </w:r>
      <w:r w:rsidR="00BE10EA">
        <w:t>FCC 17-</w:t>
      </w:r>
      <w:r w:rsidR="00776340">
        <w:t>152</w:t>
      </w:r>
      <w:r w:rsidR="00BE10EA">
        <w:t xml:space="preserve">, </w:t>
      </w:r>
      <w:r w:rsidR="005D0A47">
        <w:t>24,</w:t>
      </w:r>
      <w:r w:rsidR="008F5C69">
        <w:t xml:space="preserve"> para.</w:t>
      </w:r>
      <w:r w:rsidR="00BE10EA">
        <w:t xml:space="preserve"> </w:t>
      </w:r>
      <w:r w:rsidR="008F5C69">
        <w:t>7</w:t>
      </w:r>
      <w:r w:rsidR="00C74FAA">
        <w:t>4</w:t>
      </w:r>
      <w:r w:rsidR="00BE10EA">
        <w:t xml:space="preserve"> (</w:t>
      </w:r>
      <w:r w:rsidR="00E24724">
        <w:t xml:space="preserve">Nov. 22, </w:t>
      </w:r>
      <w:r w:rsidR="00BE10EA">
        <w:t>2017) (</w:t>
      </w:r>
      <w:r w:rsidR="00BE10EA">
        <w:rPr>
          <w:i/>
        </w:rPr>
        <w:t>Second Spectrum Frontiers Order</w:t>
      </w:r>
      <w:r w:rsidR="00BE10EA">
        <w:t>)</w:t>
      </w:r>
      <w:r w:rsidR="008F5C69">
        <w:t xml:space="preserve">.  </w:t>
      </w:r>
    </w:p>
  </w:footnote>
  <w:footnote w:id="49">
    <w:p w14:paraId="5F2C3B05" w14:textId="2851355D" w:rsidR="008F5C69" w:rsidRPr="00031213" w:rsidRDefault="008F5C69">
      <w:pPr>
        <w:pStyle w:val="FootnoteText"/>
        <w:rPr>
          <w:i/>
        </w:rPr>
      </w:pPr>
      <w:r>
        <w:rPr>
          <w:rStyle w:val="FootnoteReference"/>
        </w:rPr>
        <w:footnoteRef/>
      </w:r>
      <w:r>
        <w:t xml:space="preserve"> </w:t>
      </w:r>
      <w:r w:rsidR="00031213">
        <w:rPr>
          <w:i/>
        </w:rPr>
        <w:t>Verizon-Nextlink Leasing Order</w:t>
      </w:r>
      <w:r w:rsidR="002146D2">
        <w:t>, 31 FCC Rcd at 7775-76, para. 20.</w:t>
      </w:r>
    </w:p>
  </w:footnote>
  <w:footnote w:id="50">
    <w:p w14:paraId="5AE7BD43" w14:textId="5C073661" w:rsidR="00947DF0" w:rsidRPr="00842143" w:rsidRDefault="00947DF0" w:rsidP="0025247C">
      <w:pPr>
        <w:pStyle w:val="FootnoteText"/>
        <w:spacing w:line="240" w:lineRule="auto"/>
      </w:pPr>
      <w:r w:rsidRPr="003D4725">
        <w:rPr>
          <w:rStyle w:val="FootnoteReference"/>
        </w:rPr>
        <w:footnoteRef/>
      </w:r>
      <w:r>
        <w:t xml:space="preserve"> Verizon Wireless does not currently hold or lease any other spectrum in the LMDS or 39 GHz bands, and it would acquire from Nextlink 9</w:t>
      </w:r>
      <w:r w:rsidR="00F749CC">
        <w:t>2</w:t>
      </w:r>
      <w:r>
        <w:t xml:space="preserve"> LMDS licenses and nine 39 GHz licenses covering 920 counties, or approximately 63 percent of the U.S. population in all or parts of 289 C</w:t>
      </w:r>
      <w:r w:rsidR="00F749CC">
        <w:t>ellular Marketing Areas</w:t>
      </w:r>
      <w:r>
        <w:t xml:space="preserve">.  </w:t>
      </w:r>
      <w:r w:rsidR="00F749CC">
        <w:rPr>
          <w:i/>
        </w:rPr>
        <w:t>Verizon-Nextlink Leasing Order</w:t>
      </w:r>
      <w:r w:rsidR="00F749CC">
        <w:rPr>
          <w:b/>
          <w:i/>
        </w:rPr>
        <w:t xml:space="preserve">, </w:t>
      </w:r>
      <w:r w:rsidR="00F749CC" w:rsidRPr="00F749CC">
        <w:t>31 FCC Rcd</w:t>
      </w:r>
      <w:r w:rsidR="00F749CC">
        <w:rPr>
          <w:i/>
        </w:rPr>
        <w:t xml:space="preserve"> </w:t>
      </w:r>
      <w:r w:rsidR="00F749CC">
        <w:t>at 7775-76, para.</w:t>
      </w:r>
      <w:r w:rsidR="005052BF">
        <w:t xml:space="preserve"> </w:t>
      </w:r>
      <w:r w:rsidR="00F749CC">
        <w:t>20 &amp; n.63</w:t>
      </w:r>
      <w:r w:rsidR="005052BF">
        <w:t>; Public Interest Statement at 2, 6</w:t>
      </w:r>
      <w:r w:rsidR="00F749CC">
        <w:t>.</w:t>
      </w:r>
      <w:r>
        <w:t xml:space="preserve">  Post-transaction, Verizon Wireless would hold a maximum of 1050 megahertz of mmW spectrum, or less than one-fourth of the spectrum that the Commission made available in the </w:t>
      </w:r>
      <w:r w:rsidRPr="001F49F5">
        <w:rPr>
          <w:i/>
        </w:rPr>
        <w:t>Spectrum Frontiers Order</w:t>
      </w:r>
      <w:r>
        <w:t xml:space="preserve"> and the </w:t>
      </w:r>
      <w:r>
        <w:rPr>
          <w:i/>
        </w:rPr>
        <w:t>Second Spect</w:t>
      </w:r>
      <w:r w:rsidR="008F5C69">
        <w:rPr>
          <w:i/>
        </w:rPr>
        <w:t>r</w:t>
      </w:r>
      <w:r>
        <w:rPr>
          <w:i/>
        </w:rPr>
        <w:t>um Frontiers Order</w:t>
      </w:r>
      <w:r>
        <w:t xml:space="preserve"> for flexible use, including mobile services.  </w:t>
      </w:r>
      <w:r w:rsidRPr="00066144">
        <w:rPr>
          <w:i/>
        </w:rPr>
        <w:t>Spectrum Frontiers Order</w:t>
      </w:r>
      <w:r w:rsidR="005052BF">
        <w:t>, 31 FCC Rcd</w:t>
      </w:r>
      <w:r>
        <w:t xml:space="preserve"> at </w:t>
      </w:r>
      <w:r w:rsidR="005052BF">
        <w:t>8018</w:t>
      </w:r>
      <w:r>
        <w:t xml:space="preserve">, para. 4; </w:t>
      </w:r>
      <w:r>
        <w:rPr>
          <w:i/>
        </w:rPr>
        <w:t xml:space="preserve">Second Spectrum Frontiers Order </w:t>
      </w:r>
      <w:r>
        <w:t xml:space="preserve">at </w:t>
      </w:r>
      <w:r w:rsidR="005D0A47">
        <w:t xml:space="preserve">23-24, </w:t>
      </w:r>
      <w:r>
        <w:t>paras. 73</w:t>
      </w:r>
      <w:r w:rsidR="00F92452">
        <w:t>-74</w:t>
      </w:r>
      <w:r>
        <w:t>.</w:t>
      </w:r>
    </w:p>
  </w:footnote>
  <w:footnote w:id="51">
    <w:p w14:paraId="0950358B" w14:textId="400B0A7A" w:rsidR="009E2396" w:rsidRPr="00456EE3" w:rsidRDefault="009E2396">
      <w:pPr>
        <w:pStyle w:val="FootnoteText"/>
      </w:pPr>
      <w:r>
        <w:rPr>
          <w:rStyle w:val="FootnoteReference"/>
        </w:rPr>
        <w:footnoteRef/>
      </w:r>
      <w:r>
        <w:t xml:space="preserve"> </w:t>
      </w:r>
      <w:r>
        <w:rPr>
          <w:i/>
        </w:rPr>
        <w:t>Second Spectrum Frontiers Order</w:t>
      </w:r>
      <w:r>
        <w:t xml:space="preserve"> at </w:t>
      </w:r>
      <w:r w:rsidR="00B8452B">
        <w:t xml:space="preserve">22, 24, </w:t>
      </w:r>
      <w:r w:rsidR="00F92452">
        <w:t xml:space="preserve">paras. 70, </w:t>
      </w:r>
      <w:r>
        <w:t>7</w:t>
      </w:r>
      <w:r w:rsidR="00F92452">
        <w:t>4</w:t>
      </w:r>
      <w:r w:rsidR="00FC35FA">
        <w:t xml:space="preserve"> &amp; n.189</w:t>
      </w:r>
      <w:r>
        <w:t>.</w:t>
      </w:r>
    </w:p>
  </w:footnote>
  <w:footnote w:id="52">
    <w:p w14:paraId="075492CD" w14:textId="2033CC2E" w:rsidR="00F21229" w:rsidRPr="00F6346C" w:rsidRDefault="00F21229">
      <w:pPr>
        <w:pStyle w:val="FootnoteText"/>
      </w:pPr>
      <w:r>
        <w:rPr>
          <w:rStyle w:val="FootnoteReference"/>
        </w:rPr>
        <w:footnoteRef/>
      </w:r>
      <w:r>
        <w:t xml:space="preserve"> </w:t>
      </w:r>
      <w:r>
        <w:rPr>
          <w:i/>
        </w:rPr>
        <w:t xml:space="preserve">Applications of AT&amp;T Mobility LLC </w:t>
      </w:r>
      <w:r>
        <w:t>(AT&amp;T Mobility)</w:t>
      </w:r>
      <w:r w:rsidR="00F6346C">
        <w:t xml:space="preserve"> </w:t>
      </w:r>
      <w:r w:rsidR="00F6346C">
        <w:rPr>
          <w:i/>
        </w:rPr>
        <w:t xml:space="preserve">and FiberTower Corporation </w:t>
      </w:r>
      <w:r w:rsidR="00F6346C">
        <w:t xml:space="preserve">(FiberTower) </w:t>
      </w:r>
      <w:r w:rsidR="00F6346C">
        <w:rPr>
          <w:i/>
        </w:rPr>
        <w:t>for Transfer of Control of Licenses</w:t>
      </w:r>
      <w:r w:rsidR="00F6346C">
        <w:t>, ULS File Nos. 0007652635, 0007652637</w:t>
      </w:r>
      <w:r w:rsidR="00B77554">
        <w:t xml:space="preserve"> </w:t>
      </w:r>
      <w:bookmarkStart w:id="65" w:name="_Hlk499716574"/>
      <w:r w:rsidR="00B77554" w:rsidRPr="002F0CFD">
        <w:t>(filed Feb.</w:t>
      </w:r>
      <w:r w:rsidR="00123C63">
        <w:t xml:space="preserve"> </w:t>
      </w:r>
      <w:r w:rsidR="00B77554" w:rsidRPr="002F0CFD">
        <w:t>13, 2017)</w:t>
      </w:r>
      <w:r w:rsidR="00F6346C" w:rsidRPr="002F0CFD">
        <w:t>.</w:t>
      </w:r>
      <w:bookmarkEnd w:id="65"/>
    </w:p>
  </w:footnote>
  <w:footnote w:id="53">
    <w:p w14:paraId="529085AF" w14:textId="4E78E65C" w:rsidR="00CD0946" w:rsidRDefault="00CD0946" w:rsidP="0025247C">
      <w:pPr>
        <w:pStyle w:val="FootnoteText"/>
        <w:spacing w:line="240" w:lineRule="auto"/>
      </w:pPr>
      <w:r>
        <w:rPr>
          <w:rStyle w:val="FootnoteReference"/>
        </w:rPr>
        <w:footnoteRef/>
      </w:r>
      <w:r>
        <w:t xml:space="preserve"> We previously denied the CCA Motion to Consolidate, which requested consolidation of the review of the instant application with that of Verizon and Straight Path.  </w:t>
      </w:r>
      <w:r w:rsidR="00694471" w:rsidRPr="007D7A45">
        <w:rPr>
          <w:i/>
        </w:rPr>
        <w:t>See</w:t>
      </w:r>
      <w:r w:rsidR="00694471">
        <w:t xml:space="preserve"> </w:t>
      </w:r>
      <w:r w:rsidR="00694471">
        <w:rPr>
          <w:i/>
        </w:rPr>
        <w:t>s</w:t>
      </w:r>
      <w:r>
        <w:rPr>
          <w:i/>
        </w:rPr>
        <w:t>upra</w:t>
      </w:r>
      <w:r>
        <w:t xml:space="preserve"> note </w:t>
      </w:r>
      <w:r w:rsidR="00F21229">
        <w:t>8</w:t>
      </w:r>
      <w:r>
        <w:t>.</w:t>
      </w:r>
    </w:p>
  </w:footnote>
  <w:footnote w:id="54">
    <w:p w14:paraId="0D6561CB" w14:textId="0F2A2C65" w:rsidR="00947DF0" w:rsidRDefault="00947DF0" w:rsidP="0025247C">
      <w:pPr>
        <w:pStyle w:val="FootnoteText"/>
        <w:spacing w:line="240" w:lineRule="auto"/>
      </w:pPr>
      <w:r>
        <w:rPr>
          <w:rStyle w:val="FootnoteReference"/>
        </w:rPr>
        <w:footnoteRef/>
      </w:r>
      <w:r>
        <w:t xml:space="preserve"> </w:t>
      </w:r>
      <w:r w:rsidR="00694471" w:rsidRPr="007D7A45">
        <w:rPr>
          <w:i/>
        </w:rPr>
        <w:t>See</w:t>
      </w:r>
      <w:r w:rsidR="00694471">
        <w:t xml:space="preserve"> </w:t>
      </w:r>
      <w:r w:rsidR="00694471">
        <w:rPr>
          <w:i/>
        </w:rPr>
        <w:t>s</w:t>
      </w:r>
      <w:r w:rsidRPr="00CD0946">
        <w:rPr>
          <w:i/>
        </w:rPr>
        <w:t>upra</w:t>
      </w:r>
      <w:r w:rsidR="00F21229">
        <w:rPr>
          <w:i/>
        </w:rPr>
        <w:t xml:space="preserve"> </w:t>
      </w:r>
      <w:r w:rsidR="00602EE2">
        <w:t>note 47</w:t>
      </w:r>
      <w:r>
        <w:t>.</w:t>
      </w:r>
    </w:p>
  </w:footnote>
  <w:footnote w:id="55">
    <w:p w14:paraId="0D08F28A" w14:textId="3807479E" w:rsidR="005336EC" w:rsidRDefault="005336EC">
      <w:pPr>
        <w:pStyle w:val="FootnoteText"/>
      </w:pPr>
      <w:r>
        <w:rPr>
          <w:rStyle w:val="FootnoteReference"/>
        </w:rPr>
        <w:footnoteRef/>
      </w:r>
      <w:r>
        <w:t xml:space="preserve"> Skyriver Petition at 2; Skyriver Reply at 1.</w:t>
      </w:r>
    </w:p>
  </w:footnote>
  <w:footnote w:id="56">
    <w:p w14:paraId="37C37423" w14:textId="4409B27C" w:rsidR="005336EC" w:rsidRDefault="005336EC">
      <w:pPr>
        <w:pStyle w:val="FootnoteText"/>
      </w:pPr>
      <w:r>
        <w:rPr>
          <w:rStyle w:val="FootnoteReference"/>
        </w:rPr>
        <w:footnoteRef/>
      </w:r>
      <w:r>
        <w:t xml:space="preserve"> Skyriver Reply at 2.</w:t>
      </w:r>
    </w:p>
  </w:footnote>
  <w:footnote w:id="57">
    <w:p w14:paraId="1F082BEE" w14:textId="029DB46E" w:rsidR="00947DF0" w:rsidRPr="00D04174" w:rsidRDefault="00947DF0" w:rsidP="0025247C">
      <w:pPr>
        <w:pStyle w:val="FootnoteText"/>
        <w:spacing w:line="240" w:lineRule="auto"/>
      </w:pPr>
      <w:r>
        <w:rPr>
          <w:rStyle w:val="FootnoteReference"/>
        </w:rPr>
        <w:footnoteRef/>
      </w:r>
      <w:r>
        <w:t xml:space="preserve"> </w:t>
      </w:r>
      <w:bookmarkStart w:id="66" w:name="_Hlk496682657"/>
      <w:r>
        <w:rPr>
          <w:i/>
        </w:rPr>
        <w:t xml:space="preserve">CenturyLink-Level 3 Order </w:t>
      </w:r>
      <w:r>
        <w:t xml:space="preserve">at </w:t>
      </w:r>
      <w:r w:rsidR="00B8452B">
        <w:t xml:space="preserve">24, </w:t>
      </w:r>
      <w:r>
        <w:t xml:space="preserve">para. </w:t>
      </w:r>
      <w:r w:rsidRPr="00B70DCF">
        <w:t>50</w:t>
      </w:r>
      <w:r w:rsidRPr="00B70DCF">
        <w:rPr>
          <w:i/>
        </w:rPr>
        <w:t xml:space="preserve"> </w:t>
      </w:r>
      <w:r w:rsidRPr="00B70DCF">
        <w:t>(citing</w:t>
      </w:r>
      <w:r>
        <w:t xml:space="preserve"> </w:t>
      </w:r>
      <w:r>
        <w:rPr>
          <w:i/>
        </w:rPr>
        <w:t>AT&amp;T-BellSouth Order</w:t>
      </w:r>
      <w:r>
        <w:t>, 22 FCC Rcd at 5760, para. 201).</w:t>
      </w:r>
      <w:bookmarkEnd w:id="66"/>
    </w:p>
  </w:footnote>
  <w:footnote w:id="58">
    <w:p w14:paraId="178A0A94" w14:textId="771F85B9" w:rsidR="00947DF0" w:rsidRPr="00AE354A" w:rsidRDefault="00947DF0" w:rsidP="0025247C">
      <w:pPr>
        <w:pStyle w:val="FootnoteText"/>
        <w:spacing w:line="240" w:lineRule="auto"/>
      </w:pPr>
      <w:r>
        <w:rPr>
          <w:rStyle w:val="FootnoteReference"/>
        </w:rPr>
        <w:footnoteRef/>
      </w:r>
      <w:r>
        <w:t xml:space="preserve"> </w:t>
      </w:r>
      <w:bookmarkStart w:id="67" w:name="_Hlk496682810"/>
      <w:r w:rsidR="007D7A45">
        <w:rPr>
          <w:i/>
        </w:rPr>
        <w:t>CenturyLink-Level 3 Order</w:t>
      </w:r>
      <w:r>
        <w:t xml:space="preserve"> at </w:t>
      </w:r>
      <w:r w:rsidR="00B8452B">
        <w:t xml:space="preserve">24, </w:t>
      </w:r>
      <w:r w:rsidRPr="00B70DCF">
        <w:t>para. 50</w:t>
      </w:r>
      <w:r w:rsidRPr="00B70DCF">
        <w:rPr>
          <w:i/>
        </w:rPr>
        <w:t xml:space="preserve"> </w:t>
      </w:r>
      <w:r w:rsidR="007D7A45" w:rsidRPr="00B70DCF">
        <w:t>(citing</w:t>
      </w:r>
      <w:r w:rsidR="007D7A45">
        <w:t xml:space="preserve"> </w:t>
      </w:r>
      <w:r w:rsidR="007D7A45">
        <w:rPr>
          <w:i/>
        </w:rPr>
        <w:t>AT&amp;T-BellSouth Order</w:t>
      </w:r>
      <w:r w:rsidR="007D7A45">
        <w:t>, 22 FCC Rcd at 576</w:t>
      </w:r>
      <w:r w:rsidR="00B118E6">
        <w:t>1</w:t>
      </w:r>
      <w:r w:rsidR="007D7A45">
        <w:t>, para. 20</w:t>
      </w:r>
      <w:r w:rsidR="00B118E6">
        <w:t>2</w:t>
      </w:r>
      <w:r w:rsidR="007D7A45" w:rsidRPr="00B70DCF">
        <w:t xml:space="preserve"> </w:t>
      </w:r>
      <w:r w:rsidRPr="00B70DCF">
        <w:t>(stating</w:t>
      </w:r>
      <w:r>
        <w:t xml:space="preserve"> “</w:t>
      </w:r>
      <w:r w:rsidR="00602EE2">
        <w:t>[o]</w:t>
      </w:r>
      <w:r>
        <w:t>r as the Commission has previously put it, ‘more likely to be accomplished as a result of the merger but unlikely to be realized by other means that entail fewer anticompetitive effects’”</w:t>
      </w:r>
      <w:r w:rsidR="00B118E6">
        <w:t>)</w:t>
      </w:r>
      <w:r w:rsidR="00B8082E">
        <w:t>).</w:t>
      </w:r>
      <w:r>
        <w:t xml:space="preserve">  </w:t>
      </w:r>
    </w:p>
    <w:bookmarkEnd w:id="67"/>
  </w:footnote>
  <w:footnote w:id="59">
    <w:p w14:paraId="25C47D53" w14:textId="0F59F908" w:rsidR="00947DF0" w:rsidRPr="00AE354A" w:rsidRDefault="00947DF0" w:rsidP="0025247C">
      <w:pPr>
        <w:pStyle w:val="FootnoteText"/>
        <w:spacing w:line="240" w:lineRule="auto"/>
        <w:rPr>
          <w:i/>
        </w:rPr>
      </w:pPr>
      <w:r>
        <w:rPr>
          <w:rStyle w:val="FootnoteReference"/>
        </w:rPr>
        <w:footnoteRef/>
      </w:r>
      <w:r>
        <w:t xml:space="preserve"> </w:t>
      </w:r>
      <w:r>
        <w:rPr>
          <w:i/>
        </w:rPr>
        <w:t xml:space="preserve">CenturyLink-Level 3 Order </w:t>
      </w:r>
      <w:r>
        <w:t xml:space="preserve">at </w:t>
      </w:r>
      <w:r w:rsidR="00B8452B">
        <w:t xml:space="preserve">24, </w:t>
      </w:r>
      <w:r>
        <w:t xml:space="preserve">para. 50 (citing </w:t>
      </w:r>
      <w:r>
        <w:rPr>
          <w:i/>
        </w:rPr>
        <w:t>AT&amp;T-BellSouth Order</w:t>
      </w:r>
      <w:r>
        <w:t>, 22 FCC Rcd at 5761, para. 202)</w:t>
      </w:r>
      <w:r>
        <w:rPr>
          <w:i/>
        </w:rPr>
        <w:t>.</w:t>
      </w:r>
    </w:p>
  </w:footnote>
  <w:footnote w:id="60">
    <w:p w14:paraId="7E089D69" w14:textId="77777777" w:rsidR="00947DF0" w:rsidRDefault="00947DF0" w:rsidP="0025247C">
      <w:pPr>
        <w:pStyle w:val="FootnoteText"/>
        <w:spacing w:line="240" w:lineRule="auto"/>
      </w:pPr>
      <w:r>
        <w:rPr>
          <w:rStyle w:val="FootnoteReference"/>
        </w:rPr>
        <w:footnoteRef/>
      </w:r>
      <w:r>
        <w:t xml:space="preserve"> </w:t>
      </w:r>
      <w:r w:rsidR="002422EA">
        <w:t xml:space="preserve">Joint Opposition at </w:t>
      </w:r>
      <w:r w:rsidR="00CA5C56">
        <w:t xml:space="preserve">1, </w:t>
      </w:r>
      <w:r w:rsidR="002422EA">
        <w:t>4.</w:t>
      </w:r>
    </w:p>
  </w:footnote>
  <w:footnote w:id="61">
    <w:p w14:paraId="2B8BB131" w14:textId="77777777" w:rsidR="00FA3015" w:rsidRDefault="00FA3015">
      <w:pPr>
        <w:pStyle w:val="FootnoteText"/>
      </w:pPr>
      <w:r>
        <w:rPr>
          <w:rStyle w:val="FootnoteReference"/>
        </w:rPr>
        <w:footnoteRef/>
      </w:r>
      <w:r>
        <w:t xml:space="preserve"> Public Interest Statement at 1</w:t>
      </w:r>
      <w:r w:rsidR="00611E9C">
        <w:t>, 3-5</w:t>
      </w:r>
      <w:r>
        <w:t>; Joint Opposition at 4.</w:t>
      </w:r>
    </w:p>
  </w:footnote>
  <w:footnote w:id="62">
    <w:p w14:paraId="29197BF2" w14:textId="77777777" w:rsidR="00611E9C" w:rsidRDefault="00611E9C">
      <w:pPr>
        <w:pStyle w:val="FootnoteText"/>
      </w:pPr>
      <w:r>
        <w:rPr>
          <w:rStyle w:val="FootnoteReference"/>
        </w:rPr>
        <w:footnoteRef/>
      </w:r>
      <w:r>
        <w:t xml:space="preserve"> Public Interest Statement at 3; Joint Opposition at 4.</w:t>
      </w:r>
    </w:p>
  </w:footnote>
  <w:footnote w:id="63">
    <w:p w14:paraId="51B4AFE8" w14:textId="77777777" w:rsidR="00C27D35" w:rsidRDefault="00C27D35">
      <w:pPr>
        <w:pStyle w:val="FootnoteText"/>
      </w:pPr>
      <w:r>
        <w:rPr>
          <w:rStyle w:val="FootnoteReference"/>
        </w:rPr>
        <w:footnoteRef/>
      </w:r>
      <w:r>
        <w:t xml:space="preserve"> Public Interest Statement at 3.</w:t>
      </w:r>
    </w:p>
  </w:footnote>
  <w:footnote w:id="64">
    <w:p w14:paraId="1BCD2B94" w14:textId="77777777" w:rsidR="00F1335C" w:rsidRDefault="00F1335C">
      <w:pPr>
        <w:pStyle w:val="FootnoteText"/>
      </w:pPr>
      <w:r>
        <w:rPr>
          <w:rStyle w:val="FootnoteReference"/>
        </w:rPr>
        <w:footnoteRef/>
      </w:r>
      <w:r>
        <w:t xml:space="preserve"> </w:t>
      </w:r>
      <w:r w:rsidR="00847C7F">
        <w:rPr>
          <w:i/>
        </w:rPr>
        <w:t>Id.</w:t>
      </w:r>
      <w:r>
        <w:t xml:space="preserve"> at 1.</w:t>
      </w:r>
    </w:p>
  </w:footnote>
  <w:footnote w:id="65">
    <w:p w14:paraId="290D8D81" w14:textId="77777777" w:rsidR="00C27D35" w:rsidRDefault="00C27D35">
      <w:pPr>
        <w:pStyle w:val="FootnoteText"/>
      </w:pPr>
      <w:r>
        <w:rPr>
          <w:rStyle w:val="FootnoteReference"/>
        </w:rPr>
        <w:footnoteRef/>
      </w:r>
      <w:r>
        <w:t xml:space="preserve"> </w:t>
      </w:r>
      <w:r w:rsidR="00847C7F">
        <w:rPr>
          <w:i/>
        </w:rPr>
        <w:t>Id.</w:t>
      </w:r>
      <w:r>
        <w:t xml:space="preserve"> at 5.</w:t>
      </w:r>
    </w:p>
  </w:footnote>
  <w:footnote w:id="66">
    <w:p w14:paraId="07FA654F" w14:textId="61118E84" w:rsidR="00947DF0" w:rsidRDefault="00947DF0" w:rsidP="0025247C">
      <w:pPr>
        <w:pStyle w:val="FootnoteText"/>
        <w:spacing w:line="240" w:lineRule="auto"/>
      </w:pPr>
      <w:r>
        <w:rPr>
          <w:rStyle w:val="FootnoteReference"/>
        </w:rPr>
        <w:footnoteRef/>
      </w:r>
      <w:r>
        <w:t xml:space="preserve"> </w:t>
      </w:r>
      <w:r w:rsidRPr="0065764A">
        <w:rPr>
          <w:i/>
        </w:rPr>
        <w:t>Spectrum Frontiers Order</w:t>
      </w:r>
      <w:r>
        <w:t xml:space="preserve">, </w:t>
      </w:r>
      <w:r w:rsidR="00B8452B">
        <w:t xml:space="preserve">31 FCC Rcd </w:t>
      </w:r>
      <w:r>
        <w:t>at</w:t>
      </w:r>
      <w:r w:rsidR="00A943FC">
        <w:t xml:space="preserve"> </w:t>
      </w:r>
      <w:r w:rsidR="00B8452B">
        <w:t>8081</w:t>
      </w:r>
      <w:r>
        <w:t>, para.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0511" w14:textId="77777777" w:rsidR="00CE086D" w:rsidRDefault="00CE0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B4A8" w14:textId="133A1C68" w:rsidR="000266BF" w:rsidRPr="0065256E" w:rsidRDefault="000266BF" w:rsidP="000266BF">
    <w:pPr>
      <w:spacing w:after="0"/>
      <w:ind w:left="2250" w:hanging="2250"/>
      <w:jc w:val="center"/>
      <w:rPr>
        <w:b/>
      </w:rPr>
    </w:pPr>
    <w:r>
      <w:rPr>
        <w:b/>
      </w:rPr>
      <w:t xml:space="preserve">                                                  </w:t>
    </w:r>
    <w:r w:rsidR="002C4EA7">
      <w:rPr>
        <w:b/>
      </w:rPr>
      <w:t xml:space="preserve"> </w:t>
    </w:r>
    <w:r>
      <w:rPr>
        <w:b/>
      </w:rPr>
      <w:t>Federal</w:t>
    </w:r>
    <w:r w:rsidRPr="0065256E">
      <w:rPr>
        <w:b/>
      </w:rPr>
      <w:t xml:space="preserve"> Communication</w:t>
    </w:r>
    <w:r>
      <w:rPr>
        <w:b/>
      </w:rPr>
      <w:t xml:space="preserve">s Commission                          </w:t>
    </w:r>
    <w:r w:rsidR="002C4EA7">
      <w:rPr>
        <w:b/>
      </w:rPr>
      <w:t xml:space="preserve">     </w:t>
    </w:r>
    <w:r>
      <w:rPr>
        <w:b/>
      </w:rPr>
      <w:t xml:space="preserve"> DA</w:t>
    </w:r>
    <w:r w:rsidRPr="0065256E">
      <w:rPr>
        <w:b/>
      </w:rPr>
      <w:t xml:space="preserve"> </w:t>
    </w:r>
    <w:r w:rsidR="00A40CDE">
      <w:rPr>
        <w:b/>
      </w:rPr>
      <w:t>17-1154</w:t>
    </w:r>
  </w:p>
  <w:p w14:paraId="2726F7D2" w14:textId="77777777" w:rsidR="00947DF0" w:rsidRDefault="00947DF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E6440CD" wp14:editId="6716ED3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18928C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CFDF48E" w14:textId="77777777" w:rsidR="00947DF0" w:rsidRDefault="00947DF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707D" w14:textId="56F5DA25" w:rsidR="008C6DC1" w:rsidRDefault="00947DF0" w:rsidP="00CE6306">
    <w:pPr>
      <w:pStyle w:val="Header"/>
      <w:jc w:val="left"/>
    </w:pPr>
    <w:r w:rsidRPr="00CA4BCE">
      <w:rPr>
        <w:noProof/>
        <w:highlight w:val="yellow"/>
      </w:rPr>
      <mc:AlternateContent>
        <mc:Choice Requires="wps">
          <w:drawing>
            <wp:anchor distT="0" distB="0" distL="114300" distR="114300" simplePos="0" relativeHeight="251658240" behindDoc="1" locked="0" layoutInCell="0" allowOverlap="1" wp14:anchorId="75970A74" wp14:editId="3E78FC2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97F23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E6306">
      <w:t xml:space="preserve">                                                    </w:t>
    </w:r>
    <w:r w:rsidR="0008643C">
      <w:t>Federal Communications Commission</w:t>
    </w:r>
    <w:r w:rsidR="00CE6306">
      <w:t xml:space="preserve">         </w:t>
    </w:r>
    <w:r w:rsidR="00A40CDE">
      <w:t xml:space="preserve">                       DA 17-1154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76F1E2"/>
    <w:lvl w:ilvl="0">
      <w:start w:val="1"/>
      <w:numFmt w:val="upperRoman"/>
      <w:pStyle w:val="Heading1"/>
      <w:lvlText w:val="%1."/>
      <w:lvlJc w:val="left"/>
      <w:pPr>
        <w:tabs>
          <w:tab w:val="num" w:pos="5850"/>
        </w:tabs>
        <w:ind w:left="585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5760"/>
        </w:tabs>
        <w:ind w:left="468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81"/>
    <w:rsid w:val="000009E6"/>
    <w:rsid w:val="00002450"/>
    <w:rsid w:val="00004F04"/>
    <w:rsid w:val="00012B1B"/>
    <w:rsid w:val="00013A2A"/>
    <w:rsid w:val="00023A71"/>
    <w:rsid w:val="000266BF"/>
    <w:rsid w:val="00027AC6"/>
    <w:rsid w:val="00030E1D"/>
    <w:rsid w:val="00031213"/>
    <w:rsid w:val="00031AC5"/>
    <w:rsid w:val="00032993"/>
    <w:rsid w:val="00036039"/>
    <w:rsid w:val="00037F90"/>
    <w:rsid w:val="00043BA1"/>
    <w:rsid w:val="0004530E"/>
    <w:rsid w:val="00047060"/>
    <w:rsid w:val="00066144"/>
    <w:rsid w:val="000662D8"/>
    <w:rsid w:val="00072EC7"/>
    <w:rsid w:val="00072FFB"/>
    <w:rsid w:val="0007457F"/>
    <w:rsid w:val="000751E5"/>
    <w:rsid w:val="0007582A"/>
    <w:rsid w:val="0007748A"/>
    <w:rsid w:val="00080128"/>
    <w:rsid w:val="0008213A"/>
    <w:rsid w:val="000837A4"/>
    <w:rsid w:val="00084B2E"/>
    <w:rsid w:val="000862BE"/>
    <w:rsid w:val="0008643C"/>
    <w:rsid w:val="000875BF"/>
    <w:rsid w:val="0009080C"/>
    <w:rsid w:val="000935EE"/>
    <w:rsid w:val="00096496"/>
    <w:rsid w:val="00096D8C"/>
    <w:rsid w:val="000A1CD5"/>
    <w:rsid w:val="000B5355"/>
    <w:rsid w:val="000B7BF5"/>
    <w:rsid w:val="000C0B65"/>
    <w:rsid w:val="000C3C0B"/>
    <w:rsid w:val="000C6A3E"/>
    <w:rsid w:val="000C7879"/>
    <w:rsid w:val="000D1B15"/>
    <w:rsid w:val="000D781D"/>
    <w:rsid w:val="000D7852"/>
    <w:rsid w:val="000E05FE"/>
    <w:rsid w:val="000E3D42"/>
    <w:rsid w:val="000E4742"/>
    <w:rsid w:val="000E666D"/>
    <w:rsid w:val="000E77F7"/>
    <w:rsid w:val="000E7B25"/>
    <w:rsid w:val="000F0AC3"/>
    <w:rsid w:val="000F1D9A"/>
    <w:rsid w:val="000F2360"/>
    <w:rsid w:val="000F4611"/>
    <w:rsid w:val="000F48BB"/>
    <w:rsid w:val="0010185A"/>
    <w:rsid w:val="00101FD9"/>
    <w:rsid w:val="001032B7"/>
    <w:rsid w:val="001042F0"/>
    <w:rsid w:val="00112EAE"/>
    <w:rsid w:val="0011325F"/>
    <w:rsid w:val="0011365D"/>
    <w:rsid w:val="00117D5F"/>
    <w:rsid w:val="001210B6"/>
    <w:rsid w:val="00122BD5"/>
    <w:rsid w:val="00123C63"/>
    <w:rsid w:val="001244CD"/>
    <w:rsid w:val="00133F79"/>
    <w:rsid w:val="00134B23"/>
    <w:rsid w:val="00136705"/>
    <w:rsid w:val="0013673D"/>
    <w:rsid w:val="001400AC"/>
    <w:rsid w:val="00145B8A"/>
    <w:rsid w:val="001471E0"/>
    <w:rsid w:val="00152CC0"/>
    <w:rsid w:val="001555B0"/>
    <w:rsid w:val="00155A57"/>
    <w:rsid w:val="00160DA6"/>
    <w:rsid w:val="00162972"/>
    <w:rsid w:val="00164B48"/>
    <w:rsid w:val="00166E8A"/>
    <w:rsid w:val="001772D9"/>
    <w:rsid w:val="00185151"/>
    <w:rsid w:val="00187600"/>
    <w:rsid w:val="001929EC"/>
    <w:rsid w:val="0019423F"/>
    <w:rsid w:val="00194804"/>
    <w:rsid w:val="00194A66"/>
    <w:rsid w:val="00194D32"/>
    <w:rsid w:val="00195B07"/>
    <w:rsid w:val="00195D39"/>
    <w:rsid w:val="001A017D"/>
    <w:rsid w:val="001A0519"/>
    <w:rsid w:val="001A1FCF"/>
    <w:rsid w:val="001A24EA"/>
    <w:rsid w:val="001A2ADF"/>
    <w:rsid w:val="001A539C"/>
    <w:rsid w:val="001A6254"/>
    <w:rsid w:val="001A73DC"/>
    <w:rsid w:val="001B0B4B"/>
    <w:rsid w:val="001B10D0"/>
    <w:rsid w:val="001B3722"/>
    <w:rsid w:val="001B7572"/>
    <w:rsid w:val="001C12CC"/>
    <w:rsid w:val="001C7195"/>
    <w:rsid w:val="001D05C9"/>
    <w:rsid w:val="001D05FE"/>
    <w:rsid w:val="001D16D8"/>
    <w:rsid w:val="001D24FF"/>
    <w:rsid w:val="001D3750"/>
    <w:rsid w:val="001D5810"/>
    <w:rsid w:val="001D6A1B"/>
    <w:rsid w:val="001D6BCF"/>
    <w:rsid w:val="001D76F2"/>
    <w:rsid w:val="001D7ED6"/>
    <w:rsid w:val="001E01CA"/>
    <w:rsid w:val="001E125F"/>
    <w:rsid w:val="001E4287"/>
    <w:rsid w:val="001E4ACD"/>
    <w:rsid w:val="001F0EE9"/>
    <w:rsid w:val="001F24F2"/>
    <w:rsid w:val="001F2E23"/>
    <w:rsid w:val="001F36CB"/>
    <w:rsid w:val="001F49F5"/>
    <w:rsid w:val="002107A2"/>
    <w:rsid w:val="002135DD"/>
    <w:rsid w:val="00213F52"/>
    <w:rsid w:val="00214578"/>
    <w:rsid w:val="002146D2"/>
    <w:rsid w:val="00215B65"/>
    <w:rsid w:val="00216A03"/>
    <w:rsid w:val="00220916"/>
    <w:rsid w:val="00220B29"/>
    <w:rsid w:val="00221F12"/>
    <w:rsid w:val="002249F3"/>
    <w:rsid w:val="002272EE"/>
    <w:rsid w:val="00227968"/>
    <w:rsid w:val="00232B3B"/>
    <w:rsid w:val="0023409D"/>
    <w:rsid w:val="00234CD6"/>
    <w:rsid w:val="0023535D"/>
    <w:rsid w:val="002375F3"/>
    <w:rsid w:val="00240A3A"/>
    <w:rsid w:val="002422EA"/>
    <w:rsid w:val="0024368B"/>
    <w:rsid w:val="00243822"/>
    <w:rsid w:val="002449E5"/>
    <w:rsid w:val="00244D54"/>
    <w:rsid w:val="00244D9A"/>
    <w:rsid w:val="0025247C"/>
    <w:rsid w:val="00252CC4"/>
    <w:rsid w:val="002549BD"/>
    <w:rsid w:val="00256A1B"/>
    <w:rsid w:val="0025787C"/>
    <w:rsid w:val="00257D38"/>
    <w:rsid w:val="00273CE5"/>
    <w:rsid w:val="00274667"/>
    <w:rsid w:val="00275CF5"/>
    <w:rsid w:val="002815FE"/>
    <w:rsid w:val="0028301F"/>
    <w:rsid w:val="00285017"/>
    <w:rsid w:val="002913BA"/>
    <w:rsid w:val="002955D4"/>
    <w:rsid w:val="0029563E"/>
    <w:rsid w:val="00295BFC"/>
    <w:rsid w:val="00295F89"/>
    <w:rsid w:val="00296F37"/>
    <w:rsid w:val="002A2D2E"/>
    <w:rsid w:val="002A63F9"/>
    <w:rsid w:val="002A7652"/>
    <w:rsid w:val="002B6C49"/>
    <w:rsid w:val="002C00E8"/>
    <w:rsid w:val="002C07A0"/>
    <w:rsid w:val="002C0920"/>
    <w:rsid w:val="002C290E"/>
    <w:rsid w:val="002C4EA7"/>
    <w:rsid w:val="002D7CE4"/>
    <w:rsid w:val="002E0209"/>
    <w:rsid w:val="002E0A1D"/>
    <w:rsid w:val="002E17DF"/>
    <w:rsid w:val="002E1D48"/>
    <w:rsid w:val="002E640B"/>
    <w:rsid w:val="002E658F"/>
    <w:rsid w:val="002E695B"/>
    <w:rsid w:val="002F0139"/>
    <w:rsid w:val="002F05E0"/>
    <w:rsid w:val="002F0A0C"/>
    <w:rsid w:val="002F0CFD"/>
    <w:rsid w:val="002F157C"/>
    <w:rsid w:val="002F2246"/>
    <w:rsid w:val="003017B5"/>
    <w:rsid w:val="00302B36"/>
    <w:rsid w:val="003032D9"/>
    <w:rsid w:val="003056D7"/>
    <w:rsid w:val="00305FDE"/>
    <w:rsid w:val="0030796D"/>
    <w:rsid w:val="003100C4"/>
    <w:rsid w:val="00313F51"/>
    <w:rsid w:val="0031602F"/>
    <w:rsid w:val="003160A7"/>
    <w:rsid w:val="00322260"/>
    <w:rsid w:val="00324C37"/>
    <w:rsid w:val="00327379"/>
    <w:rsid w:val="0033409E"/>
    <w:rsid w:val="00336463"/>
    <w:rsid w:val="003364E5"/>
    <w:rsid w:val="00336825"/>
    <w:rsid w:val="003370F0"/>
    <w:rsid w:val="00343749"/>
    <w:rsid w:val="00353499"/>
    <w:rsid w:val="00355A86"/>
    <w:rsid w:val="00357B20"/>
    <w:rsid w:val="003660ED"/>
    <w:rsid w:val="0038019E"/>
    <w:rsid w:val="003858F6"/>
    <w:rsid w:val="00394736"/>
    <w:rsid w:val="0039590C"/>
    <w:rsid w:val="003979CE"/>
    <w:rsid w:val="00397AFE"/>
    <w:rsid w:val="003A2D95"/>
    <w:rsid w:val="003A7714"/>
    <w:rsid w:val="003A7ABB"/>
    <w:rsid w:val="003B0550"/>
    <w:rsid w:val="003B2E0D"/>
    <w:rsid w:val="003B3E2E"/>
    <w:rsid w:val="003B4A1B"/>
    <w:rsid w:val="003B5920"/>
    <w:rsid w:val="003B60C5"/>
    <w:rsid w:val="003B614D"/>
    <w:rsid w:val="003B694F"/>
    <w:rsid w:val="003C06BF"/>
    <w:rsid w:val="003C2ACE"/>
    <w:rsid w:val="003C301C"/>
    <w:rsid w:val="003D2BE7"/>
    <w:rsid w:val="003D60A3"/>
    <w:rsid w:val="003D66C5"/>
    <w:rsid w:val="003D7301"/>
    <w:rsid w:val="003D7D9A"/>
    <w:rsid w:val="003E05CD"/>
    <w:rsid w:val="003E3209"/>
    <w:rsid w:val="003E5A25"/>
    <w:rsid w:val="003F171C"/>
    <w:rsid w:val="003F31EA"/>
    <w:rsid w:val="003F41A3"/>
    <w:rsid w:val="003F54AB"/>
    <w:rsid w:val="003F6F30"/>
    <w:rsid w:val="00405672"/>
    <w:rsid w:val="004069F6"/>
    <w:rsid w:val="00407528"/>
    <w:rsid w:val="004123DF"/>
    <w:rsid w:val="00412FC5"/>
    <w:rsid w:val="004131DF"/>
    <w:rsid w:val="00417774"/>
    <w:rsid w:val="0042057B"/>
    <w:rsid w:val="00422276"/>
    <w:rsid w:val="004242F1"/>
    <w:rsid w:val="00424CF9"/>
    <w:rsid w:val="004269C0"/>
    <w:rsid w:val="004276ED"/>
    <w:rsid w:val="00427733"/>
    <w:rsid w:val="004316E8"/>
    <w:rsid w:val="0043170E"/>
    <w:rsid w:val="0044113D"/>
    <w:rsid w:val="0044213C"/>
    <w:rsid w:val="00445A00"/>
    <w:rsid w:val="00447ACF"/>
    <w:rsid w:val="00450401"/>
    <w:rsid w:val="00451217"/>
    <w:rsid w:val="00451B0F"/>
    <w:rsid w:val="00456EE3"/>
    <w:rsid w:val="004615AC"/>
    <w:rsid w:val="004674FD"/>
    <w:rsid w:val="004719A8"/>
    <w:rsid w:val="00473887"/>
    <w:rsid w:val="004748FE"/>
    <w:rsid w:val="00475C92"/>
    <w:rsid w:val="00476FA8"/>
    <w:rsid w:val="004809FA"/>
    <w:rsid w:val="004824CF"/>
    <w:rsid w:val="0048603B"/>
    <w:rsid w:val="004961DA"/>
    <w:rsid w:val="00497DD9"/>
    <w:rsid w:val="004A42DB"/>
    <w:rsid w:val="004A5F11"/>
    <w:rsid w:val="004A75E9"/>
    <w:rsid w:val="004B20A8"/>
    <w:rsid w:val="004B3737"/>
    <w:rsid w:val="004B784D"/>
    <w:rsid w:val="004C19D1"/>
    <w:rsid w:val="004C2EE3"/>
    <w:rsid w:val="004C3F9D"/>
    <w:rsid w:val="004C4DB5"/>
    <w:rsid w:val="004D03A8"/>
    <w:rsid w:val="004D1423"/>
    <w:rsid w:val="004D14C6"/>
    <w:rsid w:val="004D7AB2"/>
    <w:rsid w:val="004E0318"/>
    <w:rsid w:val="004E4A22"/>
    <w:rsid w:val="004E4A6A"/>
    <w:rsid w:val="004E63FC"/>
    <w:rsid w:val="004E7EF0"/>
    <w:rsid w:val="004F4F4D"/>
    <w:rsid w:val="004F70FB"/>
    <w:rsid w:val="00503669"/>
    <w:rsid w:val="00504E7F"/>
    <w:rsid w:val="005052BF"/>
    <w:rsid w:val="005057D5"/>
    <w:rsid w:val="00506037"/>
    <w:rsid w:val="005102F4"/>
    <w:rsid w:val="00511968"/>
    <w:rsid w:val="005163B3"/>
    <w:rsid w:val="00517CED"/>
    <w:rsid w:val="005233FA"/>
    <w:rsid w:val="00523C54"/>
    <w:rsid w:val="00525DEB"/>
    <w:rsid w:val="00530264"/>
    <w:rsid w:val="0053162E"/>
    <w:rsid w:val="00532073"/>
    <w:rsid w:val="0053362C"/>
    <w:rsid w:val="005336EC"/>
    <w:rsid w:val="00534275"/>
    <w:rsid w:val="0053482C"/>
    <w:rsid w:val="00541AF3"/>
    <w:rsid w:val="00541BFD"/>
    <w:rsid w:val="005430F5"/>
    <w:rsid w:val="005441C0"/>
    <w:rsid w:val="00552BB8"/>
    <w:rsid w:val="0055614C"/>
    <w:rsid w:val="00557699"/>
    <w:rsid w:val="00566071"/>
    <w:rsid w:val="005759EC"/>
    <w:rsid w:val="00582092"/>
    <w:rsid w:val="00584151"/>
    <w:rsid w:val="00585E05"/>
    <w:rsid w:val="00586CFB"/>
    <w:rsid w:val="00595DB1"/>
    <w:rsid w:val="005A05B0"/>
    <w:rsid w:val="005A0987"/>
    <w:rsid w:val="005A0A98"/>
    <w:rsid w:val="005A369F"/>
    <w:rsid w:val="005A4F91"/>
    <w:rsid w:val="005A592F"/>
    <w:rsid w:val="005A78F0"/>
    <w:rsid w:val="005B0AF3"/>
    <w:rsid w:val="005B126F"/>
    <w:rsid w:val="005B263C"/>
    <w:rsid w:val="005B425F"/>
    <w:rsid w:val="005B55F4"/>
    <w:rsid w:val="005C0CEF"/>
    <w:rsid w:val="005C1600"/>
    <w:rsid w:val="005D093F"/>
    <w:rsid w:val="005D0A47"/>
    <w:rsid w:val="005D0BB8"/>
    <w:rsid w:val="005D1488"/>
    <w:rsid w:val="005D2E4B"/>
    <w:rsid w:val="005D53D1"/>
    <w:rsid w:val="005D5627"/>
    <w:rsid w:val="005D5981"/>
    <w:rsid w:val="005E14C2"/>
    <w:rsid w:val="005E2CAF"/>
    <w:rsid w:val="005E4CF9"/>
    <w:rsid w:val="005E58F5"/>
    <w:rsid w:val="005F2913"/>
    <w:rsid w:val="005F2E16"/>
    <w:rsid w:val="005F5D89"/>
    <w:rsid w:val="005F5FB5"/>
    <w:rsid w:val="005F7DCD"/>
    <w:rsid w:val="006022AD"/>
    <w:rsid w:val="00602EE2"/>
    <w:rsid w:val="006061C1"/>
    <w:rsid w:val="00606906"/>
    <w:rsid w:val="00606C15"/>
    <w:rsid w:val="00606EC9"/>
    <w:rsid w:val="00606F1F"/>
    <w:rsid w:val="0060728A"/>
    <w:rsid w:val="00607BA5"/>
    <w:rsid w:val="00607ED7"/>
    <w:rsid w:val="0061180A"/>
    <w:rsid w:val="00611E9C"/>
    <w:rsid w:val="00612C28"/>
    <w:rsid w:val="006152A3"/>
    <w:rsid w:val="00615863"/>
    <w:rsid w:val="00617A2F"/>
    <w:rsid w:val="006206E1"/>
    <w:rsid w:val="00626387"/>
    <w:rsid w:val="00626EB6"/>
    <w:rsid w:val="006270D9"/>
    <w:rsid w:val="00627A4A"/>
    <w:rsid w:val="00627E44"/>
    <w:rsid w:val="006309DA"/>
    <w:rsid w:val="00631A50"/>
    <w:rsid w:val="00631E02"/>
    <w:rsid w:val="006328A6"/>
    <w:rsid w:val="00633216"/>
    <w:rsid w:val="006334C8"/>
    <w:rsid w:val="0063537D"/>
    <w:rsid w:val="00635556"/>
    <w:rsid w:val="00637659"/>
    <w:rsid w:val="00637A6F"/>
    <w:rsid w:val="00641A3D"/>
    <w:rsid w:val="0064228B"/>
    <w:rsid w:val="00643358"/>
    <w:rsid w:val="006460F4"/>
    <w:rsid w:val="006478D9"/>
    <w:rsid w:val="006521B3"/>
    <w:rsid w:val="00655D03"/>
    <w:rsid w:val="00656046"/>
    <w:rsid w:val="00656C72"/>
    <w:rsid w:val="0065764A"/>
    <w:rsid w:val="00662B95"/>
    <w:rsid w:val="00663DD8"/>
    <w:rsid w:val="0066488B"/>
    <w:rsid w:val="0067445D"/>
    <w:rsid w:val="00683388"/>
    <w:rsid w:val="00683F84"/>
    <w:rsid w:val="0068677D"/>
    <w:rsid w:val="00691AE5"/>
    <w:rsid w:val="00694471"/>
    <w:rsid w:val="00696F19"/>
    <w:rsid w:val="006975EA"/>
    <w:rsid w:val="006A2FF1"/>
    <w:rsid w:val="006A3C98"/>
    <w:rsid w:val="006A5B6F"/>
    <w:rsid w:val="006A6A81"/>
    <w:rsid w:val="006A7D5A"/>
    <w:rsid w:val="006B0A7C"/>
    <w:rsid w:val="006B6870"/>
    <w:rsid w:val="006C0658"/>
    <w:rsid w:val="006C33C7"/>
    <w:rsid w:val="006C3858"/>
    <w:rsid w:val="006C54C8"/>
    <w:rsid w:val="006C7E53"/>
    <w:rsid w:val="006D1162"/>
    <w:rsid w:val="006E32B9"/>
    <w:rsid w:val="006E480B"/>
    <w:rsid w:val="006E5470"/>
    <w:rsid w:val="006E7481"/>
    <w:rsid w:val="006F2557"/>
    <w:rsid w:val="006F35EA"/>
    <w:rsid w:val="006F435F"/>
    <w:rsid w:val="006F6F38"/>
    <w:rsid w:val="006F7226"/>
    <w:rsid w:val="006F7393"/>
    <w:rsid w:val="00701332"/>
    <w:rsid w:val="0070224F"/>
    <w:rsid w:val="00704546"/>
    <w:rsid w:val="00704C87"/>
    <w:rsid w:val="00707E1B"/>
    <w:rsid w:val="007115F7"/>
    <w:rsid w:val="00711CA4"/>
    <w:rsid w:val="00712455"/>
    <w:rsid w:val="007143C3"/>
    <w:rsid w:val="007176C4"/>
    <w:rsid w:val="00717CF6"/>
    <w:rsid w:val="00717F92"/>
    <w:rsid w:val="00720325"/>
    <w:rsid w:val="00730CCC"/>
    <w:rsid w:val="00732EDA"/>
    <w:rsid w:val="00733666"/>
    <w:rsid w:val="007348C7"/>
    <w:rsid w:val="00734B49"/>
    <w:rsid w:val="00735D18"/>
    <w:rsid w:val="0073776E"/>
    <w:rsid w:val="00741385"/>
    <w:rsid w:val="00750B7D"/>
    <w:rsid w:val="00756EE8"/>
    <w:rsid w:val="00757302"/>
    <w:rsid w:val="00757D0D"/>
    <w:rsid w:val="00763D52"/>
    <w:rsid w:val="0077253A"/>
    <w:rsid w:val="00773821"/>
    <w:rsid w:val="007752C3"/>
    <w:rsid w:val="00776340"/>
    <w:rsid w:val="007768EA"/>
    <w:rsid w:val="007800B6"/>
    <w:rsid w:val="00780143"/>
    <w:rsid w:val="00785689"/>
    <w:rsid w:val="00787052"/>
    <w:rsid w:val="00794987"/>
    <w:rsid w:val="00794CD5"/>
    <w:rsid w:val="007958C5"/>
    <w:rsid w:val="0079754B"/>
    <w:rsid w:val="007A0335"/>
    <w:rsid w:val="007A1E6D"/>
    <w:rsid w:val="007B0476"/>
    <w:rsid w:val="007B0B74"/>
    <w:rsid w:val="007B0EB2"/>
    <w:rsid w:val="007B4692"/>
    <w:rsid w:val="007B46BD"/>
    <w:rsid w:val="007C2876"/>
    <w:rsid w:val="007C6005"/>
    <w:rsid w:val="007C6A98"/>
    <w:rsid w:val="007D1A44"/>
    <w:rsid w:val="007D1E13"/>
    <w:rsid w:val="007D551D"/>
    <w:rsid w:val="007D5E4F"/>
    <w:rsid w:val="007D7213"/>
    <w:rsid w:val="007D7A45"/>
    <w:rsid w:val="007F2F89"/>
    <w:rsid w:val="007F6B96"/>
    <w:rsid w:val="00800E41"/>
    <w:rsid w:val="00803431"/>
    <w:rsid w:val="00803A6D"/>
    <w:rsid w:val="008062F7"/>
    <w:rsid w:val="00810B6F"/>
    <w:rsid w:val="00816C8E"/>
    <w:rsid w:val="00817E7A"/>
    <w:rsid w:val="00822CE0"/>
    <w:rsid w:val="00834615"/>
    <w:rsid w:val="00834AC3"/>
    <w:rsid w:val="00834E1E"/>
    <w:rsid w:val="008414B4"/>
    <w:rsid w:val="00841AB1"/>
    <w:rsid w:val="0084202B"/>
    <w:rsid w:val="00842143"/>
    <w:rsid w:val="00847C7F"/>
    <w:rsid w:val="00850350"/>
    <w:rsid w:val="00852035"/>
    <w:rsid w:val="00852E7C"/>
    <w:rsid w:val="00853AC3"/>
    <w:rsid w:val="00855F12"/>
    <w:rsid w:val="00860523"/>
    <w:rsid w:val="00867C56"/>
    <w:rsid w:val="00872544"/>
    <w:rsid w:val="008725C8"/>
    <w:rsid w:val="00874DFA"/>
    <w:rsid w:val="00876273"/>
    <w:rsid w:val="00876D42"/>
    <w:rsid w:val="00876D52"/>
    <w:rsid w:val="00880FBB"/>
    <w:rsid w:val="00883237"/>
    <w:rsid w:val="008846C8"/>
    <w:rsid w:val="00884756"/>
    <w:rsid w:val="008848AB"/>
    <w:rsid w:val="00885D1B"/>
    <w:rsid w:val="00886331"/>
    <w:rsid w:val="00886DD7"/>
    <w:rsid w:val="0089396C"/>
    <w:rsid w:val="008968A7"/>
    <w:rsid w:val="008968CB"/>
    <w:rsid w:val="008A530C"/>
    <w:rsid w:val="008A7114"/>
    <w:rsid w:val="008B0666"/>
    <w:rsid w:val="008B15B1"/>
    <w:rsid w:val="008B3744"/>
    <w:rsid w:val="008B3780"/>
    <w:rsid w:val="008B40B9"/>
    <w:rsid w:val="008B61E4"/>
    <w:rsid w:val="008B7F10"/>
    <w:rsid w:val="008C569C"/>
    <w:rsid w:val="008C5FF8"/>
    <w:rsid w:val="008C60BF"/>
    <w:rsid w:val="008C68F1"/>
    <w:rsid w:val="008C6DC1"/>
    <w:rsid w:val="008D0EFD"/>
    <w:rsid w:val="008D4584"/>
    <w:rsid w:val="008D72E7"/>
    <w:rsid w:val="008E0E71"/>
    <w:rsid w:val="008F0E47"/>
    <w:rsid w:val="008F1503"/>
    <w:rsid w:val="008F154A"/>
    <w:rsid w:val="008F538F"/>
    <w:rsid w:val="008F5C69"/>
    <w:rsid w:val="008F66FA"/>
    <w:rsid w:val="008F6D6F"/>
    <w:rsid w:val="00903339"/>
    <w:rsid w:val="00915484"/>
    <w:rsid w:val="00921803"/>
    <w:rsid w:val="00924FDC"/>
    <w:rsid w:val="00925704"/>
    <w:rsid w:val="00926503"/>
    <w:rsid w:val="009265DF"/>
    <w:rsid w:val="00926949"/>
    <w:rsid w:val="009328D2"/>
    <w:rsid w:val="0093787C"/>
    <w:rsid w:val="00942D43"/>
    <w:rsid w:val="00945327"/>
    <w:rsid w:val="00947DF0"/>
    <w:rsid w:val="00950628"/>
    <w:rsid w:val="00950A7C"/>
    <w:rsid w:val="009515D2"/>
    <w:rsid w:val="009519EB"/>
    <w:rsid w:val="0095205F"/>
    <w:rsid w:val="00952B7B"/>
    <w:rsid w:val="009532F1"/>
    <w:rsid w:val="009533AA"/>
    <w:rsid w:val="00961614"/>
    <w:rsid w:val="00961787"/>
    <w:rsid w:val="00962B66"/>
    <w:rsid w:val="00963692"/>
    <w:rsid w:val="00963C7F"/>
    <w:rsid w:val="00970DE0"/>
    <w:rsid w:val="00971315"/>
    <w:rsid w:val="00971D0D"/>
    <w:rsid w:val="009726D8"/>
    <w:rsid w:val="00972EFD"/>
    <w:rsid w:val="0097336A"/>
    <w:rsid w:val="00973EB7"/>
    <w:rsid w:val="009762B5"/>
    <w:rsid w:val="0097632E"/>
    <w:rsid w:val="00977D6F"/>
    <w:rsid w:val="009800AF"/>
    <w:rsid w:val="00981846"/>
    <w:rsid w:val="0098200F"/>
    <w:rsid w:val="009827CA"/>
    <w:rsid w:val="00991380"/>
    <w:rsid w:val="009933B2"/>
    <w:rsid w:val="009971D2"/>
    <w:rsid w:val="009A4F4B"/>
    <w:rsid w:val="009B0F18"/>
    <w:rsid w:val="009B1F1E"/>
    <w:rsid w:val="009B288D"/>
    <w:rsid w:val="009B5DD9"/>
    <w:rsid w:val="009B7E41"/>
    <w:rsid w:val="009C2609"/>
    <w:rsid w:val="009C2F26"/>
    <w:rsid w:val="009C31D7"/>
    <w:rsid w:val="009C42EC"/>
    <w:rsid w:val="009C5249"/>
    <w:rsid w:val="009C581E"/>
    <w:rsid w:val="009E2396"/>
    <w:rsid w:val="009E62E7"/>
    <w:rsid w:val="009F3B1C"/>
    <w:rsid w:val="009F40F8"/>
    <w:rsid w:val="009F476C"/>
    <w:rsid w:val="009F5FB0"/>
    <w:rsid w:val="009F63CB"/>
    <w:rsid w:val="009F66E7"/>
    <w:rsid w:val="009F76DB"/>
    <w:rsid w:val="009F7A45"/>
    <w:rsid w:val="00A02E45"/>
    <w:rsid w:val="00A03C01"/>
    <w:rsid w:val="00A05213"/>
    <w:rsid w:val="00A0547E"/>
    <w:rsid w:val="00A066C3"/>
    <w:rsid w:val="00A140B2"/>
    <w:rsid w:val="00A16659"/>
    <w:rsid w:val="00A22C7A"/>
    <w:rsid w:val="00A23997"/>
    <w:rsid w:val="00A23A2B"/>
    <w:rsid w:val="00A32B4B"/>
    <w:rsid w:val="00A32C3B"/>
    <w:rsid w:val="00A40CDE"/>
    <w:rsid w:val="00A45F4F"/>
    <w:rsid w:val="00A461EA"/>
    <w:rsid w:val="00A46B91"/>
    <w:rsid w:val="00A534C8"/>
    <w:rsid w:val="00A56AE7"/>
    <w:rsid w:val="00A57FFD"/>
    <w:rsid w:val="00A600A9"/>
    <w:rsid w:val="00A61147"/>
    <w:rsid w:val="00A6524E"/>
    <w:rsid w:val="00A76707"/>
    <w:rsid w:val="00A77A0B"/>
    <w:rsid w:val="00A800BB"/>
    <w:rsid w:val="00A8121A"/>
    <w:rsid w:val="00A85F9E"/>
    <w:rsid w:val="00A876FA"/>
    <w:rsid w:val="00A93528"/>
    <w:rsid w:val="00A943FC"/>
    <w:rsid w:val="00A972DC"/>
    <w:rsid w:val="00A9790A"/>
    <w:rsid w:val="00AA55B7"/>
    <w:rsid w:val="00AA5B9E"/>
    <w:rsid w:val="00AA5F07"/>
    <w:rsid w:val="00AA6003"/>
    <w:rsid w:val="00AA7878"/>
    <w:rsid w:val="00AB1DD3"/>
    <w:rsid w:val="00AB2407"/>
    <w:rsid w:val="00AB53DF"/>
    <w:rsid w:val="00AC00CE"/>
    <w:rsid w:val="00AC1B4C"/>
    <w:rsid w:val="00AC4B7C"/>
    <w:rsid w:val="00AC677C"/>
    <w:rsid w:val="00AC6F18"/>
    <w:rsid w:val="00AD192F"/>
    <w:rsid w:val="00AD26AA"/>
    <w:rsid w:val="00AD3B78"/>
    <w:rsid w:val="00AD4876"/>
    <w:rsid w:val="00AE1C86"/>
    <w:rsid w:val="00AF03DD"/>
    <w:rsid w:val="00AF1114"/>
    <w:rsid w:val="00AF2499"/>
    <w:rsid w:val="00B04EDB"/>
    <w:rsid w:val="00B07E5C"/>
    <w:rsid w:val="00B118E6"/>
    <w:rsid w:val="00B1631E"/>
    <w:rsid w:val="00B172F7"/>
    <w:rsid w:val="00B2128F"/>
    <w:rsid w:val="00B26897"/>
    <w:rsid w:val="00B32FCC"/>
    <w:rsid w:val="00B3362F"/>
    <w:rsid w:val="00B40F89"/>
    <w:rsid w:val="00B42CC9"/>
    <w:rsid w:val="00B4314C"/>
    <w:rsid w:val="00B4494E"/>
    <w:rsid w:val="00B475F2"/>
    <w:rsid w:val="00B501B1"/>
    <w:rsid w:val="00B506B9"/>
    <w:rsid w:val="00B52A39"/>
    <w:rsid w:val="00B5624D"/>
    <w:rsid w:val="00B62386"/>
    <w:rsid w:val="00B64A31"/>
    <w:rsid w:val="00B65390"/>
    <w:rsid w:val="00B76011"/>
    <w:rsid w:val="00B763E9"/>
    <w:rsid w:val="00B77554"/>
    <w:rsid w:val="00B77BC6"/>
    <w:rsid w:val="00B8082E"/>
    <w:rsid w:val="00B811F7"/>
    <w:rsid w:val="00B82834"/>
    <w:rsid w:val="00B8452B"/>
    <w:rsid w:val="00B84DDD"/>
    <w:rsid w:val="00B856A6"/>
    <w:rsid w:val="00B904A5"/>
    <w:rsid w:val="00B913FF"/>
    <w:rsid w:val="00B96256"/>
    <w:rsid w:val="00BA5DC6"/>
    <w:rsid w:val="00BA6196"/>
    <w:rsid w:val="00BB3A2B"/>
    <w:rsid w:val="00BB6CA4"/>
    <w:rsid w:val="00BB7CCB"/>
    <w:rsid w:val="00BC1FF8"/>
    <w:rsid w:val="00BC6D8C"/>
    <w:rsid w:val="00BD0679"/>
    <w:rsid w:val="00BD33AE"/>
    <w:rsid w:val="00BD63FB"/>
    <w:rsid w:val="00BD7091"/>
    <w:rsid w:val="00BE037C"/>
    <w:rsid w:val="00BE10EA"/>
    <w:rsid w:val="00BE3B15"/>
    <w:rsid w:val="00BF3CCB"/>
    <w:rsid w:val="00BF3E34"/>
    <w:rsid w:val="00BF4661"/>
    <w:rsid w:val="00BF540D"/>
    <w:rsid w:val="00C018C3"/>
    <w:rsid w:val="00C07CB8"/>
    <w:rsid w:val="00C12018"/>
    <w:rsid w:val="00C121CD"/>
    <w:rsid w:val="00C15647"/>
    <w:rsid w:val="00C172A0"/>
    <w:rsid w:val="00C17F0E"/>
    <w:rsid w:val="00C21AC5"/>
    <w:rsid w:val="00C22202"/>
    <w:rsid w:val="00C241BE"/>
    <w:rsid w:val="00C26940"/>
    <w:rsid w:val="00C26D48"/>
    <w:rsid w:val="00C27D35"/>
    <w:rsid w:val="00C27E62"/>
    <w:rsid w:val="00C3143B"/>
    <w:rsid w:val="00C318A8"/>
    <w:rsid w:val="00C330FF"/>
    <w:rsid w:val="00C34006"/>
    <w:rsid w:val="00C410C1"/>
    <w:rsid w:val="00C426B1"/>
    <w:rsid w:val="00C4562C"/>
    <w:rsid w:val="00C4666C"/>
    <w:rsid w:val="00C50B65"/>
    <w:rsid w:val="00C5166B"/>
    <w:rsid w:val="00C52985"/>
    <w:rsid w:val="00C55B72"/>
    <w:rsid w:val="00C56B95"/>
    <w:rsid w:val="00C5721C"/>
    <w:rsid w:val="00C60D81"/>
    <w:rsid w:val="00C6304A"/>
    <w:rsid w:val="00C6429D"/>
    <w:rsid w:val="00C66160"/>
    <w:rsid w:val="00C66C1C"/>
    <w:rsid w:val="00C70456"/>
    <w:rsid w:val="00C721AC"/>
    <w:rsid w:val="00C72775"/>
    <w:rsid w:val="00C74B74"/>
    <w:rsid w:val="00C74FAA"/>
    <w:rsid w:val="00C772F2"/>
    <w:rsid w:val="00C7767B"/>
    <w:rsid w:val="00C77C7D"/>
    <w:rsid w:val="00C82556"/>
    <w:rsid w:val="00C831E5"/>
    <w:rsid w:val="00C85110"/>
    <w:rsid w:val="00C90D6A"/>
    <w:rsid w:val="00C9196B"/>
    <w:rsid w:val="00C95226"/>
    <w:rsid w:val="00CA247E"/>
    <w:rsid w:val="00CA2513"/>
    <w:rsid w:val="00CA4BCE"/>
    <w:rsid w:val="00CA5C56"/>
    <w:rsid w:val="00CA70B7"/>
    <w:rsid w:val="00CB1DA6"/>
    <w:rsid w:val="00CB2DED"/>
    <w:rsid w:val="00CC1785"/>
    <w:rsid w:val="00CC20B8"/>
    <w:rsid w:val="00CC4A5C"/>
    <w:rsid w:val="00CC72B6"/>
    <w:rsid w:val="00CD0946"/>
    <w:rsid w:val="00CD2847"/>
    <w:rsid w:val="00CD3062"/>
    <w:rsid w:val="00CD4E7A"/>
    <w:rsid w:val="00CD53FF"/>
    <w:rsid w:val="00CD5EF5"/>
    <w:rsid w:val="00CE086D"/>
    <w:rsid w:val="00CE11E6"/>
    <w:rsid w:val="00CE207D"/>
    <w:rsid w:val="00CE5701"/>
    <w:rsid w:val="00CE58A6"/>
    <w:rsid w:val="00CE6306"/>
    <w:rsid w:val="00CE79F8"/>
    <w:rsid w:val="00CF0682"/>
    <w:rsid w:val="00CF6370"/>
    <w:rsid w:val="00D0218D"/>
    <w:rsid w:val="00D0467E"/>
    <w:rsid w:val="00D04A19"/>
    <w:rsid w:val="00D04FDB"/>
    <w:rsid w:val="00D072D6"/>
    <w:rsid w:val="00D134BE"/>
    <w:rsid w:val="00D15179"/>
    <w:rsid w:val="00D153AB"/>
    <w:rsid w:val="00D17A0A"/>
    <w:rsid w:val="00D212C3"/>
    <w:rsid w:val="00D23351"/>
    <w:rsid w:val="00D2482C"/>
    <w:rsid w:val="00D2591E"/>
    <w:rsid w:val="00D25FB5"/>
    <w:rsid w:val="00D32CB8"/>
    <w:rsid w:val="00D341FD"/>
    <w:rsid w:val="00D35160"/>
    <w:rsid w:val="00D3760D"/>
    <w:rsid w:val="00D4167E"/>
    <w:rsid w:val="00D41CC8"/>
    <w:rsid w:val="00D44223"/>
    <w:rsid w:val="00D44F36"/>
    <w:rsid w:val="00D45043"/>
    <w:rsid w:val="00D46AEC"/>
    <w:rsid w:val="00D47BE4"/>
    <w:rsid w:val="00D52C25"/>
    <w:rsid w:val="00D52D32"/>
    <w:rsid w:val="00D57324"/>
    <w:rsid w:val="00D60F65"/>
    <w:rsid w:val="00D62D4C"/>
    <w:rsid w:val="00D667A1"/>
    <w:rsid w:val="00D71170"/>
    <w:rsid w:val="00D71EE7"/>
    <w:rsid w:val="00D763A8"/>
    <w:rsid w:val="00D77253"/>
    <w:rsid w:val="00D83928"/>
    <w:rsid w:val="00D84CE0"/>
    <w:rsid w:val="00D86D53"/>
    <w:rsid w:val="00D87EAF"/>
    <w:rsid w:val="00D923FC"/>
    <w:rsid w:val="00D92773"/>
    <w:rsid w:val="00D93943"/>
    <w:rsid w:val="00D9424D"/>
    <w:rsid w:val="00D9744E"/>
    <w:rsid w:val="00DA2529"/>
    <w:rsid w:val="00DA59F0"/>
    <w:rsid w:val="00DA7FB5"/>
    <w:rsid w:val="00DB130A"/>
    <w:rsid w:val="00DB2EBB"/>
    <w:rsid w:val="00DB3948"/>
    <w:rsid w:val="00DC10A1"/>
    <w:rsid w:val="00DC154C"/>
    <w:rsid w:val="00DC485D"/>
    <w:rsid w:val="00DC5719"/>
    <w:rsid w:val="00DC655F"/>
    <w:rsid w:val="00DD0B59"/>
    <w:rsid w:val="00DD2C57"/>
    <w:rsid w:val="00DD3078"/>
    <w:rsid w:val="00DD38DB"/>
    <w:rsid w:val="00DD488D"/>
    <w:rsid w:val="00DD4A54"/>
    <w:rsid w:val="00DD5D5D"/>
    <w:rsid w:val="00DD7EBD"/>
    <w:rsid w:val="00DE026C"/>
    <w:rsid w:val="00DE3744"/>
    <w:rsid w:val="00DE5424"/>
    <w:rsid w:val="00DE6090"/>
    <w:rsid w:val="00DF5944"/>
    <w:rsid w:val="00DF62B6"/>
    <w:rsid w:val="00DF6BD5"/>
    <w:rsid w:val="00DF7043"/>
    <w:rsid w:val="00DF7A4D"/>
    <w:rsid w:val="00E006A8"/>
    <w:rsid w:val="00E010E2"/>
    <w:rsid w:val="00E03105"/>
    <w:rsid w:val="00E03AD8"/>
    <w:rsid w:val="00E03D42"/>
    <w:rsid w:val="00E07225"/>
    <w:rsid w:val="00E20480"/>
    <w:rsid w:val="00E205AB"/>
    <w:rsid w:val="00E20645"/>
    <w:rsid w:val="00E20F14"/>
    <w:rsid w:val="00E23034"/>
    <w:rsid w:val="00E24724"/>
    <w:rsid w:val="00E3041F"/>
    <w:rsid w:val="00E307B8"/>
    <w:rsid w:val="00E31C50"/>
    <w:rsid w:val="00E3250C"/>
    <w:rsid w:val="00E33471"/>
    <w:rsid w:val="00E34E91"/>
    <w:rsid w:val="00E37140"/>
    <w:rsid w:val="00E4217F"/>
    <w:rsid w:val="00E45CE0"/>
    <w:rsid w:val="00E4641A"/>
    <w:rsid w:val="00E47985"/>
    <w:rsid w:val="00E5400D"/>
    <w:rsid w:val="00E5409F"/>
    <w:rsid w:val="00E54933"/>
    <w:rsid w:val="00E56D00"/>
    <w:rsid w:val="00E610D1"/>
    <w:rsid w:val="00E628C3"/>
    <w:rsid w:val="00E6504B"/>
    <w:rsid w:val="00E65216"/>
    <w:rsid w:val="00E702CC"/>
    <w:rsid w:val="00E731CA"/>
    <w:rsid w:val="00E7775D"/>
    <w:rsid w:val="00E83529"/>
    <w:rsid w:val="00E844EC"/>
    <w:rsid w:val="00E847B4"/>
    <w:rsid w:val="00E87D65"/>
    <w:rsid w:val="00E90E02"/>
    <w:rsid w:val="00E928FF"/>
    <w:rsid w:val="00E939D4"/>
    <w:rsid w:val="00E9506D"/>
    <w:rsid w:val="00E95F72"/>
    <w:rsid w:val="00E973FB"/>
    <w:rsid w:val="00EA2D88"/>
    <w:rsid w:val="00EA55C4"/>
    <w:rsid w:val="00EB0210"/>
    <w:rsid w:val="00EB0CC1"/>
    <w:rsid w:val="00EB1EC4"/>
    <w:rsid w:val="00EC3259"/>
    <w:rsid w:val="00ED1B25"/>
    <w:rsid w:val="00ED3D57"/>
    <w:rsid w:val="00EE5C69"/>
    <w:rsid w:val="00EE6488"/>
    <w:rsid w:val="00EE6938"/>
    <w:rsid w:val="00EE7997"/>
    <w:rsid w:val="00EF1685"/>
    <w:rsid w:val="00EF1767"/>
    <w:rsid w:val="00EF347E"/>
    <w:rsid w:val="00F021FA"/>
    <w:rsid w:val="00F025A2"/>
    <w:rsid w:val="00F03A85"/>
    <w:rsid w:val="00F04372"/>
    <w:rsid w:val="00F05AC7"/>
    <w:rsid w:val="00F076B4"/>
    <w:rsid w:val="00F11421"/>
    <w:rsid w:val="00F1335C"/>
    <w:rsid w:val="00F13836"/>
    <w:rsid w:val="00F14B32"/>
    <w:rsid w:val="00F152F7"/>
    <w:rsid w:val="00F16080"/>
    <w:rsid w:val="00F20E97"/>
    <w:rsid w:val="00F21229"/>
    <w:rsid w:val="00F21608"/>
    <w:rsid w:val="00F2555A"/>
    <w:rsid w:val="00F2570F"/>
    <w:rsid w:val="00F31041"/>
    <w:rsid w:val="00F3459B"/>
    <w:rsid w:val="00F4233A"/>
    <w:rsid w:val="00F461E7"/>
    <w:rsid w:val="00F4711C"/>
    <w:rsid w:val="00F51B2E"/>
    <w:rsid w:val="00F5388A"/>
    <w:rsid w:val="00F55096"/>
    <w:rsid w:val="00F554E1"/>
    <w:rsid w:val="00F56B60"/>
    <w:rsid w:val="00F60E8E"/>
    <w:rsid w:val="00F6109B"/>
    <w:rsid w:val="00F612FA"/>
    <w:rsid w:val="00F62E97"/>
    <w:rsid w:val="00F63364"/>
    <w:rsid w:val="00F6346C"/>
    <w:rsid w:val="00F6386C"/>
    <w:rsid w:val="00F63C27"/>
    <w:rsid w:val="00F64209"/>
    <w:rsid w:val="00F749CC"/>
    <w:rsid w:val="00F80AA2"/>
    <w:rsid w:val="00F8432C"/>
    <w:rsid w:val="00F86161"/>
    <w:rsid w:val="00F87A96"/>
    <w:rsid w:val="00F92452"/>
    <w:rsid w:val="00F9282C"/>
    <w:rsid w:val="00F93BF5"/>
    <w:rsid w:val="00F94FC4"/>
    <w:rsid w:val="00FA0BE3"/>
    <w:rsid w:val="00FA3015"/>
    <w:rsid w:val="00FA3B55"/>
    <w:rsid w:val="00FA4764"/>
    <w:rsid w:val="00FA5BF9"/>
    <w:rsid w:val="00FA5CB6"/>
    <w:rsid w:val="00FA5E39"/>
    <w:rsid w:val="00FA6941"/>
    <w:rsid w:val="00FB3764"/>
    <w:rsid w:val="00FB78E0"/>
    <w:rsid w:val="00FC005D"/>
    <w:rsid w:val="00FC1B09"/>
    <w:rsid w:val="00FC32BD"/>
    <w:rsid w:val="00FC35FA"/>
    <w:rsid w:val="00FC365A"/>
    <w:rsid w:val="00FC43BC"/>
    <w:rsid w:val="00FD0E18"/>
    <w:rsid w:val="00FD0FDE"/>
    <w:rsid w:val="00FD1033"/>
    <w:rsid w:val="00FD4783"/>
    <w:rsid w:val="00FD654A"/>
    <w:rsid w:val="00FE2443"/>
    <w:rsid w:val="00FE2DA6"/>
    <w:rsid w:val="00FE4F68"/>
    <w:rsid w:val="00FE6B5F"/>
    <w:rsid w:val="00FF47A4"/>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8643C"/>
    <w:pPr>
      <w:tabs>
        <w:tab w:val="left" w:pos="399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ind w:left="7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autoRedefine/>
    <w:qFormat/>
    <w:rsid w:val="005F7DC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5760"/>
        <w:tab w:val="num" w:pos="5310"/>
      </w:tabs>
      <w:spacing w:after="120"/>
      <w:ind w:left="423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ootnote Text Char"/>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Style 34,Style 9,Style 20,callout"/>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8643C"/>
    <w:pPr>
      <w:tabs>
        <w:tab w:val="left" w:pos="399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0932">
      <w:bodyDiv w:val="1"/>
      <w:marLeft w:val="0"/>
      <w:marRight w:val="0"/>
      <w:marTop w:val="0"/>
      <w:marBottom w:val="0"/>
      <w:divBdr>
        <w:top w:val="none" w:sz="0" w:space="0" w:color="auto"/>
        <w:left w:val="none" w:sz="0" w:space="0" w:color="auto"/>
        <w:bottom w:val="none" w:sz="0" w:space="0" w:color="auto"/>
        <w:right w:val="none" w:sz="0" w:space="0" w:color="auto"/>
      </w:divBdr>
    </w:div>
    <w:div w:id="1368676957">
      <w:bodyDiv w:val="1"/>
      <w:marLeft w:val="0"/>
      <w:marRight w:val="0"/>
      <w:marTop w:val="0"/>
      <w:marBottom w:val="0"/>
      <w:divBdr>
        <w:top w:val="none" w:sz="0" w:space="0" w:color="auto"/>
        <w:left w:val="none" w:sz="0" w:space="0" w:color="auto"/>
        <w:bottom w:val="none" w:sz="0" w:space="0" w:color="auto"/>
        <w:right w:val="none" w:sz="0" w:space="0" w:color="auto"/>
      </w:divBdr>
    </w:div>
    <w:div w:id="1735666367">
      <w:bodyDiv w:val="1"/>
      <w:marLeft w:val="0"/>
      <w:marRight w:val="0"/>
      <w:marTop w:val="0"/>
      <w:marBottom w:val="0"/>
      <w:divBdr>
        <w:top w:val="none" w:sz="0" w:space="0" w:color="auto"/>
        <w:left w:val="none" w:sz="0" w:space="0" w:color="auto"/>
        <w:bottom w:val="none" w:sz="0" w:space="0" w:color="auto"/>
        <w:right w:val="none" w:sz="0" w:space="0" w:color="auto"/>
      </w:divBdr>
    </w:div>
    <w:div w:id="20955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3273</Words>
  <Characters>18434</Characters>
  <Application>Microsoft Office Word</Application>
  <DocSecurity>0</DocSecurity>
  <Lines>268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2017-11-29T21:55:00Z</dcterms:created>
  <dcterms:modified xsi:type="dcterms:W3CDTF">2017-11-29T21:55:00Z</dcterms:modified>
  <cp:category> </cp:category>
  <cp:contentStatus> </cp:contentStatus>
</cp:coreProperties>
</file>