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91EC4" w14:textId="77777777" w:rsidR="004C2EE3" w:rsidRDefault="004C2EE3" w:rsidP="00C843FB">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D2E4B54" w14:textId="77777777" w:rsidR="00921803" w:rsidRDefault="00921803" w:rsidP="00C843FB">
      <w:pPr>
        <w:pStyle w:val="StyleBoldCentered"/>
        <w:widowControl/>
      </w:pPr>
      <w:r>
        <w:t>F</w:t>
      </w:r>
      <w:r>
        <w:rPr>
          <w:caps w:val="0"/>
        </w:rPr>
        <w:t>ederal Communications Commission</w:t>
      </w:r>
    </w:p>
    <w:p w14:paraId="140C8E64" w14:textId="77777777" w:rsidR="004C2EE3" w:rsidRDefault="00810B6F" w:rsidP="00C843FB">
      <w:pPr>
        <w:pStyle w:val="StyleBoldCentered"/>
        <w:widowControl/>
      </w:pPr>
      <w:r>
        <w:rPr>
          <w:caps w:val="0"/>
        </w:rPr>
        <w:t>Washington, D.C. 20554</w:t>
      </w:r>
    </w:p>
    <w:p w14:paraId="40BF40A2" w14:textId="77777777" w:rsidR="004C2EE3" w:rsidRDefault="004C2EE3" w:rsidP="00C843FB">
      <w:pPr>
        <w:widowControl/>
      </w:pPr>
    </w:p>
    <w:p w14:paraId="041F6A6F" w14:textId="77777777" w:rsidR="004C2EE3" w:rsidRDefault="004C2EE3" w:rsidP="00C843FB">
      <w:pPr>
        <w:widowControl/>
      </w:pPr>
    </w:p>
    <w:tbl>
      <w:tblPr>
        <w:tblW w:w="0" w:type="auto"/>
        <w:tblLayout w:type="fixed"/>
        <w:tblLook w:val="0000" w:firstRow="0" w:lastRow="0" w:firstColumn="0" w:lastColumn="0" w:noHBand="0" w:noVBand="0"/>
      </w:tblPr>
      <w:tblGrid>
        <w:gridCol w:w="4698"/>
        <w:gridCol w:w="630"/>
        <w:gridCol w:w="4248"/>
      </w:tblGrid>
      <w:tr w:rsidR="004C2EE3" w14:paraId="0D135CD1" w14:textId="77777777">
        <w:tc>
          <w:tcPr>
            <w:tcW w:w="4698" w:type="dxa"/>
          </w:tcPr>
          <w:p w14:paraId="4442E729" w14:textId="77777777" w:rsidR="004C2EE3" w:rsidRDefault="004C2EE3" w:rsidP="00C843FB">
            <w:pPr>
              <w:widowControl/>
              <w:tabs>
                <w:tab w:val="center" w:pos="4680"/>
              </w:tabs>
              <w:suppressAutoHyphens/>
              <w:rPr>
                <w:spacing w:val="-2"/>
              </w:rPr>
            </w:pPr>
            <w:r>
              <w:rPr>
                <w:spacing w:val="-2"/>
              </w:rPr>
              <w:t>In the Matter of</w:t>
            </w:r>
          </w:p>
          <w:p w14:paraId="55AAEAA2" w14:textId="77777777" w:rsidR="004C2EE3" w:rsidRDefault="004C2EE3" w:rsidP="00C843FB">
            <w:pPr>
              <w:widowControl/>
              <w:tabs>
                <w:tab w:val="center" w:pos="4680"/>
              </w:tabs>
              <w:suppressAutoHyphens/>
              <w:rPr>
                <w:spacing w:val="-2"/>
              </w:rPr>
            </w:pPr>
          </w:p>
          <w:p w14:paraId="18F8216B" w14:textId="77777777" w:rsidR="002E27B5" w:rsidRDefault="00CB7CCC" w:rsidP="00C843FB">
            <w:pPr>
              <w:widowControl/>
              <w:tabs>
                <w:tab w:val="center" w:pos="4680"/>
              </w:tabs>
              <w:suppressAutoHyphens/>
              <w:rPr>
                <w:spacing w:val="-2"/>
              </w:rPr>
            </w:pPr>
            <w:r w:rsidRPr="00CB7CCC">
              <w:rPr>
                <w:spacing w:val="-2"/>
              </w:rPr>
              <w:t>STATE OF</w:t>
            </w:r>
            <w:r w:rsidR="00B20393">
              <w:rPr>
                <w:spacing w:val="-2"/>
              </w:rPr>
              <w:t xml:space="preserve"> ALASKA</w:t>
            </w:r>
          </w:p>
          <w:p w14:paraId="0226D42D" w14:textId="77777777" w:rsidR="00CB7CCC" w:rsidRPr="002E27B5" w:rsidRDefault="00CB7CCC" w:rsidP="00C843FB">
            <w:pPr>
              <w:widowControl/>
              <w:tabs>
                <w:tab w:val="center" w:pos="4680"/>
              </w:tabs>
              <w:suppressAutoHyphens/>
              <w:rPr>
                <w:spacing w:val="-2"/>
              </w:rPr>
            </w:pPr>
          </w:p>
          <w:p w14:paraId="26A66EB5" w14:textId="77777777" w:rsidR="004C2EE3" w:rsidRPr="007115F7" w:rsidRDefault="00CB7CCC" w:rsidP="00C843FB">
            <w:pPr>
              <w:widowControl/>
              <w:tabs>
                <w:tab w:val="center" w:pos="4680"/>
              </w:tabs>
              <w:suppressAutoHyphens/>
              <w:rPr>
                <w:spacing w:val="-2"/>
              </w:rPr>
            </w:pPr>
            <w:r w:rsidRPr="00CB7CCC">
              <w:rPr>
                <w:spacing w:val="-2"/>
              </w:rPr>
              <w:t>Request For Waiver of Section 90.20(c)(3) of the Commission’s Rules</w:t>
            </w:r>
          </w:p>
        </w:tc>
        <w:tc>
          <w:tcPr>
            <w:tcW w:w="630" w:type="dxa"/>
          </w:tcPr>
          <w:p w14:paraId="59F1DD9C" w14:textId="77777777" w:rsidR="004C2EE3" w:rsidRDefault="004C2EE3" w:rsidP="00C843FB">
            <w:pPr>
              <w:widowControl/>
              <w:tabs>
                <w:tab w:val="center" w:pos="4680"/>
              </w:tabs>
              <w:suppressAutoHyphens/>
              <w:rPr>
                <w:b/>
                <w:spacing w:val="-2"/>
              </w:rPr>
            </w:pPr>
            <w:r>
              <w:rPr>
                <w:b/>
                <w:spacing w:val="-2"/>
              </w:rPr>
              <w:t>)</w:t>
            </w:r>
          </w:p>
          <w:p w14:paraId="2ECFA1EF" w14:textId="77777777" w:rsidR="004C2EE3" w:rsidRDefault="004C2EE3" w:rsidP="00C843FB">
            <w:pPr>
              <w:widowControl/>
              <w:tabs>
                <w:tab w:val="center" w:pos="4680"/>
              </w:tabs>
              <w:suppressAutoHyphens/>
              <w:rPr>
                <w:b/>
                <w:spacing w:val="-2"/>
              </w:rPr>
            </w:pPr>
            <w:r>
              <w:rPr>
                <w:b/>
                <w:spacing w:val="-2"/>
              </w:rPr>
              <w:t>)</w:t>
            </w:r>
          </w:p>
          <w:p w14:paraId="6E8415C1" w14:textId="77777777" w:rsidR="004C2EE3" w:rsidRDefault="004C2EE3" w:rsidP="00C843FB">
            <w:pPr>
              <w:widowControl/>
              <w:tabs>
                <w:tab w:val="center" w:pos="4680"/>
              </w:tabs>
              <w:suppressAutoHyphens/>
              <w:rPr>
                <w:b/>
                <w:spacing w:val="-2"/>
              </w:rPr>
            </w:pPr>
            <w:r>
              <w:rPr>
                <w:b/>
                <w:spacing w:val="-2"/>
              </w:rPr>
              <w:t>)</w:t>
            </w:r>
          </w:p>
          <w:p w14:paraId="5C437556" w14:textId="77777777" w:rsidR="004C2EE3" w:rsidRDefault="004C2EE3" w:rsidP="00C843FB">
            <w:pPr>
              <w:widowControl/>
              <w:tabs>
                <w:tab w:val="center" w:pos="4680"/>
              </w:tabs>
              <w:suppressAutoHyphens/>
              <w:rPr>
                <w:b/>
                <w:spacing w:val="-2"/>
              </w:rPr>
            </w:pPr>
            <w:r>
              <w:rPr>
                <w:b/>
                <w:spacing w:val="-2"/>
              </w:rPr>
              <w:t>)</w:t>
            </w:r>
          </w:p>
          <w:p w14:paraId="22F9578F" w14:textId="77777777" w:rsidR="004C2EE3" w:rsidRDefault="004C2EE3" w:rsidP="00C843FB">
            <w:pPr>
              <w:widowControl/>
              <w:tabs>
                <w:tab w:val="center" w:pos="4680"/>
              </w:tabs>
              <w:suppressAutoHyphens/>
              <w:rPr>
                <w:b/>
                <w:spacing w:val="-2"/>
              </w:rPr>
            </w:pPr>
            <w:r>
              <w:rPr>
                <w:b/>
                <w:spacing w:val="-2"/>
              </w:rPr>
              <w:t>)</w:t>
            </w:r>
          </w:p>
          <w:p w14:paraId="52A0D154" w14:textId="77777777" w:rsidR="004C2EE3" w:rsidRDefault="004C2EE3" w:rsidP="00C843FB">
            <w:pPr>
              <w:widowControl/>
              <w:tabs>
                <w:tab w:val="center" w:pos="4680"/>
              </w:tabs>
              <w:suppressAutoHyphens/>
              <w:rPr>
                <w:b/>
                <w:spacing w:val="-2"/>
              </w:rPr>
            </w:pPr>
            <w:r>
              <w:rPr>
                <w:b/>
                <w:spacing w:val="-2"/>
              </w:rPr>
              <w:t>)</w:t>
            </w:r>
          </w:p>
          <w:p w14:paraId="7E8B6F2F" w14:textId="77777777" w:rsidR="004C2EE3" w:rsidRPr="002E0B5A" w:rsidRDefault="004C2EE3" w:rsidP="00C843FB">
            <w:pPr>
              <w:widowControl/>
              <w:tabs>
                <w:tab w:val="center" w:pos="4680"/>
              </w:tabs>
              <w:suppressAutoHyphens/>
              <w:rPr>
                <w:b/>
                <w:spacing w:val="-2"/>
              </w:rPr>
            </w:pPr>
            <w:r>
              <w:rPr>
                <w:b/>
                <w:spacing w:val="-2"/>
              </w:rPr>
              <w:t>)</w:t>
            </w:r>
          </w:p>
        </w:tc>
        <w:tc>
          <w:tcPr>
            <w:tcW w:w="4248" w:type="dxa"/>
          </w:tcPr>
          <w:p w14:paraId="46355EF3" w14:textId="77777777" w:rsidR="004C2EE3" w:rsidRDefault="004C2EE3" w:rsidP="00C843FB">
            <w:pPr>
              <w:widowControl/>
              <w:tabs>
                <w:tab w:val="center" w:pos="4680"/>
              </w:tabs>
              <w:suppressAutoHyphens/>
              <w:rPr>
                <w:spacing w:val="-2"/>
              </w:rPr>
            </w:pPr>
          </w:p>
          <w:p w14:paraId="08887A4E" w14:textId="77777777" w:rsidR="004C2EE3" w:rsidRDefault="004C2EE3" w:rsidP="00C843FB">
            <w:pPr>
              <w:pStyle w:val="TOAHeading"/>
              <w:widowControl/>
              <w:tabs>
                <w:tab w:val="clear" w:pos="9360"/>
                <w:tab w:val="center" w:pos="4680"/>
              </w:tabs>
              <w:rPr>
                <w:spacing w:val="-2"/>
              </w:rPr>
            </w:pPr>
          </w:p>
          <w:p w14:paraId="76C8B6A2" w14:textId="77777777" w:rsidR="004C2EE3" w:rsidRDefault="002E27B5" w:rsidP="00C843FB">
            <w:pPr>
              <w:widowControl/>
              <w:tabs>
                <w:tab w:val="center" w:pos="4680"/>
              </w:tabs>
              <w:suppressAutoHyphens/>
              <w:rPr>
                <w:spacing w:val="-2"/>
              </w:rPr>
            </w:pPr>
            <w:r w:rsidRPr="002E27B5">
              <w:rPr>
                <w:spacing w:val="-2"/>
              </w:rPr>
              <w:t>File No.</w:t>
            </w:r>
            <w:r w:rsidR="002D025A">
              <w:rPr>
                <w:spacing w:val="-2"/>
              </w:rPr>
              <w:t xml:space="preserve"> </w:t>
            </w:r>
            <w:r w:rsidR="00721BA5" w:rsidRPr="00721BA5">
              <w:rPr>
                <w:spacing w:val="-2"/>
              </w:rPr>
              <w:t>000</w:t>
            </w:r>
            <w:r w:rsidR="00D73A74">
              <w:rPr>
                <w:spacing w:val="-2"/>
              </w:rPr>
              <w:t>7652388</w:t>
            </w:r>
          </w:p>
        </w:tc>
      </w:tr>
    </w:tbl>
    <w:p w14:paraId="3ADC6A0F" w14:textId="77777777" w:rsidR="004C2EE3" w:rsidRDefault="004C2EE3" w:rsidP="00C843FB">
      <w:pPr>
        <w:widowControl/>
      </w:pPr>
    </w:p>
    <w:p w14:paraId="34DD9AC4" w14:textId="77777777" w:rsidR="00841AB1" w:rsidRDefault="002E27B5" w:rsidP="00C843FB">
      <w:pPr>
        <w:pStyle w:val="StyleBoldCentered"/>
        <w:widowControl/>
      </w:pPr>
      <w:r w:rsidRPr="002E27B5">
        <w:t>ORDER</w:t>
      </w:r>
    </w:p>
    <w:p w14:paraId="34871876" w14:textId="77777777" w:rsidR="004C2EE3" w:rsidRDefault="004C2EE3" w:rsidP="00C843FB">
      <w:pPr>
        <w:widowControl/>
        <w:tabs>
          <w:tab w:val="left" w:pos="-720"/>
        </w:tabs>
        <w:suppressAutoHyphens/>
        <w:spacing w:line="227" w:lineRule="auto"/>
        <w:rPr>
          <w:spacing w:val="-2"/>
        </w:rPr>
      </w:pPr>
    </w:p>
    <w:p w14:paraId="3DC236BE" w14:textId="6573389D" w:rsidR="004C2EE3" w:rsidRDefault="004C2EE3" w:rsidP="00C843FB">
      <w:pPr>
        <w:widowControl/>
        <w:tabs>
          <w:tab w:val="left" w:pos="720"/>
          <w:tab w:val="right" w:pos="9360"/>
        </w:tabs>
        <w:suppressAutoHyphens/>
        <w:spacing w:line="227" w:lineRule="auto"/>
        <w:rPr>
          <w:spacing w:val="-2"/>
        </w:rPr>
      </w:pPr>
      <w:r>
        <w:rPr>
          <w:b/>
          <w:spacing w:val="-2"/>
        </w:rPr>
        <w:t xml:space="preserve">Adopted:  </w:t>
      </w:r>
      <w:r w:rsidR="00A75A9F">
        <w:rPr>
          <w:b/>
          <w:spacing w:val="-2"/>
        </w:rPr>
        <w:t>November 30</w:t>
      </w:r>
      <w:r w:rsidR="00721BA5">
        <w:rPr>
          <w:b/>
          <w:spacing w:val="-2"/>
        </w:rPr>
        <w:t xml:space="preserve">, </w:t>
      </w:r>
      <w:r w:rsidR="002E0B5A">
        <w:rPr>
          <w:b/>
          <w:spacing w:val="-2"/>
        </w:rPr>
        <w:t>201</w:t>
      </w:r>
      <w:r w:rsidR="00721BA5">
        <w:rPr>
          <w:b/>
          <w:spacing w:val="-2"/>
        </w:rPr>
        <w:t>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75A9F">
        <w:rPr>
          <w:b/>
          <w:spacing w:val="-2"/>
        </w:rPr>
        <w:t>November 30</w:t>
      </w:r>
      <w:r w:rsidR="002E0B5A">
        <w:rPr>
          <w:b/>
          <w:spacing w:val="-2"/>
        </w:rPr>
        <w:t>, 201</w:t>
      </w:r>
      <w:r w:rsidR="00721BA5">
        <w:rPr>
          <w:b/>
          <w:spacing w:val="-2"/>
        </w:rPr>
        <w:t>7</w:t>
      </w:r>
    </w:p>
    <w:p w14:paraId="5EBAE2A0" w14:textId="77777777" w:rsidR="00822CE0" w:rsidRDefault="00822CE0" w:rsidP="00C843FB">
      <w:pPr>
        <w:widowControl/>
      </w:pPr>
    </w:p>
    <w:p w14:paraId="4294F887" w14:textId="77777777" w:rsidR="00822CE0" w:rsidRDefault="002E27B5" w:rsidP="00C843FB">
      <w:pPr>
        <w:widowControl/>
        <w:rPr>
          <w:spacing w:val="-2"/>
        </w:rPr>
      </w:pPr>
      <w:r w:rsidRPr="002E27B5">
        <w:t>By the Chief, Policy and Licensing Division, Public Safe</w:t>
      </w:r>
      <w:r>
        <w:t>ty and Homeland Security Bureau</w:t>
      </w:r>
      <w:r w:rsidR="004C2EE3">
        <w:rPr>
          <w:spacing w:val="-2"/>
        </w:rPr>
        <w:t>:</w:t>
      </w:r>
    </w:p>
    <w:p w14:paraId="680F3C2A" w14:textId="77777777" w:rsidR="00412FC5" w:rsidRDefault="00412FC5" w:rsidP="00C843FB">
      <w:pPr>
        <w:widowControl/>
      </w:pPr>
    </w:p>
    <w:p w14:paraId="2B841164" w14:textId="77777777" w:rsidR="002C00E8" w:rsidRDefault="002E27B5" w:rsidP="00C843FB">
      <w:pPr>
        <w:pStyle w:val="Heading1"/>
        <w:widowControl/>
      </w:pPr>
      <w:r>
        <w:t>introduction</w:t>
      </w:r>
    </w:p>
    <w:p w14:paraId="049C0605" w14:textId="33205D41" w:rsidR="002E27B5" w:rsidRPr="002E27B5" w:rsidRDefault="002E27B5" w:rsidP="00C843FB">
      <w:pPr>
        <w:pStyle w:val="ParaNum"/>
        <w:widowControl/>
      </w:pPr>
      <w:r w:rsidRPr="002E27B5">
        <w:t xml:space="preserve">In this </w:t>
      </w:r>
      <w:r w:rsidRPr="00115BC0">
        <w:rPr>
          <w:i/>
        </w:rPr>
        <w:t>Order</w:t>
      </w:r>
      <w:r w:rsidRPr="002E27B5">
        <w:t xml:space="preserve"> we grant a request by the </w:t>
      </w:r>
      <w:r w:rsidR="00D73A74">
        <w:t>State of Alaska (Alaska)</w:t>
      </w:r>
      <w:r w:rsidR="00D66A84">
        <w:t xml:space="preserve"> </w:t>
      </w:r>
      <w:r w:rsidRPr="002E27B5">
        <w:t xml:space="preserve">for a waiver of </w:t>
      </w:r>
      <w:r w:rsidR="00D73A74">
        <w:t xml:space="preserve">Section 90.20(c)(3) of the Commission’s rules </w:t>
      </w:r>
      <w:r w:rsidR="00274ECA">
        <w:t xml:space="preserve">to </w:t>
      </w:r>
      <w:r w:rsidR="00D73A74">
        <w:t xml:space="preserve">operate a </w:t>
      </w:r>
      <w:r w:rsidR="005B1B63">
        <w:t xml:space="preserve">new </w:t>
      </w:r>
      <w:r w:rsidR="00284E9F">
        <w:t xml:space="preserve">VHF </w:t>
      </w:r>
      <w:r w:rsidR="00D73A74">
        <w:t xml:space="preserve">base station on </w:t>
      </w:r>
      <w:r w:rsidR="007527B4">
        <w:t xml:space="preserve">four </w:t>
      </w:r>
      <w:r w:rsidR="00B236DA">
        <w:t xml:space="preserve">channels </w:t>
      </w:r>
      <w:r w:rsidR="00D73A74">
        <w:t>using non-standard channel centers</w:t>
      </w:r>
      <w:r w:rsidR="00BD532B">
        <w:t>.</w:t>
      </w:r>
      <w:r w:rsidR="005B1B63" w:rsidRPr="005B1B63">
        <w:rPr>
          <w:rStyle w:val="FootnoteReference"/>
        </w:rPr>
        <w:t xml:space="preserve"> </w:t>
      </w:r>
      <w:r w:rsidR="005B1B63">
        <w:rPr>
          <w:rStyle w:val="FootnoteReference"/>
        </w:rPr>
        <w:footnoteReference w:id="2"/>
      </w:r>
      <w:r w:rsidR="005B1B63">
        <w:t xml:space="preserve"> </w:t>
      </w:r>
      <w:r w:rsidR="00BD532B">
        <w:t xml:space="preserve"> </w:t>
      </w:r>
      <w:r w:rsidRPr="002E27B5">
        <w:t xml:space="preserve">  </w:t>
      </w:r>
    </w:p>
    <w:p w14:paraId="709F9560" w14:textId="77777777" w:rsidR="002E27B5" w:rsidRDefault="002E27B5" w:rsidP="00C843FB">
      <w:pPr>
        <w:pStyle w:val="Heading1"/>
        <w:widowControl/>
      </w:pPr>
      <w:r>
        <w:t>background</w:t>
      </w:r>
    </w:p>
    <w:p w14:paraId="3532807B" w14:textId="77777777" w:rsidR="00502F93" w:rsidRDefault="00C26C1D" w:rsidP="00502F93">
      <w:pPr>
        <w:pStyle w:val="ParaNum"/>
      </w:pPr>
      <w:r>
        <w:t xml:space="preserve">Alaska operates a </w:t>
      </w:r>
      <w:r w:rsidR="009528D5">
        <w:t xml:space="preserve">wide area </w:t>
      </w:r>
      <w:r>
        <w:t xml:space="preserve">VHF public safety trunked radio system known as the Alaska Land Mobile Radio System </w:t>
      </w:r>
      <w:r w:rsidR="00274ECA">
        <w:t>(</w:t>
      </w:r>
      <w:r>
        <w:t>ALMR</w:t>
      </w:r>
      <w:r w:rsidR="00274ECA">
        <w:t>)</w:t>
      </w:r>
      <w:r>
        <w:t xml:space="preserve"> </w:t>
      </w:r>
      <w:r w:rsidR="009528D5">
        <w:t xml:space="preserve">which serves </w:t>
      </w:r>
      <w:r w:rsidR="00B02E7E">
        <w:t>local, state and f</w:t>
      </w:r>
      <w:r>
        <w:t>ederal agencies throughout the State of Alaska</w:t>
      </w:r>
      <w:r w:rsidR="009528D5">
        <w:t xml:space="preserve"> using a single shared infrastructure.</w:t>
      </w:r>
      <w:r w:rsidR="00FC219E">
        <w:rPr>
          <w:rStyle w:val="FootnoteReference"/>
        </w:rPr>
        <w:footnoteReference w:id="3"/>
      </w:r>
      <w:r w:rsidR="009528D5">
        <w:t xml:space="preserve">  Users of the ALMR system share </w:t>
      </w:r>
      <w:r w:rsidR="009528D5" w:rsidRPr="009528D5">
        <w:t xml:space="preserve">repeaters, RF sites, towers, </w:t>
      </w:r>
      <w:r w:rsidR="009528D5">
        <w:t xml:space="preserve">and </w:t>
      </w:r>
      <w:r w:rsidR="009528D5" w:rsidRPr="009528D5">
        <w:t>dispatch</w:t>
      </w:r>
      <w:r w:rsidR="009528D5">
        <w:t xml:space="preserve"> centers.</w:t>
      </w:r>
      <w:r w:rsidR="00FC219E">
        <w:rPr>
          <w:rStyle w:val="FootnoteReference"/>
        </w:rPr>
        <w:footnoteReference w:id="4"/>
      </w:r>
    </w:p>
    <w:p w14:paraId="6D77CB38" w14:textId="77777777" w:rsidR="001A348F" w:rsidRDefault="00682123" w:rsidP="00502F93">
      <w:pPr>
        <w:pStyle w:val="ParaNum"/>
      </w:pPr>
      <w:r>
        <w:t xml:space="preserve">The ALMR system </w:t>
      </w:r>
      <w:r w:rsidR="00050FCF">
        <w:t xml:space="preserve">operates using </w:t>
      </w:r>
      <w:r>
        <w:t xml:space="preserve">Project 25 technology and </w:t>
      </w:r>
      <w:r w:rsidRPr="00682123">
        <w:t>pair</w:t>
      </w:r>
      <w:r>
        <w:t>s</w:t>
      </w:r>
      <w:r w:rsidRPr="00682123">
        <w:t xml:space="preserve"> approximately 1.5 megahertz of </w:t>
      </w:r>
      <w:r>
        <w:t xml:space="preserve">spectrum from the </w:t>
      </w:r>
      <w:r w:rsidRPr="00682123">
        <w:t xml:space="preserve">Public Safety Pool </w:t>
      </w:r>
      <w:r w:rsidR="00F31B2B">
        <w:t>(</w:t>
      </w:r>
      <w:r>
        <w:t>150 MHz band</w:t>
      </w:r>
      <w:r w:rsidR="00F31B2B">
        <w:t>)</w:t>
      </w:r>
      <w:r>
        <w:t xml:space="preserve"> with</w:t>
      </w:r>
      <w:r w:rsidRPr="00682123">
        <w:t xml:space="preserve"> an equal amount of </w:t>
      </w:r>
      <w:r w:rsidR="00BC06C4">
        <w:t xml:space="preserve">spectrum from the </w:t>
      </w:r>
      <w:r w:rsidRPr="00682123">
        <w:t xml:space="preserve">Federal Government </w:t>
      </w:r>
      <w:r w:rsidR="00BC06C4">
        <w:t>(</w:t>
      </w:r>
      <w:r w:rsidRPr="00682123">
        <w:t>138-144 MHz band</w:t>
      </w:r>
      <w:r w:rsidR="00BC06C4">
        <w:t>)</w:t>
      </w:r>
      <w:r w:rsidRPr="00682123">
        <w:t xml:space="preserve"> to create </w:t>
      </w:r>
      <w:r>
        <w:t>110 channel pairs (</w:t>
      </w:r>
      <w:r w:rsidRPr="00682123">
        <w:t xml:space="preserve">12.5 kHz </w:t>
      </w:r>
      <w:r>
        <w:t>bandwidth</w:t>
      </w:r>
      <w:r w:rsidRPr="00682123">
        <w:t>)</w:t>
      </w:r>
      <w:r>
        <w:t>.</w:t>
      </w:r>
      <w:r w:rsidR="00FC219E">
        <w:rPr>
          <w:rStyle w:val="FootnoteReference"/>
        </w:rPr>
        <w:footnoteReference w:id="5"/>
      </w:r>
      <w:r>
        <w:t xml:space="preserve">  </w:t>
      </w:r>
      <w:r w:rsidR="00B236DA">
        <w:t xml:space="preserve">Channels </w:t>
      </w:r>
      <w:r w:rsidR="00345DC2">
        <w:t>from t</w:t>
      </w:r>
      <w:r>
        <w:t xml:space="preserve">he Public Safety Pool </w:t>
      </w:r>
      <w:r w:rsidR="00345DC2">
        <w:t xml:space="preserve">are </w:t>
      </w:r>
      <w:r>
        <w:t xml:space="preserve">used </w:t>
      </w:r>
      <w:r w:rsidR="00BC06C4">
        <w:t xml:space="preserve">in the ALMR system </w:t>
      </w:r>
      <w:r w:rsidR="00A33122">
        <w:t xml:space="preserve">for </w:t>
      </w:r>
      <w:r>
        <w:t xml:space="preserve">base station transmissions </w:t>
      </w:r>
      <w:r w:rsidR="00284E9F">
        <w:t>and</w:t>
      </w:r>
      <w:r>
        <w:t xml:space="preserve"> </w:t>
      </w:r>
      <w:r w:rsidR="00B236DA">
        <w:t xml:space="preserve">channels </w:t>
      </w:r>
      <w:r w:rsidR="00345DC2">
        <w:t xml:space="preserve">from the </w:t>
      </w:r>
      <w:r w:rsidRPr="00682123">
        <w:t xml:space="preserve">Federal </w:t>
      </w:r>
      <w:r w:rsidR="00345DC2">
        <w:t xml:space="preserve">Government band </w:t>
      </w:r>
      <w:r>
        <w:t>are used for mobile station transmissions.</w:t>
      </w:r>
      <w:r w:rsidR="00FC219E">
        <w:rPr>
          <w:rStyle w:val="FootnoteReference"/>
        </w:rPr>
        <w:footnoteReference w:id="6"/>
      </w:r>
    </w:p>
    <w:p w14:paraId="27BC09B3" w14:textId="77777777" w:rsidR="00264030" w:rsidRDefault="001A348F" w:rsidP="00502F93">
      <w:pPr>
        <w:pStyle w:val="ParaNum"/>
      </w:pPr>
      <w:r>
        <w:t xml:space="preserve">When it originally designed </w:t>
      </w:r>
      <w:r w:rsidR="00050FCF">
        <w:t xml:space="preserve">its </w:t>
      </w:r>
      <w:r>
        <w:t xml:space="preserve">ALMR system, Alaska noted that </w:t>
      </w:r>
      <w:r w:rsidR="00B236DA">
        <w:t xml:space="preserve">it </w:t>
      </w:r>
      <w:r w:rsidR="00B61148">
        <w:t xml:space="preserve">had some </w:t>
      </w:r>
      <w:r>
        <w:t>difficult</w:t>
      </w:r>
      <w:r w:rsidR="00B61148">
        <w:t xml:space="preserve">y </w:t>
      </w:r>
      <w:r>
        <w:t xml:space="preserve">pairing Public Safety Pool </w:t>
      </w:r>
      <w:r w:rsidR="00833F7E">
        <w:t xml:space="preserve">spectrum </w:t>
      </w:r>
      <w:r w:rsidR="00264030">
        <w:t xml:space="preserve">with </w:t>
      </w:r>
      <w:r w:rsidR="00833F7E">
        <w:t xml:space="preserve">spectrum </w:t>
      </w:r>
      <w:r>
        <w:t xml:space="preserve">from the Federal Government </w:t>
      </w:r>
      <w:r w:rsidR="00BF522F">
        <w:t xml:space="preserve">because </w:t>
      </w:r>
      <w:r>
        <w:t xml:space="preserve">channels </w:t>
      </w:r>
      <w:r w:rsidR="009A76C2">
        <w:t xml:space="preserve">in the </w:t>
      </w:r>
      <w:r>
        <w:t xml:space="preserve">Public Safety Pool </w:t>
      </w:r>
      <w:r w:rsidR="009A76C2">
        <w:t xml:space="preserve">from </w:t>
      </w:r>
      <w:r w:rsidR="00B61148">
        <w:t xml:space="preserve">the 150 MHz band </w:t>
      </w:r>
      <w:r w:rsidR="0020583E">
        <w:t xml:space="preserve">are </w:t>
      </w:r>
      <w:r w:rsidR="00995AAC">
        <w:t xml:space="preserve">assigned </w:t>
      </w:r>
      <w:r w:rsidR="0020583E">
        <w:t xml:space="preserve">using channel centers </w:t>
      </w:r>
      <w:r>
        <w:t xml:space="preserve">spaced every </w:t>
      </w:r>
      <w:r w:rsidR="00823CF3">
        <w:t xml:space="preserve">7.5 </w:t>
      </w:r>
      <w:r>
        <w:t>kHz whereas</w:t>
      </w:r>
      <w:r w:rsidR="009A76C2">
        <w:t xml:space="preserve"> the </w:t>
      </w:r>
      <w:r w:rsidR="00B02E7E">
        <w:t xml:space="preserve">channels from the </w:t>
      </w:r>
      <w:r w:rsidR="009A76C2">
        <w:t xml:space="preserve">Federal Government </w:t>
      </w:r>
      <w:r w:rsidR="00A93744">
        <w:t xml:space="preserve">from </w:t>
      </w:r>
      <w:r w:rsidR="009A76C2">
        <w:t>the</w:t>
      </w:r>
      <w:r>
        <w:t xml:space="preserve"> 138-144 MHz </w:t>
      </w:r>
      <w:r w:rsidR="00BC5893">
        <w:t xml:space="preserve">band </w:t>
      </w:r>
      <w:r w:rsidR="00B02E7E">
        <w:t xml:space="preserve">are assigned </w:t>
      </w:r>
      <w:r w:rsidR="00B8705E">
        <w:t xml:space="preserve">using </w:t>
      </w:r>
      <w:r w:rsidR="00B8705E">
        <w:lastRenderedPageBreak/>
        <w:t xml:space="preserve">channel </w:t>
      </w:r>
      <w:r w:rsidR="0020583E">
        <w:t>center</w:t>
      </w:r>
      <w:r w:rsidR="00B8705E">
        <w:t>s</w:t>
      </w:r>
      <w:r w:rsidR="0020583E">
        <w:t xml:space="preserve"> </w:t>
      </w:r>
      <w:r>
        <w:t>spaced every 12.5 kHz.</w:t>
      </w:r>
      <w:r w:rsidR="00BF522F">
        <w:rPr>
          <w:rStyle w:val="FootnoteReference"/>
        </w:rPr>
        <w:footnoteReference w:id="7"/>
      </w:r>
      <w:r w:rsidR="00050FCF">
        <w:t xml:space="preserve">  Therefore</w:t>
      </w:r>
      <w:r w:rsidR="00A93744">
        <w:t>,</w:t>
      </w:r>
      <w:r w:rsidR="00050FCF">
        <w:t xml:space="preserve"> </w:t>
      </w:r>
      <w:r w:rsidR="00B02E7E">
        <w:t xml:space="preserve">in May 2002, </w:t>
      </w:r>
      <w:r w:rsidR="00264030">
        <w:t xml:space="preserve">Alaska sought a waiver of section 90.20(c)(3) </w:t>
      </w:r>
      <w:r w:rsidR="006C1388">
        <w:t xml:space="preserve">of the Commission’s </w:t>
      </w:r>
      <w:r w:rsidR="00E87A70">
        <w:t xml:space="preserve">rules </w:t>
      </w:r>
      <w:r w:rsidR="00A5243A">
        <w:t xml:space="preserve">so it could </w:t>
      </w:r>
      <w:r w:rsidR="00B61148">
        <w:t xml:space="preserve">re-channelize </w:t>
      </w:r>
      <w:r w:rsidR="00264030">
        <w:t xml:space="preserve">the Public Safety Pool </w:t>
      </w:r>
      <w:r w:rsidR="00BC5893">
        <w:t xml:space="preserve">by </w:t>
      </w:r>
      <w:r w:rsidR="00264030">
        <w:t xml:space="preserve">using </w:t>
      </w:r>
      <w:r w:rsidR="00D00CC5">
        <w:t xml:space="preserve">a </w:t>
      </w:r>
      <w:r w:rsidR="00264030">
        <w:t xml:space="preserve">12.5 kHz rather than </w:t>
      </w:r>
      <w:r w:rsidR="00D00CC5">
        <w:t xml:space="preserve">a </w:t>
      </w:r>
      <w:r w:rsidR="00BC06C4">
        <w:t xml:space="preserve">7.5 </w:t>
      </w:r>
      <w:r w:rsidR="00264030">
        <w:t xml:space="preserve">kHz </w:t>
      </w:r>
      <w:r w:rsidR="000A0559">
        <w:t xml:space="preserve">channel </w:t>
      </w:r>
      <w:r w:rsidR="00264030">
        <w:t>spacing</w:t>
      </w:r>
      <w:r w:rsidR="00A5243A">
        <w:t>.</w:t>
      </w:r>
      <w:r w:rsidR="00CD2C00">
        <w:rPr>
          <w:rStyle w:val="FootnoteReference"/>
        </w:rPr>
        <w:footnoteReference w:id="8"/>
      </w:r>
      <w:r w:rsidR="00A5243A">
        <w:t xml:space="preserve">  </w:t>
      </w:r>
      <w:r w:rsidR="006C1388">
        <w:t xml:space="preserve">By re-channelizing </w:t>
      </w:r>
      <w:r w:rsidR="00A93744">
        <w:t>Public Safety Pool channels</w:t>
      </w:r>
      <w:r w:rsidR="006C1388">
        <w:t xml:space="preserve">, Alaska </w:t>
      </w:r>
      <w:r w:rsidR="00BC5893">
        <w:t xml:space="preserve">stated </w:t>
      </w:r>
      <w:r w:rsidR="006C1388">
        <w:t xml:space="preserve">it could maximize the number of </w:t>
      </w:r>
      <w:r w:rsidR="00A5243A">
        <w:t xml:space="preserve">paired </w:t>
      </w:r>
      <w:r w:rsidR="00D00CC5">
        <w:t xml:space="preserve">channels </w:t>
      </w:r>
      <w:r w:rsidR="006C1388">
        <w:t>available to it for use in the ALMR system.</w:t>
      </w:r>
      <w:r w:rsidR="00CD2C00">
        <w:rPr>
          <w:rStyle w:val="FootnoteReference"/>
        </w:rPr>
        <w:footnoteReference w:id="9"/>
      </w:r>
      <w:r w:rsidR="006C1388">
        <w:t xml:space="preserve">  </w:t>
      </w:r>
      <w:r w:rsidR="00050FCF">
        <w:t xml:space="preserve">  </w:t>
      </w:r>
    </w:p>
    <w:p w14:paraId="73CCD04C" w14:textId="77777777" w:rsidR="00950853" w:rsidRDefault="00274ECA" w:rsidP="00950853">
      <w:pPr>
        <w:pStyle w:val="ParaNum"/>
      </w:pPr>
      <w:r>
        <w:t>I</w:t>
      </w:r>
      <w:r w:rsidR="00264030">
        <w:t xml:space="preserve">n August 2003, the Wireless Telecommunications Bureau granted Alaska a waiver </w:t>
      </w:r>
      <w:r w:rsidR="00734DF2">
        <w:t xml:space="preserve">of Section 90.20(c)(3) so it could </w:t>
      </w:r>
      <w:r w:rsidR="00A93744">
        <w:t xml:space="preserve">operate </w:t>
      </w:r>
      <w:r w:rsidR="00734DF2">
        <w:t xml:space="preserve">certain Public Pool channels at </w:t>
      </w:r>
      <w:r w:rsidR="00A93744">
        <w:t xml:space="preserve">its ALMR base stations using </w:t>
      </w:r>
      <w:r w:rsidR="00734DF2">
        <w:t xml:space="preserve">channel centers </w:t>
      </w:r>
      <w:r w:rsidR="00A93744">
        <w:t xml:space="preserve">which are offset 2.5 kHz above or below the standard channel centers listed in </w:t>
      </w:r>
      <w:r w:rsidR="00734DF2">
        <w:t>the Commission’s rules.</w:t>
      </w:r>
      <w:r w:rsidR="00765A0A">
        <w:rPr>
          <w:rStyle w:val="FootnoteReference"/>
        </w:rPr>
        <w:footnoteReference w:id="10"/>
      </w:r>
      <w:r w:rsidR="00876D17">
        <w:t xml:space="preserve">  </w:t>
      </w:r>
      <w:r w:rsidR="00734DF2">
        <w:t>By offsetting certain channel</w:t>
      </w:r>
      <w:r w:rsidR="004405FB">
        <w:t>s</w:t>
      </w:r>
      <w:r w:rsidR="00734DF2">
        <w:t>, Alaska is able to achieve the 12.5 kHz separation between channel centers it seeks.</w:t>
      </w:r>
      <w:r w:rsidR="004405FB">
        <w:rPr>
          <w:rStyle w:val="FootnoteReference"/>
        </w:rPr>
        <w:footnoteReference w:id="11"/>
      </w:r>
      <w:r w:rsidR="00734DF2">
        <w:t xml:space="preserve">  </w:t>
      </w:r>
      <w:r w:rsidR="00876D17">
        <w:t>In granting the waiver request</w:t>
      </w:r>
      <w:r w:rsidR="003E210B">
        <w:t>s</w:t>
      </w:r>
      <w:r w:rsidR="00876D17">
        <w:t xml:space="preserve">, however, the Wireless Telecommunications Bureau </w:t>
      </w:r>
      <w:r w:rsidR="00844EC8">
        <w:t xml:space="preserve">stated </w:t>
      </w:r>
      <w:r w:rsidR="00876D17">
        <w:t>that its decision applied only to the applications before it at th</w:t>
      </w:r>
      <w:r w:rsidR="00844EC8">
        <w:t xml:space="preserve">at </w:t>
      </w:r>
      <w:r w:rsidR="00876D17">
        <w:t>time</w:t>
      </w:r>
      <w:r w:rsidR="00844EC8">
        <w:t>.</w:t>
      </w:r>
      <w:r w:rsidR="00BC5893">
        <w:rPr>
          <w:rStyle w:val="FootnoteReference"/>
        </w:rPr>
        <w:footnoteReference w:id="12"/>
      </w:r>
      <w:r w:rsidR="00844EC8">
        <w:t xml:space="preserve">  It noted</w:t>
      </w:r>
      <w:r w:rsidR="00876D17">
        <w:t xml:space="preserve"> that future applications for the ALMR system “must also request waivers of the Commission’s Rules, as necessary.”</w:t>
      </w:r>
      <w:r w:rsidR="00AC5A6C">
        <w:rPr>
          <w:rStyle w:val="FootnoteReference"/>
        </w:rPr>
        <w:footnoteReference w:id="13"/>
      </w:r>
      <w:r w:rsidR="00264030">
        <w:t xml:space="preserve">  </w:t>
      </w:r>
    </w:p>
    <w:p w14:paraId="135FDD43" w14:textId="77777777" w:rsidR="00EB6106" w:rsidRDefault="00C8632A" w:rsidP="00950853">
      <w:pPr>
        <w:pStyle w:val="ParaNum"/>
      </w:pPr>
      <w:r>
        <w:t xml:space="preserve">On February 7, 2017, </w:t>
      </w:r>
      <w:r w:rsidR="001221E1">
        <w:t xml:space="preserve">Alaska filed an application to add a base station </w:t>
      </w:r>
      <w:r w:rsidR="00244961">
        <w:t>to the ALMR system located in Delta Junction, Alaska.</w:t>
      </w:r>
      <w:r w:rsidR="00EB6106">
        <w:rPr>
          <w:rStyle w:val="FootnoteReference"/>
        </w:rPr>
        <w:footnoteReference w:id="14"/>
      </w:r>
      <w:r w:rsidR="00244961">
        <w:t xml:space="preserve">  </w:t>
      </w:r>
      <w:r w:rsidR="00A2452C">
        <w:t xml:space="preserve">According to </w:t>
      </w:r>
      <w:r w:rsidR="00244961">
        <w:t>Alaska</w:t>
      </w:r>
      <w:r w:rsidR="00A2452C">
        <w:t>,</w:t>
      </w:r>
      <w:r w:rsidR="00244961">
        <w:t xml:space="preserve"> users operating mobile units near Delta Junction are experiencing coverage issues </w:t>
      </w:r>
      <w:r w:rsidR="00EB6106">
        <w:t xml:space="preserve">because a ridge which runs through </w:t>
      </w:r>
      <w:r w:rsidR="003E210B">
        <w:t xml:space="preserve">the town </w:t>
      </w:r>
      <w:r w:rsidR="00EB6106">
        <w:t>shields it from the nearest ALMR base station.</w:t>
      </w:r>
      <w:r w:rsidR="00EB6106">
        <w:rPr>
          <w:rStyle w:val="FootnoteReference"/>
        </w:rPr>
        <w:footnoteReference w:id="15"/>
      </w:r>
      <w:r w:rsidR="00EB6106">
        <w:t xml:space="preserve">  Alaska states that </w:t>
      </w:r>
      <w:r w:rsidR="008B3DE7">
        <w:t>“</w:t>
      </w:r>
      <w:r w:rsidR="008B3DE7" w:rsidRPr="008B3DE7">
        <w:t>poor coverage</w:t>
      </w:r>
      <w:r w:rsidR="00EB6106">
        <w:t xml:space="preserve"> </w:t>
      </w:r>
      <w:r w:rsidR="008B3DE7" w:rsidRPr="008B3DE7">
        <w:t>has become an issue</w:t>
      </w:r>
      <w:r w:rsidR="008B3DE7">
        <w:t>”</w:t>
      </w:r>
      <w:r w:rsidR="008B3DE7" w:rsidRPr="008B3DE7">
        <w:t xml:space="preserve"> </w:t>
      </w:r>
      <w:r w:rsidR="00244961">
        <w:t xml:space="preserve">so it seeks to </w:t>
      </w:r>
      <w:r w:rsidR="008B3DE7">
        <w:t>“</w:t>
      </w:r>
      <w:r w:rsidR="008B3DE7" w:rsidRPr="008B3DE7">
        <w:t>mitigate</w:t>
      </w:r>
      <w:r w:rsidR="00EB6106">
        <w:t>” the situation</w:t>
      </w:r>
      <w:r w:rsidR="008B3DE7">
        <w:t xml:space="preserve"> by adding a new base station in Delta Junction.</w:t>
      </w:r>
      <w:r w:rsidR="00EB6106">
        <w:rPr>
          <w:rStyle w:val="FootnoteReference"/>
        </w:rPr>
        <w:footnoteReference w:id="16"/>
      </w:r>
    </w:p>
    <w:p w14:paraId="5FB80B4F" w14:textId="77777777" w:rsidR="007F1411" w:rsidRDefault="007F1411" w:rsidP="00950853">
      <w:pPr>
        <w:pStyle w:val="ParaNum"/>
      </w:pPr>
      <w:r>
        <w:t>Therefore</w:t>
      </w:r>
      <w:r w:rsidR="00274ECA">
        <w:t>,</w:t>
      </w:r>
      <w:r w:rsidR="005657A2">
        <w:t xml:space="preserve"> </w:t>
      </w:r>
      <w:r>
        <w:t xml:space="preserve">Alaska seeks </w:t>
      </w:r>
      <w:r w:rsidR="0087405F">
        <w:t xml:space="preserve">to license five Public Safety Pool channels at its proposed </w:t>
      </w:r>
      <w:r w:rsidR="009C77D0">
        <w:t xml:space="preserve">new </w:t>
      </w:r>
      <w:r w:rsidR="0087405F">
        <w:t>base station in Delta Junction, Alaska</w:t>
      </w:r>
      <w:r w:rsidR="00DF43EC">
        <w:t>.</w:t>
      </w:r>
      <w:r w:rsidR="00274ECA">
        <w:t xml:space="preserve">  I</w:t>
      </w:r>
      <w:r w:rsidR="0087405F">
        <w:t xml:space="preserve">t seeks </w:t>
      </w:r>
      <w:r w:rsidR="005657A2">
        <w:t xml:space="preserve">a waiver of Section 90.20(c)(3) of the Commission’s rules so it can </w:t>
      </w:r>
      <w:r w:rsidR="004E5F04">
        <w:t xml:space="preserve">operate four </w:t>
      </w:r>
      <w:r w:rsidR="0087405F">
        <w:t xml:space="preserve">of the five </w:t>
      </w:r>
      <w:r w:rsidR="004E5F04">
        <w:t xml:space="preserve">channels </w:t>
      </w:r>
      <w:r w:rsidR="0087405F">
        <w:t xml:space="preserve">with center frequencies </w:t>
      </w:r>
      <w:r w:rsidR="004E5F04">
        <w:t xml:space="preserve">which are offset 2.5 kHz above or below the </w:t>
      </w:r>
      <w:r w:rsidR="009C77D0">
        <w:t xml:space="preserve">standard </w:t>
      </w:r>
      <w:r w:rsidR="004E5F04">
        <w:t>channel centers listed in Section 90.20(c)(3)</w:t>
      </w:r>
      <w:r w:rsidR="005657A2">
        <w:t>.</w:t>
      </w:r>
      <w:r w:rsidR="005657A2">
        <w:rPr>
          <w:rStyle w:val="FootnoteReference"/>
        </w:rPr>
        <w:footnoteReference w:id="17"/>
      </w:r>
      <w:r w:rsidR="00133A96">
        <w:t xml:space="preserve">  The channels Alaska seeks to license at Delta Junction, Alaska are listed in Attachment A.  </w:t>
      </w:r>
      <w:r w:rsidR="005657A2">
        <w:t xml:space="preserve">  </w:t>
      </w:r>
    </w:p>
    <w:p w14:paraId="3296C9D7" w14:textId="77777777" w:rsidR="00CE5E29" w:rsidRDefault="00CE5E29" w:rsidP="0029584E">
      <w:pPr>
        <w:pStyle w:val="ParaNum"/>
      </w:pPr>
      <w:r>
        <w:t xml:space="preserve">In support of its </w:t>
      </w:r>
      <w:r w:rsidR="009C77D0">
        <w:t xml:space="preserve">waiver </w:t>
      </w:r>
      <w:r>
        <w:t>request, Alaska states “[i]</w:t>
      </w:r>
      <w:r w:rsidRPr="00CE5E29">
        <w:t>t is necessary to use the same frequency step size for both base stations and subscribers so that the radios can calculate and associate the base and mobile frequencies with each other correctly.</w:t>
      </w:r>
      <w:r w:rsidR="001B6F07">
        <w:t>”</w:t>
      </w:r>
      <w:r w:rsidR="001B6F07">
        <w:rPr>
          <w:rStyle w:val="FootnoteReference"/>
        </w:rPr>
        <w:footnoteReference w:id="18"/>
      </w:r>
      <w:r w:rsidR="001B6F07">
        <w:t xml:space="preserve">  Alaska notes “[a]</w:t>
      </w:r>
      <w:r w:rsidR="001B6F07" w:rsidRPr="001B6F07">
        <w:t>ny deviation from this plan would require reprogramming approximately 20,000 mobile radios currently in use on the ALMR system.</w:t>
      </w:r>
      <w:r w:rsidR="001B6F07">
        <w:t>”</w:t>
      </w:r>
      <w:r w:rsidR="0029584E">
        <w:rPr>
          <w:rStyle w:val="FootnoteReference"/>
        </w:rPr>
        <w:footnoteReference w:id="19"/>
      </w:r>
      <w:r w:rsidR="0029584E">
        <w:t xml:space="preserve">  </w:t>
      </w:r>
      <w:r w:rsidR="0029584E">
        <w:lastRenderedPageBreak/>
        <w:t xml:space="preserve">Therefore, it argues that by </w:t>
      </w:r>
      <w:r w:rsidR="009C77D0">
        <w:t xml:space="preserve">operating channels at its </w:t>
      </w:r>
      <w:r w:rsidR="0029584E">
        <w:t xml:space="preserve">proposed </w:t>
      </w:r>
      <w:r w:rsidR="009C77D0">
        <w:t xml:space="preserve">new </w:t>
      </w:r>
      <w:r w:rsidR="0029584E">
        <w:t xml:space="preserve">base station in Delta Junction </w:t>
      </w:r>
      <w:r w:rsidR="009C77D0">
        <w:t xml:space="preserve">which conform to </w:t>
      </w:r>
      <w:r w:rsidR="003C5702">
        <w:t xml:space="preserve">the rest of the ALMR </w:t>
      </w:r>
      <w:r w:rsidR="009C77D0">
        <w:t xml:space="preserve">network </w:t>
      </w:r>
      <w:r w:rsidR="0029584E">
        <w:t>“</w:t>
      </w:r>
      <w:r w:rsidR="0029584E" w:rsidRPr="0029584E">
        <w:t xml:space="preserve">existing </w:t>
      </w:r>
      <w:r w:rsidR="0029584E">
        <w:t xml:space="preserve">[subscriber] </w:t>
      </w:r>
      <w:r w:rsidR="0029584E" w:rsidRPr="0029584E">
        <w:t>radios will be able to use the new base station with no change to their programming.</w:t>
      </w:r>
      <w:r w:rsidR="0029584E">
        <w:t>”</w:t>
      </w:r>
      <w:r w:rsidR="0029584E">
        <w:rPr>
          <w:rStyle w:val="FootnoteReference"/>
        </w:rPr>
        <w:footnoteReference w:id="20"/>
      </w:r>
    </w:p>
    <w:p w14:paraId="5DCA0569" w14:textId="77777777" w:rsidR="00253E0A" w:rsidRDefault="00253E0A" w:rsidP="0029584E">
      <w:pPr>
        <w:pStyle w:val="ParaNum"/>
      </w:pPr>
      <w:r>
        <w:t xml:space="preserve">Alaska includes </w:t>
      </w:r>
      <w:r w:rsidR="00EF4BF1">
        <w:t xml:space="preserve">with its application </w:t>
      </w:r>
      <w:r>
        <w:t xml:space="preserve">a letter from its frequency coordinator </w:t>
      </w:r>
      <w:r w:rsidR="006E259A">
        <w:t xml:space="preserve">noting </w:t>
      </w:r>
      <w:r>
        <w:t>that</w:t>
      </w:r>
      <w:r w:rsidR="0087405F">
        <w:t xml:space="preserve"> </w:t>
      </w:r>
      <w:r w:rsidR="009375BE">
        <w:t xml:space="preserve">the frequency coordinator </w:t>
      </w:r>
      <w:r w:rsidR="0087405F">
        <w:t>considered any “non-standard offsets” as co-channel to the nearest standard channel</w:t>
      </w:r>
      <w:r w:rsidR="009375BE">
        <w:t xml:space="preserve"> for purposes of coordination</w:t>
      </w:r>
      <w:r w:rsidR="0087405F">
        <w:t>.</w:t>
      </w:r>
      <w:r w:rsidR="00EF4BF1">
        <w:rPr>
          <w:rStyle w:val="FootnoteReference"/>
        </w:rPr>
        <w:footnoteReference w:id="21"/>
      </w:r>
      <w:r w:rsidR="0087405F">
        <w:t xml:space="preserve">  The frequency coordinator </w:t>
      </w:r>
      <w:r w:rsidR="009375BE">
        <w:t xml:space="preserve">states </w:t>
      </w:r>
      <w:r w:rsidR="0087405F">
        <w:t xml:space="preserve">that, because Delta Junction is “a fairly remote area of Alaska,” its frequency search found no other licensees operating on </w:t>
      </w:r>
      <w:r w:rsidR="009375BE">
        <w:t xml:space="preserve">or adjacent to </w:t>
      </w:r>
      <w:r w:rsidR="0087405F">
        <w:t>three of the five channels requested.</w:t>
      </w:r>
      <w:r w:rsidR="00EF4BF1">
        <w:rPr>
          <w:rStyle w:val="FootnoteReference"/>
        </w:rPr>
        <w:footnoteReference w:id="22"/>
      </w:r>
      <w:r w:rsidR="009C77D0">
        <w:t xml:space="preserve">  The frequency coordinator </w:t>
      </w:r>
      <w:r w:rsidR="00D51FEA">
        <w:t xml:space="preserve">notes </w:t>
      </w:r>
      <w:r w:rsidR="009C77D0">
        <w:t>that it expect</w:t>
      </w:r>
      <w:r w:rsidR="006E259A">
        <w:t>s</w:t>
      </w:r>
      <w:r w:rsidR="009C77D0">
        <w:t xml:space="preserve"> no interference on the other two channels because of </w:t>
      </w:r>
      <w:r w:rsidR="00EF4BF1">
        <w:t xml:space="preserve">a </w:t>
      </w:r>
      <w:r w:rsidR="009C77D0">
        <w:t xml:space="preserve">lack of spectral overlap between </w:t>
      </w:r>
      <w:r w:rsidR="000D528F">
        <w:t xml:space="preserve">Alaska </w:t>
      </w:r>
      <w:r w:rsidR="009C77D0">
        <w:t>and incumbents</w:t>
      </w:r>
      <w:r w:rsidR="009375BE">
        <w:t xml:space="preserve"> operating on adjacent channels</w:t>
      </w:r>
      <w:r w:rsidR="009C77D0">
        <w:t>.</w:t>
      </w:r>
      <w:r w:rsidR="00EF4BF1">
        <w:rPr>
          <w:rStyle w:val="FootnoteReference"/>
        </w:rPr>
        <w:footnoteReference w:id="23"/>
      </w:r>
      <w:r w:rsidR="009C77D0">
        <w:t xml:space="preserve">  </w:t>
      </w:r>
      <w:r w:rsidR="0087405F">
        <w:t xml:space="preserve">     </w:t>
      </w:r>
    </w:p>
    <w:p w14:paraId="2A3E71DA" w14:textId="77777777" w:rsidR="00320119" w:rsidRDefault="003622DA" w:rsidP="00C843FB">
      <w:pPr>
        <w:pStyle w:val="Heading1"/>
        <w:widowControl/>
      </w:pPr>
      <w:r>
        <w:t>Discussion</w:t>
      </w:r>
    </w:p>
    <w:p w14:paraId="38A27078" w14:textId="77777777" w:rsidR="003622DA" w:rsidRPr="003C5702" w:rsidRDefault="003622DA" w:rsidP="00C843FB">
      <w:pPr>
        <w:pStyle w:val="ParaNum"/>
        <w:widowControl/>
      </w:pPr>
      <w:r w:rsidRPr="00351121">
        <w:rPr>
          <w:spacing w:val="-2"/>
        </w:rPr>
        <w:t>To obtain a waiver of the Commission’s Rules, a petitioner must demonstrate either that (i) the underlying purpose of the rule(s) would not be served or would be frustrated by application to the present case, and that a grant of the waiver would be in the public interest;</w:t>
      </w:r>
      <w:r w:rsidRPr="00351121">
        <w:rPr>
          <w:spacing w:val="-2"/>
          <w:vertAlign w:val="superscript"/>
        </w:rPr>
        <w:footnoteReference w:id="24"/>
      </w:r>
      <w:r w:rsidRPr="00351121">
        <w:rPr>
          <w:spacing w:val="-2"/>
        </w:rPr>
        <w:t xml:space="preserve"> or (ii) in view of unique or unusual factual circumstances of the instant case, application of the rule(s) would be inequitable, unduly burdensome, or contrary to the public interest, or the applicant has no reasonable alternative.</w:t>
      </w:r>
      <w:r w:rsidRPr="00351121">
        <w:rPr>
          <w:spacing w:val="-2"/>
          <w:vertAlign w:val="superscript"/>
        </w:rPr>
        <w:footnoteReference w:id="25"/>
      </w:r>
      <w:r>
        <w:rPr>
          <w:spacing w:val="-2"/>
        </w:rPr>
        <w:t xml:space="preserve">  We conclude </w:t>
      </w:r>
      <w:r w:rsidR="003C5702">
        <w:rPr>
          <w:spacing w:val="-2"/>
        </w:rPr>
        <w:t xml:space="preserve">Alaska </w:t>
      </w:r>
      <w:r w:rsidRPr="00351121">
        <w:rPr>
          <w:spacing w:val="-2"/>
        </w:rPr>
        <w:t xml:space="preserve">has demonstrated that its request </w:t>
      </w:r>
      <w:r w:rsidR="003C5702">
        <w:rPr>
          <w:spacing w:val="-2"/>
        </w:rPr>
        <w:t xml:space="preserve">for waiver of Section </w:t>
      </w:r>
      <w:r w:rsidR="003C5702">
        <w:t xml:space="preserve">90.20(c)(3) </w:t>
      </w:r>
      <w:r w:rsidR="00BD532B">
        <w:t xml:space="preserve">to operate offset frequencies at its new base station </w:t>
      </w:r>
      <w:r w:rsidRPr="00351121">
        <w:rPr>
          <w:spacing w:val="-2"/>
        </w:rPr>
        <w:t xml:space="preserve">should be granted under the </w:t>
      </w:r>
      <w:r w:rsidR="003C5702">
        <w:rPr>
          <w:spacing w:val="-2"/>
        </w:rPr>
        <w:t xml:space="preserve">second </w:t>
      </w:r>
      <w:r>
        <w:rPr>
          <w:spacing w:val="-2"/>
        </w:rPr>
        <w:t>prong of the waiver standard</w:t>
      </w:r>
      <w:r w:rsidR="00BD532B">
        <w:rPr>
          <w:spacing w:val="-2"/>
        </w:rPr>
        <w:t xml:space="preserve">.    </w:t>
      </w:r>
      <w:r>
        <w:rPr>
          <w:spacing w:val="-2"/>
        </w:rPr>
        <w:t xml:space="preserve">  </w:t>
      </w:r>
    </w:p>
    <w:p w14:paraId="4AC16EE1" w14:textId="77777777" w:rsidR="00496D5A" w:rsidRPr="00496D5A" w:rsidRDefault="000A0559" w:rsidP="00C843FB">
      <w:pPr>
        <w:pStyle w:val="ParaNum"/>
        <w:widowControl/>
      </w:pPr>
      <w:r>
        <w:rPr>
          <w:i/>
          <w:spacing w:val="-2"/>
        </w:rPr>
        <w:t xml:space="preserve"> </w:t>
      </w:r>
      <w:r w:rsidR="00C9485F" w:rsidRPr="00C9485F">
        <w:rPr>
          <w:i/>
          <w:spacing w:val="-2"/>
        </w:rPr>
        <w:t xml:space="preserve">Offset </w:t>
      </w:r>
      <w:r w:rsidR="00132E36">
        <w:rPr>
          <w:i/>
          <w:spacing w:val="-2"/>
        </w:rPr>
        <w:t>Frequencies</w:t>
      </w:r>
      <w:r w:rsidR="00C9485F">
        <w:rPr>
          <w:spacing w:val="-2"/>
        </w:rPr>
        <w:t xml:space="preserve">.  </w:t>
      </w:r>
      <w:r w:rsidR="00E41917">
        <w:rPr>
          <w:spacing w:val="-2"/>
        </w:rPr>
        <w:t>In this instance, w</w:t>
      </w:r>
      <w:r w:rsidR="00C9485F">
        <w:rPr>
          <w:spacing w:val="-2"/>
        </w:rPr>
        <w:t xml:space="preserve">e find it unduly burdensome to require Alaska to </w:t>
      </w:r>
      <w:r w:rsidR="00236C3B">
        <w:rPr>
          <w:spacing w:val="-2"/>
        </w:rPr>
        <w:t xml:space="preserve">only </w:t>
      </w:r>
      <w:r w:rsidR="00C9485F">
        <w:rPr>
          <w:spacing w:val="-2"/>
        </w:rPr>
        <w:t xml:space="preserve">operate </w:t>
      </w:r>
      <w:r w:rsidR="00642E69">
        <w:rPr>
          <w:spacing w:val="-2"/>
        </w:rPr>
        <w:t xml:space="preserve">on channels using </w:t>
      </w:r>
      <w:r w:rsidR="00E41917">
        <w:rPr>
          <w:spacing w:val="-2"/>
        </w:rPr>
        <w:t xml:space="preserve">standard </w:t>
      </w:r>
      <w:r w:rsidR="00EE5451">
        <w:rPr>
          <w:spacing w:val="-2"/>
        </w:rPr>
        <w:t xml:space="preserve">channel </w:t>
      </w:r>
      <w:r w:rsidR="00236C3B">
        <w:rPr>
          <w:spacing w:val="-2"/>
        </w:rPr>
        <w:t xml:space="preserve">centers </w:t>
      </w:r>
      <w:r w:rsidR="00C9485F">
        <w:rPr>
          <w:spacing w:val="-2"/>
        </w:rPr>
        <w:t xml:space="preserve">at its proposed </w:t>
      </w:r>
      <w:r w:rsidR="00E41917">
        <w:rPr>
          <w:spacing w:val="-2"/>
        </w:rPr>
        <w:t xml:space="preserve">new </w:t>
      </w:r>
      <w:r w:rsidR="00C9485F">
        <w:rPr>
          <w:spacing w:val="-2"/>
        </w:rPr>
        <w:t>base station in Delta Junction</w:t>
      </w:r>
      <w:r w:rsidR="00167849">
        <w:rPr>
          <w:spacing w:val="-2"/>
        </w:rPr>
        <w:t xml:space="preserve"> </w:t>
      </w:r>
      <w:r w:rsidR="00E41917">
        <w:rPr>
          <w:spacing w:val="-2"/>
        </w:rPr>
        <w:t xml:space="preserve">because, as </w:t>
      </w:r>
      <w:r w:rsidR="00496D5A">
        <w:rPr>
          <w:spacing w:val="-2"/>
        </w:rPr>
        <w:t xml:space="preserve">it </w:t>
      </w:r>
      <w:r w:rsidR="00C9485F">
        <w:rPr>
          <w:spacing w:val="-2"/>
        </w:rPr>
        <w:t>explain</w:t>
      </w:r>
      <w:r w:rsidR="00236C3B">
        <w:rPr>
          <w:spacing w:val="-2"/>
        </w:rPr>
        <w:t>s</w:t>
      </w:r>
      <w:r w:rsidR="00E41917">
        <w:rPr>
          <w:spacing w:val="-2"/>
        </w:rPr>
        <w:t xml:space="preserve">, </w:t>
      </w:r>
      <w:r w:rsidR="00EE5451">
        <w:rPr>
          <w:spacing w:val="-2"/>
        </w:rPr>
        <w:t xml:space="preserve">base stations in the </w:t>
      </w:r>
      <w:r w:rsidR="00236C3B">
        <w:rPr>
          <w:spacing w:val="-2"/>
        </w:rPr>
        <w:t xml:space="preserve">ALMR system must use the same “step size” between </w:t>
      </w:r>
      <w:r w:rsidR="00EE5451">
        <w:rPr>
          <w:spacing w:val="-2"/>
        </w:rPr>
        <w:t>channel</w:t>
      </w:r>
      <w:r w:rsidR="00123B8C">
        <w:rPr>
          <w:spacing w:val="-2"/>
        </w:rPr>
        <w:t>s</w:t>
      </w:r>
      <w:r w:rsidR="00EE5451">
        <w:rPr>
          <w:spacing w:val="-2"/>
        </w:rPr>
        <w:t xml:space="preserve"> at the mobile units </w:t>
      </w:r>
      <w:r w:rsidR="00236C3B">
        <w:rPr>
          <w:spacing w:val="-2"/>
        </w:rPr>
        <w:t xml:space="preserve">in order for </w:t>
      </w:r>
      <w:r w:rsidR="00123B8C">
        <w:rPr>
          <w:spacing w:val="-2"/>
        </w:rPr>
        <w:t xml:space="preserve">the </w:t>
      </w:r>
      <w:r w:rsidR="00236C3B">
        <w:rPr>
          <w:spacing w:val="-2"/>
        </w:rPr>
        <w:t>mobile units to properly associate with the system’s base stations.</w:t>
      </w:r>
      <w:r w:rsidR="00E41917">
        <w:rPr>
          <w:spacing w:val="-2"/>
        </w:rPr>
        <w:t xml:space="preserve">  </w:t>
      </w:r>
      <w:r w:rsidR="00496D5A">
        <w:rPr>
          <w:spacing w:val="-2"/>
        </w:rPr>
        <w:t xml:space="preserve">Since </w:t>
      </w:r>
      <w:r w:rsidR="00BF3021">
        <w:rPr>
          <w:spacing w:val="-2"/>
        </w:rPr>
        <w:t xml:space="preserve">mobile units in the ALMR system </w:t>
      </w:r>
      <w:r w:rsidR="00167849">
        <w:rPr>
          <w:spacing w:val="-2"/>
        </w:rPr>
        <w:t xml:space="preserve">operate on Federal frequencies using </w:t>
      </w:r>
      <w:r w:rsidR="00BF3021">
        <w:rPr>
          <w:spacing w:val="-2"/>
        </w:rPr>
        <w:t>a</w:t>
      </w:r>
      <w:r w:rsidR="00123B8C">
        <w:rPr>
          <w:spacing w:val="-2"/>
        </w:rPr>
        <w:t xml:space="preserve"> </w:t>
      </w:r>
      <w:r w:rsidR="00F776FC">
        <w:rPr>
          <w:spacing w:val="-2"/>
        </w:rPr>
        <w:t xml:space="preserve">channel spacing of </w:t>
      </w:r>
      <w:r w:rsidR="00167849">
        <w:rPr>
          <w:spacing w:val="-2"/>
        </w:rPr>
        <w:t>12.5 kHz</w:t>
      </w:r>
      <w:r w:rsidR="00BF3021">
        <w:rPr>
          <w:spacing w:val="-2"/>
        </w:rPr>
        <w:t xml:space="preserve">, the new Delta Junction base station must </w:t>
      </w:r>
      <w:r w:rsidR="00AF6B0B">
        <w:rPr>
          <w:spacing w:val="-2"/>
        </w:rPr>
        <w:t xml:space="preserve">also </w:t>
      </w:r>
      <w:r w:rsidR="00167849">
        <w:rPr>
          <w:spacing w:val="-2"/>
        </w:rPr>
        <w:t xml:space="preserve">operate </w:t>
      </w:r>
      <w:r w:rsidR="002B061C">
        <w:rPr>
          <w:spacing w:val="-2"/>
        </w:rPr>
        <w:t xml:space="preserve">on channels </w:t>
      </w:r>
      <w:r w:rsidR="00167849">
        <w:rPr>
          <w:spacing w:val="-2"/>
        </w:rPr>
        <w:t xml:space="preserve">with </w:t>
      </w:r>
      <w:r w:rsidR="00F776FC">
        <w:rPr>
          <w:spacing w:val="-2"/>
        </w:rPr>
        <w:t>the same</w:t>
      </w:r>
      <w:r w:rsidR="00167849">
        <w:rPr>
          <w:spacing w:val="-2"/>
        </w:rPr>
        <w:t xml:space="preserve"> channel spacing </w:t>
      </w:r>
      <w:r w:rsidR="00BF3021">
        <w:rPr>
          <w:spacing w:val="-2"/>
        </w:rPr>
        <w:t xml:space="preserve">in order for the mobile units to recognize it as a base station in the </w:t>
      </w:r>
      <w:r w:rsidR="00167849">
        <w:rPr>
          <w:spacing w:val="-2"/>
        </w:rPr>
        <w:t xml:space="preserve">ALMR </w:t>
      </w:r>
      <w:r w:rsidR="00BF3021">
        <w:rPr>
          <w:spacing w:val="-2"/>
        </w:rPr>
        <w:t xml:space="preserve">system.  </w:t>
      </w:r>
    </w:p>
    <w:p w14:paraId="79C78BEC" w14:textId="77777777" w:rsidR="00242AB8" w:rsidRPr="005B1B63" w:rsidRDefault="00274ECA" w:rsidP="00AF6B0B">
      <w:pPr>
        <w:pStyle w:val="ParaNum"/>
      </w:pPr>
      <w:r>
        <w:rPr>
          <w:spacing w:val="-2"/>
        </w:rPr>
        <w:t xml:space="preserve">We </w:t>
      </w:r>
      <w:r w:rsidR="00BF3021">
        <w:rPr>
          <w:spacing w:val="-2"/>
        </w:rPr>
        <w:t xml:space="preserve">find Alaska has no reasonable alternative to operating on certain </w:t>
      </w:r>
      <w:r w:rsidR="00F776FC">
        <w:rPr>
          <w:spacing w:val="-2"/>
        </w:rPr>
        <w:t xml:space="preserve">channels </w:t>
      </w:r>
      <w:r w:rsidR="00BF3021">
        <w:rPr>
          <w:spacing w:val="-2"/>
        </w:rPr>
        <w:t xml:space="preserve">which are </w:t>
      </w:r>
      <w:r w:rsidR="00BF3021">
        <w:t xml:space="preserve">offset 2.5 kHz above or below the channel centers listed in Section 90.20(c)(3) of the Commission’s rules so it can </w:t>
      </w:r>
      <w:r w:rsidR="00BE334A">
        <w:t xml:space="preserve">operate </w:t>
      </w:r>
      <w:r w:rsidR="002B061C">
        <w:t>using “</w:t>
      </w:r>
      <w:r w:rsidR="002B061C" w:rsidRPr="00AF6B0B">
        <w:t>the original frequency plan</w:t>
      </w:r>
      <w:r w:rsidR="002B061C">
        <w:t>” for the ALMR system at its proposed new base station</w:t>
      </w:r>
      <w:r w:rsidR="00BF3021">
        <w:t>.</w:t>
      </w:r>
      <w:r w:rsidR="00AF6B0B">
        <w:rPr>
          <w:rStyle w:val="FootnoteReference"/>
        </w:rPr>
        <w:footnoteReference w:id="26"/>
      </w:r>
      <w:r w:rsidR="00BF3021">
        <w:t xml:space="preserve">  Wit</w:t>
      </w:r>
      <w:r w:rsidR="00CD3F54">
        <w:t>h</w:t>
      </w:r>
      <w:r w:rsidR="00BF3021">
        <w:t>out the ability to operate on</w:t>
      </w:r>
      <w:r w:rsidR="007016F8">
        <w:rPr>
          <w:spacing w:val="-2"/>
        </w:rPr>
        <w:t xml:space="preserve"> re-channelized Public Safety Pool channels</w:t>
      </w:r>
      <w:r w:rsidR="00CD3F54">
        <w:rPr>
          <w:spacing w:val="-2"/>
        </w:rPr>
        <w:t xml:space="preserve">, </w:t>
      </w:r>
      <w:r w:rsidR="00E41917">
        <w:rPr>
          <w:spacing w:val="-2"/>
        </w:rPr>
        <w:t xml:space="preserve">Alaska would </w:t>
      </w:r>
      <w:r w:rsidR="00CD3F54">
        <w:rPr>
          <w:spacing w:val="-2"/>
        </w:rPr>
        <w:t xml:space="preserve">either </w:t>
      </w:r>
      <w:r w:rsidR="00E41917">
        <w:rPr>
          <w:spacing w:val="-2"/>
        </w:rPr>
        <w:t xml:space="preserve">need to reprogram the more than 20,000 mobile units in </w:t>
      </w:r>
      <w:r w:rsidR="00132E36">
        <w:rPr>
          <w:spacing w:val="-2"/>
        </w:rPr>
        <w:t xml:space="preserve">use in </w:t>
      </w:r>
      <w:r w:rsidR="00E41917">
        <w:rPr>
          <w:spacing w:val="-2"/>
        </w:rPr>
        <w:t>its system or forgo adding a base station to its system in Delta Junction</w:t>
      </w:r>
      <w:r w:rsidR="00123B8C">
        <w:rPr>
          <w:spacing w:val="-2"/>
        </w:rPr>
        <w:t>, Alaska</w:t>
      </w:r>
      <w:r w:rsidR="00E41917">
        <w:rPr>
          <w:spacing w:val="-2"/>
        </w:rPr>
        <w:t>.</w:t>
      </w:r>
      <w:r w:rsidR="00F776FC">
        <w:rPr>
          <w:rStyle w:val="FootnoteReference"/>
          <w:spacing w:val="-2"/>
        </w:rPr>
        <w:footnoteReference w:id="27"/>
      </w:r>
      <w:r w:rsidR="00BE334A">
        <w:rPr>
          <w:spacing w:val="-2"/>
        </w:rPr>
        <w:t xml:space="preserve">  Therefore we find it contrary to the public interest to deny Alaska’s waiver request</w:t>
      </w:r>
      <w:r w:rsidR="002B061C">
        <w:rPr>
          <w:spacing w:val="-2"/>
        </w:rPr>
        <w:t xml:space="preserve"> in this instance</w:t>
      </w:r>
      <w:r w:rsidR="00BE334A">
        <w:rPr>
          <w:spacing w:val="-2"/>
        </w:rPr>
        <w:t xml:space="preserve">.  </w:t>
      </w:r>
    </w:p>
    <w:p w14:paraId="774FC2EF" w14:textId="77777777" w:rsidR="00AB54FB" w:rsidRPr="00AB54FB" w:rsidRDefault="005B1B63" w:rsidP="00C843FB">
      <w:pPr>
        <w:pStyle w:val="ParaNum"/>
        <w:widowControl/>
      </w:pPr>
      <w:r>
        <w:rPr>
          <w:spacing w:val="-2"/>
        </w:rPr>
        <w:t xml:space="preserve">In making our decision, we find persuasive the fact that Alaska’s frequency coordinator considered incumbents operating on </w:t>
      </w:r>
      <w:r w:rsidR="00484564">
        <w:rPr>
          <w:spacing w:val="-2"/>
        </w:rPr>
        <w:t xml:space="preserve">the </w:t>
      </w:r>
      <w:r>
        <w:rPr>
          <w:spacing w:val="-2"/>
        </w:rPr>
        <w:t xml:space="preserve">adjacent-standard </w:t>
      </w:r>
      <w:r w:rsidR="00234751">
        <w:rPr>
          <w:spacing w:val="-2"/>
        </w:rPr>
        <w:t xml:space="preserve">channel </w:t>
      </w:r>
      <w:r>
        <w:rPr>
          <w:spacing w:val="-2"/>
        </w:rPr>
        <w:t xml:space="preserve">centers </w:t>
      </w:r>
      <w:r w:rsidR="00B236DA">
        <w:rPr>
          <w:spacing w:val="-2"/>
        </w:rPr>
        <w:t xml:space="preserve">as co-channel to Alaska </w:t>
      </w:r>
      <w:r w:rsidR="002B061C">
        <w:rPr>
          <w:spacing w:val="-2"/>
        </w:rPr>
        <w:t xml:space="preserve">when it coordinated Alaska’s proposed </w:t>
      </w:r>
      <w:r w:rsidR="00B236DA">
        <w:rPr>
          <w:spacing w:val="-2"/>
        </w:rPr>
        <w:t>operation on offset channels</w:t>
      </w:r>
      <w:r w:rsidR="00484564">
        <w:rPr>
          <w:spacing w:val="-2"/>
        </w:rPr>
        <w:t>.</w:t>
      </w:r>
      <w:r w:rsidR="000A0559">
        <w:rPr>
          <w:rStyle w:val="FootnoteReference"/>
          <w:spacing w:val="-2"/>
        </w:rPr>
        <w:footnoteReference w:id="28"/>
      </w:r>
      <w:r w:rsidR="00484564">
        <w:rPr>
          <w:spacing w:val="-2"/>
        </w:rPr>
        <w:t xml:space="preserve">  Therefore, </w:t>
      </w:r>
      <w:r w:rsidR="00B236DA">
        <w:rPr>
          <w:spacing w:val="-2"/>
        </w:rPr>
        <w:t xml:space="preserve">we conclude that </w:t>
      </w:r>
      <w:r w:rsidR="00484564">
        <w:rPr>
          <w:spacing w:val="-2"/>
        </w:rPr>
        <w:t xml:space="preserve">Alaska’s proposal to operate </w:t>
      </w:r>
      <w:r w:rsidR="00234751">
        <w:rPr>
          <w:spacing w:val="-2"/>
        </w:rPr>
        <w:t>its new base station in Delta Junction</w:t>
      </w:r>
      <w:r w:rsidR="002B061C">
        <w:rPr>
          <w:spacing w:val="-2"/>
        </w:rPr>
        <w:t>, Alaska</w:t>
      </w:r>
      <w:r w:rsidR="00234751">
        <w:rPr>
          <w:spacing w:val="-2"/>
        </w:rPr>
        <w:t xml:space="preserve"> using </w:t>
      </w:r>
      <w:r w:rsidR="00484564">
        <w:rPr>
          <w:spacing w:val="-2"/>
        </w:rPr>
        <w:t xml:space="preserve">four </w:t>
      </w:r>
      <w:r w:rsidR="00BA591B">
        <w:rPr>
          <w:spacing w:val="-2"/>
        </w:rPr>
        <w:t xml:space="preserve">channels </w:t>
      </w:r>
      <w:r w:rsidR="00484564">
        <w:rPr>
          <w:spacing w:val="-2"/>
        </w:rPr>
        <w:t xml:space="preserve">offset 2.5 kHz above or below the standard channel centers will have no </w:t>
      </w:r>
      <w:r w:rsidR="008E2250">
        <w:rPr>
          <w:spacing w:val="-2"/>
        </w:rPr>
        <w:t>adverse effect</w:t>
      </w:r>
      <w:r w:rsidR="00484564">
        <w:rPr>
          <w:spacing w:val="-2"/>
        </w:rPr>
        <w:t xml:space="preserve"> on incumbents operating within the </w:t>
      </w:r>
      <w:r w:rsidR="002B061C">
        <w:rPr>
          <w:spacing w:val="-2"/>
        </w:rPr>
        <w:t>s</w:t>
      </w:r>
      <w:r w:rsidR="00484564">
        <w:rPr>
          <w:spacing w:val="-2"/>
        </w:rPr>
        <w:t xml:space="preserve">tate </w:t>
      </w:r>
      <w:r w:rsidR="001D4B77">
        <w:rPr>
          <w:spacing w:val="-2"/>
        </w:rPr>
        <w:t xml:space="preserve">on the </w:t>
      </w:r>
      <w:r w:rsidR="00484564">
        <w:rPr>
          <w:spacing w:val="-2"/>
        </w:rPr>
        <w:t xml:space="preserve">adjacent standard </w:t>
      </w:r>
      <w:r w:rsidR="00234751">
        <w:rPr>
          <w:spacing w:val="-2"/>
        </w:rPr>
        <w:t>channels</w:t>
      </w:r>
      <w:r w:rsidR="00484564">
        <w:rPr>
          <w:spacing w:val="-2"/>
        </w:rPr>
        <w:t xml:space="preserve">. </w:t>
      </w:r>
    </w:p>
    <w:p w14:paraId="49F641BC" w14:textId="77777777" w:rsidR="00881505" w:rsidRPr="00881505" w:rsidRDefault="00123B8C" w:rsidP="00C843FB">
      <w:pPr>
        <w:pStyle w:val="ParaNum"/>
        <w:widowControl/>
      </w:pPr>
      <w:r>
        <w:rPr>
          <w:i/>
          <w:spacing w:val="-2"/>
        </w:rPr>
        <w:t xml:space="preserve">Future </w:t>
      </w:r>
      <w:r w:rsidR="00AB54FB" w:rsidRPr="00881505">
        <w:rPr>
          <w:i/>
          <w:spacing w:val="-2"/>
        </w:rPr>
        <w:t xml:space="preserve">Requests for </w:t>
      </w:r>
      <w:r w:rsidR="003E4841">
        <w:rPr>
          <w:i/>
          <w:spacing w:val="-2"/>
        </w:rPr>
        <w:t>Offset Channels</w:t>
      </w:r>
      <w:r w:rsidR="00AB54FB" w:rsidRPr="00881505">
        <w:rPr>
          <w:i/>
          <w:spacing w:val="-2"/>
        </w:rPr>
        <w:t>.</w:t>
      </w:r>
      <w:r w:rsidR="00D05652" w:rsidRPr="00881505">
        <w:rPr>
          <w:spacing w:val="-2"/>
        </w:rPr>
        <w:t xml:space="preserve"> </w:t>
      </w:r>
      <w:r>
        <w:rPr>
          <w:spacing w:val="-2"/>
        </w:rPr>
        <w:t xml:space="preserve"> </w:t>
      </w:r>
      <w:r w:rsidR="00D05652" w:rsidRPr="00881505">
        <w:rPr>
          <w:spacing w:val="-2"/>
        </w:rPr>
        <w:t xml:space="preserve">We waive Section 90.20(c)(3) </w:t>
      </w:r>
      <w:r w:rsidR="003E4841">
        <w:rPr>
          <w:spacing w:val="-2"/>
        </w:rPr>
        <w:t xml:space="preserve">of the </w:t>
      </w:r>
      <w:r w:rsidR="009276C0">
        <w:rPr>
          <w:spacing w:val="-2"/>
        </w:rPr>
        <w:t>Commission’s</w:t>
      </w:r>
      <w:r w:rsidR="003E4841">
        <w:rPr>
          <w:spacing w:val="-2"/>
        </w:rPr>
        <w:t xml:space="preserve"> rules </w:t>
      </w:r>
      <w:r w:rsidR="00D05652" w:rsidRPr="00881505">
        <w:rPr>
          <w:spacing w:val="-2"/>
        </w:rPr>
        <w:t>so Alaska can</w:t>
      </w:r>
      <w:r w:rsidR="008E2250">
        <w:rPr>
          <w:spacing w:val="-2"/>
        </w:rPr>
        <w:t>,</w:t>
      </w:r>
      <w:r w:rsidR="00D05652" w:rsidRPr="00881505">
        <w:rPr>
          <w:spacing w:val="-2"/>
        </w:rPr>
        <w:t xml:space="preserve"> </w:t>
      </w:r>
      <w:r w:rsidR="00BF3209" w:rsidRPr="00881505">
        <w:rPr>
          <w:spacing w:val="-2"/>
        </w:rPr>
        <w:t>in the future</w:t>
      </w:r>
      <w:r w:rsidR="008E2250">
        <w:rPr>
          <w:spacing w:val="-2"/>
        </w:rPr>
        <w:t>,</w:t>
      </w:r>
      <w:r w:rsidR="00BF3209">
        <w:rPr>
          <w:spacing w:val="-2"/>
        </w:rPr>
        <w:t xml:space="preserve"> </w:t>
      </w:r>
      <w:r w:rsidR="008958D0">
        <w:rPr>
          <w:spacing w:val="-2"/>
        </w:rPr>
        <w:t xml:space="preserve">license </w:t>
      </w:r>
      <w:r w:rsidR="00881505" w:rsidRPr="00881505">
        <w:rPr>
          <w:spacing w:val="-2"/>
        </w:rPr>
        <w:t xml:space="preserve">additional </w:t>
      </w:r>
      <w:r w:rsidR="008958D0">
        <w:rPr>
          <w:spacing w:val="-2"/>
        </w:rPr>
        <w:t xml:space="preserve">offset channels </w:t>
      </w:r>
      <w:r w:rsidR="00133A96">
        <w:rPr>
          <w:spacing w:val="-2"/>
        </w:rPr>
        <w:t xml:space="preserve">for </w:t>
      </w:r>
      <w:r w:rsidR="008958D0">
        <w:rPr>
          <w:spacing w:val="-2"/>
        </w:rPr>
        <w:t xml:space="preserve">the </w:t>
      </w:r>
      <w:r w:rsidR="00D05652" w:rsidRPr="00881505">
        <w:rPr>
          <w:spacing w:val="-2"/>
        </w:rPr>
        <w:t>ALMR system</w:t>
      </w:r>
      <w:r w:rsidR="00881505" w:rsidRPr="00881505">
        <w:rPr>
          <w:spacing w:val="-2"/>
        </w:rPr>
        <w:t xml:space="preserve"> provided it includes with its </w:t>
      </w:r>
      <w:r w:rsidR="000A7D45">
        <w:rPr>
          <w:spacing w:val="-2"/>
        </w:rPr>
        <w:t xml:space="preserve">application </w:t>
      </w:r>
      <w:r w:rsidR="00881505" w:rsidRPr="00881505">
        <w:rPr>
          <w:spacing w:val="-2"/>
        </w:rPr>
        <w:t xml:space="preserve">a statement from its frequency coordinator certifying that </w:t>
      </w:r>
      <w:r w:rsidR="000A7D45">
        <w:rPr>
          <w:spacing w:val="-2"/>
        </w:rPr>
        <w:t xml:space="preserve">all </w:t>
      </w:r>
      <w:r w:rsidR="00A63D92">
        <w:rPr>
          <w:spacing w:val="-2"/>
        </w:rPr>
        <w:t xml:space="preserve">offset channels </w:t>
      </w:r>
      <w:r w:rsidR="000A7D45">
        <w:rPr>
          <w:spacing w:val="-2"/>
        </w:rPr>
        <w:t xml:space="preserve">were </w:t>
      </w:r>
      <w:r w:rsidR="00881505" w:rsidRPr="00881505">
        <w:rPr>
          <w:spacing w:val="-2"/>
        </w:rPr>
        <w:t>analyzed</w:t>
      </w:r>
      <w:r w:rsidR="003F0250">
        <w:rPr>
          <w:spacing w:val="-2"/>
        </w:rPr>
        <w:t>,</w:t>
      </w:r>
      <w:r w:rsidR="00881505" w:rsidRPr="00881505">
        <w:rPr>
          <w:spacing w:val="-2"/>
        </w:rPr>
        <w:t xml:space="preserve"> </w:t>
      </w:r>
      <w:r w:rsidR="00881505">
        <w:rPr>
          <w:spacing w:val="-2"/>
        </w:rPr>
        <w:t>for coordination purposes</w:t>
      </w:r>
      <w:r w:rsidR="003F0250">
        <w:rPr>
          <w:spacing w:val="-2"/>
        </w:rPr>
        <w:t>,</w:t>
      </w:r>
      <w:r w:rsidR="00881505">
        <w:rPr>
          <w:spacing w:val="-2"/>
        </w:rPr>
        <w:t xml:space="preserve"> </w:t>
      </w:r>
      <w:r w:rsidR="00881505" w:rsidRPr="00881505">
        <w:rPr>
          <w:spacing w:val="-2"/>
        </w:rPr>
        <w:t xml:space="preserve">as </w:t>
      </w:r>
      <w:r w:rsidR="00A63D92">
        <w:rPr>
          <w:spacing w:val="-2"/>
        </w:rPr>
        <w:t xml:space="preserve">co-channel to the </w:t>
      </w:r>
      <w:r w:rsidR="00881505" w:rsidRPr="00881505">
        <w:rPr>
          <w:spacing w:val="-2"/>
        </w:rPr>
        <w:t xml:space="preserve">nearest </w:t>
      </w:r>
      <w:r w:rsidR="00BA591B" w:rsidRPr="00881505">
        <w:rPr>
          <w:spacing w:val="-2"/>
        </w:rPr>
        <w:t>standard</w:t>
      </w:r>
      <w:r w:rsidR="00BA591B">
        <w:rPr>
          <w:spacing w:val="-2"/>
        </w:rPr>
        <w:t xml:space="preserve"> </w:t>
      </w:r>
      <w:r w:rsidR="00881505">
        <w:rPr>
          <w:spacing w:val="-2"/>
        </w:rPr>
        <w:t xml:space="preserve">adjacent </w:t>
      </w:r>
      <w:r w:rsidR="00881505" w:rsidRPr="00881505">
        <w:rPr>
          <w:spacing w:val="-2"/>
        </w:rPr>
        <w:t>channel.</w:t>
      </w:r>
      <w:r w:rsidR="000A7D45">
        <w:rPr>
          <w:spacing w:val="-2"/>
        </w:rPr>
        <w:t xml:space="preserve">  </w:t>
      </w:r>
      <w:r w:rsidR="003F0250">
        <w:rPr>
          <w:spacing w:val="-2"/>
        </w:rPr>
        <w:t>In this manner</w:t>
      </w:r>
      <w:r w:rsidR="00BF3209">
        <w:rPr>
          <w:spacing w:val="-2"/>
        </w:rPr>
        <w:t>,</w:t>
      </w:r>
      <w:r w:rsidR="003F0250">
        <w:rPr>
          <w:spacing w:val="-2"/>
        </w:rPr>
        <w:t xml:space="preserve"> we allow Alaska to </w:t>
      </w:r>
      <w:r w:rsidR="00BF3209">
        <w:rPr>
          <w:spacing w:val="-2"/>
        </w:rPr>
        <w:t xml:space="preserve">expand </w:t>
      </w:r>
      <w:r w:rsidR="00BE334A">
        <w:rPr>
          <w:spacing w:val="-2"/>
        </w:rPr>
        <w:t xml:space="preserve">operation of </w:t>
      </w:r>
      <w:r w:rsidR="00BF3209">
        <w:rPr>
          <w:spacing w:val="-2"/>
        </w:rPr>
        <w:t xml:space="preserve">the </w:t>
      </w:r>
      <w:r w:rsidR="00A63D92">
        <w:rPr>
          <w:spacing w:val="-2"/>
        </w:rPr>
        <w:t xml:space="preserve">ALMR </w:t>
      </w:r>
      <w:r w:rsidR="00BF3209">
        <w:rPr>
          <w:spacing w:val="-2"/>
        </w:rPr>
        <w:t xml:space="preserve">system </w:t>
      </w:r>
      <w:r w:rsidR="003F0250">
        <w:rPr>
          <w:spacing w:val="-2"/>
        </w:rPr>
        <w:t xml:space="preserve">without </w:t>
      </w:r>
      <w:r w:rsidR="00834D89">
        <w:rPr>
          <w:spacing w:val="-2"/>
        </w:rPr>
        <w:t xml:space="preserve">it </w:t>
      </w:r>
      <w:r w:rsidR="003F0250">
        <w:rPr>
          <w:spacing w:val="-2"/>
        </w:rPr>
        <w:t>need</w:t>
      </w:r>
      <w:r w:rsidR="00133A96">
        <w:rPr>
          <w:spacing w:val="-2"/>
        </w:rPr>
        <w:t xml:space="preserve">ing to seek </w:t>
      </w:r>
      <w:r w:rsidR="003F0250">
        <w:rPr>
          <w:spacing w:val="-2"/>
        </w:rPr>
        <w:t xml:space="preserve">a waiver </w:t>
      </w:r>
      <w:r w:rsidR="001D4B77">
        <w:rPr>
          <w:spacing w:val="-2"/>
        </w:rPr>
        <w:t xml:space="preserve">while </w:t>
      </w:r>
      <w:r w:rsidR="00BF3209">
        <w:rPr>
          <w:spacing w:val="-2"/>
        </w:rPr>
        <w:t>still protect</w:t>
      </w:r>
      <w:r w:rsidR="001D4B77">
        <w:rPr>
          <w:spacing w:val="-2"/>
        </w:rPr>
        <w:t>ing</w:t>
      </w:r>
      <w:r w:rsidR="00BF3209">
        <w:rPr>
          <w:spacing w:val="-2"/>
        </w:rPr>
        <w:t xml:space="preserve"> incumbents </w:t>
      </w:r>
      <w:r w:rsidR="00A63D92">
        <w:rPr>
          <w:spacing w:val="-2"/>
        </w:rPr>
        <w:t xml:space="preserve">operating </w:t>
      </w:r>
      <w:r w:rsidR="00BF3209">
        <w:rPr>
          <w:spacing w:val="-2"/>
        </w:rPr>
        <w:t xml:space="preserve">on standard channels from interference.  </w:t>
      </w:r>
      <w:r w:rsidR="00C358FE">
        <w:rPr>
          <w:spacing w:val="-2"/>
        </w:rPr>
        <w:t xml:space="preserve">We find it appropriate to allow Alaska to </w:t>
      </w:r>
      <w:r w:rsidR="00BF3209">
        <w:rPr>
          <w:spacing w:val="-2"/>
        </w:rPr>
        <w:t>expand operation of the ALMR system as needed</w:t>
      </w:r>
      <w:r w:rsidR="009276C0">
        <w:rPr>
          <w:spacing w:val="-2"/>
        </w:rPr>
        <w:t xml:space="preserve"> based on staff’s knowledge</w:t>
      </w:r>
      <w:r w:rsidR="00284E9F">
        <w:rPr>
          <w:spacing w:val="-2"/>
        </w:rPr>
        <w:t xml:space="preserve"> that Alaska</w:t>
      </w:r>
      <w:r w:rsidR="003E4841">
        <w:rPr>
          <w:spacing w:val="-2"/>
        </w:rPr>
        <w:t xml:space="preserve"> has </w:t>
      </w:r>
      <w:r w:rsidR="009276C0">
        <w:rPr>
          <w:spacing w:val="-2"/>
        </w:rPr>
        <w:t xml:space="preserve">operated </w:t>
      </w:r>
      <w:r w:rsidR="00BE334A">
        <w:rPr>
          <w:spacing w:val="-2"/>
        </w:rPr>
        <w:t xml:space="preserve">on offset channels </w:t>
      </w:r>
      <w:r w:rsidR="003E4841">
        <w:rPr>
          <w:spacing w:val="-2"/>
        </w:rPr>
        <w:t xml:space="preserve">without incident </w:t>
      </w:r>
      <w:r w:rsidR="00C358FE">
        <w:rPr>
          <w:spacing w:val="-2"/>
        </w:rPr>
        <w:t>since 2003.</w:t>
      </w:r>
      <w:r w:rsidR="003E4841">
        <w:rPr>
          <w:spacing w:val="-2"/>
        </w:rPr>
        <w:t xml:space="preserve">  </w:t>
      </w:r>
      <w:r w:rsidR="00BF3209">
        <w:rPr>
          <w:spacing w:val="-2"/>
        </w:rPr>
        <w:t xml:space="preserve">Furthermore, the ALMR system has </w:t>
      </w:r>
      <w:r w:rsidR="00AF6B0B">
        <w:rPr>
          <w:spacing w:val="-2"/>
        </w:rPr>
        <w:t xml:space="preserve">proven to be a successful partnership of federal and non-federal agencies within the State of Alaska serving </w:t>
      </w:r>
      <w:r w:rsidR="00BE334A">
        <w:rPr>
          <w:spacing w:val="-2"/>
        </w:rPr>
        <w:t xml:space="preserve">as many as </w:t>
      </w:r>
      <w:r w:rsidR="00AF6B0B">
        <w:rPr>
          <w:spacing w:val="-2"/>
        </w:rPr>
        <w:t xml:space="preserve">106 </w:t>
      </w:r>
      <w:r w:rsidR="00BE334A">
        <w:rPr>
          <w:spacing w:val="-2"/>
        </w:rPr>
        <w:t xml:space="preserve">federal and non-federal </w:t>
      </w:r>
      <w:r w:rsidR="00AF6B0B">
        <w:rPr>
          <w:spacing w:val="-2"/>
        </w:rPr>
        <w:t xml:space="preserve">agencies </w:t>
      </w:r>
      <w:r w:rsidR="00BE334A">
        <w:rPr>
          <w:spacing w:val="-2"/>
        </w:rPr>
        <w:t>throughout the state.</w:t>
      </w:r>
      <w:r w:rsidR="00BE334A">
        <w:rPr>
          <w:rStyle w:val="FootnoteReference"/>
          <w:spacing w:val="-2"/>
        </w:rPr>
        <w:footnoteReference w:id="29"/>
      </w:r>
      <w:r w:rsidR="00BE334A">
        <w:rPr>
          <w:spacing w:val="-2"/>
        </w:rPr>
        <w:t xml:space="preserve">  </w:t>
      </w:r>
    </w:p>
    <w:p w14:paraId="0744AD54" w14:textId="77777777" w:rsidR="003C5702" w:rsidRPr="005B4569" w:rsidRDefault="00132E36" w:rsidP="00C843FB">
      <w:pPr>
        <w:pStyle w:val="ParaNum"/>
        <w:widowControl/>
      </w:pPr>
      <w:r w:rsidRPr="00881505">
        <w:rPr>
          <w:i/>
          <w:spacing w:val="-2"/>
        </w:rPr>
        <w:t xml:space="preserve">Mobile-Only </w:t>
      </w:r>
      <w:r w:rsidR="008606BC">
        <w:rPr>
          <w:i/>
          <w:spacing w:val="-2"/>
        </w:rPr>
        <w:t>Channels</w:t>
      </w:r>
      <w:r w:rsidRPr="00881505">
        <w:rPr>
          <w:spacing w:val="-2"/>
        </w:rPr>
        <w:t xml:space="preserve">.  </w:t>
      </w:r>
      <w:r w:rsidR="00BE334A">
        <w:rPr>
          <w:spacing w:val="-2"/>
        </w:rPr>
        <w:t xml:space="preserve">Finally, </w:t>
      </w:r>
      <w:r w:rsidR="00A63D92">
        <w:rPr>
          <w:spacing w:val="-2"/>
        </w:rPr>
        <w:t xml:space="preserve">we note that </w:t>
      </w:r>
      <w:r w:rsidRPr="00881505">
        <w:rPr>
          <w:spacing w:val="-2"/>
        </w:rPr>
        <w:t xml:space="preserve">Alaska seeks to operate two </w:t>
      </w:r>
      <w:r w:rsidR="008606BC">
        <w:rPr>
          <w:spacing w:val="-2"/>
        </w:rPr>
        <w:t xml:space="preserve">channels </w:t>
      </w:r>
      <w:r w:rsidRPr="00881505">
        <w:rPr>
          <w:spacing w:val="-2"/>
        </w:rPr>
        <w:t xml:space="preserve">at its proposed new base station which are designated </w:t>
      </w:r>
      <w:r w:rsidR="008606BC">
        <w:rPr>
          <w:spacing w:val="-2"/>
        </w:rPr>
        <w:t xml:space="preserve">under Commission rules </w:t>
      </w:r>
      <w:r w:rsidR="00133A96">
        <w:rPr>
          <w:spacing w:val="-2"/>
        </w:rPr>
        <w:t xml:space="preserve">only </w:t>
      </w:r>
      <w:r w:rsidRPr="00881505">
        <w:rPr>
          <w:spacing w:val="-2"/>
        </w:rPr>
        <w:t>for mobile use.</w:t>
      </w:r>
      <w:r w:rsidR="00BE334A">
        <w:rPr>
          <w:rStyle w:val="FootnoteReference"/>
          <w:spacing w:val="-2"/>
        </w:rPr>
        <w:footnoteReference w:id="30"/>
      </w:r>
      <w:r w:rsidRPr="00881505">
        <w:rPr>
          <w:spacing w:val="-2"/>
        </w:rPr>
        <w:t xml:space="preserve">  </w:t>
      </w:r>
      <w:r w:rsidR="00921E06">
        <w:rPr>
          <w:spacing w:val="-2"/>
        </w:rPr>
        <w:t xml:space="preserve">Per </w:t>
      </w:r>
      <w:r w:rsidR="00284E9F">
        <w:rPr>
          <w:spacing w:val="-2"/>
        </w:rPr>
        <w:t>s</w:t>
      </w:r>
      <w:r w:rsidRPr="00881505">
        <w:rPr>
          <w:spacing w:val="-2"/>
        </w:rPr>
        <w:t>ection 90.173(h)</w:t>
      </w:r>
      <w:r w:rsidR="00921E06">
        <w:rPr>
          <w:spacing w:val="-2"/>
        </w:rPr>
        <w:t xml:space="preserve">, licensees may operate base stations on channels from the Public Safety Pool which are reserved solely for mobile </w:t>
      </w:r>
      <w:r w:rsidR="00FA224B">
        <w:rPr>
          <w:spacing w:val="-2"/>
        </w:rPr>
        <w:t xml:space="preserve">use </w:t>
      </w:r>
      <w:r w:rsidR="00921E06">
        <w:rPr>
          <w:spacing w:val="-2"/>
        </w:rPr>
        <w:t xml:space="preserve">provided </w:t>
      </w:r>
      <w:r w:rsidR="00834D89">
        <w:rPr>
          <w:spacing w:val="-2"/>
        </w:rPr>
        <w:t xml:space="preserve">the </w:t>
      </w:r>
      <w:r w:rsidR="00921E06">
        <w:rPr>
          <w:spacing w:val="-2"/>
        </w:rPr>
        <w:t xml:space="preserve">base station </w:t>
      </w:r>
      <w:r w:rsidR="00834D89">
        <w:rPr>
          <w:spacing w:val="-2"/>
        </w:rPr>
        <w:t xml:space="preserve">operates on a </w:t>
      </w:r>
      <w:r w:rsidR="00921E06">
        <w:rPr>
          <w:spacing w:val="-2"/>
        </w:rPr>
        <w:t>secondary</w:t>
      </w:r>
      <w:r w:rsidR="008606BC">
        <w:rPr>
          <w:spacing w:val="-2"/>
        </w:rPr>
        <w:t>, non-interference basis</w:t>
      </w:r>
      <w:r w:rsidR="00834D89">
        <w:rPr>
          <w:spacing w:val="-2"/>
        </w:rPr>
        <w:t xml:space="preserve"> </w:t>
      </w:r>
      <w:r w:rsidR="00921E06">
        <w:rPr>
          <w:spacing w:val="-2"/>
        </w:rPr>
        <w:t>to mobile operations.</w:t>
      </w:r>
      <w:r w:rsidR="00834D89">
        <w:rPr>
          <w:spacing w:val="-2"/>
        </w:rPr>
        <w:t xml:space="preserve">  Consequently, we grant Alaska’s request to operate its base station on the two mobile</w:t>
      </w:r>
      <w:r w:rsidR="00A77195">
        <w:rPr>
          <w:spacing w:val="-2"/>
        </w:rPr>
        <w:t xml:space="preserve">-only </w:t>
      </w:r>
      <w:r w:rsidR="00834D89">
        <w:rPr>
          <w:spacing w:val="-2"/>
        </w:rPr>
        <w:t xml:space="preserve">channels </w:t>
      </w:r>
      <w:r w:rsidR="00C407E8">
        <w:rPr>
          <w:spacing w:val="-2"/>
        </w:rPr>
        <w:t xml:space="preserve">listed in its application </w:t>
      </w:r>
      <w:r w:rsidR="00834D89">
        <w:rPr>
          <w:spacing w:val="-2"/>
        </w:rPr>
        <w:t xml:space="preserve">but </w:t>
      </w:r>
      <w:r w:rsidR="00FA224B">
        <w:rPr>
          <w:spacing w:val="-2"/>
        </w:rPr>
        <w:t xml:space="preserve">designate </w:t>
      </w:r>
      <w:r w:rsidR="00834D89">
        <w:rPr>
          <w:spacing w:val="-2"/>
        </w:rPr>
        <w:t>it</w:t>
      </w:r>
      <w:r w:rsidR="008606BC">
        <w:rPr>
          <w:spacing w:val="-2"/>
        </w:rPr>
        <w:t>s operation on those channels as</w:t>
      </w:r>
      <w:r w:rsidR="00834D89">
        <w:rPr>
          <w:spacing w:val="-2"/>
        </w:rPr>
        <w:t xml:space="preserve"> secondary to mobile operations.</w:t>
      </w:r>
      <w:r w:rsidR="00FA224B">
        <w:rPr>
          <w:spacing w:val="-2"/>
        </w:rPr>
        <w:t xml:space="preserve">  If Alaska seeks to upgrade its status to primary, it would need to seek a waiver of </w:t>
      </w:r>
      <w:r w:rsidR="00284E9F">
        <w:rPr>
          <w:spacing w:val="-2"/>
        </w:rPr>
        <w:t>s</w:t>
      </w:r>
      <w:r w:rsidR="00FA224B">
        <w:rPr>
          <w:spacing w:val="-2"/>
        </w:rPr>
        <w:t xml:space="preserve">ection 90.173(h) and explain why it was unable to identify a Public Safety Pool channel for </w:t>
      </w:r>
      <w:r w:rsidR="00C407E8">
        <w:rPr>
          <w:spacing w:val="-2"/>
        </w:rPr>
        <w:t xml:space="preserve">use at </w:t>
      </w:r>
      <w:r w:rsidR="00FA224B">
        <w:rPr>
          <w:spacing w:val="-2"/>
        </w:rPr>
        <w:t>its base station</w:t>
      </w:r>
      <w:r w:rsidR="00284E9F">
        <w:rPr>
          <w:spacing w:val="-2"/>
        </w:rPr>
        <w:t>,</w:t>
      </w:r>
      <w:r w:rsidR="00FA224B">
        <w:rPr>
          <w:spacing w:val="-2"/>
        </w:rPr>
        <w:t xml:space="preserve"> which </w:t>
      </w:r>
      <w:r w:rsidR="00284E9F">
        <w:rPr>
          <w:spacing w:val="-2"/>
        </w:rPr>
        <w:t xml:space="preserve">channel </w:t>
      </w:r>
      <w:r w:rsidR="00FA224B">
        <w:rPr>
          <w:spacing w:val="-2"/>
        </w:rPr>
        <w:t xml:space="preserve">is designated </w:t>
      </w:r>
      <w:r w:rsidR="00C407E8">
        <w:rPr>
          <w:spacing w:val="-2"/>
        </w:rPr>
        <w:t xml:space="preserve">under Commission rules </w:t>
      </w:r>
      <w:r w:rsidR="00FA224B">
        <w:rPr>
          <w:spacing w:val="-2"/>
        </w:rPr>
        <w:t xml:space="preserve">for base </w:t>
      </w:r>
      <w:r w:rsidR="00A77195">
        <w:rPr>
          <w:spacing w:val="-2"/>
        </w:rPr>
        <w:t xml:space="preserve">station </w:t>
      </w:r>
      <w:r w:rsidR="008606BC">
        <w:rPr>
          <w:spacing w:val="-2"/>
        </w:rPr>
        <w:t>use</w:t>
      </w:r>
      <w:r w:rsidR="00FA224B">
        <w:rPr>
          <w:spacing w:val="-2"/>
        </w:rPr>
        <w:t>.</w:t>
      </w:r>
      <w:r w:rsidR="00A77195">
        <w:rPr>
          <w:spacing w:val="-2"/>
        </w:rPr>
        <w:t xml:space="preserve">  </w:t>
      </w:r>
      <w:r w:rsidR="00284E9F">
        <w:rPr>
          <w:spacing w:val="-2"/>
        </w:rPr>
        <w:t xml:space="preserve">Alaska would face a heavy burden in obtaining a waiver because of the Commission’s experience in having to resolve interference complaints arising from a </w:t>
      </w:r>
      <w:r w:rsidR="008606BC">
        <w:rPr>
          <w:spacing w:val="-2"/>
        </w:rPr>
        <w:t>licensee us</w:t>
      </w:r>
      <w:r w:rsidR="00284E9F">
        <w:rPr>
          <w:spacing w:val="-2"/>
        </w:rPr>
        <w:t>ing</w:t>
      </w:r>
      <w:r w:rsidR="008606BC">
        <w:rPr>
          <w:spacing w:val="-2"/>
        </w:rPr>
        <w:t xml:space="preserve"> a mobile-only channel for base station operations.</w:t>
      </w:r>
      <w:r w:rsidR="008606BC">
        <w:rPr>
          <w:rStyle w:val="FootnoteReference"/>
          <w:spacing w:val="-2"/>
        </w:rPr>
        <w:footnoteReference w:id="31"/>
      </w:r>
      <w:r w:rsidR="008606BC">
        <w:rPr>
          <w:spacing w:val="-2"/>
        </w:rPr>
        <w:t xml:space="preserve">  </w:t>
      </w:r>
    </w:p>
    <w:p w14:paraId="70BA35CC" w14:textId="77777777" w:rsidR="0074239C" w:rsidRDefault="0074239C" w:rsidP="00C843FB">
      <w:pPr>
        <w:pStyle w:val="Heading1"/>
        <w:widowControl/>
      </w:pPr>
      <w:r>
        <w:t>Ordering clauses</w:t>
      </w:r>
    </w:p>
    <w:p w14:paraId="32AEBB7C" w14:textId="77777777" w:rsidR="00C843FB" w:rsidRDefault="00CD710B" w:rsidP="004674D7">
      <w:pPr>
        <w:pStyle w:val="ParaNum"/>
        <w:widowControl/>
      </w:pPr>
      <w:r>
        <w:t>Accordingly, IT IS ORDERED</w:t>
      </w:r>
      <w:r w:rsidR="00EE6631">
        <w:t>, pursuant to Section</w:t>
      </w:r>
      <w:r w:rsidR="003A1EEA">
        <w:t>s</w:t>
      </w:r>
      <w:r w:rsidR="00EE6631">
        <w:t xml:space="preserve"> 4(i) </w:t>
      </w:r>
      <w:r w:rsidR="003A1EEA">
        <w:t xml:space="preserve">and 303(c) </w:t>
      </w:r>
      <w:r w:rsidR="00EE6631">
        <w:t>of the Communications Act of 1934</w:t>
      </w:r>
      <w:r w:rsidR="001D6794">
        <w:t xml:space="preserve">, as amended, 47 U.S.C. </w:t>
      </w:r>
      <w:r w:rsidR="003A1EEA">
        <w:t xml:space="preserve">§§ </w:t>
      </w:r>
      <w:r w:rsidR="00EE6631">
        <w:t>154(i)</w:t>
      </w:r>
      <w:r w:rsidR="001D6794">
        <w:t xml:space="preserve">, 303(c), and Section 1.925 of the Commission’s rules, 47 CFR § 1.925, </w:t>
      </w:r>
      <w:r>
        <w:t xml:space="preserve">that the waiver request associated with ULS </w:t>
      </w:r>
      <w:r w:rsidRPr="00C6523A">
        <w:t xml:space="preserve">File No. </w:t>
      </w:r>
      <w:r w:rsidR="00512113" w:rsidRPr="004674D7">
        <w:rPr>
          <w:spacing w:val="-2"/>
        </w:rPr>
        <w:t>0007652388</w:t>
      </w:r>
      <w:r>
        <w:t xml:space="preserve"> filed by </w:t>
      </w:r>
      <w:r w:rsidR="00612FF7">
        <w:t xml:space="preserve">the </w:t>
      </w:r>
      <w:r w:rsidR="00512113">
        <w:t>State of Alaska</w:t>
      </w:r>
      <w:r>
        <w:t xml:space="preserve">, </w:t>
      </w:r>
      <w:r w:rsidR="00AD0E56">
        <w:t>IS</w:t>
      </w:r>
      <w:r>
        <w:t xml:space="preserve"> GRANTED and the associated application SHALL BE PROCESSED accordingly</w:t>
      </w:r>
      <w:r w:rsidRPr="004674D7">
        <w:rPr>
          <w:spacing w:val="-2"/>
        </w:rPr>
        <w:t>.</w:t>
      </w:r>
    </w:p>
    <w:p w14:paraId="745B5EEF" w14:textId="77777777" w:rsidR="008E2250" w:rsidRDefault="008E2250">
      <w:pPr>
        <w:widowControl/>
      </w:pPr>
      <w:r>
        <w:br w:type="page"/>
      </w:r>
    </w:p>
    <w:p w14:paraId="7055DD53" w14:textId="77777777" w:rsidR="0074239C" w:rsidRDefault="00CD710B" w:rsidP="00C843FB">
      <w:pPr>
        <w:pStyle w:val="ParaNum"/>
        <w:widowControl/>
      </w:pPr>
      <w:r>
        <w:t xml:space="preserve">This action is taken under delegated authority pursuant </w:t>
      </w:r>
      <w:r w:rsidR="00EE6631">
        <w:t>to Section 155(c) of the Communications Act of 1934, as amended, 47 U.S.C. § 155(c)</w:t>
      </w:r>
      <w:r w:rsidR="00687309">
        <w:t xml:space="preserve"> and</w:t>
      </w:r>
      <w:r w:rsidR="00EE6631">
        <w:t xml:space="preserve"> Sections 0.191 and 0.392 of the Commission’s rules, 47 CFR §§ 0.191, 0.392. </w:t>
      </w:r>
    </w:p>
    <w:p w14:paraId="2918A593" w14:textId="77777777" w:rsidR="00DA2826" w:rsidRDefault="00DA2826" w:rsidP="00C843FB">
      <w:pPr>
        <w:pStyle w:val="ParaNum"/>
        <w:widowControl/>
        <w:numPr>
          <w:ilvl w:val="0"/>
          <w:numId w:val="0"/>
        </w:numPr>
        <w:spacing w:after="0"/>
        <w:ind w:left="3600" w:firstLine="720"/>
      </w:pPr>
      <w:r>
        <w:t xml:space="preserve">FEDERAL COMMUNICATIONS COMMISSION </w:t>
      </w:r>
    </w:p>
    <w:p w14:paraId="3194CBF3" w14:textId="77777777" w:rsidR="00DA2826" w:rsidRDefault="00DA2826" w:rsidP="00C843FB">
      <w:pPr>
        <w:pStyle w:val="ParaNum"/>
        <w:widowControl/>
        <w:numPr>
          <w:ilvl w:val="0"/>
          <w:numId w:val="0"/>
        </w:numPr>
        <w:spacing w:after="0"/>
        <w:ind w:left="720"/>
      </w:pPr>
    </w:p>
    <w:p w14:paraId="3460F10F" w14:textId="77777777" w:rsidR="00DA2826" w:rsidRDefault="00DA2826" w:rsidP="00C843FB">
      <w:pPr>
        <w:pStyle w:val="ParaNum"/>
        <w:widowControl/>
        <w:numPr>
          <w:ilvl w:val="0"/>
          <w:numId w:val="0"/>
        </w:numPr>
        <w:spacing w:after="0"/>
        <w:ind w:left="720"/>
      </w:pPr>
    </w:p>
    <w:p w14:paraId="060CA6BE" w14:textId="77777777" w:rsidR="00DA2826" w:rsidRDefault="00DA2826" w:rsidP="00C843FB">
      <w:pPr>
        <w:pStyle w:val="ParaNum"/>
        <w:widowControl/>
        <w:numPr>
          <w:ilvl w:val="0"/>
          <w:numId w:val="0"/>
        </w:numPr>
        <w:spacing w:after="0"/>
        <w:ind w:left="720"/>
      </w:pPr>
    </w:p>
    <w:p w14:paraId="2E6575C8" w14:textId="77777777" w:rsidR="00DA2826" w:rsidRDefault="00DA2826" w:rsidP="00C843FB">
      <w:pPr>
        <w:pStyle w:val="ParaNum"/>
        <w:widowControl/>
        <w:numPr>
          <w:ilvl w:val="0"/>
          <w:numId w:val="0"/>
        </w:numPr>
        <w:spacing w:after="0"/>
        <w:ind w:left="720"/>
      </w:pPr>
    </w:p>
    <w:p w14:paraId="05643A53" w14:textId="77777777" w:rsidR="00DA2826" w:rsidRDefault="00DA2826" w:rsidP="00C843FB">
      <w:pPr>
        <w:pStyle w:val="ParaNum"/>
        <w:widowControl/>
        <w:numPr>
          <w:ilvl w:val="0"/>
          <w:numId w:val="0"/>
        </w:numPr>
        <w:spacing w:after="0"/>
        <w:ind w:left="3600" w:firstLine="720"/>
      </w:pPr>
      <w:r>
        <w:t xml:space="preserve">Michael J. Wilhelm  </w:t>
      </w:r>
    </w:p>
    <w:p w14:paraId="711E2C42" w14:textId="77777777" w:rsidR="00DA2826" w:rsidRDefault="00DA2826" w:rsidP="00C843FB">
      <w:pPr>
        <w:pStyle w:val="ParaNum"/>
        <w:widowControl/>
        <w:numPr>
          <w:ilvl w:val="0"/>
          <w:numId w:val="0"/>
        </w:numPr>
        <w:spacing w:after="0"/>
        <w:ind w:left="3600" w:firstLine="720"/>
      </w:pPr>
      <w:r>
        <w:t xml:space="preserve">Chief, Policy and Licensing Division </w:t>
      </w:r>
    </w:p>
    <w:p w14:paraId="2D94E354" w14:textId="77777777" w:rsidR="00216E88" w:rsidRDefault="00DA2826" w:rsidP="00C843FB">
      <w:pPr>
        <w:pStyle w:val="ParaNum"/>
        <w:widowControl/>
        <w:numPr>
          <w:ilvl w:val="0"/>
          <w:numId w:val="0"/>
        </w:numPr>
        <w:spacing w:after="0"/>
        <w:ind w:left="3600" w:firstLine="720"/>
      </w:pPr>
      <w:r>
        <w:t>Public Safety and Homeland Security Bureau</w:t>
      </w:r>
    </w:p>
    <w:p w14:paraId="43E1D107" w14:textId="77777777" w:rsidR="00216E88" w:rsidRDefault="00216E88">
      <w:pPr>
        <w:widowControl/>
      </w:pPr>
      <w:r>
        <w:br w:type="page"/>
      </w:r>
    </w:p>
    <w:p w14:paraId="491CC645" w14:textId="77777777" w:rsidR="00DA2826" w:rsidRDefault="00DA2826" w:rsidP="00C843FB">
      <w:pPr>
        <w:pStyle w:val="ParaNum"/>
        <w:widowControl/>
        <w:numPr>
          <w:ilvl w:val="0"/>
          <w:numId w:val="0"/>
        </w:numPr>
        <w:spacing w:after="0"/>
        <w:ind w:left="3600" w:firstLine="720"/>
      </w:pPr>
    </w:p>
    <w:p w14:paraId="6FEF1EE7" w14:textId="77777777" w:rsidR="009364FC" w:rsidRDefault="009364FC" w:rsidP="00C843FB">
      <w:pPr>
        <w:pStyle w:val="ParaNum"/>
        <w:widowControl/>
        <w:numPr>
          <w:ilvl w:val="0"/>
          <w:numId w:val="0"/>
        </w:numPr>
        <w:spacing w:after="0"/>
        <w:ind w:left="3600" w:firstLine="720"/>
      </w:pPr>
    </w:p>
    <w:p w14:paraId="43817BF4" w14:textId="77777777" w:rsidR="009364FC" w:rsidRDefault="009364FC" w:rsidP="009364FC">
      <w:pPr>
        <w:pStyle w:val="ParaNum"/>
        <w:widowControl/>
        <w:numPr>
          <w:ilvl w:val="0"/>
          <w:numId w:val="0"/>
        </w:numPr>
        <w:spacing w:after="0"/>
        <w:jc w:val="center"/>
        <w:rPr>
          <w:b/>
        </w:rPr>
      </w:pPr>
      <w:r w:rsidRPr="009364FC">
        <w:rPr>
          <w:b/>
        </w:rPr>
        <w:t xml:space="preserve">Attachment A </w:t>
      </w:r>
    </w:p>
    <w:p w14:paraId="597D192E" w14:textId="77777777" w:rsidR="009364FC" w:rsidRDefault="009364FC" w:rsidP="009364FC">
      <w:pPr>
        <w:pStyle w:val="ParaNum"/>
        <w:widowControl/>
        <w:numPr>
          <w:ilvl w:val="0"/>
          <w:numId w:val="0"/>
        </w:numPr>
        <w:spacing w:after="0"/>
        <w:jc w:val="center"/>
      </w:pPr>
      <w:r w:rsidRPr="009364FC">
        <w:rPr>
          <w:b/>
        </w:rPr>
        <w:t>Channels Requested by State of Alaska for ULS Application No. 0007652388</w:t>
      </w:r>
    </w:p>
    <w:p w14:paraId="2F3BD5E0" w14:textId="77777777" w:rsidR="009364FC" w:rsidRDefault="009364FC" w:rsidP="009364FC">
      <w:pPr>
        <w:pStyle w:val="ParaNum"/>
        <w:widowControl/>
        <w:numPr>
          <w:ilvl w:val="0"/>
          <w:numId w:val="0"/>
        </w:numPr>
        <w:spacing w:after="0"/>
        <w:jc w:val="center"/>
      </w:pPr>
    </w:p>
    <w:p w14:paraId="2588B5E3" w14:textId="77777777" w:rsidR="009364FC" w:rsidRDefault="009364FC" w:rsidP="009364FC">
      <w:pPr>
        <w:pStyle w:val="ParaNum"/>
        <w:widowControl/>
        <w:numPr>
          <w:ilvl w:val="0"/>
          <w:numId w:val="0"/>
        </w:numPr>
        <w:spacing w:after="0"/>
        <w:jc w:val="center"/>
      </w:pPr>
    </w:p>
    <w:tbl>
      <w:tblPr>
        <w:tblStyle w:val="TableGrid"/>
        <w:tblW w:w="9738" w:type="dxa"/>
        <w:tblLook w:val="04A0" w:firstRow="1" w:lastRow="0" w:firstColumn="1" w:lastColumn="0" w:noHBand="0" w:noVBand="1"/>
      </w:tblPr>
      <w:tblGrid>
        <w:gridCol w:w="2490"/>
        <w:gridCol w:w="1758"/>
        <w:gridCol w:w="3223"/>
        <w:gridCol w:w="2267"/>
      </w:tblGrid>
      <w:tr w:rsidR="009364FC" w14:paraId="105185E2" w14:textId="77777777" w:rsidTr="009364FC">
        <w:tc>
          <w:tcPr>
            <w:tcW w:w="2490" w:type="dxa"/>
            <w:shd w:val="clear" w:color="auto" w:fill="D9D9D9" w:themeFill="background1" w:themeFillShade="D9"/>
          </w:tcPr>
          <w:p w14:paraId="08B69232" w14:textId="77777777" w:rsidR="009364FC" w:rsidRPr="009364FC" w:rsidRDefault="009364FC" w:rsidP="009364FC">
            <w:pPr>
              <w:pStyle w:val="ParaNum"/>
              <w:numPr>
                <w:ilvl w:val="0"/>
                <w:numId w:val="0"/>
              </w:numPr>
              <w:tabs>
                <w:tab w:val="num" w:pos="1440"/>
              </w:tabs>
              <w:ind w:left="720"/>
              <w:rPr>
                <w:rFonts w:ascii="Times New Roman" w:hAnsi="Times New Roman" w:cs="Times New Roman"/>
                <w:snapToGrid/>
              </w:rPr>
            </w:pPr>
            <w:r w:rsidRPr="009364FC">
              <w:rPr>
                <w:rFonts w:ascii="Times New Roman" w:hAnsi="Times New Roman" w:cs="Times New Roman"/>
                <w:snapToGrid/>
              </w:rPr>
              <w:t>Frequency</w:t>
            </w:r>
          </w:p>
        </w:tc>
        <w:tc>
          <w:tcPr>
            <w:tcW w:w="1758" w:type="dxa"/>
            <w:shd w:val="clear" w:color="auto" w:fill="D9D9D9" w:themeFill="background1" w:themeFillShade="D9"/>
          </w:tcPr>
          <w:p w14:paraId="5F133BA3"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Station Class Code</w:t>
            </w:r>
          </w:p>
        </w:tc>
        <w:tc>
          <w:tcPr>
            <w:tcW w:w="3223" w:type="dxa"/>
            <w:shd w:val="clear" w:color="auto" w:fill="D9D9D9" w:themeFill="background1" w:themeFillShade="D9"/>
          </w:tcPr>
          <w:p w14:paraId="7FE3D43F"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Offset or Standard Channel</w:t>
            </w:r>
          </w:p>
        </w:tc>
        <w:tc>
          <w:tcPr>
            <w:tcW w:w="2267" w:type="dxa"/>
            <w:shd w:val="clear" w:color="auto" w:fill="D9D9D9" w:themeFill="background1" w:themeFillShade="D9"/>
          </w:tcPr>
          <w:p w14:paraId="625274A3"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Base or Mobile</w:t>
            </w:r>
            <w:r>
              <w:rPr>
                <w:rFonts w:ascii="Times New Roman" w:hAnsi="Times New Roman" w:cs="Times New Roman"/>
              </w:rPr>
              <w:t xml:space="preserve"> Under Section 90.20(c)(3)</w:t>
            </w:r>
          </w:p>
        </w:tc>
      </w:tr>
      <w:tr w:rsidR="009364FC" w14:paraId="500C93E8" w14:textId="77777777" w:rsidTr="009364FC">
        <w:tc>
          <w:tcPr>
            <w:tcW w:w="2490" w:type="dxa"/>
          </w:tcPr>
          <w:p w14:paraId="2289DB76" w14:textId="77777777" w:rsidR="009364FC" w:rsidRDefault="009364FC" w:rsidP="00A57D00">
            <w:pPr>
              <w:jc w:val="center"/>
              <w:rPr>
                <w:rFonts w:ascii="Times New Roman" w:hAnsi="Times New Roman" w:cs="Times New Roman"/>
              </w:rPr>
            </w:pPr>
            <w:r w:rsidRPr="009364FC">
              <w:rPr>
                <w:rFonts w:ascii="Times New Roman" w:hAnsi="Times New Roman" w:cs="Times New Roman"/>
              </w:rPr>
              <w:t>155.6875 MHz</w:t>
            </w:r>
          </w:p>
          <w:p w14:paraId="1DB505BA" w14:textId="77777777" w:rsidR="009364FC" w:rsidRPr="009364FC" w:rsidRDefault="009364FC" w:rsidP="00A57D00">
            <w:pPr>
              <w:jc w:val="center"/>
              <w:rPr>
                <w:rFonts w:ascii="Times New Roman" w:hAnsi="Times New Roman" w:cs="Times New Roman"/>
              </w:rPr>
            </w:pPr>
          </w:p>
        </w:tc>
        <w:tc>
          <w:tcPr>
            <w:tcW w:w="1758" w:type="dxa"/>
          </w:tcPr>
          <w:p w14:paraId="44A96B77"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FB8</w:t>
            </w:r>
          </w:p>
        </w:tc>
        <w:tc>
          <w:tcPr>
            <w:tcW w:w="3223" w:type="dxa"/>
          </w:tcPr>
          <w:p w14:paraId="328C853B"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+2.5 kHz above 155.6850 MHz</w:t>
            </w:r>
          </w:p>
        </w:tc>
        <w:tc>
          <w:tcPr>
            <w:tcW w:w="2267" w:type="dxa"/>
          </w:tcPr>
          <w:p w14:paraId="53DFE978"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Base or Mobile</w:t>
            </w:r>
          </w:p>
        </w:tc>
      </w:tr>
      <w:tr w:rsidR="009364FC" w14:paraId="27BF619A" w14:textId="77777777" w:rsidTr="009364FC">
        <w:tc>
          <w:tcPr>
            <w:tcW w:w="2490" w:type="dxa"/>
          </w:tcPr>
          <w:p w14:paraId="0D931A07" w14:textId="77777777" w:rsidR="009364FC" w:rsidRDefault="009364FC" w:rsidP="00A57D00">
            <w:pPr>
              <w:jc w:val="center"/>
              <w:rPr>
                <w:rFonts w:ascii="Times New Roman" w:hAnsi="Times New Roman" w:cs="Times New Roman"/>
              </w:rPr>
            </w:pPr>
            <w:r w:rsidRPr="009364FC">
              <w:rPr>
                <w:rFonts w:ascii="Times New Roman" w:hAnsi="Times New Roman" w:cs="Times New Roman"/>
              </w:rPr>
              <w:t>154.8875 MHz</w:t>
            </w:r>
          </w:p>
          <w:p w14:paraId="5F5A43DA" w14:textId="77777777" w:rsidR="009364FC" w:rsidRPr="009364FC" w:rsidRDefault="009364FC" w:rsidP="00A57D00">
            <w:pPr>
              <w:jc w:val="center"/>
              <w:rPr>
                <w:rFonts w:ascii="Times New Roman" w:hAnsi="Times New Roman" w:cs="Times New Roman"/>
              </w:rPr>
            </w:pPr>
          </w:p>
        </w:tc>
        <w:tc>
          <w:tcPr>
            <w:tcW w:w="1758" w:type="dxa"/>
          </w:tcPr>
          <w:p w14:paraId="24E9DCB6"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FB8</w:t>
            </w:r>
          </w:p>
        </w:tc>
        <w:tc>
          <w:tcPr>
            <w:tcW w:w="3223" w:type="dxa"/>
          </w:tcPr>
          <w:p w14:paraId="3AC4F5C7"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-2.5 kHz below 154.8900 MHz</w:t>
            </w:r>
          </w:p>
        </w:tc>
        <w:tc>
          <w:tcPr>
            <w:tcW w:w="2267" w:type="dxa"/>
          </w:tcPr>
          <w:p w14:paraId="3115ADF5"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Mobile-Only</w:t>
            </w:r>
          </w:p>
        </w:tc>
      </w:tr>
      <w:tr w:rsidR="009364FC" w14:paraId="511D9D8D" w14:textId="77777777" w:rsidTr="009364FC">
        <w:tc>
          <w:tcPr>
            <w:tcW w:w="2490" w:type="dxa"/>
          </w:tcPr>
          <w:p w14:paraId="7410235D" w14:textId="77777777" w:rsidR="009364FC" w:rsidRDefault="009364FC" w:rsidP="00A57D00">
            <w:pPr>
              <w:jc w:val="center"/>
              <w:rPr>
                <w:rFonts w:ascii="Times New Roman" w:hAnsi="Times New Roman" w:cs="Times New Roman"/>
              </w:rPr>
            </w:pPr>
            <w:r w:rsidRPr="009364FC">
              <w:rPr>
                <w:rFonts w:ascii="Times New Roman" w:hAnsi="Times New Roman" w:cs="Times New Roman"/>
              </w:rPr>
              <w:t>154.7375 MHz</w:t>
            </w:r>
          </w:p>
          <w:p w14:paraId="2A299F7F" w14:textId="77777777" w:rsidR="009364FC" w:rsidRPr="009364FC" w:rsidRDefault="009364FC" w:rsidP="00A57D00">
            <w:pPr>
              <w:jc w:val="center"/>
              <w:rPr>
                <w:rFonts w:ascii="Times New Roman" w:hAnsi="Times New Roman" w:cs="Times New Roman"/>
              </w:rPr>
            </w:pPr>
          </w:p>
        </w:tc>
        <w:tc>
          <w:tcPr>
            <w:tcW w:w="1758" w:type="dxa"/>
          </w:tcPr>
          <w:p w14:paraId="19D89698"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FB8</w:t>
            </w:r>
          </w:p>
        </w:tc>
        <w:tc>
          <w:tcPr>
            <w:tcW w:w="3223" w:type="dxa"/>
          </w:tcPr>
          <w:p w14:paraId="2515F553"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-2.5 kHz below 154.7400 MHz</w:t>
            </w:r>
          </w:p>
        </w:tc>
        <w:tc>
          <w:tcPr>
            <w:tcW w:w="2267" w:type="dxa"/>
          </w:tcPr>
          <w:p w14:paraId="56713C28"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Base or Mobile</w:t>
            </w:r>
          </w:p>
        </w:tc>
      </w:tr>
      <w:tr w:rsidR="009364FC" w14:paraId="0CD897E0" w14:textId="77777777" w:rsidTr="009364FC">
        <w:tc>
          <w:tcPr>
            <w:tcW w:w="2490" w:type="dxa"/>
          </w:tcPr>
          <w:p w14:paraId="78320DF3" w14:textId="77777777" w:rsidR="009364FC" w:rsidRDefault="009364FC" w:rsidP="00A57D00">
            <w:pPr>
              <w:jc w:val="center"/>
              <w:rPr>
                <w:rFonts w:ascii="Times New Roman" w:hAnsi="Times New Roman" w:cs="Times New Roman"/>
              </w:rPr>
            </w:pPr>
            <w:r w:rsidRPr="009364FC">
              <w:rPr>
                <w:rFonts w:ascii="Times New Roman" w:hAnsi="Times New Roman" w:cs="Times New Roman"/>
              </w:rPr>
              <w:t>155.0875 MHz</w:t>
            </w:r>
          </w:p>
          <w:p w14:paraId="334E1A6A" w14:textId="77777777" w:rsidR="009364FC" w:rsidRPr="009364FC" w:rsidRDefault="009364FC" w:rsidP="00A57D00">
            <w:pPr>
              <w:jc w:val="center"/>
              <w:rPr>
                <w:rFonts w:ascii="Times New Roman" w:hAnsi="Times New Roman" w:cs="Times New Roman"/>
              </w:rPr>
            </w:pPr>
          </w:p>
        </w:tc>
        <w:tc>
          <w:tcPr>
            <w:tcW w:w="1758" w:type="dxa"/>
          </w:tcPr>
          <w:p w14:paraId="56582727"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FB8</w:t>
            </w:r>
          </w:p>
        </w:tc>
        <w:tc>
          <w:tcPr>
            <w:tcW w:w="3223" w:type="dxa"/>
          </w:tcPr>
          <w:p w14:paraId="0EE2EA6C"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+2.5 kHz above 155.0850 MHz</w:t>
            </w:r>
          </w:p>
        </w:tc>
        <w:tc>
          <w:tcPr>
            <w:tcW w:w="2267" w:type="dxa"/>
          </w:tcPr>
          <w:p w14:paraId="3247F040"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Base or Mobile</w:t>
            </w:r>
          </w:p>
        </w:tc>
      </w:tr>
      <w:tr w:rsidR="009364FC" w14:paraId="5BE33932" w14:textId="77777777" w:rsidTr="009364FC">
        <w:tc>
          <w:tcPr>
            <w:tcW w:w="2490" w:type="dxa"/>
          </w:tcPr>
          <w:p w14:paraId="6C4730EF"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155.8500 MHz</w:t>
            </w:r>
          </w:p>
          <w:p w14:paraId="022D2263" w14:textId="77777777" w:rsidR="009364FC" w:rsidRPr="009364FC" w:rsidRDefault="009364FC" w:rsidP="00A57D00">
            <w:pPr>
              <w:jc w:val="center"/>
              <w:rPr>
                <w:rFonts w:ascii="Times New Roman" w:hAnsi="Times New Roman" w:cs="Times New Roman"/>
              </w:rPr>
            </w:pPr>
          </w:p>
        </w:tc>
        <w:tc>
          <w:tcPr>
            <w:tcW w:w="1758" w:type="dxa"/>
          </w:tcPr>
          <w:p w14:paraId="188CD043"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FB8</w:t>
            </w:r>
          </w:p>
        </w:tc>
        <w:tc>
          <w:tcPr>
            <w:tcW w:w="3223" w:type="dxa"/>
          </w:tcPr>
          <w:p w14:paraId="6D1E58D4"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Standard</w:t>
            </w:r>
          </w:p>
        </w:tc>
        <w:tc>
          <w:tcPr>
            <w:tcW w:w="2267" w:type="dxa"/>
          </w:tcPr>
          <w:p w14:paraId="4042C097" w14:textId="77777777" w:rsidR="009364FC" w:rsidRPr="009364FC" w:rsidRDefault="009364FC" w:rsidP="00A57D00">
            <w:pPr>
              <w:jc w:val="center"/>
              <w:rPr>
                <w:rFonts w:ascii="Times New Roman" w:hAnsi="Times New Roman" w:cs="Times New Roman"/>
              </w:rPr>
            </w:pPr>
            <w:r w:rsidRPr="009364FC">
              <w:rPr>
                <w:rFonts w:ascii="Times New Roman" w:hAnsi="Times New Roman" w:cs="Times New Roman"/>
              </w:rPr>
              <w:t>Mobile-Only</w:t>
            </w:r>
          </w:p>
        </w:tc>
      </w:tr>
    </w:tbl>
    <w:p w14:paraId="371612EC" w14:textId="77777777" w:rsidR="009364FC" w:rsidRPr="009364FC" w:rsidRDefault="009364FC" w:rsidP="009364FC">
      <w:pPr>
        <w:pStyle w:val="ParaNum"/>
        <w:widowControl/>
        <w:numPr>
          <w:ilvl w:val="0"/>
          <w:numId w:val="0"/>
        </w:numPr>
        <w:spacing w:after="0"/>
        <w:jc w:val="center"/>
      </w:pPr>
    </w:p>
    <w:p w14:paraId="64E0C6D1" w14:textId="77777777" w:rsidR="004E71C6" w:rsidRDefault="004E71C6" w:rsidP="00C843FB">
      <w:pPr>
        <w:pStyle w:val="ParaNum"/>
        <w:widowControl/>
        <w:numPr>
          <w:ilvl w:val="0"/>
          <w:numId w:val="0"/>
        </w:numPr>
        <w:spacing w:after="0"/>
        <w:ind w:left="3600" w:firstLine="720"/>
      </w:pPr>
    </w:p>
    <w:p w14:paraId="1E382D06" w14:textId="77777777" w:rsidR="004E71C6" w:rsidRPr="0074239C" w:rsidRDefault="004E71C6" w:rsidP="00C843FB">
      <w:pPr>
        <w:pStyle w:val="ParaNum"/>
        <w:widowControl/>
        <w:numPr>
          <w:ilvl w:val="0"/>
          <w:numId w:val="0"/>
        </w:numPr>
        <w:spacing w:after="0"/>
        <w:ind w:firstLine="720"/>
        <w:jc w:val="both"/>
      </w:pPr>
    </w:p>
    <w:sectPr w:rsidR="004E71C6" w:rsidRPr="0074239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F6BDE" w14:textId="77777777" w:rsidR="00276698" w:rsidRDefault="00276698">
      <w:pPr>
        <w:spacing w:line="20" w:lineRule="exact"/>
      </w:pPr>
    </w:p>
  </w:endnote>
  <w:endnote w:type="continuationSeparator" w:id="0">
    <w:p w14:paraId="5C6F38ED" w14:textId="77777777" w:rsidR="00276698" w:rsidRDefault="00276698">
      <w:r>
        <w:t xml:space="preserve"> </w:t>
      </w:r>
    </w:p>
  </w:endnote>
  <w:endnote w:type="continuationNotice" w:id="1">
    <w:p w14:paraId="2340F295" w14:textId="77777777" w:rsidR="00276698" w:rsidRDefault="002766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7FFF" w14:textId="77777777" w:rsidR="00037F0F" w:rsidRDefault="00037F0F" w:rsidP="0055614C">
    <w:pPr>
      <w:pStyle w:val="Footer"/>
      <w:framePr w:wrap="around" w:vAnchor="text" w:hAnchor="margin" w:xAlign="center" w:y="1"/>
    </w:pPr>
    <w:r>
      <w:fldChar w:fldCharType="begin"/>
    </w:r>
    <w:r>
      <w:instrText xml:space="preserve">PAGE  </w:instrText>
    </w:r>
    <w:r>
      <w:fldChar w:fldCharType="separate"/>
    </w:r>
    <w:r w:rsidR="00EC7084">
      <w:rPr>
        <w:noProof/>
      </w:rPr>
      <w:t>3</w:t>
    </w:r>
    <w:r>
      <w:fldChar w:fldCharType="end"/>
    </w:r>
  </w:p>
  <w:p w14:paraId="209517C1" w14:textId="77777777" w:rsidR="00037F0F" w:rsidRDefault="00037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BFE1D" w14:textId="77777777" w:rsidR="00037F0F" w:rsidRDefault="00037F0F" w:rsidP="0055614C">
    <w:pPr>
      <w:pStyle w:val="Footer"/>
      <w:framePr w:wrap="around" w:vAnchor="text" w:hAnchor="margin" w:xAlign="center" w:y="1"/>
    </w:pPr>
    <w:r>
      <w:fldChar w:fldCharType="begin"/>
    </w:r>
    <w:r>
      <w:instrText xml:space="preserve">PAGE  </w:instrText>
    </w:r>
    <w:r>
      <w:fldChar w:fldCharType="separate"/>
    </w:r>
    <w:r w:rsidR="008636EC">
      <w:rPr>
        <w:noProof/>
      </w:rPr>
      <w:t>2</w:t>
    </w:r>
    <w:r>
      <w:fldChar w:fldCharType="end"/>
    </w:r>
  </w:p>
  <w:p w14:paraId="6A90A1F5" w14:textId="77777777" w:rsidR="00037F0F" w:rsidRDefault="00037F0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0BF58" w14:textId="77777777" w:rsidR="00037F0F" w:rsidRDefault="00037F0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407E1" w14:textId="77777777" w:rsidR="00276698" w:rsidRDefault="00276698">
      <w:r>
        <w:separator/>
      </w:r>
    </w:p>
  </w:footnote>
  <w:footnote w:type="continuationSeparator" w:id="0">
    <w:p w14:paraId="5F9EBE93" w14:textId="77777777" w:rsidR="00276698" w:rsidRDefault="00276698" w:rsidP="00C721AC">
      <w:pPr>
        <w:spacing w:before="120"/>
        <w:rPr>
          <w:sz w:val="20"/>
        </w:rPr>
      </w:pPr>
      <w:r>
        <w:rPr>
          <w:sz w:val="20"/>
        </w:rPr>
        <w:t xml:space="preserve">(Continued from previous page)  </w:t>
      </w:r>
      <w:r>
        <w:rPr>
          <w:sz w:val="20"/>
        </w:rPr>
        <w:separator/>
      </w:r>
    </w:p>
  </w:footnote>
  <w:footnote w:type="continuationNotice" w:id="1">
    <w:p w14:paraId="312A0C7C" w14:textId="77777777" w:rsidR="00276698" w:rsidRDefault="00276698" w:rsidP="00C721AC">
      <w:pPr>
        <w:jc w:val="right"/>
        <w:rPr>
          <w:sz w:val="20"/>
        </w:rPr>
      </w:pPr>
      <w:r>
        <w:rPr>
          <w:sz w:val="20"/>
        </w:rPr>
        <w:t>(continued….)</w:t>
      </w:r>
    </w:p>
  </w:footnote>
  <w:footnote w:id="2">
    <w:p w14:paraId="4AFADF78" w14:textId="028036AC" w:rsidR="005B1B63" w:rsidRPr="00D87268" w:rsidRDefault="005B1B63" w:rsidP="005B1B63">
      <w:pPr>
        <w:pStyle w:val="FootnoteText"/>
      </w:pPr>
      <w:r>
        <w:rPr>
          <w:rStyle w:val="FootnoteReference"/>
        </w:rPr>
        <w:footnoteRef/>
      </w:r>
      <w:r>
        <w:t xml:space="preserve"> </w:t>
      </w:r>
      <w:r w:rsidRPr="00F817DE">
        <w:rPr>
          <w:i/>
        </w:rPr>
        <w:t xml:space="preserve">See </w:t>
      </w:r>
      <w:r w:rsidRPr="00F817DE">
        <w:t xml:space="preserve">ULS application number </w:t>
      </w:r>
      <w:r w:rsidRPr="00721BA5">
        <w:rPr>
          <w:spacing w:val="-2"/>
        </w:rPr>
        <w:t>000</w:t>
      </w:r>
      <w:r>
        <w:rPr>
          <w:spacing w:val="-2"/>
        </w:rPr>
        <w:t>7652388</w:t>
      </w:r>
      <w:r w:rsidRPr="00F817DE">
        <w:t xml:space="preserve">, filed </w:t>
      </w:r>
      <w:r>
        <w:t xml:space="preserve">February 7, </w:t>
      </w:r>
      <w:r w:rsidRPr="00F817DE">
        <w:t>2017 (</w:t>
      </w:r>
      <w:r>
        <w:t xml:space="preserve">Alaska </w:t>
      </w:r>
      <w:r w:rsidRPr="00F817DE">
        <w:t>Application)</w:t>
      </w:r>
      <w:r>
        <w:t xml:space="preserve">.  </w:t>
      </w:r>
      <w:r>
        <w:rPr>
          <w:i/>
        </w:rPr>
        <w:t xml:space="preserve">See also </w:t>
      </w:r>
      <w:r w:rsidRPr="00D87268">
        <w:t xml:space="preserve">Letter from </w:t>
      </w:r>
      <w:r>
        <w:t xml:space="preserve">John Lynn, Jr, Communications Engineer, State of Alaska, Department of Administration, Enterprise Technology Services to </w:t>
      </w:r>
      <w:r w:rsidRPr="00D87268">
        <w:t>Federal Communications Commission (</w:t>
      </w:r>
      <w:r>
        <w:t>May 11,</w:t>
      </w:r>
      <w:r w:rsidRPr="00D87268">
        <w:t xml:space="preserve"> 201</w:t>
      </w:r>
      <w:r>
        <w:t>7</w:t>
      </w:r>
      <w:r w:rsidR="00216E88">
        <w:t>)</w:t>
      </w:r>
      <w:r w:rsidR="00A75A9F">
        <w:t xml:space="preserve"> </w:t>
      </w:r>
      <w:r w:rsidRPr="00D87268">
        <w:t xml:space="preserve">(attached to </w:t>
      </w:r>
      <w:r>
        <w:t xml:space="preserve">Alaska </w:t>
      </w:r>
      <w:r w:rsidRPr="00D87268">
        <w:t>Application)</w:t>
      </w:r>
      <w:r w:rsidR="00A75A9F">
        <w:t xml:space="preserve"> </w:t>
      </w:r>
      <w:r w:rsidRPr="00D87268">
        <w:t xml:space="preserve">(Waiver Request).  </w:t>
      </w:r>
    </w:p>
  </w:footnote>
  <w:footnote w:id="3">
    <w:p w14:paraId="155BD058" w14:textId="0BBE2108" w:rsidR="00FC219E" w:rsidRPr="00BA23E0" w:rsidRDefault="00FC219E">
      <w:pPr>
        <w:pStyle w:val="FootnoteText"/>
        <w:rPr>
          <w:lang w:val="es-AR"/>
        </w:rPr>
      </w:pPr>
      <w:r>
        <w:rPr>
          <w:rStyle w:val="FootnoteReference"/>
        </w:rPr>
        <w:footnoteRef/>
      </w:r>
      <w:r>
        <w:t xml:space="preserve"> Waiver Request at 1.  </w:t>
      </w:r>
      <w:r>
        <w:rPr>
          <w:i/>
        </w:rPr>
        <w:t>See also State o</w:t>
      </w:r>
      <w:r w:rsidRPr="00FC219E">
        <w:rPr>
          <w:i/>
        </w:rPr>
        <w:t>f Alaska</w:t>
      </w:r>
      <w:r>
        <w:rPr>
          <w:i/>
        </w:rPr>
        <w:t>, Request f</w:t>
      </w:r>
      <w:r w:rsidRPr="00FC219E">
        <w:rPr>
          <w:i/>
        </w:rPr>
        <w:t>or Waiver of Sections 2.102(c), 2.103(a)</w:t>
      </w:r>
      <w:r>
        <w:rPr>
          <w:i/>
        </w:rPr>
        <w:t xml:space="preserve">, </w:t>
      </w:r>
      <w:r w:rsidRPr="00FC219E">
        <w:rPr>
          <w:i/>
        </w:rPr>
        <w:t>90.20, and 90.173(c) of the Commission’s Rules</w:t>
      </w:r>
      <w:r>
        <w:t xml:space="preserve">, Memorandum Opinion and Order, </w:t>
      </w:r>
      <w:r w:rsidRPr="00FC219E">
        <w:t>18 FCC Rcd 16315</w:t>
      </w:r>
      <w:r>
        <w:t xml:space="preserve">, 16318, para. </w:t>
      </w:r>
      <w:r w:rsidRPr="00BA23E0">
        <w:rPr>
          <w:lang w:val="es-AR"/>
        </w:rPr>
        <w:t>4 (WTB 2003)</w:t>
      </w:r>
      <w:r w:rsidR="00A75A9F">
        <w:rPr>
          <w:lang w:val="es-AR"/>
        </w:rPr>
        <w:t xml:space="preserve"> </w:t>
      </w:r>
      <w:r w:rsidRPr="00BA23E0">
        <w:rPr>
          <w:lang w:val="es-AR"/>
        </w:rPr>
        <w:t>(</w:t>
      </w:r>
      <w:r w:rsidRPr="00BA23E0">
        <w:rPr>
          <w:i/>
          <w:lang w:val="es-AR"/>
        </w:rPr>
        <w:t>ALMR MO&amp;O</w:t>
      </w:r>
      <w:r w:rsidRPr="00BA23E0">
        <w:rPr>
          <w:lang w:val="es-AR"/>
        </w:rPr>
        <w:t>).</w:t>
      </w:r>
    </w:p>
  </w:footnote>
  <w:footnote w:id="4">
    <w:p w14:paraId="7E5479F6" w14:textId="77777777" w:rsidR="00FC219E" w:rsidRPr="00BA23E0" w:rsidRDefault="00FC219E">
      <w:pPr>
        <w:pStyle w:val="FootnoteText"/>
        <w:rPr>
          <w:lang w:val="es-AR"/>
        </w:rPr>
      </w:pPr>
      <w:r>
        <w:rPr>
          <w:rStyle w:val="FootnoteReference"/>
        </w:rPr>
        <w:footnoteRef/>
      </w:r>
      <w:r w:rsidRPr="00FC219E">
        <w:rPr>
          <w:lang w:val="es-AR"/>
        </w:rPr>
        <w:t xml:space="preserve"> </w:t>
      </w:r>
      <w:r w:rsidRPr="00FC219E">
        <w:rPr>
          <w:i/>
          <w:lang w:val="es-AR"/>
        </w:rPr>
        <w:t>ALMR MO&amp;O</w:t>
      </w:r>
      <w:r w:rsidRPr="00FC219E">
        <w:rPr>
          <w:lang w:val="es-AR"/>
        </w:rPr>
        <w:t xml:space="preserve"> at 16318, para. </w:t>
      </w:r>
      <w:r w:rsidRPr="00BA23E0">
        <w:rPr>
          <w:lang w:val="es-AR"/>
        </w:rPr>
        <w:t>4.</w:t>
      </w:r>
    </w:p>
  </w:footnote>
  <w:footnote w:id="5">
    <w:p w14:paraId="09D7C2D7" w14:textId="77777777" w:rsidR="00FC219E" w:rsidRPr="00BA23E0" w:rsidRDefault="00FC219E">
      <w:pPr>
        <w:pStyle w:val="FootnoteText"/>
        <w:rPr>
          <w:lang w:val="es-AR"/>
        </w:rPr>
      </w:pPr>
      <w:r>
        <w:rPr>
          <w:rStyle w:val="FootnoteReference"/>
        </w:rPr>
        <w:footnoteRef/>
      </w:r>
      <w:r w:rsidRPr="00BA23E0">
        <w:rPr>
          <w:lang w:val="es-AR"/>
        </w:rPr>
        <w:t xml:space="preserve"> </w:t>
      </w:r>
      <w:r w:rsidRPr="00BA23E0">
        <w:rPr>
          <w:i/>
          <w:lang w:val="es-AR"/>
        </w:rPr>
        <w:t>Id.</w:t>
      </w:r>
      <w:r w:rsidRPr="00BA23E0">
        <w:rPr>
          <w:lang w:val="es-AR"/>
        </w:rPr>
        <w:t xml:space="preserve"> at 16319, para. 5.</w:t>
      </w:r>
    </w:p>
  </w:footnote>
  <w:footnote w:id="6">
    <w:p w14:paraId="355A57F2" w14:textId="77777777" w:rsidR="00FC219E" w:rsidRPr="00BA23E0" w:rsidRDefault="00FC219E">
      <w:pPr>
        <w:pStyle w:val="FootnoteText"/>
        <w:rPr>
          <w:lang w:val="es-AR"/>
        </w:rPr>
      </w:pPr>
      <w:r>
        <w:rPr>
          <w:rStyle w:val="FootnoteReference"/>
        </w:rPr>
        <w:footnoteRef/>
      </w:r>
      <w:r w:rsidRPr="00BA23E0">
        <w:rPr>
          <w:lang w:val="es-AR"/>
        </w:rPr>
        <w:t xml:space="preserve"> </w:t>
      </w:r>
      <w:r w:rsidRPr="00BA23E0">
        <w:rPr>
          <w:i/>
          <w:lang w:val="es-AR"/>
        </w:rPr>
        <w:t>Id</w:t>
      </w:r>
      <w:r w:rsidRPr="00BA23E0">
        <w:rPr>
          <w:lang w:val="es-AR"/>
        </w:rPr>
        <w:t>.</w:t>
      </w:r>
    </w:p>
  </w:footnote>
  <w:footnote w:id="7">
    <w:p w14:paraId="65ECAE56" w14:textId="3D7D1A69" w:rsidR="00BF522F" w:rsidRDefault="00BF522F">
      <w:pPr>
        <w:pStyle w:val="FootnoteText"/>
      </w:pPr>
      <w:r>
        <w:rPr>
          <w:rStyle w:val="FootnoteReference"/>
        </w:rPr>
        <w:footnoteRef/>
      </w:r>
      <w:r>
        <w:t xml:space="preserve"> </w:t>
      </w:r>
      <w:r w:rsidR="00F31B2B" w:rsidRPr="00A75A9F">
        <w:rPr>
          <w:i/>
        </w:rPr>
        <w:t>See</w:t>
      </w:r>
      <w:r w:rsidR="00F31B2B">
        <w:t xml:space="preserve"> </w:t>
      </w:r>
      <w:r w:rsidR="00F31B2B" w:rsidRPr="00F31B2B">
        <w:t>47</w:t>
      </w:r>
      <w:r w:rsidR="00F31B2B">
        <w:t xml:space="preserve"> CFR § 90.20(c)(3) (for channel spacing in the 150 MHz band in the Public Safety Pool).  </w:t>
      </w:r>
      <w:r w:rsidRPr="00F31B2B">
        <w:rPr>
          <w:i/>
        </w:rPr>
        <w:t>See</w:t>
      </w:r>
      <w:r w:rsidR="00735465">
        <w:rPr>
          <w:i/>
        </w:rPr>
        <w:t xml:space="preserve"> also</w:t>
      </w:r>
      <w:r w:rsidR="00CD2C00">
        <w:t xml:space="preserve"> attachment labeled “WAIVER”</w:t>
      </w:r>
      <w:r w:rsidR="00C8632A">
        <w:t xml:space="preserve"> to ULS a</w:t>
      </w:r>
      <w:r w:rsidR="00CD2C00">
        <w:t xml:space="preserve">pplication </w:t>
      </w:r>
      <w:r w:rsidR="00C8632A">
        <w:t>number</w:t>
      </w:r>
      <w:r w:rsidR="00CD2C00">
        <w:t xml:space="preserve"> </w:t>
      </w:r>
      <w:r w:rsidR="00CD2C00" w:rsidRPr="00CD2C00">
        <w:t>0001036496</w:t>
      </w:r>
      <w:r w:rsidR="00CD2C00">
        <w:t xml:space="preserve">, filed September 23, 2002 at </w:t>
      </w:r>
      <w:r w:rsidR="00B8705E">
        <w:t>24-25</w:t>
      </w:r>
      <w:r w:rsidR="008E2250">
        <w:t>,</w:t>
      </w:r>
      <w:r w:rsidR="009E1DC5">
        <w:t xml:space="preserve"> </w:t>
      </w:r>
      <w:r w:rsidR="00CD2C00">
        <w:t>4</w:t>
      </w:r>
      <w:r w:rsidR="00B8705E">
        <w:t>2</w:t>
      </w:r>
      <w:r w:rsidR="00CD2C00">
        <w:t xml:space="preserve"> (2002 ALMR Waiver Request)</w:t>
      </w:r>
      <w:r w:rsidR="0072451D">
        <w:t xml:space="preserve"> </w:t>
      </w:r>
      <w:r w:rsidR="00F31B2B">
        <w:t>(for a description of Alaska’s efforts to pair</w:t>
      </w:r>
      <w:r w:rsidR="00735465">
        <w:t xml:space="preserve"> 150 MHz </w:t>
      </w:r>
      <w:r w:rsidR="00F31B2B">
        <w:t xml:space="preserve">Public Safety Pool channels with </w:t>
      </w:r>
      <w:r w:rsidR="00BC06C4">
        <w:t xml:space="preserve">138-144 MHz </w:t>
      </w:r>
      <w:r w:rsidR="00B8705E">
        <w:t xml:space="preserve">Federal Government </w:t>
      </w:r>
      <w:r w:rsidR="00F31B2B">
        <w:t>channels</w:t>
      </w:r>
      <w:r w:rsidR="00735465">
        <w:t>)</w:t>
      </w:r>
      <w:r w:rsidR="00CD2C00">
        <w:t xml:space="preserve">.  </w:t>
      </w:r>
      <w:r>
        <w:t xml:space="preserve">    </w:t>
      </w:r>
    </w:p>
  </w:footnote>
  <w:footnote w:id="8">
    <w:p w14:paraId="43E907C3" w14:textId="349CE86C" w:rsidR="00CD2C00" w:rsidRPr="00CD2C00" w:rsidRDefault="00CD2C00">
      <w:pPr>
        <w:pStyle w:val="FootnoteText"/>
      </w:pPr>
      <w:r>
        <w:rPr>
          <w:rStyle w:val="FootnoteReference"/>
        </w:rPr>
        <w:footnoteRef/>
      </w:r>
      <w:r>
        <w:t xml:space="preserve"> </w:t>
      </w:r>
      <w:r w:rsidR="00B8705E">
        <w:t>2002 ALMR Waiver Request</w:t>
      </w:r>
      <w:r w:rsidR="00B8705E">
        <w:rPr>
          <w:i/>
        </w:rPr>
        <w:t xml:space="preserve"> </w:t>
      </w:r>
      <w:r>
        <w:t>at 1, 25</w:t>
      </w:r>
      <w:r w:rsidR="008E2250">
        <w:t>,</w:t>
      </w:r>
      <w:r w:rsidR="00B8705E">
        <w:t xml:space="preserve"> 42</w:t>
      </w:r>
      <w:r>
        <w:t>.</w:t>
      </w:r>
      <w:r w:rsidR="00B8705E">
        <w:t xml:space="preserve">  Specifically, Alaska sought to offset thirty-one frequencies </w:t>
      </w:r>
      <w:r w:rsidR="008E2250">
        <w:t xml:space="preserve">by </w:t>
      </w:r>
      <w:r w:rsidR="00B8705E">
        <w:t xml:space="preserve">-2.5 kHz at 143 sites across the state and offset thirty frequencies +2.5 kHz at 134 sites across the state.  </w:t>
      </w:r>
      <w:r w:rsidR="00B8705E" w:rsidRPr="00B8705E">
        <w:rPr>
          <w:i/>
        </w:rPr>
        <w:t>Id</w:t>
      </w:r>
      <w:r w:rsidR="00B8705E">
        <w:t>. at 42.</w:t>
      </w:r>
    </w:p>
  </w:footnote>
  <w:footnote w:id="9">
    <w:p w14:paraId="5DDB9A9B" w14:textId="77777777" w:rsidR="00CD2C00" w:rsidRDefault="00CD2C00">
      <w:pPr>
        <w:pStyle w:val="FootnoteText"/>
      </w:pPr>
      <w:r>
        <w:rPr>
          <w:rStyle w:val="FootnoteReference"/>
        </w:rPr>
        <w:footnoteRef/>
      </w:r>
      <w:r>
        <w:t xml:space="preserve"> </w:t>
      </w:r>
      <w:r w:rsidRPr="00CD2C00">
        <w:rPr>
          <w:i/>
        </w:rPr>
        <w:t>Id</w:t>
      </w:r>
      <w:r>
        <w:t>. at 25.</w:t>
      </w:r>
    </w:p>
  </w:footnote>
  <w:footnote w:id="10">
    <w:p w14:paraId="4CC7132F" w14:textId="77777777" w:rsidR="00765A0A" w:rsidRPr="00BC5893" w:rsidRDefault="00765A0A">
      <w:pPr>
        <w:pStyle w:val="FootnoteText"/>
      </w:pPr>
      <w:r>
        <w:rPr>
          <w:rStyle w:val="FootnoteReference"/>
        </w:rPr>
        <w:footnoteRef/>
      </w:r>
      <w:r w:rsidRPr="00BC5893">
        <w:t xml:space="preserve"> </w:t>
      </w:r>
      <w:r w:rsidRPr="00BC5893">
        <w:rPr>
          <w:i/>
        </w:rPr>
        <w:t>ALMR MO&amp;O</w:t>
      </w:r>
      <w:r w:rsidRPr="00BC5893">
        <w:t>, 18 FCC Rcd 16326-27 para. 15.</w:t>
      </w:r>
    </w:p>
  </w:footnote>
  <w:footnote w:id="11">
    <w:p w14:paraId="0C37DAFA" w14:textId="77777777" w:rsidR="004405FB" w:rsidRDefault="004405FB">
      <w:pPr>
        <w:pStyle w:val="FootnoteText"/>
      </w:pPr>
      <w:r>
        <w:rPr>
          <w:rStyle w:val="FootnoteReference"/>
        </w:rPr>
        <w:footnoteRef/>
      </w:r>
      <w:r>
        <w:t xml:space="preserve"> </w:t>
      </w:r>
      <w:r>
        <w:rPr>
          <w:i/>
        </w:rPr>
        <w:t xml:space="preserve">See </w:t>
      </w:r>
      <w:r>
        <w:t>2002 ALMR Waiver Request</w:t>
      </w:r>
      <w:r>
        <w:rPr>
          <w:i/>
        </w:rPr>
        <w:t xml:space="preserve"> </w:t>
      </w:r>
      <w:r>
        <w:t>at 45-49.</w:t>
      </w:r>
    </w:p>
  </w:footnote>
  <w:footnote w:id="12">
    <w:p w14:paraId="55D867AF" w14:textId="77777777" w:rsidR="00BC5893" w:rsidRDefault="00BC5893">
      <w:pPr>
        <w:pStyle w:val="FootnoteText"/>
      </w:pPr>
      <w:r>
        <w:rPr>
          <w:rStyle w:val="FootnoteReference"/>
        </w:rPr>
        <w:footnoteRef/>
      </w:r>
      <w:r w:rsidRPr="00B20393">
        <w:rPr>
          <w:lang w:val="es-AR"/>
        </w:rPr>
        <w:t xml:space="preserve"> </w:t>
      </w:r>
      <w:r w:rsidR="005657A2" w:rsidRPr="00B20393">
        <w:rPr>
          <w:i/>
          <w:lang w:val="es-AR"/>
        </w:rPr>
        <w:t>ALMR MO&amp;O</w:t>
      </w:r>
      <w:r w:rsidR="00AC5A6C" w:rsidRPr="00B20393">
        <w:rPr>
          <w:lang w:val="es-AR"/>
        </w:rPr>
        <w:t xml:space="preserve">, 18 FCC Rcd 16333 para. </w:t>
      </w:r>
      <w:r w:rsidR="00AC5A6C">
        <w:t>26.</w:t>
      </w:r>
      <w:r>
        <w:t xml:space="preserve"> </w:t>
      </w:r>
    </w:p>
  </w:footnote>
  <w:footnote w:id="13">
    <w:p w14:paraId="6A0E8D9F" w14:textId="77777777" w:rsidR="00AC5A6C" w:rsidRDefault="00AC5A6C">
      <w:pPr>
        <w:pStyle w:val="FootnoteText"/>
      </w:pPr>
      <w:r>
        <w:rPr>
          <w:rStyle w:val="FootnoteReference"/>
        </w:rPr>
        <w:footnoteRef/>
      </w:r>
      <w:r>
        <w:t xml:space="preserve"> </w:t>
      </w:r>
      <w:r w:rsidRPr="00AC5A6C">
        <w:rPr>
          <w:i/>
        </w:rPr>
        <w:t>Id</w:t>
      </w:r>
      <w:r>
        <w:t>.</w:t>
      </w:r>
    </w:p>
  </w:footnote>
  <w:footnote w:id="14">
    <w:p w14:paraId="4B5BFFED" w14:textId="77777777" w:rsidR="00EB6106" w:rsidRDefault="00EB6106">
      <w:pPr>
        <w:pStyle w:val="FootnoteText"/>
      </w:pPr>
      <w:r>
        <w:rPr>
          <w:rStyle w:val="FootnoteReference"/>
        </w:rPr>
        <w:footnoteRef/>
      </w:r>
      <w:r>
        <w:t xml:space="preserve"> Alaska </w:t>
      </w:r>
      <w:r w:rsidRPr="00F817DE">
        <w:t>Application</w:t>
      </w:r>
      <w:r>
        <w:t>.</w:t>
      </w:r>
    </w:p>
  </w:footnote>
  <w:footnote w:id="15">
    <w:p w14:paraId="237607E8" w14:textId="77777777" w:rsidR="00EB6106" w:rsidRDefault="00EB6106">
      <w:pPr>
        <w:pStyle w:val="FootnoteText"/>
      </w:pPr>
      <w:r>
        <w:rPr>
          <w:rStyle w:val="FootnoteReference"/>
        </w:rPr>
        <w:footnoteRef/>
      </w:r>
      <w:r>
        <w:t xml:space="preserve"> Waiver Request at 1.</w:t>
      </w:r>
    </w:p>
  </w:footnote>
  <w:footnote w:id="16">
    <w:p w14:paraId="021A1CD6" w14:textId="77777777" w:rsidR="00EB6106" w:rsidRPr="00EB6106" w:rsidRDefault="00EB6106">
      <w:pPr>
        <w:pStyle w:val="FootnoteText"/>
        <w:rPr>
          <w:i/>
        </w:rPr>
      </w:pPr>
      <w:r>
        <w:rPr>
          <w:rStyle w:val="FootnoteReference"/>
        </w:rPr>
        <w:footnoteRef/>
      </w:r>
      <w:r>
        <w:t xml:space="preserve"> </w:t>
      </w:r>
      <w:r>
        <w:rPr>
          <w:i/>
        </w:rPr>
        <w:t>Id.</w:t>
      </w:r>
    </w:p>
  </w:footnote>
  <w:footnote w:id="17">
    <w:p w14:paraId="3ED0F125" w14:textId="77777777" w:rsidR="005657A2" w:rsidRPr="005657A2" w:rsidRDefault="005657A2">
      <w:pPr>
        <w:pStyle w:val="FootnoteText"/>
      </w:pPr>
      <w:r>
        <w:rPr>
          <w:rStyle w:val="FootnoteReference"/>
        </w:rPr>
        <w:footnoteRef/>
      </w:r>
      <w:r>
        <w:t xml:space="preserve"> </w:t>
      </w:r>
      <w:r w:rsidR="00642E69">
        <w:t xml:space="preserve">Alaska seeks to operate on two channels which are offset 2.5 kHz above the standard channel center, two channels which are offset 2.5 kHz below the standard channel center and on one channel with a standard channel center.  </w:t>
      </w:r>
      <w:r>
        <w:rPr>
          <w:i/>
        </w:rPr>
        <w:t xml:space="preserve">See </w:t>
      </w:r>
      <w:r>
        <w:t xml:space="preserve">Alaska </w:t>
      </w:r>
      <w:r w:rsidRPr="00F817DE">
        <w:t>Application</w:t>
      </w:r>
      <w:r>
        <w:t>.</w:t>
      </w:r>
      <w:r w:rsidR="00642E69">
        <w:t xml:space="preserve">  </w:t>
      </w:r>
      <w:r w:rsidR="00642E69" w:rsidRPr="00642E69">
        <w:rPr>
          <w:i/>
        </w:rPr>
        <w:t>See also</w:t>
      </w:r>
      <w:r w:rsidR="00642E69">
        <w:t xml:space="preserve"> 47 CFR § 90.20(c)(3).</w:t>
      </w:r>
    </w:p>
  </w:footnote>
  <w:footnote w:id="18">
    <w:p w14:paraId="70BFE325" w14:textId="77777777" w:rsidR="001B6F07" w:rsidRDefault="001B6F07">
      <w:pPr>
        <w:pStyle w:val="FootnoteText"/>
      </w:pPr>
      <w:r>
        <w:rPr>
          <w:rStyle w:val="FootnoteReference"/>
        </w:rPr>
        <w:footnoteRef/>
      </w:r>
      <w:r>
        <w:t xml:space="preserve"> </w:t>
      </w:r>
      <w:r w:rsidR="005657A2">
        <w:t>Waiver Request at 1.</w:t>
      </w:r>
    </w:p>
  </w:footnote>
  <w:footnote w:id="19">
    <w:p w14:paraId="0C79F6F5" w14:textId="77777777" w:rsidR="0029584E" w:rsidRDefault="0029584E">
      <w:pPr>
        <w:pStyle w:val="FootnoteText"/>
      </w:pPr>
      <w:r>
        <w:rPr>
          <w:rStyle w:val="FootnoteReference"/>
        </w:rPr>
        <w:footnoteRef/>
      </w:r>
      <w:r>
        <w:t xml:space="preserve"> </w:t>
      </w:r>
      <w:r>
        <w:rPr>
          <w:i/>
        </w:rPr>
        <w:t>Id.</w:t>
      </w:r>
    </w:p>
  </w:footnote>
  <w:footnote w:id="20">
    <w:p w14:paraId="3E03D9DD" w14:textId="77777777" w:rsidR="0029584E" w:rsidRDefault="0029584E">
      <w:pPr>
        <w:pStyle w:val="FootnoteText"/>
      </w:pPr>
      <w:r>
        <w:rPr>
          <w:rStyle w:val="FootnoteReference"/>
        </w:rPr>
        <w:footnoteRef/>
      </w:r>
      <w:r>
        <w:t xml:space="preserve"> </w:t>
      </w:r>
      <w:r>
        <w:rPr>
          <w:i/>
        </w:rPr>
        <w:t>Id.</w:t>
      </w:r>
    </w:p>
  </w:footnote>
  <w:footnote w:id="21">
    <w:p w14:paraId="34C9CA5A" w14:textId="104FD9FF" w:rsidR="00EF4BF1" w:rsidRDefault="00EF4BF1">
      <w:pPr>
        <w:pStyle w:val="FootnoteText"/>
      </w:pPr>
      <w:r>
        <w:rPr>
          <w:rStyle w:val="FootnoteReference"/>
        </w:rPr>
        <w:footnoteRef/>
      </w:r>
      <w:r>
        <w:t xml:space="preserve"> Attachment to Alaska </w:t>
      </w:r>
      <w:r w:rsidRPr="00F817DE">
        <w:t>Application</w:t>
      </w:r>
      <w:r>
        <w:t xml:space="preserve"> labeled “</w:t>
      </w:r>
      <w:r w:rsidR="00D51FEA" w:rsidRPr="00D51FEA">
        <w:t>COOR</w:t>
      </w:r>
      <w:r w:rsidR="00D51FEA">
        <w:t xml:space="preserve">DINATOR'S ENGINEERING STATEMENT” </w:t>
      </w:r>
      <w:r w:rsidR="00216E88">
        <w:t>(Aug. 31, 2017)</w:t>
      </w:r>
      <w:r w:rsidR="00A75A9F">
        <w:t xml:space="preserve"> </w:t>
      </w:r>
      <w:r>
        <w:t>(Frequency Coordinator Statement).</w:t>
      </w:r>
    </w:p>
  </w:footnote>
  <w:footnote w:id="22">
    <w:p w14:paraId="3C64BB15" w14:textId="77777777" w:rsidR="00EF4BF1" w:rsidRDefault="00EF4BF1">
      <w:pPr>
        <w:pStyle w:val="FootnoteText"/>
      </w:pPr>
      <w:r>
        <w:rPr>
          <w:rStyle w:val="FootnoteReference"/>
        </w:rPr>
        <w:footnoteRef/>
      </w:r>
      <w:r>
        <w:t xml:space="preserve"> </w:t>
      </w:r>
      <w:r>
        <w:rPr>
          <w:i/>
        </w:rPr>
        <w:t>Id.</w:t>
      </w:r>
    </w:p>
  </w:footnote>
  <w:footnote w:id="23">
    <w:p w14:paraId="7F69ED0A" w14:textId="77777777" w:rsidR="00EF4BF1" w:rsidRDefault="00EF4BF1">
      <w:pPr>
        <w:pStyle w:val="FootnoteText"/>
      </w:pPr>
      <w:r>
        <w:rPr>
          <w:rStyle w:val="FootnoteReference"/>
        </w:rPr>
        <w:footnoteRef/>
      </w:r>
      <w:r>
        <w:t xml:space="preserve"> </w:t>
      </w:r>
      <w:r>
        <w:rPr>
          <w:i/>
        </w:rPr>
        <w:t>Id.</w:t>
      </w:r>
    </w:p>
  </w:footnote>
  <w:footnote w:id="24">
    <w:p w14:paraId="1DB7A5BA" w14:textId="77777777" w:rsidR="00037F0F" w:rsidRDefault="00037F0F" w:rsidP="003622DA">
      <w:pPr>
        <w:pStyle w:val="FootnoteText"/>
      </w:pPr>
      <w:r>
        <w:rPr>
          <w:rStyle w:val="FootnoteReference"/>
        </w:rPr>
        <w:footnoteRef/>
      </w:r>
      <w:r>
        <w:t xml:space="preserve"> 47 </w:t>
      </w:r>
      <w:r w:rsidR="00C843FB">
        <w:t>CFR</w:t>
      </w:r>
      <w:r>
        <w:t xml:space="preserve"> § 1.925(b)(3)(i).</w:t>
      </w:r>
    </w:p>
  </w:footnote>
  <w:footnote w:id="25">
    <w:p w14:paraId="295D853F" w14:textId="77777777" w:rsidR="00037F0F" w:rsidRPr="00284FC2" w:rsidRDefault="00037F0F" w:rsidP="003622DA">
      <w:pPr>
        <w:pStyle w:val="FootnoteText"/>
        <w:rPr>
          <w:sz w:val="22"/>
          <w:szCs w:val="22"/>
        </w:rPr>
      </w:pPr>
      <w:r>
        <w:rPr>
          <w:rStyle w:val="FootnoteReference"/>
        </w:rPr>
        <w:footnoteRef/>
      </w:r>
      <w:r w:rsidRPr="00284FC2">
        <w:t xml:space="preserve"> 47 </w:t>
      </w:r>
      <w:r w:rsidR="00C843FB" w:rsidRPr="00284FC2">
        <w:t>CFR</w:t>
      </w:r>
      <w:r w:rsidRPr="00284FC2">
        <w:t xml:space="preserve"> § 1.925(b)(3)(ii).</w:t>
      </w:r>
    </w:p>
  </w:footnote>
  <w:footnote w:id="26">
    <w:p w14:paraId="03CD8FF7" w14:textId="77777777" w:rsidR="00AF6B0B" w:rsidRDefault="00AF6B0B">
      <w:pPr>
        <w:pStyle w:val="FootnoteText"/>
      </w:pPr>
      <w:r>
        <w:rPr>
          <w:rStyle w:val="FootnoteReference"/>
        </w:rPr>
        <w:footnoteRef/>
      </w:r>
      <w:r>
        <w:t xml:space="preserve"> Waiver Request at 1.</w:t>
      </w:r>
    </w:p>
  </w:footnote>
  <w:footnote w:id="27">
    <w:p w14:paraId="0018B48D" w14:textId="77777777" w:rsidR="00F776FC" w:rsidRDefault="00F776FC">
      <w:pPr>
        <w:pStyle w:val="FootnoteText"/>
      </w:pPr>
      <w:r>
        <w:rPr>
          <w:rStyle w:val="FootnoteReference"/>
        </w:rPr>
        <w:footnoteRef/>
      </w:r>
      <w:r>
        <w:t xml:space="preserve"> </w:t>
      </w:r>
      <w:r w:rsidR="00AF6B0B">
        <w:rPr>
          <w:i/>
        </w:rPr>
        <w:t>Id.</w:t>
      </w:r>
    </w:p>
  </w:footnote>
  <w:footnote w:id="28">
    <w:p w14:paraId="4ED33314" w14:textId="77777777" w:rsidR="000A0559" w:rsidRDefault="000A0559">
      <w:pPr>
        <w:pStyle w:val="FootnoteText"/>
      </w:pPr>
      <w:r>
        <w:rPr>
          <w:rStyle w:val="FootnoteReference"/>
        </w:rPr>
        <w:footnoteRef/>
      </w:r>
      <w:r>
        <w:t xml:space="preserve"> Frequency Coordinator Statement.</w:t>
      </w:r>
    </w:p>
  </w:footnote>
  <w:footnote w:id="29">
    <w:p w14:paraId="175B6667" w14:textId="77777777" w:rsidR="00BE334A" w:rsidRDefault="00BE334A">
      <w:pPr>
        <w:pStyle w:val="FootnoteText"/>
      </w:pPr>
      <w:r>
        <w:rPr>
          <w:rStyle w:val="FootnoteReference"/>
        </w:rPr>
        <w:footnoteRef/>
      </w:r>
      <w:r>
        <w:t xml:space="preserve"> </w:t>
      </w:r>
      <w:r>
        <w:rPr>
          <w:i/>
        </w:rPr>
        <w:t>Id.</w:t>
      </w:r>
    </w:p>
  </w:footnote>
  <w:footnote w:id="30">
    <w:p w14:paraId="28744041" w14:textId="77777777" w:rsidR="00BE334A" w:rsidRPr="00BA591B" w:rsidRDefault="00BE334A">
      <w:pPr>
        <w:pStyle w:val="FootnoteText"/>
      </w:pPr>
      <w:r>
        <w:rPr>
          <w:rStyle w:val="FootnoteReference"/>
        </w:rPr>
        <w:footnoteRef/>
      </w:r>
      <w:r w:rsidRPr="00BA591B">
        <w:t xml:space="preserve"> </w:t>
      </w:r>
      <w:r w:rsidR="00B50F37">
        <w:t xml:space="preserve">Alaska </w:t>
      </w:r>
      <w:r w:rsidR="00133A96" w:rsidRPr="00881505">
        <w:rPr>
          <w:spacing w:val="-2"/>
        </w:rPr>
        <w:t xml:space="preserve">seeks to operate one </w:t>
      </w:r>
      <w:r w:rsidR="008606BC">
        <w:rPr>
          <w:spacing w:val="-2"/>
        </w:rPr>
        <w:t>mobile-only channel</w:t>
      </w:r>
      <w:r w:rsidR="00BA591B">
        <w:rPr>
          <w:spacing w:val="-2"/>
        </w:rPr>
        <w:t xml:space="preserve"> </w:t>
      </w:r>
      <w:r w:rsidR="00133A96" w:rsidRPr="00881505">
        <w:rPr>
          <w:spacing w:val="-2"/>
        </w:rPr>
        <w:t xml:space="preserve">using a standard channel center and </w:t>
      </w:r>
      <w:r w:rsidR="00133A96">
        <w:rPr>
          <w:spacing w:val="-2"/>
        </w:rPr>
        <w:t xml:space="preserve">on </w:t>
      </w:r>
      <w:r w:rsidR="00B50F37">
        <w:rPr>
          <w:spacing w:val="-2"/>
        </w:rPr>
        <w:t xml:space="preserve">the other </w:t>
      </w:r>
      <w:r w:rsidR="008606BC">
        <w:rPr>
          <w:spacing w:val="-2"/>
        </w:rPr>
        <w:t xml:space="preserve">mobile-only </w:t>
      </w:r>
      <w:r w:rsidR="00BA591B">
        <w:rPr>
          <w:spacing w:val="-2"/>
        </w:rPr>
        <w:t xml:space="preserve">channel </w:t>
      </w:r>
      <w:r w:rsidR="008606BC">
        <w:rPr>
          <w:spacing w:val="-2"/>
        </w:rPr>
        <w:t xml:space="preserve">with a channel </w:t>
      </w:r>
      <w:r w:rsidR="00133A96" w:rsidRPr="00881505">
        <w:rPr>
          <w:spacing w:val="-2"/>
        </w:rPr>
        <w:t>center offset 2.5 kHz below the standard channel center</w:t>
      </w:r>
      <w:r w:rsidR="008606BC">
        <w:rPr>
          <w:spacing w:val="-2"/>
        </w:rPr>
        <w:t xml:space="preserve"> listed in the Commission’s rules</w:t>
      </w:r>
      <w:r w:rsidR="00133A96" w:rsidRPr="00881505">
        <w:rPr>
          <w:spacing w:val="-2"/>
        </w:rPr>
        <w:t>.</w:t>
      </w:r>
      <w:r w:rsidR="00133A96">
        <w:rPr>
          <w:spacing w:val="-2"/>
        </w:rPr>
        <w:t xml:space="preserve">  </w:t>
      </w:r>
      <w:r w:rsidR="00133A96" w:rsidRPr="00133A96">
        <w:rPr>
          <w:i/>
          <w:spacing w:val="-2"/>
        </w:rPr>
        <w:t>See</w:t>
      </w:r>
      <w:r w:rsidR="00133A96">
        <w:rPr>
          <w:spacing w:val="-2"/>
        </w:rPr>
        <w:t xml:space="preserve"> Attachment A.  </w:t>
      </w:r>
      <w:r w:rsidR="00BA591B">
        <w:rPr>
          <w:i/>
          <w:spacing w:val="-2"/>
        </w:rPr>
        <w:t xml:space="preserve">See also </w:t>
      </w:r>
      <w:r w:rsidR="0029053E">
        <w:rPr>
          <w:spacing w:val="-2"/>
        </w:rPr>
        <w:t xml:space="preserve">47 CFR </w:t>
      </w:r>
      <w:r w:rsidR="0029053E" w:rsidRPr="008606BC">
        <w:t>§</w:t>
      </w:r>
      <w:r w:rsidR="0029053E">
        <w:t xml:space="preserve"> 90.20(c)(3)</w:t>
      </w:r>
      <w:r w:rsidR="00BA591B">
        <w:rPr>
          <w:spacing w:val="-2"/>
        </w:rPr>
        <w:t xml:space="preserve">.  </w:t>
      </w:r>
    </w:p>
  </w:footnote>
  <w:footnote w:id="31">
    <w:p w14:paraId="0ED1D85B" w14:textId="2D039B41" w:rsidR="008606BC" w:rsidRPr="008606BC" w:rsidRDefault="008606BC">
      <w:pPr>
        <w:pStyle w:val="FootnoteText"/>
      </w:pPr>
      <w:r>
        <w:rPr>
          <w:rStyle w:val="FootnoteReference"/>
        </w:rPr>
        <w:footnoteRef/>
      </w:r>
      <w:r>
        <w:t xml:space="preserve"> </w:t>
      </w:r>
      <w:r>
        <w:rPr>
          <w:i/>
        </w:rPr>
        <w:t>See</w:t>
      </w:r>
      <w:r w:rsidR="008E2250">
        <w:rPr>
          <w:i/>
        </w:rPr>
        <w:t>,</w:t>
      </w:r>
      <w:r>
        <w:rPr>
          <w:i/>
        </w:rPr>
        <w:t xml:space="preserve"> e.g.</w:t>
      </w:r>
      <w:r w:rsidR="008E2250">
        <w:rPr>
          <w:i/>
        </w:rPr>
        <w:t>,</w:t>
      </w:r>
      <w:r>
        <w:t xml:space="preserve"> </w:t>
      </w:r>
      <w:r w:rsidRPr="008606BC">
        <w:rPr>
          <w:i/>
        </w:rPr>
        <w:t>Union County, Florida</w:t>
      </w:r>
      <w:r>
        <w:t xml:space="preserve">, Order Proposing Modification, </w:t>
      </w:r>
      <w:r w:rsidRPr="008606BC">
        <w:t>30 FCC Rcd 181</w:t>
      </w:r>
      <w:r w:rsidR="00170C5D">
        <w:t xml:space="preserve"> </w:t>
      </w:r>
      <w:r>
        <w:t>(PSHSB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D3357" w14:textId="77777777" w:rsidR="00A24297" w:rsidRDefault="00A24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FADC9" w14:textId="3EE09607" w:rsidR="00037F0F" w:rsidRDefault="00037F0F" w:rsidP="00810B6F">
    <w:pPr>
      <w:pStyle w:val="Header"/>
      <w:rPr>
        <w:b w:val="0"/>
      </w:rPr>
    </w:pPr>
    <w:r>
      <w:tab/>
      <w:t>Federal Communications Commission</w:t>
    </w:r>
    <w:r>
      <w:tab/>
    </w:r>
    <w:r w:rsidR="002E0B5A">
      <w:t xml:space="preserve">DA </w:t>
    </w:r>
    <w:r w:rsidR="002B724A" w:rsidRPr="002B724A">
      <w:t>17-</w:t>
    </w:r>
    <w:r w:rsidR="00A75A9F">
      <w:t>1157</w:t>
    </w:r>
  </w:p>
  <w:p w14:paraId="77CAD60D" w14:textId="77777777" w:rsidR="00037F0F" w:rsidRDefault="00037F0F">
    <w:pPr>
      <w:tabs>
        <w:tab w:val="left" w:pos="-720"/>
      </w:tabs>
      <w:suppressAutoHyphens/>
      <w:spacing w:line="19" w:lineRule="exact"/>
      <w:rPr>
        <w:spacing w:val="-2"/>
      </w:rPr>
    </w:pPr>
    <w:r>
      <w:rPr>
        <w:noProof/>
      </w:rPr>
      <mc:AlternateContent>
        <mc:Choice Requires="wps">
          <w:drawing>
            <wp:anchor distT="0" distB="0" distL="114300" distR="114300" simplePos="0" relativeHeight="251659776" behindDoc="1" locked="0" layoutInCell="0" allowOverlap="1" wp14:anchorId="74D3DA69" wp14:editId="7E6ED83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B3AEF0" id="Rectangle 1" o:spid="_x0000_s1026"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B82AF5A" w14:textId="77777777" w:rsidR="00037F0F" w:rsidRDefault="00037F0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414E" w14:textId="75477D9A" w:rsidR="00037F0F" w:rsidRDefault="00037F0F" w:rsidP="00810B6F">
    <w:pPr>
      <w:pStyle w:val="Header"/>
      <w:rPr>
        <w:b w:val="0"/>
      </w:rPr>
    </w:pPr>
    <w:r>
      <w:rPr>
        <w:noProof/>
      </w:rPr>
      <mc:AlternateContent>
        <mc:Choice Requires="wps">
          <w:drawing>
            <wp:anchor distT="0" distB="0" distL="114300" distR="114300" simplePos="0" relativeHeight="251658240" behindDoc="1" locked="0" layoutInCell="0" allowOverlap="1" wp14:anchorId="7D6AA427" wp14:editId="7F28601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BCA04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485C03">
      <w:rPr>
        <w:spacing w:val="-2"/>
      </w:rPr>
      <w:t xml:space="preserve">DA </w:t>
    </w:r>
    <w:r w:rsidR="002B724A" w:rsidRPr="002B724A">
      <w:rPr>
        <w:spacing w:val="-2"/>
      </w:rPr>
      <w:t>17-</w:t>
    </w:r>
    <w:r w:rsidR="00A75A9F">
      <w:rPr>
        <w:spacing w:val="-2"/>
      </w:rPr>
      <w:t>1157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02025E96"/>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color w:val="auto"/>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7"/>
    <w:lvlOverride w:ilvl="0">
      <w:startOverride w:val="1"/>
    </w:lvlOverride>
  </w:num>
  <w:num w:numId="8">
    <w:abstractNumId w:val="0"/>
  </w:num>
  <w:num w:numId="9">
    <w:abstractNumId w:val="7"/>
    <w:lvlOverride w:ilvl="0">
      <w:startOverride w:val="1"/>
    </w:lvlOverride>
  </w:num>
  <w:num w:numId="10">
    <w:abstractNumId w:val="6"/>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8F"/>
    <w:rsid w:val="0000376A"/>
    <w:rsid w:val="00003BE7"/>
    <w:rsid w:val="0001497E"/>
    <w:rsid w:val="00025314"/>
    <w:rsid w:val="00031273"/>
    <w:rsid w:val="00036039"/>
    <w:rsid w:val="00037F0F"/>
    <w:rsid w:val="00037F90"/>
    <w:rsid w:val="00041C3E"/>
    <w:rsid w:val="00044C0A"/>
    <w:rsid w:val="00050FCF"/>
    <w:rsid w:val="00051BD6"/>
    <w:rsid w:val="000529BD"/>
    <w:rsid w:val="00063935"/>
    <w:rsid w:val="00081A8B"/>
    <w:rsid w:val="000875BF"/>
    <w:rsid w:val="00096D8C"/>
    <w:rsid w:val="000A0167"/>
    <w:rsid w:val="000A0559"/>
    <w:rsid w:val="000A7D45"/>
    <w:rsid w:val="000C0B65"/>
    <w:rsid w:val="000C2D1C"/>
    <w:rsid w:val="000D3C5E"/>
    <w:rsid w:val="000D528F"/>
    <w:rsid w:val="000D7294"/>
    <w:rsid w:val="000D7A67"/>
    <w:rsid w:val="000E0181"/>
    <w:rsid w:val="000E05FE"/>
    <w:rsid w:val="000E3D42"/>
    <w:rsid w:val="000E596C"/>
    <w:rsid w:val="000F7E02"/>
    <w:rsid w:val="00114223"/>
    <w:rsid w:val="00114C27"/>
    <w:rsid w:val="00115BC0"/>
    <w:rsid w:val="001221E1"/>
    <w:rsid w:val="00122BD5"/>
    <w:rsid w:val="00123B8C"/>
    <w:rsid w:val="00126105"/>
    <w:rsid w:val="00131511"/>
    <w:rsid w:val="00132492"/>
    <w:rsid w:val="00132E36"/>
    <w:rsid w:val="00133A96"/>
    <w:rsid w:val="00133F79"/>
    <w:rsid w:val="00137BE1"/>
    <w:rsid w:val="0015154F"/>
    <w:rsid w:val="0016158F"/>
    <w:rsid w:val="00162444"/>
    <w:rsid w:val="00164060"/>
    <w:rsid w:val="00167849"/>
    <w:rsid w:val="00170C5D"/>
    <w:rsid w:val="00181407"/>
    <w:rsid w:val="00194A66"/>
    <w:rsid w:val="00196091"/>
    <w:rsid w:val="001A348F"/>
    <w:rsid w:val="001A4144"/>
    <w:rsid w:val="001B6F07"/>
    <w:rsid w:val="001B7111"/>
    <w:rsid w:val="001C45F4"/>
    <w:rsid w:val="001D0DA2"/>
    <w:rsid w:val="001D4A27"/>
    <w:rsid w:val="001D4B77"/>
    <w:rsid w:val="001D6794"/>
    <w:rsid w:val="001D6BCF"/>
    <w:rsid w:val="001E01CA"/>
    <w:rsid w:val="001E2E98"/>
    <w:rsid w:val="001E62E2"/>
    <w:rsid w:val="001F173C"/>
    <w:rsid w:val="001F1D7F"/>
    <w:rsid w:val="001F396B"/>
    <w:rsid w:val="0020000B"/>
    <w:rsid w:val="00203B89"/>
    <w:rsid w:val="00203F05"/>
    <w:rsid w:val="002047DF"/>
    <w:rsid w:val="0020583E"/>
    <w:rsid w:val="00214EC7"/>
    <w:rsid w:val="002164BA"/>
    <w:rsid w:val="00216E88"/>
    <w:rsid w:val="002321A1"/>
    <w:rsid w:val="00234751"/>
    <w:rsid w:val="0023616F"/>
    <w:rsid w:val="00236C3B"/>
    <w:rsid w:val="0024169A"/>
    <w:rsid w:val="00242AB8"/>
    <w:rsid w:val="00244961"/>
    <w:rsid w:val="002506B1"/>
    <w:rsid w:val="00250AE4"/>
    <w:rsid w:val="00253E0A"/>
    <w:rsid w:val="00255584"/>
    <w:rsid w:val="002563D8"/>
    <w:rsid w:val="0026321D"/>
    <w:rsid w:val="00264030"/>
    <w:rsid w:val="00274ECA"/>
    <w:rsid w:val="00275CF5"/>
    <w:rsid w:val="00276698"/>
    <w:rsid w:val="0028301F"/>
    <w:rsid w:val="00284E9F"/>
    <w:rsid w:val="00284FC2"/>
    <w:rsid w:val="00285017"/>
    <w:rsid w:val="0029053E"/>
    <w:rsid w:val="00294D02"/>
    <w:rsid w:val="0029584E"/>
    <w:rsid w:val="002A2D2E"/>
    <w:rsid w:val="002A71BB"/>
    <w:rsid w:val="002B061C"/>
    <w:rsid w:val="002B724A"/>
    <w:rsid w:val="002C00E8"/>
    <w:rsid w:val="002D025A"/>
    <w:rsid w:val="002E0B5A"/>
    <w:rsid w:val="002E27B5"/>
    <w:rsid w:val="002F14CB"/>
    <w:rsid w:val="002F68C0"/>
    <w:rsid w:val="002F762C"/>
    <w:rsid w:val="002F7B7E"/>
    <w:rsid w:val="003066E8"/>
    <w:rsid w:val="00320119"/>
    <w:rsid w:val="00325773"/>
    <w:rsid w:val="00332062"/>
    <w:rsid w:val="003376EC"/>
    <w:rsid w:val="00337ED6"/>
    <w:rsid w:val="00343749"/>
    <w:rsid w:val="00345DC2"/>
    <w:rsid w:val="0036104F"/>
    <w:rsid w:val="003622DA"/>
    <w:rsid w:val="003660ED"/>
    <w:rsid w:val="00367824"/>
    <w:rsid w:val="00370AC1"/>
    <w:rsid w:val="003861DD"/>
    <w:rsid w:val="003A1EEA"/>
    <w:rsid w:val="003A7DC8"/>
    <w:rsid w:val="003B0550"/>
    <w:rsid w:val="003B694F"/>
    <w:rsid w:val="003C3CA4"/>
    <w:rsid w:val="003C5702"/>
    <w:rsid w:val="003D100A"/>
    <w:rsid w:val="003E17DE"/>
    <w:rsid w:val="003E185E"/>
    <w:rsid w:val="003E210B"/>
    <w:rsid w:val="003E4404"/>
    <w:rsid w:val="003E4841"/>
    <w:rsid w:val="003F0250"/>
    <w:rsid w:val="003F171C"/>
    <w:rsid w:val="00402327"/>
    <w:rsid w:val="0040680E"/>
    <w:rsid w:val="00412FC5"/>
    <w:rsid w:val="00420C71"/>
    <w:rsid w:val="00422276"/>
    <w:rsid w:val="004242F1"/>
    <w:rsid w:val="00430292"/>
    <w:rsid w:val="00431CF6"/>
    <w:rsid w:val="004405FB"/>
    <w:rsid w:val="00445A00"/>
    <w:rsid w:val="00451B0F"/>
    <w:rsid w:val="00455192"/>
    <w:rsid w:val="004674D7"/>
    <w:rsid w:val="004834AE"/>
    <w:rsid w:val="00484564"/>
    <w:rsid w:val="00485C03"/>
    <w:rsid w:val="00492079"/>
    <w:rsid w:val="00496D5A"/>
    <w:rsid w:val="004A4449"/>
    <w:rsid w:val="004A4A3E"/>
    <w:rsid w:val="004A6821"/>
    <w:rsid w:val="004B49B2"/>
    <w:rsid w:val="004C105A"/>
    <w:rsid w:val="004C2EE3"/>
    <w:rsid w:val="004E3737"/>
    <w:rsid w:val="004E4A22"/>
    <w:rsid w:val="004E5F04"/>
    <w:rsid w:val="004E71C6"/>
    <w:rsid w:val="004F0E8A"/>
    <w:rsid w:val="004F3A48"/>
    <w:rsid w:val="00500E70"/>
    <w:rsid w:val="00501736"/>
    <w:rsid w:val="00502F93"/>
    <w:rsid w:val="0050392D"/>
    <w:rsid w:val="00503EF1"/>
    <w:rsid w:val="00511968"/>
    <w:rsid w:val="00512113"/>
    <w:rsid w:val="005125B9"/>
    <w:rsid w:val="005140D7"/>
    <w:rsid w:val="00530681"/>
    <w:rsid w:val="00541EC8"/>
    <w:rsid w:val="00554340"/>
    <w:rsid w:val="0055614C"/>
    <w:rsid w:val="005656C0"/>
    <w:rsid w:val="005657A2"/>
    <w:rsid w:val="005709D0"/>
    <w:rsid w:val="00571145"/>
    <w:rsid w:val="00571B1C"/>
    <w:rsid w:val="00580A3A"/>
    <w:rsid w:val="005811F6"/>
    <w:rsid w:val="00597DA3"/>
    <w:rsid w:val="005A2511"/>
    <w:rsid w:val="005B07C4"/>
    <w:rsid w:val="005B1B63"/>
    <w:rsid w:val="005B4569"/>
    <w:rsid w:val="005C6F82"/>
    <w:rsid w:val="005E14C2"/>
    <w:rsid w:val="005F661E"/>
    <w:rsid w:val="00603D18"/>
    <w:rsid w:val="00607BA5"/>
    <w:rsid w:val="0061180A"/>
    <w:rsid w:val="00612FF7"/>
    <w:rsid w:val="006215F8"/>
    <w:rsid w:val="00625F33"/>
    <w:rsid w:val="00626EB6"/>
    <w:rsid w:val="00635A50"/>
    <w:rsid w:val="00642BD0"/>
    <w:rsid w:val="00642E69"/>
    <w:rsid w:val="006462D9"/>
    <w:rsid w:val="00655D03"/>
    <w:rsid w:val="00670713"/>
    <w:rsid w:val="00677744"/>
    <w:rsid w:val="00682123"/>
    <w:rsid w:val="00683388"/>
    <w:rsid w:val="00683F84"/>
    <w:rsid w:val="00687309"/>
    <w:rsid w:val="006A6A81"/>
    <w:rsid w:val="006B779E"/>
    <w:rsid w:val="006C1388"/>
    <w:rsid w:val="006C443A"/>
    <w:rsid w:val="006C4F6D"/>
    <w:rsid w:val="006C5234"/>
    <w:rsid w:val="006D579C"/>
    <w:rsid w:val="006D5E81"/>
    <w:rsid w:val="006E259A"/>
    <w:rsid w:val="006F66B2"/>
    <w:rsid w:val="006F66D0"/>
    <w:rsid w:val="006F7393"/>
    <w:rsid w:val="007016F8"/>
    <w:rsid w:val="0070224F"/>
    <w:rsid w:val="007115F7"/>
    <w:rsid w:val="00721BA5"/>
    <w:rsid w:val="00721C5D"/>
    <w:rsid w:val="0072451D"/>
    <w:rsid w:val="007252FB"/>
    <w:rsid w:val="00734DF2"/>
    <w:rsid w:val="00735465"/>
    <w:rsid w:val="0073611F"/>
    <w:rsid w:val="0074239C"/>
    <w:rsid w:val="00744351"/>
    <w:rsid w:val="00751BBE"/>
    <w:rsid w:val="007527B4"/>
    <w:rsid w:val="0075337B"/>
    <w:rsid w:val="00764FCD"/>
    <w:rsid w:val="00765A0A"/>
    <w:rsid w:val="00771316"/>
    <w:rsid w:val="00785689"/>
    <w:rsid w:val="00796A0B"/>
    <w:rsid w:val="00796F39"/>
    <w:rsid w:val="0079754B"/>
    <w:rsid w:val="007A1E6D"/>
    <w:rsid w:val="007A2AA7"/>
    <w:rsid w:val="007B0EB2"/>
    <w:rsid w:val="007E1346"/>
    <w:rsid w:val="007E20CE"/>
    <w:rsid w:val="007F1411"/>
    <w:rsid w:val="007F5B8C"/>
    <w:rsid w:val="008065FA"/>
    <w:rsid w:val="00810B6F"/>
    <w:rsid w:val="008200D0"/>
    <w:rsid w:val="00821CE1"/>
    <w:rsid w:val="00822CE0"/>
    <w:rsid w:val="00823CF3"/>
    <w:rsid w:val="008270AA"/>
    <w:rsid w:val="00830B73"/>
    <w:rsid w:val="00830CD5"/>
    <w:rsid w:val="008314FB"/>
    <w:rsid w:val="00833F7E"/>
    <w:rsid w:val="00834D89"/>
    <w:rsid w:val="00841AB1"/>
    <w:rsid w:val="00844EC8"/>
    <w:rsid w:val="00845899"/>
    <w:rsid w:val="00846926"/>
    <w:rsid w:val="008554AF"/>
    <w:rsid w:val="008606BC"/>
    <w:rsid w:val="008636EC"/>
    <w:rsid w:val="0087405F"/>
    <w:rsid w:val="00875E3E"/>
    <w:rsid w:val="008764DD"/>
    <w:rsid w:val="00876907"/>
    <w:rsid w:val="00876D17"/>
    <w:rsid w:val="00881505"/>
    <w:rsid w:val="00884563"/>
    <w:rsid w:val="008958D0"/>
    <w:rsid w:val="008B3BA4"/>
    <w:rsid w:val="008B3DE7"/>
    <w:rsid w:val="008B6C90"/>
    <w:rsid w:val="008B72CE"/>
    <w:rsid w:val="008C4711"/>
    <w:rsid w:val="008C68F1"/>
    <w:rsid w:val="008D118C"/>
    <w:rsid w:val="008D2DA2"/>
    <w:rsid w:val="008D6E58"/>
    <w:rsid w:val="008E2250"/>
    <w:rsid w:val="008E2E3D"/>
    <w:rsid w:val="008F34DF"/>
    <w:rsid w:val="00904C18"/>
    <w:rsid w:val="00920224"/>
    <w:rsid w:val="00921803"/>
    <w:rsid w:val="00921E06"/>
    <w:rsid w:val="00926503"/>
    <w:rsid w:val="009276C0"/>
    <w:rsid w:val="0093004D"/>
    <w:rsid w:val="009333AB"/>
    <w:rsid w:val="00933AED"/>
    <w:rsid w:val="00934154"/>
    <w:rsid w:val="009364FC"/>
    <w:rsid w:val="009375BE"/>
    <w:rsid w:val="00950853"/>
    <w:rsid w:val="009528D5"/>
    <w:rsid w:val="009637CC"/>
    <w:rsid w:val="00970007"/>
    <w:rsid w:val="009726D8"/>
    <w:rsid w:val="0097355C"/>
    <w:rsid w:val="00995AAC"/>
    <w:rsid w:val="009A76C2"/>
    <w:rsid w:val="009C77D0"/>
    <w:rsid w:val="009D57BB"/>
    <w:rsid w:val="009D78A8"/>
    <w:rsid w:val="009E1DC5"/>
    <w:rsid w:val="009E4BEF"/>
    <w:rsid w:val="009E7868"/>
    <w:rsid w:val="009F2878"/>
    <w:rsid w:val="009F76DB"/>
    <w:rsid w:val="00A0253D"/>
    <w:rsid w:val="00A03229"/>
    <w:rsid w:val="00A03850"/>
    <w:rsid w:val="00A0540E"/>
    <w:rsid w:val="00A24297"/>
    <w:rsid w:val="00A2452C"/>
    <w:rsid w:val="00A251B3"/>
    <w:rsid w:val="00A32C3B"/>
    <w:rsid w:val="00A33122"/>
    <w:rsid w:val="00A360EC"/>
    <w:rsid w:val="00A45F4F"/>
    <w:rsid w:val="00A474BA"/>
    <w:rsid w:val="00A5243A"/>
    <w:rsid w:val="00A600A9"/>
    <w:rsid w:val="00A62983"/>
    <w:rsid w:val="00A63D92"/>
    <w:rsid w:val="00A67CA0"/>
    <w:rsid w:val="00A72635"/>
    <w:rsid w:val="00A75A9F"/>
    <w:rsid w:val="00A76168"/>
    <w:rsid w:val="00A77195"/>
    <w:rsid w:val="00A85ADD"/>
    <w:rsid w:val="00A93744"/>
    <w:rsid w:val="00AA55B7"/>
    <w:rsid w:val="00AA5B9E"/>
    <w:rsid w:val="00AA7913"/>
    <w:rsid w:val="00AB2407"/>
    <w:rsid w:val="00AB53DF"/>
    <w:rsid w:val="00AB54FB"/>
    <w:rsid w:val="00AC5A6C"/>
    <w:rsid w:val="00AD0E56"/>
    <w:rsid w:val="00AD1EB3"/>
    <w:rsid w:val="00AE038E"/>
    <w:rsid w:val="00AE5F47"/>
    <w:rsid w:val="00AF0FF1"/>
    <w:rsid w:val="00AF11B0"/>
    <w:rsid w:val="00AF6B0B"/>
    <w:rsid w:val="00AF74FA"/>
    <w:rsid w:val="00B00DB5"/>
    <w:rsid w:val="00B01A3E"/>
    <w:rsid w:val="00B02E7E"/>
    <w:rsid w:val="00B07E5C"/>
    <w:rsid w:val="00B13F9B"/>
    <w:rsid w:val="00B15273"/>
    <w:rsid w:val="00B1723F"/>
    <w:rsid w:val="00B20393"/>
    <w:rsid w:val="00B236DA"/>
    <w:rsid w:val="00B272BF"/>
    <w:rsid w:val="00B305D3"/>
    <w:rsid w:val="00B3264E"/>
    <w:rsid w:val="00B342BD"/>
    <w:rsid w:val="00B34D71"/>
    <w:rsid w:val="00B35E97"/>
    <w:rsid w:val="00B37DDC"/>
    <w:rsid w:val="00B42811"/>
    <w:rsid w:val="00B4582B"/>
    <w:rsid w:val="00B47291"/>
    <w:rsid w:val="00B50F37"/>
    <w:rsid w:val="00B56806"/>
    <w:rsid w:val="00B61148"/>
    <w:rsid w:val="00B71237"/>
    <w:rsid w:val="00B7333D"/>
    <w:rsid w:val="00B76097"/>
    <w:rsid w:val="00B811F7"/>
    <w:rsid w:val="00B8705E"/>
    <w:rsid w:val="00B873E7"/>
    <w:rsid w:val="00B923B0"/>
    <w:rsid w:val="00BA23E0"/>
    <w:rsid w:val="00BA591B"/>
    <w:rsid w:val="00BA5DC6"/>
    <w:rsid w:val="00BA6196"/>
    <w:rsid w:val="00BB04D8"/>
    <w:rsid w:val="00BB4136"/>
    <w:rsid w:val="00BC06C4"/>
    <w:rsid w:val="00BC3733"/>
    <w:rsid w:val="00BC5893"/>
    <w:rsid w:val="00BC6D8C"/>
    <w:rsid w:val="00BD532B"/>
    <w:rsid w:val="00BD6791"/>
    <w:rsid w:val="00BD6FF0"/>
    <w:rsid w:val="00BD7DE3"/>
    <w:rsid w:val="00BE072A"/>
    <w:rsid w:val="00BE334A"/>
    <w:rsid w:val="00BE6BC3"/>
    <w:rsid w:val="00BF3021"/>
    <w:rsid w:val="00BF3209"/>
    <w:rsid w:val="00BF522F"/>
    <w:rsid w:val="00BF5A35"/>
    <w:rsid w:val="00C2683C"/>
    <w:rsid w:val="00C26C1D"/>
    <w:rsid w:val="00C30210"/>
    <w:rsid w:val="00C34006"/>
    <w:rsid w:val="00C358FE"/>
    <w:rsid w:val="00C3636A"/>
    <w:rsid w:val="00C36CCB"/>
    <w:rsid w:val="00C407E8"/>
    <w:rsid w:val="00C426B1"/>
    <w:rsid w:val="00C527C8"/>
    <w:rsid w:val="00C5559F"/>
    <w:rsid w:val="00C6378F"/>
    <w:rsid w:val="00C655E6"/>
    <w:rsid w:val="00C66160"/>
    <w:rsid w:val="00C663FC"/>
    <w:rsid w:val="00C715C2"/>
    <w:rsid w:val="00C721AC"/>
    <w:rsid w:val="00C843FB"/>
    <w:rsid w:val="00C849D8"/>
    <w:rsid w:val="00C8632A"/>
    <w:rsid w:val="00C86DE9"/>
    <w:rsid w:val="00C90D6A"/>
    <w:rsid w:val="00C92F67"/>
    <w:rsid w:val="00C9485F"/>
    <w:rsid w:val="00C950D9"/>
    <w:rsid w:val="00C958EE"/>
    <w:rsid w:val="00CA1B55"/>
    <w:rsid w:val="00CA2186"/>
    <w:rsid w:val="00CA247E"/>
    <w:rsid w:val="00CA5E2F"/>
    <w:rsid w:val="00CA7EA6"/>
    <w:rsid w:val="00CB0777"/>
    <w:rsid w:val="00CB3E6F"/>
    <w:rsid w:val="00CB48BE"/>
    <w:rsid w:val="00CB7CCC"/>
    <w:rsid w:val="00CC72B6"/>
    <w:rsid w:val="00CD2C00"/>
    <w:rsid w:val="00CD3F49"/>
    <w:rsid w:val="00CD3F54"/>
    <w:rsid w:val="00CD3FA7"/>
    <w:rsid w:val="00CD710B"/>
    <w:rsid w:val="00CE5E29"/>
    <w:rsid w:val="00D00CC5"/>
    <w:rsid w:val="00D014DA"/>
    <w:rsid w:val="00D0218D"/>
    <w:rsid w:val="00D05652"/>
    <w:rsid w:val="00D119E3"/>
    <w:rsid w:val="00D158A4"/>
    <w:rsid w:val="00D25FB5"/>
    <w:rsid w:val="00D37C74"/>
    <w:rsid w:val="00D44223"/>
    <w:rsid w:val="00D467A5"/>
    <w:rsid w:val="00D51FEA"/>
    <w:rsid w:val="00D52B5F"/>
    <w:rsid w:val="00D659B6"/>
    <w:rsid w:val="00D66A84"/>
    <w:rsid w:val="00D71904"/>
    <w:rsid w:val="00D73A74"/>
    <w:rsid w:val="00D73AC5"/>
    <w:rsid w:val="00D87268"/>
    <w:rsid w:val="00D922A1"/>
    <w:rsid w:val="00D92575"/>
    <w:rsid w:val="00DA12CC"/>
    <w:rsid w:val="00DA21E0"/>
    <w:rsid w:val="00DA2529"/>
    <w:rsid w:val="00DA2826"/>
    <w:rsid w:val="00DB130A"/>
    <w:rsid w:val="00DB2EBB"/>
    <w:rsid w:val="00DC10A1"/>
    <w:rsid w:val="00DC5CE8"/>
    <w:rsid w:val="00DC655F"/>
    <w:rsid w:val="00DC70BC"/>
    <w:rsid w:val="00DD0B59"/>
    <w:rsid w:val="00DD5491"/>
    <w:rsid w:val="00DD555F"/>
    <w:rsid w:val="00DD7EBD"/>
    <w:rsid w:val="00DE61DA"/>
    <w:rsid w:val="00DF0E60"/>
    <w:rsid w:val="00DF43EC"/>
    <w:rsid w:val="00DF62B6"/>
    <w:rsid w:val="00DF75A3"/>
    <w:rsid w:val="00E02EF6"/>
    <w:rsid w:val="00E07225"/>
    <w:rsid w:val="00E10990"/>
    <w:rsid w:val="00E26709"/>
    <w:rsid w:val="00E32CD6"/>
    <w:rsid w:val="00E37BE1"/>
    <w:rsid w:val="00E41917"/>
    <w:rsid w:val="00E435DC"/>
    <w:rsid w:val="00E50213"/>
    <w:rsid w:val="00E5409F"/>
    <w:rsid w:val="00E63127"/>
    <w:rsid w:val="00E65A3B"/>
    <w:rsid w:val="00E7449E"/>
    <w:rsid w:val="00E80A38"/>
    <w:rsid w:val="00E87A70"/>
    <w:rsid w:val="00EA6D0E"/>
    <w:rsid w:val="00EB6106"/>
    <w:rsid w:val="00EC7084"/>
    <w:rsid w:val="00EC7DDC"/>
    <w:rsid w:val="00EE5451"/>
    <w:rsid w:val="00EE6335"/>
    <w:rsid w:val="00EE6488"/>
    <w:rsid w:val="00EE6631"/>
    <w:rsid w:val="00EF17D9"/>
    <w:rsid w:val="00EF4BF1"/>
    <w:rsid w:val="00EF7173"/>
    <w:rsid w:val="00EF79C6"/>
    <w:rsid w:val="00F021FA"/>
    <w:rsid w:val="00F07342"/>
    <w:rsid w:val="00F147BA"/>
    <w:rsid w:val="00F31B2B"/>
    <w:rsid w:val="00F32C3F"/>
    <w:rsid w:val="00F411BD"/>
    <w:rsid w:val="00F50772"/>
    <w:rsid w:val="00F62E97"/>
    <w:rsid w:val="00F64209"/>
    <w:rsid w:val="00F776FC"/>
    <w:rsid w:val="00F817DE"/>
    <w:rsid w:val="00F857CB"/>
    <w:rsid w:val="00F87D67"/>
    <w:rsid w:val="00F93BF5"/>
    <w:rsid w:val="00F95706"/>
    <w:rsid w:val="00F9612C"/>
    <w:rsid w:val="00FA0B0B"/>
    <w:rsid w:val="00FA224B"/>
    <w:rsid w:val="00FA3B59"/>
    <w:rsid w:val="00FA4C49"/>
    <w:rsid w:val="00FA5083"/>
    <w:rsid w:val="00FA5C67"/>
    <w:rsid w:val="00FB3A79"/>
    <w:rsid w:val="00FB7D59"/>
    <w:rsid w:val="00FC219E"/>
    <w:rsid w:val="00FC48A7"/>
    <w:rsid w:val="00FD5D4A"/>
    <w:rsid w:val="00FE370B"/>
    <w:rsid w:val="00FE76C1"/>
    <w:rsid w:val="00FF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CC8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C"/>
    <w:pPr>
      <w:widowControl w:val="0"/>
    </w:pPr>
    <w:rPr>
      <w:snapToGrid w:val="0"/>
      <w:kern w:val="28"/>
      <w:sz w:val="22"/>
    </w:rPr>
  </w:style>
  <w:style w:type="paragraph" w:styleId="Heading1">
    <w:name w:val="heading 1"/>
    <w:basedOn w:val="Normal"/>
    <w:next w:val="ParaNum"/>
    <w:qFormat/>
    <w:rsid w:val="008636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36EC"/>
    <w:pPr>
      <w:keepNext/>
      <w:numPr>
        <w:ilvl w:val="1"/>
        <w:numId w:val="3"/>
      </w:numPr>
      <w:spacing w:after="120"/>
      <w:outlineLvl w:val="1"/>
    </w:pPr>
    <w:rPr>
      <w:b/>
    </w:rPr>
  </w:style>
  <w:style w:type="paragraph" w:styleId="Heading3">
    <w:name w:val="heading 3"/>
    <w:basedOn w:val="Normal"/>
    <w:next w:val="ParaNum"/>
    <w:qFormat/>
    <w:rsid w:val="008636EC"/>
    <w:pPr>
      <w:keepNext/>
      <w:numPr>
        <w:ilvl w:val="2"/>
        <w:numId w:val="3"/>
      </w:numPr>
      <w:tabs>
        <w:tab w:val="left" w:pos="2160"/>
      </w:tabs>
      <w:spacing w:after="120"/>
      <w:outlineLvl w:val="2"/>
    </w:pPr>
    <w:rPr>
      <w:b/>
    </w:rPr>
  </w:style>
  <w:style w:type="paragraph" w:styleId="Heading4">
    <w:name w:val="heading 4"/>
    <w:basedOn w:val="Normal"/>
    <w:next w:val="ParaNum"/>
    <w:qFormat/>
    <w:rsid w:val="008636EC"/>
    <w:pPr>
      <w:keepNext/>
      <w:numPr>
        <w:ilvl w:val="3"/>
        <w:numId w:val="3"/>
      </w:numPr>
      <w:tabs>
        <w:tab w:val="left" w:pos="2880"/>
      </w:tabs>
      <w:spacing w:after="120"/>
      <w:outlineLvl w:val="3"/>
    </w:pPr>
    <w:rPr>
      <w:b/>
    </w:rPr>
  </w:style>
  <w:style w:type="paragraph" w:styleId="Heading5">
    <w:name w:val="heading 5"/>
    <w:basedOn w:val="Normal"/>
    <w:next w:val="ParaNum"/>
    <w:qFormat/>
    <w:rsid w:val="008636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636EC"/>
    <w:pPr>
      <w:numPr>
        <w:ilvl w:val="5"/>
        <w:numId w:val="3"/>
      </w:numPr>
      <w:tabs>
        <w:tab w:val="left" w:pos="4320"/>
      </w:tabs>
      <w:spacing w:after="120"/>
      <w:outlineLvl w:val="5"/>
    </w:pPr>
    <w:rPr>
      <w:b/>
    </w:rPr>
  </w:style>
  <w:style w:type="paragraph" w:styleId="Heading7">
    <w:name w:val="heading 7"/>
    <w:basedOn w:val="Normal"/>
    <w:next w:val="ParaNum"/>
    <w:qFormat/>
    <w:rsid w:val="008636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636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636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636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36EC"/>
  </w:style>
  <w:style w:type="paragraph" w:customStyle="1" w:styleId="ParaNum">
    <w:name w:val="ParaNum"/>
    <w:basedOn w:val="Normal"/>
    <w:rsid w:val="008636EC"/>
    <w:pPr>
      <w:numPr>
        <w:numId w:val="2"/>
      </w:numPr>
      <w:tabs>
        <w:tab w:val="clear" w:pos="1080"/>
        <w:tab w:val="num" w:pos="1440"/>
      </w:tabs>
      <w:spacing w:after="120"/>
    </w:pPr>
  </w:style>
  <w:style w:type="paragraph" w:styleId="EndnoteText">
    <w:name w:val="endnote text"/>
    <w:basedOn w:val="Normal"/>
    <w:semiHidden/>
    <w:rsid w:val="008636EC"/>
    <w:rPr>
      <w:sz w:val="20"/>
    </w:rPr>
  </w:style>
  <w:style w:type="character" w:styleId="EndnoteReference">
    <w:name w:val="endnote reference"/>
    <w:semiHidden/>
    <w:rsid w:val="008636EC"/>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link w:val="FootnoteTextChar"/>
    <w:rsid w:val="008636EC"/>
    <w:pPr>
      <w:spacing w:after="120"/>
    </w:pPr>
  </w:style>
  <w:style w:type="character" w:styleId="FootnoteReference">
    <w:name w:val="footnote reference"/>
    <w:aliases w:val="Appel note de bas de p,Style 12,(NECG) Footnote Reference,Style 124,Style 13,o,fr,Style 3,FR,Style 17,Footnote Reference/,Style 6,Style 7"/>
    <w:rsid w:val="008636EC"/>
    <w:rPr>
      <w:rFonts w:ascii="Times New Roman" w:hAnsi="Times New Roman"/>
      <w:dstrike w:val="0"/>
      <w:color w:val="auto"/>
      <w:sz w:val="20"/>
      <w:vertAlign w:val="superscript"/>
    </w:rPr>
  </w:style>
  <w:style w:type="paragraph" w:styleId="TOC1">
    <w:name w:val="toc 1"/>
    <w:basedOn w:val="Normal"/>
    <w:next w:val="Normal"/>
    <w:semiHidden/>
    <w:rsid w:val="008636E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636EC"/>
    <w:pPr>
      <w:tabs>
        <w:tab w:val="left" w:pos="720"/>
        <w:tab w:val="right" w:leader="dot" w:pos="9360"/>
      </w:tabs>
      <w:suppressAutoHyphens/>
      <w:ind w:left="720" w:right="720" w:hanging="360"/>
    </w:pPr>
    <w:rPr>
      <w:noProof/>
    </w:rPr>
  </w:style>
  <w:style w:type="paragraph" w:styleId="TOC3">
    <w:name w:val="toc 3"/>
    <w:basedOn w:val="Normal"/>
    <w:next w:val="Normal"/>
    <w:semiHidden/>
    <w:rsid w:val="008636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636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636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636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636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636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636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636EC"/>
    <w:pPr>
      <w:tabs>
        <w:tab w:val="right" w:pos="9360"/>
      </w:tabs>
      <w:suppressAutoHyphens/>
    </w:pPr>
  </w:style>
  <w:style w:type="character" w:customStyle="1" w:styleId="EquationCaption">
    <w:name w:val="_Equation Caption"/>
    <w:rsid w:val="008636EC"/>
  </w:style>
  <w:style w:type="paragraph" w:styleId="Header">
    <w:name w:val="header"/>
    <w:basedOn w:val="Normal"/>
    <w:autoRedefine/>
    <w:rsid w:val="008636EC"/>
    <w:pPr>
      <w:tabs>
        <w:tab w:val="center" w:pos="4680"/>
        <w:tab w:val="right" w:pos="9360"/>
      </w:tabs>
    </w:pPr>
    <w:rPr>
      <w:b/>
    </w:rPr>
  </w:style>
  <w:style w:type="paragraph" w:styleId="Footer">
    <w:name w:val="footer"/>
    <w:basedOn w:val="Normal"/>
    <w:rsid w:val="008636EC"/>
    <w:pPr>
      <w:tabs>
        <w:tab w:val="center" w:pos="4320"/>
        <w:tab w:val="right" w:pos="8640"/>
      </w:tabs>
    </w:pPr>
  </w:style>
  <w:style w:type="character" w:styleId="PageNumber">
    <w:name w:val="page number"/>
    <w:basedOn w:val="DefaultParagraphFont"/>
    <w:rsid w:val="008636EC"/>
  </w:style>
  <w:style w:type="paragraph" w:styleId="BlockText">
    <w:name w:val="Block Text"/>
    <w:basedOn w:val="Normal"/>
    <w:rsid w:val="008636EC"/>
    <w:pPr>
      <w:spacing w:after="240"/>
      <w:ind w:left="1440" w:right="1440"/>
    </w:pPr>
  </w:style>
  <w:style w:type="paragraph" w:customStyle="1" w:styleId="Paratitle">
    <w:name w:val="Para title"/>
    <w:basedOn w:val="Normal"/>
    <w:rsid w:val="008636EC"/>
    <w:pPr>
      <w:tabs>
        <w:tab w:val="center" w:pos="9270"/>
      </w:tabs>
      <w:spacing w:after="240"/>
    </w:pPr>
    <w:rPr>
      <w:spacing w:val="-2"/>
    </w:rPr>
  </w:style>
  <w:style w:type="paragraph" w:customStyle="1" w:styleId="Bullet">
    <w:name w:val="Bullet"/>
    <w:basedOn w:val="Normal"/>
    <w:rsid w:val="008636EC"/>
    <w:pPr>
      <w:tabs>
        <w:tab w:val="left" w:pos="2160"/>
      </w:tabs>
      <w:spacing w:after="220"/>
      <w:ind w:left="2160" w:hanging="720"/>
    </w:pPr>
  </w:style>
  <w:style w:type="paragraph" w:customStyle="1" w:styleId="TableFormat">
    <w:name w:val="TableFormat"/>
    <w:basedOn w:val="Bullet"/>
    <w:rsid w:val="008636EC"/>
    <w:pPr>
      <w:tabs>
        <w:tab w:val="clear" w:pos="2160"/>
        <w:tab w:val="left" w:pos="5040"/>
      </w:tabs>
      <w:ind w:left="5040" w:hanging="3600"/>
    </w:pPr>
  </w:style>
  <w:style w:type="paragraph" w:customStyle="1" w:styleId="TOCTitle">
    <w:name w:val="TOC Title"/>
    <w:basedOn w:val="Normal"/>
    <w:rsid w:val="008636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36EC"/>
    <w:pPr>
      <w:jc w:val="center"/>
    </w:pPr>
    <w:rPr>
      <w:rFonts w:ascii="Times New Roman Bold" w:hAnsi="Times New Roman Bold"/>
      <w:b/>
      <w:bCs/>
      <w:caps/>
      <w:szCs w:val="22"/>
    </w:rPr>
  </w:style>
  <w:style w:type="character" w:styleId="Hyperlink">
    <w:name w:val="Hyperlink"/>
    <w:rsid w:val="008636EC"/>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 w:type="character" w:styleId="CommentReference">
    <w:name w:val="annotation reference"/>
    <w:basedOn w:val="DefaultParagraphFont"/>
    <w:semiHidden/>
    <w:unhideWhenUsed/>
    <w:rsid w:val="00E63127"/>
    <w:rPr>
      <w:sz w:val="16"/>
      <w:szCs w:val="16"/>
    </w:rPr>
  </w:style>
  <w:style w:type="paragraph" w:styleId="CommentText">
    <w:name w:val="annotation text"/>
    <w:basedOn w:val="Normal"/>
    <w:link w:val="CommentTextChar"/>
    <w:semiHidden/>
    <w:unhideWhenUsed/>
    <w:rsid w:val="00E63127"/>
    <w:rPr>
      <w:sz w:val="20"/>
    </w:rPr>
  </w:style>
  <w:style w:type="character" w:customStyle="1" w:styleId="CommentTextChar">
    <w:name w:val="Comment Text Char"/>
    <w:basedOn w:val="DefaultParagraphFont"/>
    <w:link w:val="CommentText"/>
    <w:semiHidden/>
    <w:rsid w:val="00E63127"/>
    <w:rPr>
      <w:snapToGrid w:val="0"/>
      <w:kern w:val="28"/>
    </w:rPr>
  </w:style>
  <w:style w:type="paragraph" w:styleId="CommentSubject">
    <w:name w:val="annotation subject"/>
    <w:basedOn w:val="CommentText"/>
    <w:next w:val="CommentText"/>
    <w:link w:val="CommentSubjectChar"/>
    <w:semiHidden/>
    <w:unhideWhenUsed/>
    <w:rsid w:val="00E63127"/>
    <w:rPr>
      <w:b/>
      <w:bCs/>
    </w:rPr>
  </w:style>
  <w:style w:type="character" w:customStyle="1" w:styleId="CommentSubjectChar">
    <w:name w:val="Comment Subject Char"/>
    <w:basedOn w:val="CommentTextChar"/>
    <w:link w:val="CommentSubject"/>
    <w:semiHidden/>
    <w:rsid w:val="00E63127"/>
    <w:rPr>
      <w:b/>
      <w:bCs/>
      <w:snapToGrid w:val="0"/>
      <w:kern w:val="28"/>
    </w:rPr>
  </w:style>
  <w:style w:type="table" w:styleId="TableGrid">
    <w:name w:val="Table Grid"/>
    <w:basedOn w:val="TableNormal"/>
    <w:uiPriority w:val="59"/>
    <w:rsid w:val="009364F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C"/>
    <w:pPr>
      <w:widowControl w:val="0"/>
    </w:pPr>
    <w:rPr>
      <w:snapToGrid w:val="0"/>
      <w:kern w:val="28"/>
      <w:sz w:val="22"/>
    </w:rPr>
  </w:style>
  <w:style w:type="paragraph" w:styleId="Heading1">
    <w:name w:val="heading 1"/>
    <w:basedOn w:val="Normal"/>
    <w:next w:val="ParaNum"/>
    <w:qFormat/>
    <w:rsid w:val="008636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36EC"/>
    <w:pPr>
      <w:keepNext/>
      <w:numPr>
        <w:ilvl w:val="1"/>
        <w:numId w:val="3"/>
      </w:numPr>
      <w:spacing w:after="120"/>
      <w:outlineLvl w:val="1"/>
    </w:pPr>
    <w:rPr>
      <w:b/>
    </w:rPr>
  </w:style>
  <w:style w:type="paragraph" w:styleId="Heading3">
    <w:name w:val="heading 3"/>
    <w:basedOn w:val="Normal"/>
    <w:next w:val="ParaNum"/>
    <w:qFormat/>
    <w:rsid w:val="008636EC"/>
    <w:pPr>
      <w:keepNext/>
      <w:numPr>
        <w:ilvl w:val="2"/>
        <w:numId w:val="3"/>
      </w:numPr>
      <w:tabs>
        <w:tab w:val="left" w:pos="2160"/>
      </w:tabs>
      <w:spacing w:after="120"/>
      <w:outlineLvl w:val="2"/>
    </w:pPr>
    <w:rPr>
      <w:b/>
    </w:rPr>
  </w:style>
  <w:style w:type="paragraph" w:styleId="Heading4">
    <w:name w:val="heading 4"/>
    <w:basedOn w:val="Normal"/>
    <w:next w:val="ParaNum"/>
    <w:qFormat/>
    <w:rsid w:val="008636EC"/>
    <w:pPr>
      <w:keepNext/>
      <w:numPr>
        <w:ilvl w:val="3"/>
        <w:numId w:val="3"/>
      </w:numPr>
      <w:tabs>
        <w:tab w:val="left" w:pos="2880"/>
      </w:tabs>
      <w:spacing w:after="120"/>
      <w:outlineLvl w:val="3"/>
    </w:pPr>
    <w:rPr>
      <w:b/>
    </w:rPr>
  </w:style>
  <w:style w:type="paragraph" w:styleId="Heading5">
    <w:name w:val="heading 5"/>
    <w:basedOn w:val="Normal"/>
    <w:next w:val="ParaNum"/>
    <w:qFormat/>
    <w:rsid w:val="008636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636EC"/>
    <w:pPr>
      <w:numPr>
        <w:ilvl w:val="5"/>
        <w:numId w:val="3"/>
      </w:numPr>
      <w:tabs>
        <w:tab w:val="left" w:pos="4320"/>
      </w:tabs>
      <w:spacing w:after="120"/>
      <w:outlineLvl w:val="5"/>
    </w:pPr>
    <w:rPr>
      <w:b/>
    </w:rPr>
  </w:style>
  <w:style w:type="paragraph" w:styleId="Heading7">
    <w:name w:val="heading 7"/>
    <w:basedOn w:val="Normal"/>
    <w:next w:val="ParaNum"/>
    <w:qFormat/>
    <w:rsid w:val="008636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636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636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636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36EC"/>
  </w:style>
  <w:style w:type="paragraph" w:customStyle="1" w:styleId="ParaNum">
    <w:name w:val="ParaNum"/>
    <w:basedOn w:val="Normal"/>
    <w:rsid w:val="008636EC"/>
    <w:pPr>
      <w:numPr>
        <w:numId w:val="2"/>
      </w:numPr>
      <w:tabs>
        <w:tab w:val="clear" w:pos="1080"/>
        <w:tab w:val="num" w:pos="1440"/>
      </w:tabs>
      <w:spacing w:after="120"/>
    </w:pPr>
  </w:style>
  <w:style w:type="paragraph" w:styleId="EndnoteText">
    <w:name w:val="endnote text"/>
    <w:basedOn w:val="Normal"/>
    <w:semiHidden/>
    <w:rsid w:val="008636EC"/>
    <w:rPr>
      <w:sz w:val="20"/>
    </w:rPr>
  </w:style>
  <w:style w:type="character" w:styleId="EndnoteReference">
    <w:name w:val="endnote reference"/>
    <w:semiHidden/>
    <w:rsid w:val="008636EC"/>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link w:val="FootnoteTextChar"/>
    <w:rsid w:val="008636EC"/>
    <w:pPr>
      <w:spacing w:after="120"/>
    </w:pPr>
  </w:style>
  <w:style w:type="character" w:styleId="FootnoteReference">
    <w:name w:val="footnote reference"/>
    <w:aliases w:val="Appel note de bas de p,Style 12,(NECG) Footnote Reference,Style 124,Style 13,o,fr,Style 3,FR,Style 17,Footnote Reference/,Style 6,Style 7"/>
    <w:rsid w:val="008636EC"/>
    <w:rPr>
      <w:rFonts w:ascii="Times New Roman" w:hAnsi="Times New Roman"/>
      <w:dstrike w:val="0"/>
      <w:color w:val="auto"/>
      <w:sz w:val="20"/>
      <w:vertAlign w:val="superscript"/>
    </w:rPr>
  </w:style>
  <w:style w:type="paragraph" w:styleId="TOC1">
    <w:name w:val="toc 1"/>
    <w:basedOn w:val="Normal"/>
    <w:next w:val="Normal"/>
    <w:semiHidden/>
    <w:rsid w:val="008636E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636EC"/>
    <w:pPr>
      <w:tabs>
        <w:tab w:val="left" w:pos="720"/>
        <w:tab w:val="right" w:leader="dot" w:pos="9360"/>
      </w:tabs>
      <w:suppressAutoHyphens/>
      <w:ind w:left="720" w:right="720" w:hanging="360"/>
    </w:pPr>
    <w:rPr>
      <w:noProof/>
    </w:rPr>
  </w:style>
  <w:style w:type="paragraph" w:styleId="TOC3">
    <w:name w:val="toc 3"/>
    <w:basedOn w:val="Normal"/>
    <w:next w:val="Normal"/>
    <w:semiHidden/>
    <w:rsid w:val="008636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636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636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636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636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636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636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636EC"/>
    <w:pPr>
      <w:tabs>
        <w:tab w:val="right" w:pos="9360"/>
      </w:tabs>
      <w:suppressAutoHyphens/>
    </w:pPr>
  </w:style>
  <w:style w:type="character" w:customStyle="1" w:styleId="EquationCaption">
    <w:name w:val="_Equation Caption"/>
    <w:rsid w:val="008636EC"/>
  </w:style>
  <w:style w:type="paragraph" w:styleId="Header">
    <w:name w:val="header"/>
    <w:basedOn w:val="Normal"/>
    <w:autoRedefine/>
    <w:rsid w:val="008636EC"/>
    <w:pPr>
      <w:tabs>
        <w:tab w:val="center" w:pos="4680"/>
        <w:tab w:val="right" w:pos="9360"/>
      </w:tabs>
    </w:pPr>
    <w:rPr>
      <w:b/>
    </w:rPr>
  </w:style>
  <w:style w:type="paragraph" w:styleId="Footer">
    <w:name w:val="footer"/>
    <w:basedOn w:val="Normal"/>
    <w:rsid w:val="008636EC"/>
    <w:pPr>
      <w:tabs>
        <w:tab w:val="center" w:pos="4320"/>
        <w:tab w:val="right" w:pos="8640"/>
      </w:tabs>
    </w:pPr>
  </w:style>
  <w:style w:type="character" w:styleId="PageNumber">
    <w:name w:val="page number"/>
    <w:basedOn w:val="DefaultParagraphFont"/>
    <w:rsid w:val="008636EC"/>
  </w:style>
  <w:style w:type="paragraph" w:styleId="BlockText">
    <w:name w:val="Block Text"/>
    <w:basedOn w:val="Normal"/>
    <w:rsid w:val="008636EC"/>
    <w:pPr>
      <w:spacing w:after="240"/>
      <w:ind w:left="1440" w:right="1440"/>
    </w:pPr>
  </w:style>
  <w:style w:type="paragraph" w:customStyle="1" w:styleId="Paratitle">
    <w:name w:val="Para title"/>
    <w:basedOn w:val="Normal"/>
    <w:rsid w:val="008636EC"/>
    <w:pPr>
      <w:tabs>
        <w:tab w:val="center" w:pos="9270"/>
      </w:tabs>
      <w:spacing w:after="240"/>
    </w:pPr>
    <w:rPr>
      <w:spacing w:val="-2"/>
    </w:rPr>
  </w:style>
  <w:style w:type="paragraph" w:customStyle="1" w:styleId="Bullet">
    <w:name w:val="Bullet"/>
    <w:basedOn w:val="Normal"/>
    <w:rsid w:val="008636EC"/>
    <w:pPr>
      <w:tabs>
        <w:tab w:val="left" w:pos="2160"/>
      </w:tabs>
      <w:spacing w:after="220"/>
      <w:ind w:left="2160" w:hanging="720"/>
    </w:pPr>
  </w:style>
  <w:style w:type="paragraph" w:customStyle="1" w:styleId="TableFormat">
    <w:name w:val="TableFormat"/>
    <w:basedOn w:val="Bullet"/>
    <w:rsid w:val="008636EC"/>
    <w:pPr>
      <w:tabs>
        <w:tab w:val="clear" w:pos="2160"/>
        <w:tab w:val="left" w:pos="5040"/>
      </w:tabs>
      <w:ind w:left="5040" w:hanging="3600"/>
    </w:pPr>
  </w:style>
  <w:style w:type="paragraph" w:customStyle="1" w:styleId="TOCTitle">
    <w:name w:val="TOC Title"/>
    <w:basedOn w:val="Normal"/>
    <w:rsid w:val="008636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36EC"/>
    <w:pPr>
      <w:jc w:val="center"/>
    </w:pPr>
    <w:rPr>
      <w:rFonts w:ascii="Times New Roman Bold" w:hAnsi="Times New Roman Bold"/>
      <w:b/>
      <w:bCs/>
      <w:caps/>
      <w:szCs w:val="22"/>
    </w:rPr>
  </w:style>
  <w:style w:type="character" w:styleId="Hyperlink">
    <w:name w:val="Hyperlink"/>
    <w:rsid w:val="008636EC"/>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 w:type="character" w:styleId="CommentReference">
    <w:name w:val="annotation reference"/>
    <w:basedOn w:val="DefaultParagraphFont"/>
    <w:semiHidden/>
    <w:unhideWhenUsed/>
    <w:rsid w:val="00E63127"/>
    <w:rPr>
      <w:sz w:val="16"/>
      <w:szCs w:val="16"/>
    </w:rPr>
  </w:style>
  <w:style w:type="paragraph" w:styleId="CommentText">
    <w:name w:val="annotation text"/>
    <w:basedOn w:val="Normal"/>
    <w:link w:val="CommentTextChar"/>
    <w:semiHidden/>
    <w:unhideWhenUsed/>
    <w:rsid w:val="00E63127"/>
    <w:rPr>
      <w:sz w:val="20"/>
    </w:rPr>
  </w:style>
  <w:style w:type="character" w:customStyle="1" w:styleId="CommentTextChar">
    <w:name w:val="Comment Text Char"/>
    <w:basedOn w:val="DefaultParagraphFont"/>
    <w:link w:val="CommentText"/>
    <w:semiHidden/>
    <w:rsid w:val="00E63127"/>
    <w:rPr>
      <w:snapToGrid w:val="0"/>
      <w:kern w:val="28"/>
    </w:rPr>
  </w:style>
  <w:style w:type="paragraph" w:styleId="CommentSubject">
    <w:name w:val="annotation subject"/>
    <w:basedOn w:val="CommentText"/>
    <w:next w:val="CommentText"/>
    <w:link w:val="CommentSubjectChar"/>
    <w:semiHidden/>
    <w:unhideWhenUsed/>
    <w:rsid w:val="00E63127"/>
    <w:rPr>
      <w:b/>
      <w:bCs/>
    </w:rPr>
  </w:style>
  <w:style w:type="character" w:customStyle="1" w:styleId="CommentSubjectChar">
    <w:name w:val="Comment Subject Char"/>
    <w:basedOn w:val="CommentTextChar"/>
    <w:link w:val="CommentSubject"/>
    <w:semiHidden/>
    <w:rsid w:val="00E63127"/>
    <w:rPr>
      <w:b/>
      <w:bCs/>
      <w:snapToGrid w:val="0"/>
      <w:kern w:val="28"/>
    </w:rPr>
  </w:style>
  <w:style w:type="table" w:styleId="TableGrid">
    <w:name w:val="Table Grid"/>
    <w:basedOn w:val="TableNormal"/>
    <w:uiPriority w:val="59"/>
    <w:rsid w:val="009364F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1764</Words>
  <Characters>9288</Characters>
  <Application>Microsoft Office Word</Application>
  <DocSecurity>0</DocSecurity>
  <Lines>189</Lines>
  <Paragraphs>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11060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2015-10-08T16:07:00Z</cp:lastPrinted>
  <dcterms:created xsi:type="dcterms:W3CDTF">2017-11-30T13:42:00Z</dcterms:created>
  <dcterms:modified xsi:type="dcterms:W3CDTF">2017-11-30T13:42:00Z</dcterms:modified>
  <cp:category> </cp:category>
  <cp:contentStatus> </cp:contentStatus>
</cp:coreProperties>
</file>