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76BD8" w:rsidRPr="00BE6657" w:rsidP="00034EED" w14:paraId="39806ED9" w14:textId="77777777">
      <w:pPr>
        <w:rPr>
          <w:b/>
        </w:rPr>
      </w:pPr>
      <w:bookmarkStart w:id="0" w:name="_GoBack"/>
      <w:bookmarkEnd w:id="0"/>
    </w:p>
    <w:p w:rsidR="00D47505" w:rsidRPr="0069204C" w:rsidP="00D47505" w14:paraId="0F294DA2" w14:textId="6DCD675A">
      <w:pPr>
        <w:jc w:val="right"/>
        <w:rPr>
          <w:rFonts w:ascii="Times New Roman" w:hAnsi="Times New Roman" w:cs="Times New Roman"/>
          <w:b/>
        </w:rPr>
      </w:pPr>
      <w:r w:rsidRPr="00C6516B">
        <w:rPr>
          <w:rFonts w:ascii="Times New Roman" w:hAnsi="Times New Roman" w:cs="Times New Roman"/>
          <w:b/>
        </w:rPr>
        <w:t>DA 17-</w:t>
      </w:r>
      <w:r w:rsidR="00C6516B">
        <w:rPr>
          <w:rFonts w:ascii="Times New Roman" w:hAnsi="Times New Roman" w:cs="Times New Roman"/>
          <w:b/>
        </w:rPr>
        <w:t>1165</w:t>
      </w:r>
    </w:p>
    <w:p w:rsidR="00D47505" w:rsidRPr="0069204C" w:rsidP="00D47505" w14:paraId="3E93E850" w14:textId="23644E37">
      <w:pPr>
        <w:spacing w:before="60"/>
        <w:jc w:val="right"/>
        <w:rPr>
          <w:rFonts w:ascii="Times New Roman" w:hAnsi="Times New Roman" w:cs="Times New Roman"/>
          <w:b/>
        </w:rPr>
      </w:pPr>
      <w:r w:rsidRPr="0069204C">
        <w:rPr>
          <w:rFonts w:ascii="Times New Roman" w:hAnsi="Times New Roman" w:cs="Times New Roman"/>
          <w:b/>
        </w:rPr>
        <w:t xml:space="preserve">Released:  </w:t>
      </w:r>
      <w:r w:rsidR="008760CB">
        <w:rPr>
          <w:rFonts w:ascii="Times New Roman" w:hAnsi="Times New Roman" w:cs="Times New Roman"/>
          <w:b/>
        </w:rPr>
        <w:t>December 1</w:t>
      </w:r>
      <w:r w:rsidRPr="008760CB" w:rsidR="00F76BD8">
        <w:rPr>
          <w:rFonts w:ascii="Times New Roman" w:hAnsi="Times New Roman" w:cs="Times New Roman"/>
          <w:b/>
        </w:rPr>
        <w:t>, 2017</w:t>
      </w:r>
    </w:p>
    <w:p w:rsidR="008A6227" w:rsidRPr="0069204C" w:rsidP="00F76BD8" w14:paraId="4B442233" w14:textId="77777777">
      <w:pPr>
        <w:spacing w:after="240"/>
        <w:jc w:val="center"/>
        <w:rPr>
          <w:rFonts w:ascii="Times New Roman" w:hAnsi="Times New Roman" w:cs="Times New Roman"/>
          <w:b/>
          <w:caps/>
        </w:rPr>
      </w:pPr>
    </w:p>
    <w:p w:rsidR="00D47505" w:rsidRPr="0069204C" w:rsidP="00F76BD8" w14:paraId="0FE0CFE7" w14:textId="77777777">
      <w:pPr>
        <w:spacing w:after="240"/>
        <w:jc w:val="center"/>
        <w:rPr>
          <w:rFonts w:ascii="Times New Roman" w:hAnsi="Times New Roman" w:cs="Times New Roman"/>
          <w:b/>
          <w:caps/>
        </w:rPr>
      </w:pPr>
      <w:r w:rsidRPr="0069204C">
        <w:rPr>
          <w:rFonts w:ascii="Times New Roman" w:hAnsi="Times New Roman" w:cs="Times New Roman"/>
          <w:b/>
          <w:caps/>
        </w:rPr>
        <w:t>Office of Engineering and Technology seek</w:t>
      </w:r>
      <w:r w:rsidRPr="0069204C" w:rsidR="008A6227">
        <w:rPr>
          <w:rFonts w:ascii="Times New Roman" w:hAnsi="Times New Roman" w:cs="Times New Roman"/>
          <w:b/>
          <w:caps/>
        </w:rPr>
        <w:t>S</w:t>
      </w:r>
      <w:r w:rsidRPr="0069204C" w:rsidR="00F76BD8">
        <w:rPr>
          <w:rFonts w:ascii="Times New Roman" w:hAnsi="Times New Roman" w:cs="Times New Roman"/>
          <w:b/>
          <w:caps/>
        </w:rPr>
        <w:t xml:space="preserve"> </w:t>
      </w:r>
      <w:r w:rsidRPr="0069204C">
        <w:rPr>
          <w:rFonts w:ascii="Times New Roman" w:hAnsi="Times New Roman" w:cs="Times New Roman"/>
          <w:b/>
          <w:caps/>
        </w:rPr>
        <w:t xml:space="preserve">comment on </w:t>
      </w:r>
      <w:r w:rsidRPr="0069204C" w:rsidR="005E5DF1">
        <w:rPr>
          <w:rFonts w:ascii="Times New Roman" w:hAnsi="Times New Roman" w:cs="Times New Roman"/>
          <w:b/>
          <w:caps/>
        </w:rPr>
        <w:t xml:space="preserve">technological advisory council SPECTRUM POLICY </w:t>
      </w:r>
      <w:r w:rsidRPr="0069204C" w:rsidR="008A6227">
        <w:rPr>
          <w:rFonts w:ascii="Times New Roman" w:hAnsi="Times New Roman" w:cs="Times New Roman"/>
          <w:b/>
          <w:caps/>
        </w:rPr>
        <w:t>RECOMMENDATIONS</w:t>
      </w:r>
    </w:p>
    <w:p w:rsidR="00D47505" w:rsidRPr="0069204C" w:rsidP="00D47505" w14:paraId="3E948E6F" w14:textId="1579466F">
      <w:pPr>
        <w:jc w:val="center"/>
        <w:rPr>
          <w:rFonts w:ascii="Times New Roman" w:hAnsi="Times New Roman" w:cs="Times New Roman"/>
          <w:b/>
        </w:rPr>
      </w:pPr>
      <w:r w:rsidRPr="00C6516B">
        <w:rPr>
          <w:rFonts w:ascii="Times New Roman" w:hAnsi="Times New Roman" w:cs="Times New Roman"/>
          <w:b/>
        </w:rPr>
        <w:t>ET Docket No. 17-340</w:t>
      </w:r>
    </w:p>
    <w:p w:rsidR="00F76BD8" w:rsidRPr="0069204C" w:rsidP="00D47505" w14:paraId="17657E87" w14:textId="1ACA0C1E">
      <w:pPr>
        <w:spacing w:before="120" w:after="240"/>
        <w:rPr>
          <w:rFonts w:ascii="Times New Roman" w:hAnsi="Times New Roman" w:cs="Times New Roman"/>
          <w:b/>
        </w:rPr>
      </w:pPr>
      <w:r w:rsidRPr="0069204C">
        <w:rPr>
          <w:rFonts w:ascii="Times New Roman" w:hAnsi="Times New Roman" w:cs="Times New Roman"/>
          <w:b/>
        </w:rPr>
        <w:t xml:space="preserve">Comments Due:  </w:t>
      </w:r>
      <w:r w:rsidR="003D4408">
        <w:rPr>
          <w:rFonts w:ascii="Times New Roman" w:hAnsi="Times New Roman" w:cs="Times New Roman"/>
          <w:b/>
        </w:rPr>
        <w:t>January 31</w:t>
      </w:r>
      <w:r w:rsidR="008760CB">
        <w:rPr>
          <w:rFonts w:ascii="Times New Roman" w:hAnsi="Times New Roman" w:cs="Times New Roman"/>
          <w:b/>
        </w:rPr>
        <w:t>, 2018</w:t>
      </w:r>
      <w:r w:rsidRPr="0069204C">
        <w:rPr>
          <w:rFonts w:ascii="Times New Roman" w:hAnsi="Times New Roman" w:cs="Times New Roman"/>
          <w:b/>
        </w:rPr>
        <w:br/>
        <w:t xml:space="preserve">Reply Comments Due:  </w:t>
      </w:r>
      <w:r w:rsidR="003D4408">
        <w:rPr>
          <w:rFonts w:ascii="Times New Roman" w:hAnsi="Times New Roman" w:cs="Times New Roman"/>
          <w:b/>
        </w:rPr>
        <w:t>February 15</w:t>
      </w:r>
      <w:r w:rsidR="008760CB">
        <w:rPr>
          <w:rFonts w:ascii="Times New Roman" w:hAnsi="Times New Roman" w:cs="Times New Roman"/>
          <w:b/>
        </w:rPr>
        <w:t>, 2018</w:t>
      </w:r>
    </w:p>
    <w:p w:rsidR="00932D5B" w:rsidRPr="0069204C" w:rsidP="00932D5B" w14:paraId="2BB3B4BF" w14:textId="666F6EC4">
      <w:pPr>
        <w:spacing w:before="120" w:after="240"/>
        <w:ind w:firstLine="720"/>
        <w:rPr>
          <w:rFonts w:ascii="Times New Roman" w:hAnsi="Times New Roman" w:cs="Times New Roman"/>
        </w:rPr>
      </w:pPr>
      <w:r>
        <w:rPr>
          <w:rFonts w:ascii="Times New Roman" w:hAnsi="Times New Roman" w:cs="Times New Roman"/>
        </w:rPr>
        <w:t>The</w:t>
      </w:r>
      <w:r w:rsidRPr="0069204C" w:rsidR="004D0FCF">
        <w:rPr>
          <w:rFonts w:ascii="Times New Roman" w:hAnsi="Times New Roman" w:cs="Times New Roman"/>
        </w:rPr>
        <w:t xml:space="preserve"> Office of Engineering and Technology</w:t>
      </w:r>
      <w:r w:rsidRPr="0069204C" w:rsidR="00135025">
        <w:rPr>
          <w:rFonts w:ascii="Times New Roman" w:hAnsi="Times New Roman" w:cs="Times New Roman"/>
        </w:rPr>
        <w:t xml:space="preserve"> </w:t>
      </w:r>
      <w:r w:rsidRPr="0069204C" w:rsidR="00383290">
        <w:rPr>
          <w:rFonts w:ascii="Times New Roman" w:hAnsi="Times New Roman" w:cs="Times New Roman"/>
        </w:rPr>
        <w:t>seek</w:t>
      </w:r>
      <w:r w:rsidRPr="0069204C" w:rsidR="00025D1C">
        <w:rPr>
          <w:rFonts w:ascii="Times New Roman" w:hAnsi="Times New Roman" w:cs="Times New Roman"/>
        </w:rPr>
        <w:t>s</w:t>
      </w:r>
      <w:r w:rsidRPr="0069204C" w:rsidR="00383290">
        <w:rPr>
          <w:rFonts w:ascii="Times New Roman" w:hAnsi="Times New Roman" w:cs="Times New Roman"/>
        </w:rPr>
        <w:t xml:space="preserve"> comment </w:t>
      </w:r>
      <w:r w:rsidRPr="0069204C" w:rsidR="00135025">
        <w:rPr>
          <w:rFonts w:ascii="Times New Roman" w:hAnsi="Times New Roman" w:cs="Times New Roman"/>
        </w:rPr>
        <w:t>on</w:t>
      </w:r>
      <w:r w:rsidRPr="0069204C" w:rsidR="00025D1C">
        <w:rPr>
          <w:rFonts w:ascii="Times New Roman" w:hAnsi="Times New Roman" w:cs="Times New Roman"/>
        </w:rPr>
        <w:t xml:space="preserve"> spectrum policy recommendations that the FCC’s Technological Advisory Council (TAC)</w:t>
      </w:r>
      <w:r>
        <w:rPr>
          <w:rStyle w:val="FootnoteReference"/>
          <w:rFonts w:cs="Times New Roman"/>
        </w:rPr>
        <w:footnoteReference w:id="3"/>
      </w:r>
      <w:r w:rsidRPr="0069204C" w:rsidR="00025D1C">
        <w:rPr>
          <w:rFonts w:ascii="Times New Roman" w:hAnsi="Times New Roman" w:cs="Times New Roman"/>
        </w:rPr>
        <w:t xml:space="preserve"> has mad</w:t>
      </w:r>
      <w:r w:rsidR="0088768A">
        <w:rPr>
          <w:rFonts w:ascii="Times New Roman" w:hAnsi="Times New Roman" w:cs="Times New Roman"/>
        </w:rPr>
        <w:t xml:space="preserve">e to the FCC through its Chairman and in more detail </w:t>
      </w:r>
      <w:r w:rsidRPr="0069204C" w:rsidR="00025D1C">
        <w:rPr>
          <w:rFonts w:ascii="Times New Roman" w:hAnsi="Times New Roman" w:cs="Times New Roman"/>
        </w:rPr>
        <w:t>through several white papers</w:t>
      </w:r>
      <w:r>
        <w:rPr>
          <w:rStyle w:val="FootnoteReference"/>
          <w:rFonts w:cs="Times New Roman"/>
        </w:rPr>
        <w:footnoteReference w:id="4"/>
      </w:r>
      <w:r w:rsidRPr="0069204C" w:rsidR="00025D1C">
        <w:rPr>
          <w:rFonts w:ascii="Times New Roman" w:hAnsi="Times New Roman" w:cs="Times New Roman"/>
        </w:rPr>
        <w:t xml:space="preserve">. </w:t>
      </w:r>
      <w:r w:rsidR="001849FB">
        <w:rPr>
          <w:rFonts w:ascii="Times New Roman" w:hAnsi="Times New Roman" w:cs="Times New Roman"/>
        </w:rPr>
        <w:t>Over the past several years, the TAC’s Spe</w:t>
      </w:r>
      <w:r w:rsidR="00034EED">
        <w:rPr>
          <w:rFonts w:ascii="Times New Roman" w:hAnsi="Times New Roman" w:cs="Times New Roman"/>
        </w:rPr>
        <w:t>ctrum and Receiver Performance Working G</w:t>
      </w:r>
      <w:r w:rsidR="001849FB">
        <w:rPr>
          <w:rFonts w:ascii="Times New Roman" w:hAnsi="Times New Roman" w:cs="Times New Roman"/>
        </w:rPr>
        <w:t xml:space="preserve">roup has developed recommendations to address </w:t>
      </w:r>
      <w:r w:rsidRPr="0069204C" w:rsidR="00025D1C">
        <w:rPr>
          <w:rFonts w:ascii="Times New Roman" w:hAnsi="Times New Roman" w:cs="Times New Roman"/>
          <w:bCs/>
          <w:color w:val="000000"/>
        </w:rPr>
        <w:t>the increasing challenges of efficient and fair allocation of spectrum in congested RF environment</w:t>
      </w:r>
      <w:r w:rsidR="00905250">
        <w:rPr>
          <w:rFonts w:ascii="Times New Roman" w:hAnsi="Times New Roman" w:cs="Times New Roman"/>
          <w:bCs/>
          <w:color w:val="000000"/>
        </w:rPr>
        <w:t xml:space="preserve">s, and in particular, </w:t>
      </w:r>
      <w:r w:rsidR="00E01A6F">
        <w:rPr>
          <w:rFonts w:ascii="Times New Roman" w:hAnsi="Times New Roman" w:cs="Times New Roman"/>
          <w:bCs/>
          <w:color w:val="000000"/>
        </w:rPr>
        <w:t xml:space="preserve">the </w:t>
      </w:r>
      <w:r w:rsidR="00C83C8D">
        <w:rPr>
          <w:rFonts w:ascii="Times New Roman" w:hAnsi="Times New Roman" w:cs="Times New Roman"/>
          <w:bCs/>
          <w:color w:val="000000"/>
        </w:rPr>
        <w:t>challenges of finding</w:t>
      </w:r>
      <w:r w:rsidR="00905250">
        <w:rPr>
          <w:rFonts w:ascii="Times New Roman" w:hAnsi="Times New Roman" w:cs="Times New Roman"/>
          <w:bCs/>
          <w:color w:val="000000"/>
        </w:rPr>
        <w:t xml:space="preserve"> a balance between the rights and responsibilities of transmitters and receivers. More </w:t>
      </w:r>
      <w:r w:rsidR="001849FB">
        <w:rPr>
          <w:rFonts w:ascii="Times New Roman" w:hAnsi="Times New Roman" w:cs="Times New Roman"/>
          <w:bCs/>
          <w:color w:val="000000"/>
        </w:rPr>
        <w:t>recently,</w:t>
      </w:r>
      <w:r w:rsidRPr="0069204C" w:rsidR="00025D1C">
        <w:rPr>
          <w:rFonts w:ascii="Times New Roman" w:hAnsi="Times New Roman" w:cs="Times New Roman"/>
          <w:bCs/>
          <w:color w:val="000000"/>
        </w:rPr>
        <w:t xml:space="preserve"> the TAC has recommended </w:t>
      </w:r>
      <w:r w:rsidR="001A53C0">
        <w:rPr>
          <w:rFonts w:ascii="Times New Roman" w:hAnsi="Times New Roman" w:cs="Times New Roman"/>
          <w:bCs/>
          <w:color w:val="000000"/>
        </w:rPr>
        <w:t>that</w:t>
      </w:r>
      <w:r w:rsidRPr="0069204C" w:rsidR="00025D1C">
        <w:rPr>
          <w:rFonts w:ascii="Times New Roman" w:hAnsi="Times New Roman" w:cs="Times New Roman"/>
          <w:bCs/>
          <w:color w:val="000000"/>
        </w:rPr>
        <w:t xml:space="preserve"> the </w:t>
      </w:r>
      <w:r w:rsidR="001849FB">
        <w:rPr>
          <w:rFonts w:ascii="Times New Roman" w:hAnsi="Times New Roman" w:cs="Times New Roman"/>
          <w:bCs/>
          <w:color w:val="000000"/>
        </w:rPr>
        <w:t>Commission</w:t>
      </w:r>
      <w:r w:rsidRPr="0069204C" w:rsidR="00025D1C">
        <w:rPr>
          <w:rFonts w:ascii="Times New Roman" w:hAnsi="Times New Roman" w:cs="Times New Roman"/>
          <w:bCs/>
          <w:color w:val="000000"/>
        </w:rPr>
        <w:t xml:space="preserve"> </w:t>
      </w:r>
      <w:r w:rsidR="00862141">
        <w:rPr>
          <w:rFonts w:ascii="Times New Roman" w:hAnsi="Times New Roman" w:cs="Times New Roman"/>
          <w:bCs/>
          <w:color w:val="000000"/>
        </w:rPr>
        <w:t>adopt</w:t>
      </w:r>
      <w:r w:rsidR="001849FB">
        <w:rPr>
          <w:rFonts w:ascii="Times New Roman" w:hAnsi="Times New Roman" w:cs="Times New Roman"/>
          <w:bCs/>
          <w:color w:val="000000"/>
        </w:rPr>
        <w:t xml:space="preserve"> a policy s</w:t>
      </w:r>
      <w:r w:rsidRPr="0069204C" w:rsidR="00025D1C">
        <w:rPr>
          <w:rFonts w:ascii="Times New Roman" w:hAnsi="Times New Roman" w:cs="Times New Roman"/>
          <w:bCs/>
          <w:color w:val="000000"/>
        </w:rPr>
        <w:t>tatement</w:t>
      </w:r>
      <w:r w:rsidRPr="0069204C" w:rsidR="00CE4C2A">
        <w:rPr>
          <w:rFonts w:ascii="Times New Roman" w:hAnsi="Times New Roman" w:cs="Times New Roman"/>
          <w:bCs/>
          <w:color w:val="000000"/>
        </w:rPr>
        <w:t xml:space="preserve">, </w:t>
      </w:r>
      <w:r w:rsidRPr="0069204C" w:rsidR="00025D1C">
        <w:rPr>
          <w:rFonts w:ascii="Times New Roman" w:hAnsi="Times New Roman" w:cs="Times New Roman"/>
          <w:bCs/>
          <w:color w:val="000000"/>
        </w:rPr>
        <w:t>setting forth spectrum management guidance</w:t>
      </w:r>
      <w:r w:rsidRPr="0069204C" w:rsidR="00CE4C2A">
        <w:rPr>
          <w:rFonts w:ascii="Times New Roman" w:hAnsi="Times New Roman" w:cs="Times New Roman"/>
          <w:bCs/>
          <w:color w:val="000000"/>
        </w:rPr>
        <w:t xml:space="preserve"> </w:t>
      </w:r>
      <w:r w:rsidR="001849FB">
        <w:rPr>
          <w:rFonts w:ascii="Times New Roman" w:hAnsi="Times New Roman" w:cs="Times New Roman"/>
          <w:bCs/>
          <w:color w:val="000000"/>
        </w:rPr>
        <w:t xml:space="preserve">and principles </w:t>
      </w:r>
      <w:r w:rsidRPr="0069204C" w:rsidR="00CE4C2A">
        <w:rPr>
          <w:rFonts w:ascii="Times New Roman" w:hAnsi="Times New Roman" w:cs="Times New Roman"/>
          <w:color w:val="000000" w:themeColor="text1"/>
        </w:rPr>
        <w:t>based on TAC recommendations made to the FCC</w:t>
      </w:r>
      <w:r w:rsidRPr="0069204C" w:rsidR="00025D1C">
        <w:rPr>
          <w:rFonts w:ascii="Times New Roman" w:hAnsi="Times New Roman" w:cs="Times New Roman"/>
          <w:bCs/>
          <w:color w:val="000000"/>
        </w:rPr>
        <w:t>, including the following:</w:t>
      </w:r>
    </w:p>
    <w:p w:rsidR="00932D5B" w:rsidRPr="0069204C" w:rsidP="00932D5B" w14:paraId="2829C39A" w14:textId="77777777">
      <w:pPr>
        <w:spacing w:before="120" w:after="240"/>
        <w:ind w:firstLine="720"/>
        <w:rPr>
          <w:rFonts w:ascii="Times New Roman" w:hAnsi="Times New Roman" w:cs="Times New Roman"/>
        </w:rPr>
      </w:pPr>
      <w:r w:rsidRPr="0069204C">
        <w:rPr>
          <w:rFonts w:ascii="Times New Roman" w:hAnsi="Times New Roman" w:cs="Times New Roman"/>
          <w:bCs/>
          <w:color w:val="000000"/>
        </w:rPr>
        <w:t xml:space="preserve">[1] </w:t>
      </w:r>
      <w:r w:rsidRPr="0069204C" w:rsidR="00025D1C">
        <w:rPr>
          <w:rFonts w:ascii="Times New Roman" w:hAnsi="Times New Roman" w:cs="Times New Roman"/>
          <w:bCs/>
          <w:color w:val="000000"/>
        </w:rPr>
        <w:t xml:space="preserve">Implement and formalize the TAC’s </w:t>
      </w:r>
      <w:r w:rsidR="00213F72">
        <w:rPr>
          <w:rFonts w:ascii="Times New Roman" w:hAnsi="Times New Roman" w:cs="Times New Roman"/>
          <w:bCs/>
          <w:color w:val="000000"/>
        </w:rPr>
        <w:t xml:space="preserve">recommendations for </w:t>
      </w:r>
      <w:r w:rsidRPr="00883A34" w:rsidR="00213F72">
        <w:rPr>
          <w:rFonts w:ascii="Times New Roman" w:hAnsi="Times New Roman" w:cs="Times New Roman"/>
          <w:bCs/>
          <w:i/>
          <w:color w:val="000000"/>
        </w:rPr>
        <w:t>Basic Spectrum Principles</w:t>
      </w:r>
      <w:r w:rsidRPr="0069204C" w:rsidR="00025D1C">
        <w:rPr>
          <w:rFonts w:ascii="Times New Roman" w:hAnsi="Times New Roman" w:cs="Times New Roman"/>
          <w:bCs/>
          <w:color w:val="000000"/>
        </w:rPr>
        <w:t xml:space="preserve"> as policies</w:t>
      </w:r>
      <w:r w:rsidRPr="0069204C" w:rsidR="00586194">
        <w:rPr>
          <w:rFonts w:ascii="Times New Roman" w:hAnsi="Times New Roman" w:cs="Times New Roman"/>
          <w:bCs/>
          <w:color w:val="000000"/>
        </w:rPr>
        <w:t>, and set clear expectations about the affected system’s capabilities regarding interference, such as harm claim thresholds</w:t>
      </w:r>
      <w:r w:rsidRPr="0069204C">
        <w:rPr>
          <w:rFonts w:ascii="Times New Roman" w:hAnsi="Times New Roman" w:cs="Times New Roman"/>
          <w:bCs/>
          <w:color w:val="000000"/>
        </w:rPr>
        <w:t>.</w:t>
      </w:r>
      <w:r>
        <w:rPr>
          <w:rStyle w:val="FootnoteReference"/>
          <w:rFonts w:cs="Times New Roman"/>
          <w:bCs/>
          <w:sz w:val="22"/>
        </w:rPr>
        <w:footnoteReference w:id="5"/>
      </w:r>
      <w:r w:rsidRPr="0069204C" w:rsidR="00025D1C">
        <w:rPr>
          <w:rFonts w:ascii="Times New Roman" w:hAnsi="Times New Roman" w:cs="Times New Roman"/>
          <w:bCs/>
          <w:color w:val="000000"/>
        </w:rPr>
        <w:t xml:space="preserve"> </w:t>
      </w:r>
    </w:p>
    <w:p w:rsidR="00862141" w:rsidP="00862141" w14:paraId="6541B7F8" w14:textId="77777777">
      <w:pPr>
        <w:spacing w:before="120" w:after="240"/>
        <w:ind w:firstLine="720"/>
        <w:rPr>
          <w:rFonts w:ascii="Times New Roman" w:hAnsi="Times New Roman" w:cs="Times New Roman"/>
          <w:bCs/>
          <w:color w:val="000000"/>
        </w:rPr>
      </w:pPr>
      <w:r w:rsidRPr="0069204C">
        <w:rPr>
          <w:rFonts w:ascii="Times New Roman" w:hAnsi="Times New Roman" w:cs="Times New Roman"/>
          <w:bCs/>
          <w:color w:val="000000"/>
        </w:rPr>
        <w:t xml:space="preserve">[2] </w:t>
      </w:r>
      <w:r w:rsidRPr="0069204C" w:rsidR="00025D1C">
        <w:rPr>
          <w:rFonts w:ascii="Times New Roman" w:hAnsi="Times New Roman" w:cs="Times New Roman"/>
          <w:bCs/>
          <w:color w:val="000000"/>
        </w:rPr>
        <w:t>Adopt risk-informed interference assessment and statistical service rules</w:t>
      </w:r>
      <w:r w:rsidR="00912914">
        <w:rPr>
          <w:rFonts w:ascii="Times New Roman" w:hAnsi="Times New Roman" w:cs="Times New Roman"/>
          <w:bCs/>
          <w:color w:val="000000"/>
        </w:rPr>
        <w:t xml:space="preserve"> more widely</w:t>
      </w:r>
      <w:r w:rsidRPr="0069204C">
        <w:rPr>
          <w:rFonts w:ascii="Times New Roman" w:hAnsi="Times New Roman" w:cs="Times New Roman"/>
          <w:bCs/>
          <w:color w:val="000000"/>
        </w:rPr>
        <w:t>.</w:t>
      </w:r>
      <w:r>
        <w:rPr>
          <w:rStyle w:val="FootnoteReference"/>
          <w:rFonts w:cs="Times New Roman"/>
          <w:bCs/>
          <w:sz w:val="22"/>
        </w:rPr>
        <w:footnoteReference w:id="6"/>
      </w:r>
    </w:p>
    <w:p w:rsidR="00932D5B" w:rsidP="00862141" w14:paraId="253B9ACF" w14:textId="77777777">
      <w:pPr>
        <w:spacing w:before="120" w:after="240"/>
        <w:ind w:firstLine="720"/>
        <w:rPr>
          <w:rFonts w:ascii="Times New Roman" w:hAnsi="Times New Roman" w:cs="Times New Roman"/>
          <w:bCs/>
          <w:color w:val="000000"/>
        </w:rPr>
      </w:pPr>
      <w:r w:rsidRPr="0069204C">
        <w:rPr>
          <w:rFonts w:ascii="Times New Roman" w:hAnsi="Times New Roman" w:cs="Times New Roman"/>
          <w:bCs/>
          <w:color w:val="000000"/>
        </w:rPr>
        <w:t xml:space="preserve">[3] </w:t>
      </w:r>
      <w:r w:rsidRPr="0069204C" w:rsidR="00025D1C">
        <w:rPr>
          <w:rFonts w:ascii="Times New Roman" w:hAnsi="Times New Roman" w:cs="Times New Roman"/>
          <w:bCs/>
          <w:color w:val="000000"/>
        </w:rPr>
        <w:t xml:space="preserve">Implement steps for improving </w:t>
      </w:r>
      <w:r w:rsidR="00E77C2D">
        <w:rPr>
          <w:rFonts w:ascii="Times New Roman" w:hAnsi="Times New Roman" w:cs="Times New Roman"/>
          <w:bCs/>
          <w:color w:val="000000"/>
        </w:rPr>
        <w:t>interference resolution</w:t>
      </w:r>
      <w:r w:rsidRPr="0069204C" w:rsidR="00025D1C">
        <w:rPr>
          <w:rFonts w:ascii="Times New Roman" w:hAnsi="Times New Roman" w:cs="Times New Roman"/>
          <w:bCs/>
          <w:color w:val="000000"/>
        </w:rPr>
        <w:t xml:space="preserve">, including </w:t>
      </w:r>
      <w:r w:rsidR="00912914">
        <w:rPr>
          <w:rFonts w:ascii="Times New Roman" w:hAnsi="Times New Roman" w:cs="Times New Roman"/>
          <w:bCs/>
          <w:color w:val="000000"/>
        </w:rPr>
        <w:t>a next-generation a</w:t>
      </w:r>
      <w:r w:rsidRPr="0069204C" w:rsidR="00025D1C">
        <w:rPr>
          <w:rFonts w:ascii="Times New Roman" w:hAnsi="Times New Roman" w:cs="Times New Roman"/>
          <w:bCs/>
          <w:color w:val="000000"/>
        </w:rPr>
        <w:t>rchitecture</w:t>
      </w:r>
      <w:r w:rsidR="00E77C2D">
        <w:rPr>
          <w:rFonts w:ascii="Times New Roman" w:hAnsi="Times New Roman" w:cs="Times New Roman"/>
          <w:bCs/>
          <w:color w:val="000000"/>
        </w:rPr>
        <w:t xml:space="preserve"> for radio spectrum interference resolution</w:t>
      </w:r>
      <w:r w:rsidRPr="0069204C" w:rsidR="00025D1C">
        <w:rPr>
          <w:rFonts w:ascii="Times New Roman" w:hAnsi="Times New Roman" w:cs="Times New Roman"/>
          <w:bCs/>
          <w:color w:val="000000"/>
        </w:rPr>
        <w:t>, creating a public database of past radio-related enforcement activities</w:t>
      </w:r>
      <w:r w:rsidR="00912914">
        <w:rPr>
          <w:rFonts w:ascii="Times New Roman" w:hAnsi="Times New Roman" w:cs="Times New Roman"/>
          <w:bCs/>
          <w:color w:val="000000"/>
        </w:rPr>
        <w:t>,</w:t>
      </w:r>
      <w:r w:rsidRPr="0069204C" w:rsidR="00025D1C">
        <w:rPr>
          <w:rFonts w:ascii="Times New Roman" w:hAnsi="Times New Roman" w:cs="Times New Roman"/>
          <w:bCs/>
          <w:color w:val="000000"/>
        </w:rPr>
        <w:t xml:space="preserve"> and incorporate interference hunters in </w:t>
      </w:r>
      <w:r w:rsidRPr="0069204C" w:rsidR="00DB5E95">
        <w:rPr>
          <w:rFonts w:ascii="Times New Roman" w:hAnsi="Times New Roman" w:cs="Times New Roman"/>
          <w:bCs/>
          <w:color w:val="000000"/>
        </w:rPr>
        <w:t xml:space="preserve">the </w:t>
      </w:r>
      <w:r w:rsidR="00E77C2D">
        <w:rPr>
          <w:rFonts w:ascii="Times New Roman" w:hAnsi="Times New Roman" w:cs="Times New Roman"/>
          <w:bCs/>
          <w:color w:val="000000"/>
        </w:rPr>
        <w:t>resolution</w:t>
      </w:r>
      <w:r w:rsidRPr="0069204C" w:rsidR="00025D1C">
        <w:rPr>
          <w:rFonts w:ascii="Times New Roman" w:hAnsi="Times New Roman" w:cs="Times New Roman"/>
          <w:bCs/>
          <w:color w:val="000000"/>
        </w:rPr>
        <w:t xml:space="preserve"> process.</w:t>
      </w:r>
      <w:r>
        <w:rPr>
          <w:rStyle w:val="FootnoteReference"/>
          <w:rFonts w:cs="Times New Roman"/>
          <w:bCs/>
          <w:sz w:val="22"/>
        </w:rPr>
        <w:footnoteReference w:id="7"/>
      </w:r>
    </w:p>
    <w:p w:rsidR="0044787C" w:rsidP="00F96D4E" w14:paraId="7AAEB862" w14:textId="32A4E099">
      <w:pPr>
        <w:spacing w:before="120" w:after="240"/>
        <w:ind w:firstLine="720"/>
        <w:rPr>
          <w:rFonts w:ascii="Times New Roman" w:hAnsi="Times New Roman" w:cs="Times New Roman"/>
        </w:rPr>
      </w:pPr>
      <w:r w:rsidRPr="00880249">
        <w:rPr>
          <w:rFonts w:ascii="Times New Roman" w:hAnsi="Times New Roman" w:cs="Times New Roman"/>
          <w:b/>
          <w:i/>
          <w:u w:val="single"/>
        </w:rPr>
        <w:t xml:space="preserve">Basic </w:t>
      </w:r>
      <w:r w:rsidRPr="00880249" w:rsidR="005C4540">
        <w:rPr>
          <w:rFonts w:ascii="Times New Roman" w:hAnsi="Times New Roman" w:cs="Times New Roman"/>
          <w:b/>
          <w:i/>
          <w:u w:val="single"/>
        </w:rPr>
        <w:t xml:space="preserve">Spectrum </w:t>
      </w:r>
      <w:r w:rsidR="000D51AC">
        <w:rPr>
          <w:rFonts w:ascii="Times New Roman" w:hAnsi="Times New Roman" w:cs="Times New Roman"/>
          <w:b/>
          <w:i/>
          <w:u w:val="single"/>
        </w:rPr>
        <w:t>[</w:t>
      </w:r>
      <w:r>
        <w:rPr>
          <w:rFonts w:ascii="Times New Roman" w:hAnsi="Times New Roman" w:cs="Times New Roman"/>
          <w:b/>
          <w:i/>
          <w:u w:val="single"/>
        </w:rPr>
        <w:t>Management</w:t>
      </w:r>
      <w:r w:rsidR="000D51AC">
        <w:rPr>
          <w:rFonts w:ascii="Times New Roman" w:hAnsi="Times New Roman" w:cs="Times New Roman"/>
          <w:b/>
          <w:i/>
          <w:u w:val="single"/>
        </w:rPr>
        <w:t>]</w:t>
      </w:r>
      <w:r>
        <w:rPr>
          <w:rFonts w:ascii="Times New Roman" w:hAnsi="Times New Roman" w:cs="Times New Roman"/>
          <w:b/>
          <w:i/>
          <w:u w:val="single"/>
        </w:rPr>
        <w:t xml:space="preserve"> </w:t>
      </w:r>
      <w:r w:rsidRPr="00880249">
        <w:rPr>
          <w:rFonts w:ascii="Times New Roman" w:hAnsi="Times New Roman" w:cs="Times New Roman"/>
          <w:b/>
          <w:i/>
          <w:u w:val="single"/>
        </w:rPr>
        <w:t>Principles</w:t>
      </w:r>
      <w:r>
        <w:rPr>
          <w:rFonts w:ascii="Times New Roman" w:hAnsi="Times New Roman" w:cs="Times New Roman"/>
          <w:i/>
        </w:rPr>
        <w:t xml:space="preserve"> </w:t>
      </w:r>
      <w:r w:rsidR="00FA164D">
        <w:rPr>
          <w:rFonts w:ascii="Times New Roman" w:hAnsi="Times New Roman" w:cs="Times New Roman"/>
        </w:rPr>
        <w:t>–</w:t>
      </w:r>
      <w:r>
        <w:rPr>
          <w:rFonts w:ascii="Times New Roman" w:hAnsi="Times New Roman" w:cs="Times New Roman"/>
        </w:rPr>
        <w:t xml:space="preserve"> </w:t>
      </w:r>
      <w:r w:rsidR="00FA164D">
        <w:rPr>
          <w:rFonts w:ascii="Times New Roman" w:hAnsi="Times New Roman" w:cs="Times New Roman"/>
        </w:rPr>
        <w:t xml:space="preserve">The TAC has recommended </w:t>
      </w:r>
      <w:r>
        <w:rPr>
          <w:rFonts w:ascii="Times New Roman" w:hAnsi="Times New Roman" w:cs="Times New Roman"/>
        </w:rPr>
        <w:t xml:space="preserve">that the Commission consider adopting </w:t>
      </w:r>
      <w:r w:rsidR="00FA164D">
        <w:rPr>
          <w:rFonts w:ascii="Times New Roman" w:hAnsi="Times New Roman" w:cs="Times New Roman"/>
        </w:rPr>
        <w:t xml:space="preserve">nine </w:t>
      </w:r>
      <w:r>
        <w:rPr>
          <w:rFonts w:ascii="Times New Roman" w:hAnsi="Times New Roman" w:cs="Times New Roman"/>
        </w:rPr>
        <w:t xml:space="preserve">spectrum management </w:t>
      </w:r>
      <w:r w:rsidR="00FA164D">
        <w:rPr>
          <w:rFonts w:ascii="Times New Roman" w:hAnsi="Times New Roman" w:cs="Times New Roman"/>
        </w:rPr>
        <w:t>principles</w:t>
      </w:r>
      <w:r>
        <w:rPr>
          <w:rFonts w:ascii="Times New Roman" w:hAnsi="Times New Roman" w:cs="Times New Roman"/>
        </w:rPr>
        <w:t xml:space="preserve"> as set forth</w:t>
      </w:r>
      <w:r w:rsidR="006D3D4D">
        <w:rPr>
          <w:rFonts w:ascii="Times New Roman" w:hAnsi="Times New Roman" w:cs="Times New Roman"/>
        </w:rPr>
        <w:t xml:space="preserve"> in the</w:t>
      </w:r>
      <w:r w:rsidRPr="006D3D4D" w:rsidR="006D3D4D">
        <w:rPr>
          <w:rFonts w:ascii="Times New Roman" w:hAnsi="Times New Roman" w:cs="Times New Roman"/>
        </w:rPr>
        <w:t xml:space="preserve"> </w:t>
      </w:r>
      <w:r w:rsidR="00F501E3">
        <w:rPr>
          <w:rFonts w:ascii="Times New Roman" w:hAnsi="Times New Roman" w:cs="Times New Roman"/>
        </w:rPr>
        <w:t xml:space="preserve">TAC’s </w:t>
      </w:r>
      <w:r w:rsidRPr="006D3D4D" w:rsidR="006D3D4D">
        <w:rPr>
          <w:rStyle w:val="Hyperlink"/>
          <w:rFonts w:ascii="Times New Roman" w:hAnsi="Times New Roman" w:cs="Times New Roman"/>
          <w:i/>
          <w:color w:val="auto"/>
          <w:u w:val="none"/>
        </w:rPr>
        <w:t>Basic Spectrum Principles White Paper</w:t>
      </w:r>
      <w:r w:rsidR="00F501E3">
        <w:rPr>
          <w:rFonts w:ascii="Times New Roman" w:hAnsi="Times New Roman" w:cs="Times New Roman"/>
        </w:rPr>
        <w:t xml:space="preserve">.  The TAC believes that adoption of these principles – which </w:t>
      </w:r>
      <w:r w:rsidR="004E0BB1">
        <w:rPr>
          <w:rFonts w:ascii="Times New Roman" w:hAnsi="Times New Roman" w:cs="Times New Roman"/>
        </w:rPr>
        <w:t>are organized in</w:t>
      </w:r>
      <w:r w:rsidR="00F501E3">
        <w:rPr>
          <w:rFonts w:ascii="Times New Roman" w:hAnsi="Times New Roman" w:cs="Times New Roman"/>
        </w:rPr>
        <w:t xml:space="preserve"> three categories – could be useful in helping </w:t>
      </w:r>
      <w:r w:rsidR="003C635D">
        <w:rPr>
          <w:rFonts w:ascii="Times New Roman" w:hAnsi="Times New Roman" w:cs="Times New Roman"/>
        </w:rPr>
        <w:t xml:space="preserve">to </w:t>
      </w:r>
      <w:r w:rsidR="006D3D4D">
        <w:rPr>
          <w:rFonts w:ascii="Times New Roman" w:hAnsi="Times New Roman" w:cs="Times New Roman"/>
        </w:rPr>
        <w:t xml:space="preserve">improve the compatibility of </w:t>
      </w:r>
      <w:r w:rsidR="00F501E3">
        <w:rPr>
          <w:rFonts w:ascii="Times New Roman" w:hAnsi="Times New Roman" w:cs="Times New Roman"/>
        </w:rPr>
        <w:t xml:space="preserve">services that operate under [existing or] </w:t>
      </w:r>
      <w:r w:rsidR="006D3D4D">
        <w:rPr>
          <w:rFonts w:ascii="Times New Roman" w:hAnsi="Times New Roman" w:cs="Times New Roman"/>
        </w:rPr>
        <w:t xml:space="preserve">new spectrum allocations. </w:t>
      </w:r>
      <w:r>
        <w:rPr>
          <w:rFonts w:ascii="Times New Roman" w:hAnsi="Times New Roman" w:cs="Times New Roman"/>
        </w:rPr>
        <w:t xml:space="preserve"> </w:t>
      </w:r>
    </w:p>
    <w:p w:rsidR="00F501E3" w:rsidP="00F96D4E" w14:paraId="1BE488DB" w14:textId="30F90ADD">
      <w:pPr>
        <w:spacing w:before="120" w:after="240"/>
        <w:ind w:firstLine="720"/>
        <w:rPr>
          <w:rFonts w:ascii="Times New Roman" w:hAnsi="Times New Roman" w:cs="Times New Roman"/>
          <w:i/>
        </w:rPr>
      </w:pPr>
      <w:r w:rsidRPr="00725DC1">
        <w:rPr>
          <w:rFonts w:ascii="Times New Roman" w:hAnsi="Times New Roman" w:cs="Times New Roman"/>
          <w:b/>
        </w:rPr>
        <w:t xml:space="preserve">Interference </w:t>
      </w:r>
      <w:r w:rsidR="00E21506">
        <w:rPr>
          <w:rFonts w:ascii="Times New Roman" w:hAnsi="Times New Roman" w:cs="Times New Roman"/>
          <w:b/>
        </w:rPr>
        <w:t>R</w:t>
      </w:r>
      <w:r w:rsidRPr="00725DC1">
        <w:rPr>
          <w:rFonts w:ascii="Times New Roman" w:hAnsi="Times New Roman" w:cs="Times New Roman"/>
          <w:b/>
        </w:rPr>
        <w:t>ealities</w:t>
      </w:r>
    </w:p>
    <w:p w:rsidR="00F501E3" w:rsidP="00725DC1" w14:paraId="2962F9C6" w14:textId="6F19AC08">
      <w:pPr>
        <w:spacing w:before="120" w:after="240"/>
        <w:ind w:left="720" w:firstLine="720"/>
        <w:rPr>
          <w:rFonts w:ascii="Times New Roman" w:hAnsi="Times New Roman" w:cs="Times New Roman"/>
        </w:rPr>
      </w:pPr>
      <w:r>
        <w:rPr>
          <w:rFonts w:ascii="Times New Roman" w:hAnsi="Times New Roman" w:cs="Times New Roman"/>
          <w:i/>
        </w:rPr>
        <w:t xml:space="preserve">Principle #1 -- </w:t>
      </w:r>
      <w:r w:rsidR="00C83C8D">
        <w:rPr>
          <w:rFonts w:ascii="Times New Roman" w:hAnsi="Times New Roman" w:cs="Times New Roman"/>
        </w:rPr>
        <w:t>H</w:t>
      </w:r>
      <w:r w:rsidRPr="0044787C">
        <w:rPr>
          <w:rFonts w:ascii="Times New Roman" w:hAnsi="Times New Roman" w:cs="Times New Roman"/>
        </w:rPr>
        <w:t xml:space="preserve">armful interference is affected by the characteristics of both </w:t>
      </w:r>
      <w:r w:rsidR="00C83C8D">
        <w:rPr>
          <w:rFonts w:ascii="Times New Roman" w:hAnsi="Times New Roman" w:cs="Times New Roman"/>
        </w:rPr>
        <w:t>a transmitting service and a nearby receiving service in frequency, space or time</w:t>
      </w:r>
      <w:r w:rsidR="00E86C90">
        <w:rPr>
          <w:rFonts w:ascii="Times New Roman" w:hAnsi="Times New Roman" w:cs="Times New Roman"/>
        </w:rPr>
        <w:t>;</w:t>
      </w:r>
    </w:p>
    <w:p w:rsidR="00F501E3" w:rsidP="00725DC1" w14:paraId="5514EDF4" w14:textId="15A8C7AD">
      <w:pPr>
        <w:spacing w:before="120" w:after="240"/>
        <w:ind w:left="720" w:firstLine="720"/>
        <w:rPr>
          <w:rFonts w:ascii="Times New Roman" w:hAnsi="Times New Roman" w:cs="Times New Roman"/>
        </w:rPr>
      </w:pPr>
      <w:r>
        <w:rPr>
          <w:rFonts w:ascii="Times New Roman" w:hAnsi="Times New Roman" w:cs="Times New Roman"/>
          <w:i/>
        </w:rPr>
        <w:t xml:space="preserve">Principle #2 </w:t>
      </w:r>
      <w:r w:rsidR="00C83C8D">
        <w:rPr>
          <w:rFonts w:ascii="Times New Roman" w:hAnsi="Times New Roman" w:cs="Times New Roman"/>
          <w:i/>
        </w:rPr>
        <w:t>–</w:t>
      </w:r>
      <w:r>
        <w:rPr>
          <w:rFonts w:ascii="Times New Roman" w:hAnsi="Times New Roman" w:cs="Times New Roman"/>
          <w:i/>
        </w:rPr>
        <w:t xml:space="preserve"> </w:t>
      </w:r>
      <w:r w:rsidR="00C83C8D">
        <w:rPr>
          <w:rFonts w:ascii="Times New Roman" w:hAnsi="Times New Roman" w:cs="Times New Roman"/>
        </w:rPr>
        <w:t>All [radio]</w:t>
      </w:r>
      <w:r w:rsidRPr="0044787C">
        <w:rPr>
          <w:rFonts w:ascii="Times New Roman" w:hAnsi="Times New Roman" w:cs="Times New Roman"/>
        </w:rPr>
        <w:t xml:space="preserve"> services should plan for non-harmful interference from </w:t>
      </w:r>
      <w:r w:rsidR="00C83C8D">
        <w:rPr>
          <w:rFonts w:ascii="Times New Roman" w:hAnsi="Times New Roman" w:cs="Times New Roman"/>
        </w:rPr>
        <w:t>signals that are nearby in frequency, space or time, both now and for any changes that occur in the future;</w:t>
      </w:r>
    </w:p>
    <w:p w:rsidR="00F501E3" w:rsidRPr="00725DC1" w:rsidP="00725DC1" w14:paraId="1EF99F5B" w14:textId="5FAC1B7F">
      <w:pPr>
        <w:spacing w:before="120" w:after="240"/>
        <w:ind w:left="720" w:firstLine="720"/>
        <w:rPr>
          <w:rFonts w:ascii="Times New Roman" w:hAnsi="Times New Roman" w:cs="Times New Roman"/>
          <w:i/>
        </w:rPr>
      </w:pPr>
      <w:r>
        <w:rPr>
          <w:rFonts w:ascii="Times New Roman" w:hAnsi="Times New Roman" w:cs="Times New Roman"/>
          <w:i/>
        </w:rPr>
        <w:t xml:space="preserve">Principle #3 – </w:t>
      </w:r>
      <w:r w:rsidR="00C83C8D">
        <w:rPr>
          <w:rFonts w:ascii="Times New Roman" w:hAnsi="Times New Roman" w:cs="Times New Roman"/>
        </w:rPr>
        <w:t>Even under ideal conditions, the electromagnetic environment is unpredictable. Operators should expect and plan for occasional service degradation or interruption. The Commission should not base its rules on exceptional events;</w:t>
      </w:r>
    </w:p>
    <w:p w:rsidR="00E21506" w:rsidRPr="00725DC1" w:rsidP="00725DC1" w14:paraId="536523FA" w14:textId="77777777">
      <w:pPr>
        <w:spacing w:before="120" w:after="240"/>
        <w:rPr>
          <w:rFonts w:ascii="Times New Roman" w:hAnsi="Times New Roman" w:cs="Times New Roman"/>
          <w:b/>
        </w:rPr>
      </w:pPr>
      <w:r>
        <w:tab/>
      </w:r>
      <w:r w:rsidRPr="00725DC1">
        <w:rPr>
          <w:rFonts w:ascii="Times New Roman" w:hAnsi="Times New Roman" w:cs="Times New Roman"/>
          <w:b/>
        </w:rPr>
        <w:t>Responsibilities of [Radio] Services</w:t>
      </w:r>
    </w:p>
    <w:p w:rsidR="00E21506" w:rsidRPr="00725DC1" w:rsidP="00725DC1" w14:paraId="7878E71E" w14:textId="4CBB1B9E">
      <w:pPr>
        <w:spacing w:before="120" w:after="240"/>
        <w:ind w:left="720" w:firstLine="720"/>
        <w:rPr>
          <w:rFonts w:ascii="Times New Roman" w:hAnsi="Times New Roman" w:cs="Times New Roman"/>
        </w:rPr>
      </w:pPr>
      <w:r w:rsidRPr="00725DC1">
        <w:rPr>
          <w:rFonts w:ascii="Times New Roman" w:hAnsi="Times New Roman" w:cs="Times New Roman"/>
          <w:i/>
        </w:rPr>
        <w:t xml:space="preserve">Principle #4 – </w:t>
      </w:r>
      <w:r w:rsidRPr="00725DC1">
        <w:rPr>
          <w:rFonts w:ascii="Times New Roman" w:hAnsi="Times New Roman" w:cs="Times New Roman"/>
        </w:rPr>
        <w:t xml:space="preserve">Receivers are </w:t>
      </w:r>
      <w:r w:rsidR="002D65EA">
        <w:rPr>
          <w:rFonts w:ascii="Times New Roman" w:hAnsi="Times New Roman" w:cs="Times New Roman"/>
        </w:rPr>
        <w:t xml:space="preserve">responsible for mitigating interference </w:t>
      </w:r>
      <w:r w:rsidR="00E86C90">
        <w:rPr>
          <w:rFonts w:ascii="Times New Roman" w:hAnsi="Times New Roman" w:cs="Times New Roman"/>
        </w:rPr>
        <w:t>outside their assigned channels;</w:t>
      </w:r>
    </w:p>
    <w:p w:rsidR="00E21506" w:rsidRPr="00725DC1" w:rsidP="00725DC1" w14:paraId="286F40C4" w14:textId="6867A8E9">
      <w:pPr>
        <w:spacing w:before="120" w:after="240"/>
        <w:ind w:left="720" w:firstLine="720"/>
        <w:rPr>
          <w:rFonts w:ascii="Times New Roman" w:hAnsi="Times New Roman" w:cs="Times New Roman"/>
        </w:rPr>
      </w:pPr>
      <w:r w:rsidRPr="00725DC1">
        <w:rPr>
          <w:rFonts w:ascii="Times New Roman" w:hAnsi="Times New Roman" w:cs="Times New Roman"/>
          <w:i/>
        </w:rPr>
        <w:t>Principle #5</w:t>
      </w:r>
      <w:r w:rsidRPr="00725DC1">
        <w:rPr>
          <w:rFonts w:ascii="Times New Roman" w:hAnsi="Times New Roman" w:cs="Times New Roman"/>
        </w:rPr>
        <w:t xml:space="preserve"> – Systems are expected to use </w:t>
      </w:r>
      <w:r w:rsidR="002D65EA">
        <w:rPr>
          <w:rFonts w:ascii="Times New Roman" w:hAnsi="Times New Roman" w:cs="Times New Roman"/>
        </w:rPr>
        <w:t>techniques at all layers of the stack to mitigat</w:t>
      </w:r>
      <w:r w:rsidR="00E86C90">
        <w:rPr>
          <w:rFonts w:ascii="Times New Roman" w:hAnsi="Times New Roman" w:cs="Times New Roman"/>
        </w:rPr>
        <w:t>e degradation from interference;</w:t>
      </w:r>
    </w:p>
    <w:p w:rsidR="00E21506" w:rsidRPr="00725DC1" w:rsidP="00725DC1" w14:paraId="40647DC0" w14:textId="6DD981BD">
      <w:pPr>
        <w:spacing w:before="120" w:after="240"/>
        <w:ind w:left="720" w:firstLine="720"/>
        <w:rPr>
          <w:rFonts w:ascii="Times New Roman" w:hAnsi="Times New Roman" w:cs="Times New Roman"/>
        </w:rPr>
      </w:pPr>
      <w:r w:rsidRPr="00725DC1">
        <w:rPr>
          <w:rFonts w:ascii="Times New Roman" w:hAnsi="Times New Roman" w:cs="Times New Roman"/>
          <w:i/>
        </w:rPr>
        <w:t>Principle #6</w:t>
      </w:r>
      <w:r w:rsidRPr="00725DC1">
        <w:rPr>
          <w:rFonts w:ascii="Times New Roman" w:hAnsi="Times New Roman" w:cs="Times New Roman"/>
        </w:rPr>
        <w:t xml:space="preserve"> – Transmitters are responsible for </w:t>
      </w:r>
      <w:r w:rsidR="002D65EA">
        <w:rPr>
          <w:rFonts w:ascii="Times New Roman" w:hAnsi="Times New Roman" w:cs="Times New Roman"/>
        </w:rPr>
        <w:t>minimizing the amount of their transmitted energy that appears outside their assigned</w:t>
      </w:r>
      <w:r w:rsidR="00E86C90">
        <w:rPr>
          <w:rFonts w:ascii="Times New Roman" w:hAnsi="Times New Roman" w:cs="Times New Roman"/>
        </w:rPr>
        <w:t xml:space="preserve"> frequencies and licensed areas;</w:t>
      </w:r>
    </w:p>
    <w:p w:rsidR="00E21506" w:rsidRPr="00725DC1" w:rsidP="00725DC1" w14:paraId="2572BE3D" w14:textId="77777777">
      <w:pPr>
        <w:spacing w:before="120" w:after="240"/>
        <w:rPr>
          <w:rFonts w:ascii="Times New Roman" w:hAnsi="Times New Roman" w:cs="Times New Roman"/>
          <w:b/>
        </w:rPr>
      </w:pPr>
      <w:r>
        <w:tab/>
      </w:r>
      <w:r w:rsidRPr="00725DC1">
        <w:rPr>
          <w:rFonts w:ascii="Times New Roman" w:hAnsi="Times New Roman" w:cs="Times New Roman"/>
          <w:b/>
        </w:rPr>
        <w:t>Regulatory Requirements and Actions</w:t>
      </w:r>
    </w:p>
    <w:p w:rsidR="00E21506" w:rsidRPr="00725DC1" w:rsidP="00E86C90" w14:paraId="6C8CB499" w14:textId="6736B309">
      <w:pPr>
        <w:spacing w:before="120" w:after="240"/>
        <w:ind w:left="720" w:firstLine="720"/>
        <w:rPr>
          <w:rFonts w:ascii="Times New Roman" w:hAnsi="Times New Roman" w:cs="Times New Roman"/>
        </w:rPr>
      </w:pPr>
      <w:r w:rsidRPr="00725DC1">
        <w:rPr>
          <w:rFonts w:ascii="Times New Roman" w:hAnsi="Times New Roman" w:cs="Times New Roman"/>
          <w:i/>
        </w:rPr>
        <w:t xml:space="preserve">Principle #7 </w:t>
      </w:r>
      <w:r w:rsidRPr="00725DC1">
        <w:rPr>
          <w:rFonts w:ascii="Times New Roman" w:hAnsi="Times New Roman" w:cs="Times New Roman"/>
        </w:rPr>
        <w:t xml:space="preserve">– Services under FCC jurisdiction are expected to disclose the </w:t>
      </w:r>
      <w:r w:rsidR="00E86C90">
        <w:rPr>
          <w:rFonts w:ascii="Times New Roman" w:hAnsi="Times New Roman" w:cs="Times New Roman"/>
        </w:rPr>
        <w:t>relevant standards, guidelines and operating characteristics of their systems to the Commission if they expect protection from harmful interference;</w:t>
      </w:r>
    </w:p>
    <w:p w:rsidR="00E21506" w:rsidRPr="00725DC1" w:rsidP="00725DC1" w14:paraId="666C76E0" w14:textId="77B7F4C9">
      <w:pPr>
        <w:spacing w:before="120" w:after="240"/>
        <w:ind w:left="720"/>
        <w:rPr>
          <w:rFonts w:ascii="Times New Roman" w:hAnsi="Times New Roman" w:cs="Times New Roman"/>
        </w:rPr>
      </w:pPr>
      <w:r w:rsidRPr="00725DC1">
        <w:rPr>
          <w:rFonts w:ascii="Times New Roman" w:hAnsi="Times New Roman" w:cs="Times New Roman"/>
        </w:rPr>
        <w:tab/>
      </w:r>
      <w:r w:rsidRPr="00725DC1">
        <w:rPr>
          <w:rFonts w:ascii="Times New Roman" w:hAnsi="Times New Roman" w:cs="Times New Roman"/>
          <w:i/>
        </w:rPr>
        <w:t>Principle #8</w:t>
      </w:r>
      <w:r w:rsidRPr="00725DC1">
        <w:rPr>
          <w:rFonts w:ascii="Times New Roman" w:hAnsi="Times New Roman" w:cs="Times New Roman"/>
        </w:rPr>
        <w:t xml:space="preserve"> – The Commission may apply Interference Limits to quantify rights of prote</w:t>
      </w:r>
      <w:r w:rsidR="00E86C90">
        <w:rPr>
          <w:rFonts w:ascii="Times New Roman" w:hAnsi="Times New Roman" w:cs="Times New Roman"/>
        </w:rPr>
        <w:t>ction from harmful interference;</w:t>
      </w:r>
    </w:p>
    <w:p w:rsidR="00E2791F" w:rsidP="00FC6AF8" w14:paraId="14778543" w14:textId="548C04DD">
      <w:pPr>
        <w:spacing w:before="120" w:after="240"/>
        <w:ind w:left="720"/>
        <w:rPr>
          <w:rFonts w:ascii="Times New Roman" w:hAnsi="Times New Roman" w:cs="Times New Roman"/>
        </w:rPr>
      </w:pPr>
      <w:r w:rsidRPr="00725DC1">
        <w:rPr>
          <w:rFonts w:ascii="Times New Roman" w:hAnsi="Times New Roman" w:cs="Times New Roman"/>
        </w:rPr>
        <w:tab/>
      </w:r>
      <w:r w:rsidRPr="00725DC1">
        <w:rPr>
          <w:rFonts w:ascii="Times New Roman" w:hAnsi="Times New Roman" w:cs="Times New Roman"/>
          <w:i/>
        </w:rPr>
        <w:t>Principle #9</w:t>
      </w:r>
      <w:r w:rsidRPr="00725DC1">
        <w:rPr>
          <w:rFonts w:ascii="Times New Roman" w:hAnsi="Times New Roman" w:cs="Times New Roman"/>
        </w:rPr>
        <w:t xml:space="preserve"> – A quantitative analysis of interactions between services shall be required before the Commission can make decisions</w:t>
      </w:r>
      <w:r w:rsidR="00FC6AF8">
        <w:rPr>
          <w:rFonts w:ascii="Times New Roman" w:hAnsi="Times New Roman" w:cs="Times New Roman"/>
        </w:rPr>
        <w:t xml:space="preserve"> regarding levels of protection.</w:t>
      </w:r>
    </w:p>
    <w:p w:rsidR="00FC6AF8" w:rsidRPr="00E2791F" w:rsidP="00FC6AF8" w14:paraId="56FD755B" w14:textId="77777777">
      <w:pPr>
        <w:spacing w:before="120" w:after="240"/>
        <w:ind w:left="720"/>
        <w:rPr>
          <w:rFonts w:ascii="Times New Roman" w:hAnsi="Times New Roman" w:cs="Times New Roman"/>
        </w:rPr>
      </w:pPr>
    </w:p>
    <w:p w:rsidR="00880249" w:rsidP="00E21506" w14:paraId="1A1308B8" w14:textId="53591C0F">
      <w:pPr>
        <w:spacing w:before="120" w:after="240"/>
        <w:ind w:firstLine="720"/>
        <w:rPr>
          <w:rFonts w:ascii="Times New Roman" w:hAnsi="Times New Roman" w:cs="Times New Roman"/>
        </w:rPr>
      </w:pPr>
      <w:r>
        <w:rPr>
          <w:rFonts w:ascii="Times New Roman" w:eastAsia="Times New Roman" w:hAnsi="Times New Roman" w:cs="Times New Roman"/>
          <w:b/>
          <w:i/>
          <w:snapToGrid w:val="0"/>
          <w:kern w:val="28"/>
          <w:szCs w:val="20"/>
        </w:rPr>
        <w:t>TAC White Paper</w:t>
      </w:r>
      <w:r w:rsidRPr="00725DC1" w:rsidR="00E21506">
        <w:rPr>
          <w:rFonts w:ascii="Times New Roman" w:eastAsia="Times New Roman" w:hAnsi="Times New Roman" w:cs="Times New Roman"/>
          <w:b/>
          <w:i/>
          <w:snapToGrid w:val="0"/>
          <w:kern w:val="28"/>
          <w:szCs w:val="20"/>
        </w:rPr>
        <w:t xml:space="preserve"> --</w:t>
      </w:r>
      <w:r w:rsidR="00E86C90">
        <w:rPr>
          <w:rFonts w:ascii="Times New Roman" w:eastAsia="Times New Roman" w:hAnsi="Times New Roman" w:cs="Times New Roman"/>
          <w:snapToGrid w:val="0"/>
          <w:kern w:val="28"/>
          <w:szCs w:val="20"/>
        </w:rPr>
        <w:t xml:space="preserve"> </w:t>
      </w:r>
      <w:r>
        <w:rPr>
          <w:rFonts w:ascii="Times New Roman" w:hAnsi="Times New Roman" w:cs="Times New Roman"/>
        </w:rPr>
        <w:t>T</w:t>
      </w:r>
      <w:r w:rsidR="00F96D4E">
        <w:rPr>
          <w:rFonts w:ascii="Times New Roman" w:hAnsi="Times New Roman" w:cs="Times New Roman"/>
        </w:rPr>
        <w:t>he</w:t>
      </w:r>
      <w:r>
        <w:rPr>
          <w:rFonts w:ascii="Times New Roman" w:hAnsi="Times New Roman" w:cs="Times New Roman"/>
        </w:rPr>
        <w:t>se</w:t>
      </w:r>
      <w:r w:rsidR="00F96D4E">
        <w:rPr>
          <w:rFonts w:ascii="Times New Roman" w:hAnsi="Times New Roman" w:cs="Times New Roman"/>
        </w:rPr>
        <w:t xml:space="preserve"> nine principles </w:t>
      </w:r>
      <w:r>
        <w:rPr>
          <w:rFonts w:ascii="Times New Roman" w:hAnsi="Times New Roman" w:cs="Times New Roman"/>
        </w:rPr>
        <w:t xml:space="preserve">are further elaborated </w:t>
      </w:r>
      <w:r w:rsidR="00F96D4E">
        <w:rPr>
          <w:rFonts w:ascii="Times New Roman" w:hAnsi="Times New Roman" w:cs="Times New Roman"/>
        </w:rPr>
        <w:t xml:space="preserve">in the TAC’s </w:t>
      </w:r>
      <w:r w:rsidRPr="00C0515C" w:rsidR="00F96D4E">
        <w:rPr>
          <w:rFonts w:ascii="Times New Roman" w:hAnsi="Times New Roman" w:cs="Times New Roman"/>
          <w:i/>
        </w:rPr>
        <w:t xml:space="preserve">Basic Spectrum </w:t>
      </w:r>
      <w:r w:rsidRPr="00C0515C" w:rsidR="00273582">
        <w:rPr>
          <w:rFonts w:ascii="Times New Roman" w:hAnsi="Times New Roman" w:cs="Times New Roman"/>
          <w:i/>
        </w:rPr>
        <w:t>Principles White Paper</w:t>
      </w:r>
      <w:r w:rsidR="00273582">
        <w:rPr>
          <w:rFonts w:ascii="Times New Roman" w:hAnsi="Times New Roman" w:cs="Times New Roman"/>
        </w:rPr>
        <w:t xml:space="preserve">, including how the goal of achieving more efficient and effective spectrum use can be achieved through the application of these nine principles. </w:t>
      </w:r>
      <w:r w:rsidR="00356242">
        <w:rPr>
          <w:rFonts w:ascii="Times New Roman" w:hAnsi="Times New Roman" w:cs="Times New Roman"/>
        </w:rPr>
        <w:t>The</w:t>
      </w:r>
      <w:r w:rsidR="00273582">
        <w:rPr>
          <w:rFonts w:ascii="Times New Roman" w:hAnsi="Times New Roman" w:cs="Times New Roman"/>
        </w:rPr>
        <w:t xml:space="preserve"> TAC</w:t>
      </w:r>
      <w:r w:rsidR="003F22D9">
        <w:rPr>
          <w:rFonts w:ascii="Times New Roman" w:hAnsi="Times New Roman" w:cs="Times New Roman"/>
        </w:rPr>
        <w:t xml:space="preserve"> does not expect </w:t>
      </w:r>
      <w:r w:rsidR="00356242">
        <w:rPr>
          <w:rFonts w:ascii="Times New Roman" w:hAnsi="Times New Roman" w:cs="Times New Roman"/>
        </w:rPr>
        <w:t xml:space="preserve">the application of these principles to result in </w:t>
      </w:r>
      <w:r w:rsidR="003F22D9">
        <w:rPr>
          <w:rFonts w:ascii="Times New Roman" w:hAnsi="Times New Roman" w:cs="Times New Roman"/>
        </w:rPr>
        <w:t xml:space="preserve">a </w:t>
      </w:r>
      <w:r w:rsidR="00551FF1">
        <w:rPr>
          <w:rFonts w:ascii="Times New Roman" w:hAnsi="Times New Roman" w:cs="Times New Roman"/>
        </w:rPr>
        <w:t>concrete set of regulations that fit</w:t>
      </w:r>
      <w:r w:rsidR="003F22D9">
        <w:rPr>
          <w:rFonts w:ascii="Times New Roman" w:hAnsi="Times New Roman" w:cs="Times New Roman"/>
        </w:rPr>
        <w:t xml:space="preserve"> all radio services</w:t>
      </w:r>
      <w:r w:rsidR="00551FF1">
        <w:rPr>
          <w:rFonts w:ascii="Times New Roman" w:hAnsi="Times New Roman" w:cs="Times New Roman"/>
        </w:rPr>
        <w:t xml:space="preserve"> in the same way</w:t>
      </w:r>
      <w:r w:rsidR="00356242">
        <w:rPr>
          <w:rFonts w:ascii="Times New Roman" w:hAnsi="Times New Roman" w:cs="Times New Roman"/>
        </w:rPr>
        <w:t>,</w:t>
      </w:r>
      <w:r w:rsidR="003F22D9">
        <w:rPr>
          <w:rFonts w:ascii="Times New Roman" w:hAnsi="Times New Roman" w:cs="Times New Roman"/>
        </w:rPr>
        <w:t xml:space="preserve"> due to </w:t>
      </w:r>
      <w:r w:rsidR="00356242">
        <w:rPr>
          <w:rFonts w:ascii="Times New Roman" w:hAnsi="Times New Roman" w:cs="Times New Roman"/>
        </w:rPr>
        <w:t xml:space="preserve">the </w:t>
      </w:r>
      <w:r w:rsidR="003F22D9">
        <w:rPr>
          <w:rFonts w:ascii="Times New Roman" w:hAnsi="Times New Roman" w:cs="Times New Roman"/>
        </w:rPr>
        <w:t>many differences between the requireme</w:t>
      </w:r>
      <w:r w:rsidR="00356242">
        <w:rPr>
          <w:rFonts w:ascii="Times New Roman" w:hAnsi="Times New Roman" w:cs="Times New Roman"/>
        </w:rPr>
        <w:t>nts of various types of systems.</w:t>
      </w:r>
      <w:r w:rsidR="003F22D9">
        <w:rPr>
          <w:rFonts w:ascii="Times New Roman" w:hAnsi="Times New Roman" w:cs="Times New Roman"/>
        </w:rPr>
        <w:t xml:space="preserve"> </w:t>
      </w:r>
      <w:r w:rsidR="00356242">
        <w:rPr>
          <w:rFonts w:ascii="Times New Roman" w:hAnsi="Times New Roman" w:cs="Times New Roman"/>
        </w:rPr>
        <w:t xml:space="preserve">However, </w:t>
      </w:r>
      <w:r w:rsidR="003F22D9">
        <w:rPr>
          <w:rFonts w:ascii="Times New Roman" w:hAnsi="Times New Roman" w:cs="Times New Roman"/>
        </w:rPr>
        <w:t xml:space="preserve">the TAC believes the principles can be applied to all systems </w:t>
      </w:r>
      <w:r w:rsidR="00E2791F">
        <w:rPr>
          <w:rFonts w:ascii="Times New Roman" w:hAnsi="Times New Roman" w:cs="Times New Roman"/>
        </w:rPr>
        <w:t>and</w:t>
      </w:r>
      <w:r w:rsidR="003F22D9">
        <w:rPr>
          <w:rFonts w:ascii="Times New Roman" w:hAnsi="Times New Roman" w:cs="Times New Roman"/>
        </w:rPr>
        <w:t xml:space="preserve"> result in an optimal solution for each service. </w:t>
      </w:r>
      <w:r w:rsidR="00356242">
        <w:rPr>
          <w:rFonts w:ascii="Times New Roman" w:hAnsi="Times New Roman" w:cs="Times New Roman"/>
        </w:rPr>
        <w:t xml:space="preserve">In the </w:t>
      </w:r>
      <w:r w:rsidR="00FB34AA">
        <w:rPr>
          <w:rFonts w:ascii="Times New Roman" w:hAnsi="Times New Roman" w:cs="Times New Roman"/>
        </w:rPr>
        <w:t xml:space="preserve">following sections we provide a fuller description of each of the </w:t>
      </w:r>
      <w:r>
        <w:rPr>
          <w:rFonts w:ascii="Times New Roman" w:hAnsi="Times New Roman" w:cs="Times New Roman"/>
        </w:rPr>
        <w:t>principles</w:t>
      </w:r>
      <w:r w:rsidR="00FB34AA">
        <w:rPr>
          <w:rFonts w:ascii="Times New Roman" w:hAnsi="Times New Roman" w:cs="Times New Roman"/>
        </w:rPr>
        <w:t xml:space="preserve"> </w:t>
      </w:r>
      <w:r>
        <w:rPr>
          <w:rFonts w:ascii="Times New Roman" w:hAnsi="Times New Roman" w:cs="Times New Roman"/>
        </w:rPr>
        <w:t>as described in the white paper.</w:t>
      </w:r>
      <w:r w:rsidR="00FB34AA">
        <w:rPr>
          <w:rFonts w:ascii="Times New Roman" w:hAnsi="Times New Roman" w:cs="Times New Roman"/>
        </w:rPr>
        <w:t xml:space="preserve">  </w:t>
      </w:r>
    </w:p>
    <w:p w:rsidR="00880249" w:rsidRPr="00E86C90" w:rsidP="00880249" w14:paraId="674232E3" w14:textId="610DA7D9">
      <w:pPr>
        <w:spacing w:before="120" w:after="240"/>
        <w:jc w:val="center"/>
        <w:rPr>
          <w:rFonts w:ascii="Times New Roman" w:hAnsi="Times New Roman" w:cs="Times New Roman"/>
          <w:b/>
        </w:rPr>
      </w:pPr>
      <w:r>
        <w:rPr>
          <w:rFonts w:ascii="Times New Roman" w:hAnsi="Times New Roman" w:cs="Times New Roman"/>
          <w:b/>
          <w:i/>
        </w:rPr>
        <w:t>Interference R</w:t>
      </w:r>
      <w:r w:rsidRPr="00E86C90" w:rsidR="00F96D4E">
        <w:rPr>
          <w:rFonts w:ascii="Times New Roman" w:hAnsi="Times New Roman" w:cs="Times New Roman"/>
          <w:b/>
          <w:i/>
        </w:rPr>
        <w:t>ealities</w:t>
      </w:r>
      <w:r w:rsidRPr="00E86C90" w:rsidR="00964183">
        <w:rPr>
          <w:rFonts w:ascii="Times New Roman" w:hAnsi="Times New Roman" w:cs="Times New Roman"/>
          <w:b/>
          <w:i/>
        </w:rPr>
        <w:t xml:space="preserve"> (Principles #1 - #3)</w:t>
      </w:r>
    </w:p>
    <w:p w:rsidR="00941532" w:rsidRPr="00880249" w:rsidP="00880249" w14:paraId="71A72992" w14:textId="73045B26">
      <w:pPr>
        <w:spacing w:before="120" w:after="240"/>
        <w:rPr>
          <w:rFonts w:ascii="Times New Roman" w:hAnsi="Times New Roman" w:cs="Times New Roman"/>
        </w:rPr>
      </w:pPr>
      <w:r w:rsidRPr="00880249">
        <w:rPr>
          <w:rFonts w:ascii="Times New Roman" w:hAnsi="Times New Roman" w:cs="Times New Roman"/>
        </w:rPr>
        <w:t>The TAC notes</w:t>
      </w:r>
      <w:r w:rsidRPr="00880249" w:rsidR="00551FF1">
        <w:rPr>
          <w:rFonts w:ascii="Times New Roman" w:hAnsi="Times New Roman" w:cs="Times New Roman"/>
        </w:rPr>
        <w:t xml:space="preserve"> that the </w:t>
      </w:r>
      <w:r w:rsidR="00DB01BE">
        <w:rPr>
          <w:rFonts w:ascii="Times New Roman" w:hAnsi="Times New Roman" w:cs="Times New Roman"/>
        </w:rPr>
        <w:t>Commission’s</w:t>
      </w:r>
      <w:r w:rsidRPr="00880249" w:rsidR="00DB01BE">
        <w:rPr>
          <w:rFonts w:ascii="Times New Roman" w:hAnsi="Times New Roman" w:cs="Times New Roman"/>
        </w:rPr>
        <w:t xml:space="preserve"> </w:t>
      </w:r>
      <w:r w:rsidRPr="00880249" w:rsidR="00551FF1">
        <w:rPr>
          <w:rFonts w:ascii="Times New Roman" w:hAnsi="Times New Roman" w:cs="Times New Roman"/>
        </w:rPr>
        <w:t xml:space="preserve">definition of </w:t>
      </w:r>
      <w:r w:rsidR="00947F10">
        <w:rPr>
          <w:rFonts w:ascii="Times New Roman" w:hAnsi="Times New Roman" w:cs="Times New Roman"/>
        </w:rPr>
        <w:t>“</w:t>
      </w:r>
      <w:r w:rsidRPr="00880249" w:rsidR="00551FF1">
        <w:rPr>
          <w:rFonts w:ascii="Times New Roman" w:hAnsi="Times New Roman" w:cs="Times New Roman"/>
        </w:rPr>
        <w:t>harmful interference</w:t>
      </w:r>
      <w:r w:rsidR="00947F10">
        <w:rPr>
          <w:rFonts w:ascii="Times New Roman" w:hAnsi="Times New Roman" w:cs="Times New Roman"/>
        </w:rPr>
        <w:t xml:space="preserve">,” </w:t>
      </w:r>
      <w:r w:rsidRPr="00880249" w:rsidR="00551FF1">
        <w:rPr>
          <w:rFonts w:ascii="Times New Roman" w:hAnsi="Times New Roman" w:cs="Times New Roman"/>
        </w:rPr>
        <w:t xml:space="preserve">is </w:t>
      </w:r>
      <w:r w:rsidR="00947F10">
        <w:rPr>
          <w:rFonts w:ascii="Times New Roman" w:hAnsi="Times New Roman" w:cs="Times New Roman"/>
        </w:rPr>
        <w:t xml:space="preserve">subject </w:t>
      </w:r>
      <w:r w:rsidRPr="00880249" w:rsidR="00551FF1">
        <w:rPr>
          <w:rFonts w:ascii="Times New Roman" w:hAnsi="Times New Roman" w:cs="Times New Roman"/>
        </w:rPr>
        <w:t>to interpretation</w:t>
      </w:r>
      <w:r w:rsidRPr="00880249" w:rsidR="00696FB5">
        <w:rPr>
          <w:rFonts w:ascii="Times New Roman" w:hAnsi="Times New Roman" w:cs="Times New Roman"/>
        </w:rPr>
        <w:t xml:space="preserve"> </w:t>
      </w:r>
      <w:r w:rsidR="00947F10">
        <w:rPr>
          <w:rFonts w:ascii="Times New Roman" w:hAnsi="Times New Roman" w:cs="Times New Roman"/>
        </w:rPr>
        <w:t xml:space="preserve">depending on the particular </w:t>
      </w:r>
      <w:r w:rsidR="004116FD">
        <w:rPr>
          <w:rFonts w:ascii="Times New Roman" w:hAnsi="Times New Roman" w:cs="Times New Roman"/>
        </w:rPr>
        <w:t>radio service.</w:t>
      </w:r>
      <w:r>
        <w:rPr>
          <w:rStyle w:val="FootnoteReference"/>
          <w:rFonts w:cs="Times New Roman"/>
        </w:rPr>
        <w:footnoteReference w:id="8"/>
      </w:r>
      <w:r w:rsidR="00947F10">
        <w:rPr>
          <w:rFonts w:ascii="Times New Roman" w:hAnsi="Times New Roman" w:cs="Times New Roman"/>
        </w:rPr>
        <w:t xml:space="preserve"> </w:t>
      </w:r>
      <w:r w:rsidR="00276290">
        <w:rPr>
          <w:rFonts w:ascii="Times New Roman" w:hAnsi="Times New Roman" w:cs="Times New Roman"/>
        </w:rPr>
        <w:t>The</w:t>
      </w:r>
      <w:r w:rsidR="00947F10">
        <w:rPr>
          <w:rFonts w:ascii="Times New Roman" w:hAnsi="Times New Roman" w:cs="Times New Roman"/>
        </w:rPr>
        <w:t xml:space="preserve"> determination of precisely what constitutes “harmful interference” </w:t>
      </w:r>
      <w:r w:rsidRPr="00880249" w:rsidR="00696FB5">
        <w:rPr>
          <w:rFonts w:ascii="Times New Roman" w:hAnsi="Times New Roman" w:cs="Times New Roman"/>
        </w:rPr>
        <w:t>will vary</w:t>
      </w:r>
      <w:r w:rsidR="00276290">
        <w:rPr>
          <w:rFonts w:ascii="Times New Roman" w:hAnsi="Times New Roman" w:cs="Times New Roman"/>
        </w:rPr>
        <w:t xml:space="preserve"> in different situations</w:t>
      </w:r>
      <w:r w:rsidRPr="00880249" w:rsidR="00696FB5">
        <w:rPr>
          <w:rFonts w:ascii="Times New Roman" w:hAnsi="Times New Roman" w:cs="Times New Roman"/>
        </w:rPr>
        <w:t xml:space="preserve">.  </w:t>
      </w:r>
      <w:r w:rsidR="00C127A7">
        <w:rPr>
          <w:rFonts w:ascii="Times New Roman" w:hAnsi="Times New Roman" w:cs="Times New Roman"/>
        </w:rPr>
        <w:t>Principle #1 states that harmful interference is affected by the characteristics of both a transmitting service and a nearby receiving service</w:t>
      </w:r>
      <w:r w:rsidR="00F913AE">
        <w:rPr>
          <w:rFonts w:ascii="Times New Roman" w:hAnsi="Times New Roman" w:cs="Times New Roman"/>
        </w:rPr>
        <w:t>,</w:t>
      </w:r>
      <w:r w:rsidR="00C127A7">
        <w:rPr>
          <w:rFonts w:ascii="Times New Roman" w:hAnsi="Times New Roman" w:cs="Times New Roman"/>
        </w:rPr>
        <w:t xml:space="preserve"> in frequency, space or time.</w:t>
      </w:r>
      <w:r w:rsidRPr="00880249" w:rsidR="00C127A7">
        <w:rPr>
          <w:rFonts w:ascii="Times New Roman" w:hAnsi="Times New Roman" w:cs="Times New Roman"/>
        </w:rPr>
        <w:t xml:space="preserve"> </w:t>
      </w:r>
    </w:p>
    <w:p w:rsidR="00941532" w:rsidP="00880249" w14:paraId="34F2B097" w14:textId="65036881">
      <w:pPr>
        <w:pStyle w:val="ListParagraph"/>
        <w:spacing w:before="120" w:after="240"/>
        <w:ind w:left="0"/>
      </w:pPr>
      <w:r>
        <w:t xml:space="preserve">Principle #2 states that all services should </w:t>
      </w:r>
      <w:r w:rsidRPr="0044787C">
        <w:t>plan for non-harmful interference from nearby signals, now and in the future</w:t>
      </w:r>
      <w:r>
        <w:t xml:space="preserve">. </w:t>
      </w:r>
      <w:r w:rsidRPr="00880249">
        <w:t>The TAC posits that some interference can be expected and tolerable</w:t>
      </w:r>
      <w:r>
        <w:t xml:space="preserve"> (non-harmful interference)</w:t>
      </w:r>
      <w:r w:rsidRPr="00880249">
        <w:t>, up to a limit (interference limit).</w:t>
      </w:r>
      <w:r>
        <w:rPr>
          <w:rStyle w:val="FootnoteReference"/>
        </w:rPr>
        <w:footnoteReference w:id="9"/>
      </w:r>
      <w:r w:rsidRPr="00880249">
        <w:t xml:space="preserve"> </w:t>
      </w:r>
    </w:p>
    <w:p w:rsidR="00941532" w:rsidP="00880249" w14:paraId="5D6D4FB8" w14:textId="77777777">
      <w:pPr>
        <w:pStyle w:val="ListParagraph"/>
        <w:spacing w:before="120" w:after="240"/>
        <w:ind w:left="0"/>
      </w:pPr>
    </w:p>
    <w:p w:rsidR="00F913AE" w:rsidP="00880249" w14:paraId="44567B5D" w14:textId="510C0BE6">
      <w:pPr>
        <w:pStyle w:val="ListParagraph"/>
        <w:spacing w:before="120" w:after="240"/>
        <w:ind w:left="0"/>
      </w:pPr>
      <w:r>
        <w:t>In principle #3, the TAC highlights various statistical factors that lead to an unpredictab</w:t>
      </w:r>
      <w:r w:rsidR="001F15F7">
        <w:t>le electromagnetic environment. The</w:t>
      </w:r>
      <w:r>
        <w:t xml:space="preserve"> TAC recommends that operators should expect and plan for occasional service degradation or interruption, and the Commission should not base its rules on exceptional events. </w:t>
      </w:r>
      <w:r w:rsidR="001F15F7">
        <w:t>Furthermore, in Example #2 (Aggregate Interference Analysis for Coexistence), additional statistical factors are discussed and the TAC says it is essential to bring realism into modeling of coexistence scenarios</w:t>
      </w:r>
      <w:r w:rsidR="00AD6017">
        <w:t>.</w:t>
      </w:r>
      <w:r>
        <w:rPr>
          <w:rStyle w:val="FootnoteReference"/>
        </w:rPr>
        <w:footnoteReference w:id="10"/>
      </w:r>
      <w:r w:rsidR="00AD6017">
        <w:t xml:space="preserve"> </w:t>
      </w:r>
      <w:r w:rsidR="00E9138C">
        <w:t>The</w:t>
      </w:r>
      <w:r w:rsidR="00AD6017">
        <w:t xml:space="preserve"> TAC </w:t>
      </w:r>
      <w:r w:rsidR="00FB34AA">
        <w:t>suggests that</w:t>
      </w:r>
      <w:r w:rsidR="00AD6017">
        <w:t xml:space="preserve"> it would be useful for the Commission to influence the course of discussion in a way where worst case analyses, when applicable, are used only to determine the consequences of harmful interference, and tested statistical techniques to assess risk should be used to perform a thorough interference assessment.</w:t>
      </w:r>
      <w:r w:rsidR="001F15F7">
        <w:t xml:space="preserve"> </w:t>
      </w:r>
    </w:p>
    <w:p w:rsidR="00880249" w:rsidRPr="00E86C90" w:rsidP="00880249" w14:paraId="7A4BD3FD" w14:textId="7081BD8F">
      <w:pPr>
        <w:spacing w:before="120" w:after="240"/>
        <w:jc w:val="center"/>
        <w:rPr>
          <w:rFonts w:ascii="Times New Roman" w:hAnsi="Times New Roman" w:cs="Times New Roman"/>
          <w:b/>
        </w:rPr>
      </w:pPr>
      <w:r>
        <w:rPr>
          <w:rFonts w:ascii="Times New Roman" w:hAnsi="Times New Roman" w:cs="Times New Roman"/>
          <w:b/>
          <w:i/>
        </w:rPr>
        <w:t xml:space="preserve">Responsibility of </w:t>
      </w:r>
      <w:r w:rsidR="00457BCC">
        <w:rPr>
          <w:rFonts w:ascii="Times New Roman" w:hAnsi="Times New Roman" w:cs="Times New Roman"/>
          <w:b/>
          <w:i/>
        </w:rPr>
        <w:t xml:space="preserve">[Radio] </w:t>
      </w:r>
      <w:r>
        <w:rPr>
          <w:rFonts w:ascii="Times New Roman" w:hAnsi="Times New Roman" w:cs="Times New Roman"/>
          <w:b/>
          <w:i/>
        </w:rPr>
        <w:t>S</w:t>
      </w:r>
      <w:r w:rsidRPr="00E86C90" w:rsidR="00AD6017">
        <w:rPr>
          <w:rFonts w:ascii="Times New Roman" w:hAnsi="Times New Roman" w:cs="Times New Roman"/>
          <w:b/>
          <w:i/>
        </w:rPr>
        <w:t>ervices</w:t>
      </w:r>
      <w:r w:rsidRPr="00E86C90" w:rsidR="00964183">
        <w:rPr>
          <w:rFonts w:ascii="Times New Roman" w:hAnsi="Times New Roman" w:cs="Times New Roman"/>
          <w:b/>
          <w:i/>
        </w:rPr>
        <w:t xml:space="preserve"> (Principles #4 - #6)</w:t>
      </w:r>
    </w:p>
    <w:p w:rsidR="00086A95" w:rsidRPr="00086A95" w:rsidP="00086A95" w14:paraId="58FBDAF7" w14:textId="56314C0C">
      <w:pPr>
        <w:spacing w:before="120" w:after="240"/>
        <w:rPr>
          <w:rFonts w:ascii="Times New Roman" w:hAnsi="Times New Roman" w:cs="Times New Roman"/>
        </w:rPr>
      </w:pPr>
      <w:r w:rsidRPr="00880249">
        <w:rPr>
          <w:rFonts w:ascii="Times New Roman" w:hAnsi="Times New Roman" w:cs="Times New Roman"/>
        </w:rPr>
        <w:t xml:space="preserve">Principles #4 - #6 state that receivers (#4) and transmitters (#6) both </w:t>
      </w:r>
      <w:r w:rsidR="00FB34AA">
        <w:rPr>
          <w:rFonts w:ascii="Times New Roman" w:hAnsi="Times New Roman" w:cs="Times New Roman"/>
        </w:rPr>
        <w:t xml:space="preserve">bear </w:t>
      </w:r>
      <w:r w:rsidRPr="00880249">
        <w:rPr>
          <w:rFonts w:ascii="Times New Roman" w:hAnsi="Times New Roman" w:cs="Times New Roman"/>
        </w:rPr>
        <w:t xml:space="preserve">responsibility for </w:t>
      </w:r>
      <w:r w:rsidRPr="00880249" w:rsidR="00E82C44">
        <w:rPr>
          <w:rFonts w:ascii="Times New Roman" w:hAnsi="Times New Roman" w:cs="Times New Roman"/>
        </w:rPr>
        <w:t>minimizing</w:t>
      </w:r>
      <w:r w:rsidRPr="00880249">
        <w:rPr>
          <w:rFonts w:ascii="Times New Roman" w:hAnsi="Times New Roman" w:cs="Times New Roman"/>
        </w:rPr>
        <w:t xml:space="preserve"> and/or mitigating interference outside their assigned frequencies (channels), and principle #5 states that radio systems are expected to use techniques at all levels/layers to mitigate degradation from interference. </w:t>
      </w:r>
      <w:r w:rsidRPr="00880249" w:rsidR="00A9569E">
        <w:rPr>
          <w:rFonts w:ascii="Times New Roman" w:hAnsi="Times New Roman" w:cs="Times New Roman"/>
        </w:rPr>
        <w:t>While the Commission generally regulates transmitters by establishing emission power limits in radio service rules, the Commission generally does not regulate receiver immunity (e.g., filter) performance that vendors are responsible for in principle #4, nor does the Commission generally regulate the various system techniques for mitigating degradation from interference in principle #5, s</w:t>
      </w:r>
      <w:r w:rsidR="00880249">
        <w:rPr>
          <w:rFonts w:ascii="Times New Roman" w:hAnsi="Times New Roman" w:cs="Times New Roman"/>
        </w:rPr>
        <w:t>uch as adaptive modulation, chan</w:t>
      </w:r>
      <w:r w:rsidRPr="00880249" w:rsidR="00A9569E">
        <w:rPr>
          <w:rFonts w:ascii="Times New Roman" w:hAnsi="Times New Roman" w:cs="Times New Roman"/>
        </w:rPr>
        <w:t xml:space="preserve">nel coding, power control, and retransmission protocols. </w:t>
      </w:r>
    </w:p>
    <w:p w:rsidR="00880249" w:rsidRPr="00E86C90" w:rsidP="00880249" w14:paraId="1D305D7A" w14:textId="370464E5">
      <w:pPr>
        <w:spacing w:before="120" w:after="240"/>
        <w:jc w:val="center"/>
        <w:rPr>
          <w:rFonts w:ascii="Times New Roman" w:hAnsi="Times New Roman" w:cs="Times New Roman"/>
          <w:b/>
        </w:rPr>
      </w:pPr>
      <w:r>
        <w:rPr>
          <w:rFonts w:ascii="Times New Roman" w:hAnsi="Times New Roman" w:cs="Times New Roman"/>
          <w:b/>
          <w:i/>
        </w:rPr>
        <w:t>Regulatory Requirements and A</w:t>
      </w:r>
      <w:r w:rsidRPr="00E86C90" w:rsidR="0038167C">
        <w:rPr>
          <w:rFonts w:ascii="Times New Roman" w:hAnsi="Times New Roman" w:cs="Times New Roman"/>
          <w:b/>
          <w:i/>
        </w:rPr>
        <w:t>ctions</w:t>
      </w:r>
      <w:r w:rsidRPr="00E86C90" w:rsidR="00964183">
        <w:rPr>
          <w:rFonts w:ascii="Times New Roman" w:hAnsi="Times New Roman" w:cs="Times New Roman"/>
          <w:b/>
          <w:i/>
        </w:rPr>
        <w:t xml:space="preserve"> (Principles #7 - #9)</w:t>
      </w:r>
    </w:p>
    <w:p w:rsidR="00DB55B4" w:rsidRPr="00880249" w:rsidP="00880249" w14:paraId="637EDC2C" w14:textId="4C88B103">
      <w:pPr>
        <w:spacing w:before="120" w:after="240"/>
        <w:rPr>
          <w:rFonts w:ascii="Times New Roman" w:hAnsi="Times New Roman" w:cs="Times New Roman"/>
        </w:rPr>
      </w:pPr>
      <w:r w:rsidRPr="00880249">
        <w:rPr>
          <w:rFonts w:ascii="Times New Roman" w:hAnsi="Times New Roman" w:cs="Times New Roman"/>
        </w:rPr>
        <w:t>These three principles address the tools that the TAC believes the Commission needs to make predictions</w:t>
      </w:r>
      <w:r w:rsidR="00F258B2">
        <w:rPr>
          <w:rFonts w:ascii="Times New Roman" w:hAnsi="Times New Roman" w:cs="Times New Roman"/>
        </w:rPr>
        <w:t xml:space="preserve"> of interference levels</w:t>
      </w:r>
      <w:r w:rsidRPr="00880249">
        <w:rPr>
          <w:rFonts w:ascii="Times New Roman" w:hAnsi="Times New Roman" w:cs="Times New Roman"/>
        </w:rPr>
        <w:t xml:space="preserve">. Foremost, the TAC says the Commission needs sufficient technical details about all of the affected </w:t>
      </w:r>
      <w:r w:rsidR="00F258B2">
        <w:rPr>
          <w:rFonts w:ascii="Times New Roman" w:hAnsi="Times New Roman" w:cs="Times New Roman"/>
        </w:rPr>
        <w:t xml:space="preserve">radio </w:t>
      </w:r>
      <w:r w:rsidRPr="00880249">
        <w:rPr>
          <w:rFonts w:ascii="Times New Roman" w:hAnsi="Times New Roman" w:cs="Times New Roman"/>
        </w:rPr>
        <w:t>services</w:t>
      </w:r>
      <w:r w:rsidRPr="00880249" w:rsidR="004E3B40">
        <w:rPr>
          <w:rFonts w:ascii="Times New Roman" w:hAnsi="Times New Roman" w:cs="Times New Roman"/>
        </w:rPr>
        <w:t>, including</w:t>
      </w:r>
      <w:r w:rsidRPr="00880249">
        <w:rPr>
          <w:rFonts w:ascii="Times New Roman" w:hAnsi="Times New Roman" w:cs="Times New Roman"/>
        </w:rPr>
        <w:t xml:space="preserve"> detailed information about the operation of radio services and quantitative modeling about the interactions between radio services over a wide variety of expected conditions</w:t>
      </w:r>
      <w:r w:rsidRPr="00880249">
        <w:rPr>
          <w:rFonts w:ascii="Times New Roman" w:hAnsi="Times New Roman" w:cs="Times New Roman"/>
        </w:rPr>
        <w:t xml:space="preserve">. </w:t>
      </w:r>
    </w:p>
    <w:p w:rsidR="0038167C" w:rsidP="00880249" w14:paraId="14D16F6F" w14:textId="6684CED1">
      <w:pPr>
        <w:pStyle w:val="ListParagraph"/>
        <w:spacing w:before="120" w:after="240"/>
        <w:ind w:left="0"/>
        <w:rPr>
          <w:bCs/>
          <w:color w:val="000000"/>
        </w:rPr>
      </w:pPr>
      <w:r>
        <w:t xml:space="preserve">Principle #7 states that radio services are expected to disclose relevant standards and system characteristics if they expect protection from harmful interference. </w:t>
      </w:r>
      <w:r w:rsidR="00C52CB1">
        <w:t xml:space="preserve">There are </w:t>
      </w:r>
      <w:r w:rsidR="00E27AE0">
        <w:t xml:space="preserve">some </w:t>
      </w:r>
      <w:r w:rsidR="00C52CB1">
        <w:t xml:space="preserve">radio services for which technical details of receiver, transmitter, and system operation with respect to interference are specified in industry standards specifications. Some of these industry standards are freely available to the public while others are available for a </w:t>
      </w:r>
      <w:r w:rsidR="00E27AE0">
        <w:t xml:space="preserve">monetary </w:t>
      </w:r>
      <w:r w:rsidR="00C52CB1">
        <w:t xml:space="preserve">fee. Some radio services have no industry standards or </w:t>
      </w:r>
      <w:r w:rsidR="00C923E0">
        <w:t>published detailed</w:t>
      </w:r>
      <w:r w:rsidR="00A03AF0">
        <w:t xml:space="preserve"> technical specifications.</w:t>
      </w:r>
      <w:r w:rsidR="00C52CB1">
        <w:t xml:space="preserve"> </w:t>
      </w:r>
      <w:r w:rsidR="00A03AF0">
        <w:t>Limited</w:t>
      </w:r>
      <w:r w:rsidR="00C52CB1">
        <w:t xml:space="preserve"> receiver and transmitter specifications may be published </w:t>
      </w:r>
      <w:r w:rsidR="00A03AF0">
        <w:t xml:space="preserve">in data sheets </w:t>
      </w:r>
      <w:r w:rsidR="00C52CB1">
        <w:t>by vendors</w:t>
      </w:r>
      <w:r w:rsidR="00A03AF0">
        <w:t>,</w:t>
      </w:r>
      <w:r w:rsidR="00C52CB1">
        <w:t xml:space="preserve"> or </w:t>
      </w:r>
      <w:r w:rsidR="00E27AE0">
        <w:t>not</w:t>
      </w:r>
      <w:r w:rsidR="00C52CB1">
        <w:t xml:space="preserve"> published</w:t>
      </w:r>
      <w:r w:rsidR="00650AF2">
        <w:t xml:space="preserve"> because </w:t>
      </w:r>
      <w:r w:rsidR="00A03AF0">
        <w:t>of proprietary reasons</w:t>
      </w:r>
      <w:r w:rsidR="00C52CB1">
        <w:t xml:space="preserve">. </w:t>
      </w:r>
      <w:r w:rsidR="00DA035C">
        <w:rPr>
          <w:bCs/>
          <w:color w:val="000000"/>
        </w:rPr>
        <w:t>T</w:t>
      </w:r>
      <w:r w:rsidRPr="0069204C" w:rsidR="00DA035C">
        <w:rPr>
          <w:bCs/>
          <w:color w:val="000000"/>
        </w:rPr>
        <w:t>he 3</w:t>
      </w:r>
      <w:r w:rsidRPr="0069204C" w:rsidR="00DA035C">
        <w:rPr>
          <w:bCs/>
          <w:color w:val="000000"/>
          <w:vertAlign w:val="superscript"/>
        </w:rPr>
        <w:t>rd</w:t>
      </w:r>
      <w:r w:rsidRPr="0069204C" w:rsidR="00DA035C">
        <w:rPr>
          <w:bCs/>
          <w:color w:val="000000"/>
        </w:rPr>
        <w:t xml:space="preserve"> Generation Partnership Project (3GPP)</w:t>
      </w:r>
      <w:r w:rsidR="00DA035C">
        <w:rPr>
          <w:bCs/>
          <w:color w:val="000000"/>
        </w:rPr>
        <w:t xml:space="preserve"> is an example of an industry standards development organization</w:t>
      </w:r>
      <w:r w:rsidR="00650AF2">
        <w:rPr>
          <w:bCs/>
          <w:color w:val="000000"/>
        </w:rPr>
        <w:t xml:space="preserve"> that publishes</w:t>
      </w:r>
      <w:r w:rsidR="00DA035C">
        <w:rPr>
          <w:bCs/>
          <w:color w:val="000000"/>
        </w:rPr>
        <w:t xml:space="preserve"> technical studies and consensus standards specifications</w:t>
      </w:r>
      <w:r w:rsidR="00A03AF0">
        <w:rPr>
          <w:bCs/>
          <w:color w:val="000000"/>
        </w:rPr>
        <w:t>,</w:t>
      </w:r>
      <w:r w:rsidR="00DA035C">
        <w:rPr>
          <w:bCs/>
          <w:color w:val="000000"/>
        </w:rPr>
        <w:t xml:space="preserve"> </w:t>
      </w:r>
      <w:r w:rsidR="00A03AF0">
        <w:rPr>
          <w:bCs/>
          <w:color w:val="000000"/>
        </w:rPr>
        <w:t>including</w:t>
      </w:r>
      <w:r w:rsidR="00DA035C">
        <w:rPr>
          <w:bCs/>
          <w:color w:val="000000"/>
        </w:rPr>
        <w:t xml:space="preserve"> terrestrial mobile broadband transmitter and receiver </w:t>
      </w:r>
      <w:r w:rsidR="00A03AF0">
        <w:rPr>
          <w:bCs/>
          <w:color w:val="000000"/>
        </w:rPr>
        <w:t xml:space="preserve">specifications. 3GPP member stake-holders study and publish RF model </w:t>
      </w:r>
      <w:r w:rsidRPr="0069204C" w:rsidR="00DA035C">
        <w:rPr>
          <w:bCs/>
          <w:color w:val="000000"/>
        </w:rPr>
        <w:t>scenarios including quantitative impairments of transmitters,</w:t>
      </w:r>
      <w:r>
        <w:rPr>
          <w:rStyle w:val="FootnoteReference"/>
          <w:bCs/>
          <w:sz w:val="22"/>
        </w:rPr>
        <w:footnoteReference w:id="11"/>
      </w:r>
      <w:r w:rsidRPr="0069204C" w:rsidR="00DA035C">
        <w:rPr>
          <w:bCs/>
          <w:color w:val="000000"/>
        </w:rPr>
        <w:t xml:space="preserve"> receivers,</w:t>
      </w:r>
      <w:r>
        <w:rPr>
          <w:rStyle w:val="FootnoteReference"/>
          <w:bCs/>
          <w:sz w:val="22"/>
        </w:rPr>
        <w:footnoteReference w:id="12"/>
      </w:r>
      <w:r w:rsidRPr="0069204C" w:rsidR="00DA035C">
        <w:rPr>
          <w:bCs/>
          <w:color w:val="000000"/>
        </w:rPr>
        <w:t xml:space="preserve"> and the contribution of </w:t>
      </w:r>
      <w:r w:rsidR="00DA035C">
        <w:rPr>
          <w:bCs/>
          <w:color w:val="000000"/>
        </w:rPr>
        <w:t>each</w:t>
      </w:r>
      <w:r w:rsidRPr="0069204C" w:rsidR="00DA035C">
        <w:rPr>
          <w:bCs/>
          <w:color w:val="000000"/>
        </w:rPr>
        <w:t xml:space="preserve"> to the degradation of a victim system</w:t>
      </w:r>
      <w:r w:rsidR="00DA035C">
        <w:rPr>
          <w:bCs/>
          <w:color w:val="000000"/>
        </w:rPr>
        <w:t>.</w:t>
      </w:r>
      <w:r>
        <w:rPr>
          <w:rStyle w:val="FootnoteReference"/>
          <w:bCs/>
          <w:sz w:val="22"/>
        </w:rPr>
        <w:footnoteReference w:id="13"/>
      </w:r>
      <w:r w:rsidRPr="0069204C" w:rsidR="00DA035C">
        <w:rPr>
          <w:bCs/>
          <w:color w:val="000000"/>
        </w:rPr>
        <w:t xml:space="preserve"> </w:t>
      </w:r>
      <w:r w:rsidR="00470F5C">
        <w:rPr>
          <w:bCs/>
          <w:color w:val="000000"/>
        </w:rPr>
        <w:t xml:space="preserve">The 3GPP studies and specifications are generally within or between spectrum bands used by multiple mobile broadband service providers. </w:t>
      </w:r>
    </w:p>
    <w:p w:rsidR="00650AF2" w:rsidP="00880249" w14:paraId="41ACBAEF" w14:textId="77777777">
      <w:pPr>
        <w:pStyle w:val="ListParagraph"/>
        <w:spacing w:before="120" w:after="240"/>
        <w:ind w:left="0"/>
      </w:pPr>
    </w:p>
    <w:p w:rsidR="00650AF2" w:rsidP="00880249" w14:paraId="1A8C32DA" w14:textId="161062E4">
      <w:pPr>
        <w:pStyle w:val="ListParagraph"/>
        <w:spacing w:before="120" w:after="240"/>
        <w:ind w:left="0"/>
      </w:pPr>
      <w:r>
        <w:t>Principle #8 states that the Commission may apply Interference Limits to quantify rights of protection from harmful interference.</w:t>
      </w:r>
      <w:r w:rsidR="00775E89">
        <w:t xml:space="preserve"> The TAC has recommended interference limits as a method for the Commission to communicate the limits of protection to which systems are entitled, without mandating receiver performance specifications. Interference limits are quantitative descriptions of the interference environment in which a radio system would need to operate without being able to make a claim of harmful interference. </w:t>
      </w:r>
      <w:r w:rsidR="007B6816">
        <w:t>The limits are s</w:t>
      </w:r>
      <w:r w:rsidR="00485F3F">
        <w:t>tatistical in nature, stating</w:t>
      </w:r>
      <w:r w:rsidR="007B6816">
        <w:t xml:space="preserve"> the in-band and out-of-band signal levels that must be exceeded before a protected system can make a harm cl</w:t>
      </w:r>
      <w:r w:rsidR="00095EDD">
        <w:t xml:space="preserve">aim. </w:t>
      </w:r>
    </w:p>
    <w:p w:rsidR="00095EDD" w:rsidP="00880249" w14:paraId="0F878860" w14:textId="77777777">
      <w:pPr>
        <w:pStyle w:val="ListParagraph"/>
        <w:spacing w:before="120" w:after="240"/>
        <w:ind w:left="0"/>
      </w:pPr>
    </w:p>
    <w:p w:rsidR="00095EDD" w:rsidP="00880249" w14:paraId="5D8780AC" w14:textId="2ACF69A6">
      <w:pPr>
        <w:pStyle w:val="ListParagraph"/>
        <w:spacing w:before="120" w:after="240"/>
        <w:ind w:left="0"/>
      </w:pPr>
      <w:r>
        <w:t xml:space="preserve">Principle #9 states that a </w:t>
      </w:r>
      <w:r w:rsidR="008F54CB">
        <w:t>quantitative analysis of interactions between services shall be required before the Commission can make decisions regarding levels of protection</w:t>
      </w:r>
      <w:r w:rsidR="00237DEF">
        <w:t>.</w:t>
      </w:r>
      <w:r w:rsidR="00F722D0">
        <w:t xml:space="preserve"> The TAC describes the high complexity of quantitative models, such as propagation models for estimating the signal attenuation between a transmitter and receiver. The TAC also notes that differences between models can lead to widely different interference results, producing disputes and leading to costly delays</w:t>
      </w:r>
      <w:r w:rsidR="008A10C4">
        <w:t xml:space="preserve"> in spectrum deployment</w:t>
      </w:r>
      <w:r w:rsidR="00F722D0">
        <w:t xml:space="preserve">. The TAC discovered a lack of transparency in some past interference studies that regulators have relied upon in making important spectrum allocation decisions, and recommends that the </w:t>
      </w:r>
      <w:r w:rsidR="001A16FD">
        <w:t>Commission</w:t>
      </w:r>
      <w:r w:rsidR="00F722D0">
        <w:t xml:space="preserve"> improve the transparency and reproducibility of the interference analyses underlying its major spectrum management regulatory decisions.</w:t>
      </w:r>
      <w:r>
        <w:rPr>
          <w:rStyle w:val="FootnoteReference"/>
        </w:rPr>
        <w:footnoteReference w:id="14"/>
      </w:r>
      <w:r w:rsidR="00F722D0">
        <w:t xml:space="preserve"> </w:t>
      </w:r>
    </w:p>
    <w:p w:rsidR="008E00FC" w:rsidRPr="00F96D4E" w:rsidP="00880249" w14:paraId="3260305C" w14:textId="77777777">
      <w:pPr>
        <w:pStyle w:val="ListParagraph"/>
        <w:spacing w:before="120" w:after="240"/>
        <w:ind w:left="0"/>
      </w:pPr>
    </w:p>
    <w:p w:rsidR="00F96D4E" w:rsidP="008E00FC" w14:paraId="2F2C0626" w14:textId="77777777">
      <w:pPr>
        <w:spacing w:before="120" w:after="240"/>
        <w:ind w:firstLine="720"/>
        <w:rPr>
          <w:rFonts w:ascii="Times New Roman" w:hAnsi="Times New Roman" w:cs="Times New Roman"/>
          <w:bCs/>
          <w:color w:val="000000"/>
        </w:rPr>
      </w:pPr>
      <w:r w:rsidRPr="008E00FC">
        <w:rPr>
          <w:rFonts w:ascii="Times New Roman" w:hAnsi="Times New Roman" w:cs="Times New Roman"/>
          <w:b/>
          <w:i/>
          <w:u w:val="single"/>
        </w:rPr>
        <w:t>Risk-informed-interference-assessment (RIIA</w:t>
      </w:r>
      <w:r w:rsidRPr="00F96D4E">
        <w:rPr>
          <w:rFonts w:ascii="Times New Roman" w:hAnsi="Times New Roman" w:cs="Times New Roman"/>
          <w:i/>
        </w:rPr>
        <w:t>)</w:t>
      </w:r>
      <w:r>
        <w:rPr>
          <w:rFonts w:ascii="Times New Roman" w:hAnsi="Times New Roman" w:cs="Times New Roman"/>
        </w:rPr>
        <w:t xml:space="preserve"> </w:t>
      </w:r>
      <w:r w:rsidR="009D479C">
        <w:rPr>
          <w:rFonts w:ascii="Times New Roman" w:hAnsi="Times New Roman" w:cs="Times New Roman"/>
        </w:rPr>
        <w:t>–</w:t>
      </w:r>
      <w:r>
        <w:rPr>
          <w:rFonts w:ascii="Times New Roman" w:hAnsi="Times New Roman" w:cs="Times New Roman"/>
        </w:rPr>
        <w:t xml:space="preserve"> </w:t>
      </w:r>
      <w:r w:rsidR="009D479C">
        <w:rPr>
          <w:rFonts w:ascii="Times New Roman" w:hAnsi="Times New Roman" w:cs="Times New Roman"/>
        </w:rPr>
        <w:t xml:space="preserve">The TAC has recommended that the Commission </w:t>
      </w:r>
      <w:r w:rsidR="009D479C">
        <w:rPr>
          <w:rFonts w:ascii="Times New Roman" w:hAnsi="Times New Roman" w:cs="Times New Roman"/>
          <w:bCs/>
          <w:color w:val="000000"/>
        </w:rPr>
        <w:t>a</w:t>
      </w:r>
      <w:r w:rsidRPr="0069204C" w:rsidR="009D479C">
        <w:rPr>
          <w:rFonts w:ascii="Times New Roman" w:hAnsi="Times New Roman" w:cs="Times New Roman"/>
          <w:bCs/>
          <w:color w:val="000000"/>
        </w:rPr>
        <w:t>dopt risk-informed interference assessment and statistical service rules</w:t>
      </w:r>
      <w:r w:rsidR="009D479C">
        <w:rPr>
          <w:rFonts w:ascii="Times New Roman" w:hAnsi="Times New Roman" w:cs="Times New Roman"/>
          <w:bCs/>
          <w:color w:val="000000"/>
        </w:rPr>
        <w:t xml:space="preserve"> more widely</w:t>
      </w:r>
      <w:r w:rsidR="008E00FC">
        <w:rPr>
          <w:rFonts w:ascii="Times New Roman" w:hAnsi="Times New Roman" w:cs="Times New Roman"/>
          <w:bCs/>
          <w:color w:val="000000"/>
        </w:rPr>
        <w:t>. In judging whether to allow new radio service rules, the TAC observes that the Commission has to balance the interests of incumbents</w:t>
      </w:r>
      <w:r w:rsidR="008A10C4">
        <w:rPr>
          <w:rFonts w:ascii="Times New Roman" w:hAnsi="Times New Roman" w:cs="Times New Roman"/>
          <w:bCs/>
          <w:color w:val="000000"/>
        </w:rPr>
        <w:t>, new entrants, and the public. The process of</w:t>
      </w:r>
      <w:r w:rsidR="008E00FC">
        <w:rPr>
          <w:rFonts w:ascii="Times New Roman" w:hAnsi="Times New Roman" w:cs="Times New Roman"/>
          <w:bCs/>
          <w:color w:val="000000"/>
        </w:rPr>
        <w:t xml:space="preserve"> analyzing the tradeoffs between the benefits of a new service and the risks to incumbents has to date be</w:t>
      </w:r>
      <w:r w:rsidR="00C523D9">
        <w:rPr>
          <w:rFonts w:ascii="Times New Roman" w:hAnsi="Times New Roman" w:cs="Times New Roman"/>
          <w:bCs/>
          <w:color w:val="000000"/>
        </w:rPr>
        <w:t>en essentially qualitative.</w:t>
      </w:r>
      <w:r>
        <w:rPr>
          <w:rStyle w:val="FootnoteReference"/>
          <w:rFonts w:cs="Times New Roman"/>
          <w:bCs/>
        </w:rPr>
        <w:footnoteReference w:id="15"/>
      </w:r>
      <w:r w:rsidR="00C523D9">
        <w:rPr>
          <w:rFonts w:ascii="Times New Roman" w:hAnsi="Times New Roman" w:cs="Times New Roman"/>
          <w:bCs/>
          <w:color w:val="000000"/>
        </w:rPr>
        <w:t xml:space="preserve"> The TAC has proposed the use of quantitative risk analysis to assess the harm that may be caused by change</w:t>
      </w:r>
      <w:r w:rsidR="00C923E0">
        <w:rPr>
          <w:rFonts w:ascii="Times New Roman" w:hAnsi="Times New Roman" w:cs="Times New Roman"/>
          <w:bCs/>
          <w:color w:val="000000"/>
        </w:rPr>
        <w:t>s</w:t>
      </w:r>
      <w:r w:rsidR="00C523D9">
        <w:rPr>
          <w:rFonts w:ascii="Times New Roman" w:hAnsi="Times New Roman" w:cs="Times New Roman"/>
          <w:bCs/>
          <w:color w:val="000000"/>
        </w:rPr>
        <w:t xml:space="preserve"> in radio service rules. Such analysis considers the likelihood-consequence combinations for multiple interference hazard scenarios, and complements a worst case analysis that considers the single scenario with the most severe consequence, regardless of its likelihood. </w:t>
      </w:r>
      <w:r w:rsidR="00786657">
        <w:rPr>
          <w:rFonts w:ascii="Times New Roman" w:hAnsi="Times New Roman" w:cs="Times New Roman"/>
          <w:bCs/>
          <w:color w:val="000000"/>
        </w:rPr>
        <w:t xml:space="preserve">The TAC makes reference to lessons learned by the Nuclear Regulatory Commission’s (NRC) pioneering </w:t>
      </w:r>
      <w:r w:rsidR="00691598">
        <w:rPr>
          <w:rFonts w:ascii="Times New Roman" w:hAnsi="Times New Roman" w:cs="Times New Roman"/>
          <w:bCs/>
          <w:color w:val="000000"/>
        </w:rPr>
        <w:t xml:space="preserve">work in developing </w:t>
      </w:r>
      <w:r w:rsidR="00786657">
        <w:rPr>
          <w:rFonts w:ascii="Times New Roman" w:hAnsi="Times New Roman" w:cs="Times New Roman"/>
          <w:bCs/>
          <w:color w:val="000000"/>
        </w:rPr>
        <w:t xml:space="preserve">quantitative risk assessment in the U.S. </w:t>
      </w:r>
      <w:r w:rsidR="00691598">
        <w:rPr>
          <w:rFonts w:ascii="Times New Roman" w:hAnsi="Times New Roman" w:cs="Times New Roman"/>
          <w:bCs/>
          <w:color w:val="000000"/>
        </w:rPr>
        <w:t>In particular, two lessons are: 1) quantitative risk assessment can be applied successfully in an industry where safety-of-life is paramount, and 2) changing an industry’s culture takes time. The TAC recommends that the Commission start soon, and start small, and not attempt a major overhaul of its regulatory approach.</w:t>
      </w:r>
      <w:r>
        <w:rPr>
          <w:rStyle w:val="FootnoteReference"/>
          <w:rFonts w:cs="Times New Roman"/>
          <w:bCs/>
        </w:rPr>
        <w:footnoteReference w:id="16"/>
      </w:r>
    </w:p>
    <w:p w:rsidR="00786657" w:rsidP="008E00FC" w14:paraId="46F4B9A5" w14:textId="1A24B4E8">
      <w:pPr>
        <w:spacing w:before="120" w:after="240"/>
        <w:ind w:firstLine="720"/>
        <w:rPr>
          <w:rFonts w:ascii="Times New Roman" w:hAnsi="Times New Roman" w:cs="Times New Roman"/>
          <w:bCs/>
          <w:color w:val="000000"/>
        </w:rPr>
      </w:pPr>
      <w:r>
        <w:rPr>
          <w:rFonts w:ascii="Times New Roman" w:hAnsi="Times New Roman" w:cs="Times New Roman"/>
          <w:bCs/>
          <w:color w:val="000000"/>
        </w:rPr>
        <w:t>The TAC recommends that the Commission use quantitative risk assessment in its own analyses and publish the results, and offers the following examples: the Commission could quantify likelihoods and consequences rather than merely using probabilistic language without quantification</w:t>
      </w:r>
      <w:r w:rsidR="003B42B7">
        <w:rPr>
          <w:rFonts w:ascii="Times New Roman" w:hAnsi="Times New Roman" w:cs="Times New Roman"/>
          <w:bCs/>
          <w:color w:val="000000"/>
        </w:rPr>
        <w:t>; it could require disclosure and analysis of both the likelihood and consequence of harmful interference hazards in Notices of Inquiry and Notices of Propos</w:t>
      </w:r>
      <w:r w:rsidR="000C072C">
        <w:rPr>
          <w:rFonts w:ascii="Times New Roman" w:hAnsi="Times New Roman" w:cs="Times New Roman"/>
          <w:bCs/>
          <w:color w:val="000000"/>
        </w:rPr>
        <w:t>ed Rulemaking; it could adopt a common practice</w:t>
      </w:r>
      <w:r w:rsidR="003B42B7">
        <w:rPr>
          <w:rFonts w:ascii="Times New Roman" w:hAnsi="Times New Roman" w:cs="Times New Roman"/>
          <w:bCs/>
          <w:color w:val="000000"/>
        </w:rPr>
        <w:t xml:space="preserve"> to assess interference risk against a baseline of current impairments; it could </w:t>
      </w:r>
      <w:r w:rsidR="000C072C">
        <w:rPr>
          <w:rFonts w:ascii="Times New Roman" w:hAnsi="Times New Roman" w:cs="Times New Roman"/>
          <w:bCs/>
          <w:color w:val="000000"/>
        </w:rPr>
        <w:t xml:space="preserve">also </w:t>
      </w:r>
      <w:r w:rsidR="003B42B7">
        <w:rPr>
          <w:rFonts w:ascii="Times New Roman" w:hAnsi="Times New Roman" w:cs="Times New Roman"/>
          <w:bCs/>
          <w:color w:val="000000"/>
        </w:rPr>
        <w:t>document relative and absolute changes in interference impact along with the probability of being unaffected by new rules.</w:t>
      </w:r>
      <w:r>
        <w:rPr>
          <w:rStyle w:val="FootnoteReference"/>
          <w:rFonts w:cs="Times New Roman"/>
          <w:bCs/>
        </w:rPr>
        <w:footnoteReference w:id="17"/>
      </w:r>
      <w:r w:rsidR="003B42B7">
        <w:rPr>
          <w:rFonts w:ascii="Times New Roman" w:hAnsi="Times New Roman" w:cs="Times New Roman"/>
          <w:bCs/>
          <w:color w:val="000000"/>
        </w:rPr>
        <w:t xml:space="preserve"> </w:t>
      </w:r>
    </w:p>
    <w:p w:rsidR="008C16E9" w:rsidP="00086A95" w14:paraId="7424206C" w14:textId="3C3F4BDD">
      <w:pPr>
        <w:spacing w:before="120" w:after="240"/>
        <w:ind w:firstLine="720"/>
        <w:rPr>
          <w:rFonts w:ascii="Times New Roman" w:hAnsi="Times New Roman" w:cs="Times New Roman"/>
          <w:bCs/>
          <w:color w:val="000000"/>
        </w:rPr>
      </w:pPr>
      <w:r>
        <w:rPr>
          <w:rFonts w:ascii="Times New Roman" w:hAnsi="Times New Roman" w:cs="Times New Roman"/>
          <w:b/>
          <w:i/>
          <w:u w:val="single"/>
        </w:rPr>
        <w:t>Steps for improving interference resolution and enforcement</w:t>
      </w:r>
      <w:r>
        <w:rPr>
          <w:rFonts w:ascii="Times New Roman" w:hAnsi="Times New Roman" w:cs="Times New Roman"/>
        </w:rPr>
        <w:t xml:space="preserve"> – The TAC has recommended </w:t>
      </w:r>
      <w:r>
        <w:rPr>
          <w:rFonts w:ascii="Times New Roman" w:hAnsi="Times New Roman" w:cs="Times New Roman"/>
          <w:bCs/>
          <w:color w:val="000000"/>
        </w:rPr>
        <w:t xml:space="preserve">that the Commission </w:t>
      </w:r>
      <w:r w:rsidR="00E77C2D">
        <w:rPr>
          <w:rFonts w:ascii="Times New Roman" w:hAnsi="Times New Roman" w:cs="Times New Roman"/>
          <w:bCs/>
          <w:color w:val="000000"/>
        </w:rPr>
        <w:t>i</w:t>
      </w:r>
      <w:r w:rsidRPr="0069204C" w:rsidR="00E77C2D">
        <w:rPr>
          <w:rFonts w:ascii="Times New Roman" w:hAnsi="Times New Roman" w:cs="Times New Roman"/>
          <w:bCs/>
          <w:color w:val="000000"/>
        </w:rPr>
        <w:t xml:space="preserve">mplement steps for improving </w:t>
      </w:r>
      <w:r w:rsidR="00E77C2D">
        <w:rPr>
          <w:rFonts w:ascii="Times New Roman" w:hAnsi="Times New Roman" w:cs="Times New Roman"/>
          <w:bCs/>
          <w:color w:val="000000"/>
        </w:rPr>
        <w:t>interference resolution</w:t>
      </w:r>
      <w:r w:rsidRPr="0069204C" w:rsidR="00E77C2D">
        <w:rPr>
          <w:rFonts w:ascii="Times New Roman" w:hAnsi="Times New Roman" w:cs="Times New Roman"/>
          <w:bCs/>
          <w:color w:val="000000"/>
        </w:rPr>
        <w:t xml:space="preserve">, including </w:t>
      </w:r>
      <w:r w:rsidR="00E77C2D">
        <w:rPr>
          <w:rFonts w:ascii="Times New Roman" w:hAnsi="Times New Roman" w:cs="Times New Roman"/>
          <w:bCs/>
          <w:color w:val="000000"/>
        </w:rPr>
        <w:t>a next-generation a</w:t>
      </w:r>
      <w:r w:rsidRPr="0069204C" w:rsidR="00E77C2D">
        <w:rPr>
          <w:rFonts w:ascii="Times New Roman" w:hAnsi="Times New Roman" w:cs="Times New Roman"/>
          <w:bCs/>
          <w:color w:val="000000"/>
        </w:rPr>
        <w:t>rchitecture</w:t>
      </w:r>
      <w:r w:rsidR="00E77C2D">
        <w:rPr>
          <w:rFonts w:ascii="Times New Roman" w:hAnsi="Times New Roman" w:cs="Times New Roman"/>
          <w:bCs/>
          <w:color w:val="000000"/>
        </w:rPr>
        <w:t xml:space="preserve"> for radio spectrum interference resolution</w:t>
      </w:r>
      <w:r w:rsidRPr="0069204C" w:rsidR="00E77C2D">
        <w:rPr>
          <w:rFonts w:ascii="Times New Roman" w:hAnsi="Times New Roman" w:cs="Times New Roman"/>
          <w:bCs/>
          <w:color w:val="000000"/>
        </w:rPr>
        <w:t>, creating a public database of past radio-related enforcement activities</w:t>
      </w:r>
      <w:r w:rsidR="00E77C2D">
        <w:rPr>
          <w:rFonts w:ascii="Times New Roman" w:hAnsi="Times New Roman" w:cs="Times New Roman"/>
          <w:bCs/>
          <w:color w:val="000000"/>
        </w:rPr>
        <w:t>,</w:t>
      </w:r>
      <w:r w:rsidRPr="0069204C" w:rsidR="00E77C2D">
        <w:rPr>
          <w:rFonts w:ascii="Times New Roman" w:hAnsi="Times New Roman" w:cs="Times New Roman"/>
          <w:bCs/>
          <w:color w:val="000000"/>
        </w:rPr>
        <w:t xml:space="preserve"> and incorporate interference hunters in the </w:t>
      </w:r>
      <w:r w:rsidR="00E77C2D">
        <w:rPr>
          <w:rFonts w:ascii="Times New Roman" w:hAnsi="Times New Roman" w:cs="Times New Roman"/>
          <w:bCs/>
          <w:color w:val="000000"/>
        </w:rPr>
        <w:t>interference resolution</w:t>
      </w:r>
      <w:r w:rsidRPr="0069204C" w:rsidR="00E77C2D">
        <w:rPr>
          <w:rFonts w:ascii="Times New Roman" w:hAnsi="Times New Roman" w:cs="Times New Roman"/>
          <w:bCs/>
          <w:color w:val="000000"/>
        </w:rPr>
        <w:t xml:space="preserve"> process</w:t>
      </w:r>
      <w:r>
        <w:rPr>
          <w:rFonts w:ascii="Times New Roman" w:hAnsi="Times New Roman" w:cs="Times New Roman"/>
          <w:bCs/>
          <w:color w:val="000000"/>
        </w:rPr>
        <w:t>.</w:t>
      </w:r>
      <w:r>
        <w:rPr>
          <w:rStyle w:val="FootnoteReference"/>
          <w:rFonts w:cs="Times New Roman"/>
          <w:bCs/>
        </w:rPr>
        <w:footnoteReference w:id="18"/>
      </w:r>
      <w:r>
        <w:rPr>
          <w:rFonts w:ascii="Times New Roman" w:hAnsi="Times New Roman" w:cs="Times New Roman"/>
          <w:bCs/>
          <w:color w:val="000000"/>
        </w:rPr>
        <w:t xml:space="preserve"> </w:t>
      </w:r>
      <w:r w:rsidR="00682EEB">
        <w:rPr>
          <w:rFonts w:ascii="Times New Roman" w:hAnsi="Times New Roman" w:cs="Times New Roman"/>
          <w:bCs/>
          <w:color w:val="000000"/>
        </w:rPr>
        <w:t>The rapid evolution and increased densification / growth of wireless systems has changed the nature of interference risks and the need for more automated interference resolution tools for detecting, classifying, locating, reporting and remediating interference. The TAC has documented a variety of new strategies for consideration and has recommended that the Commission release additional information on interference complaints and investigation</w:t>
      </w:r>
      <w:r w:rsidR="00736BFC">
        <w:rPr>
          <w:rFonts w:ascii="Times New Roman" w:hAnsi="Times New Roman" w:cs="Times New Roman"/>
          <w:bCs/>
          <w:color w:val="000000"/>
        </w:rPr>
        <w:t>s</w:t>
      </w:r>
      <w:r w:rsidR="00682EEB">
        <w:rPr>
          <w:rFonts w:ascii="Times New Roman" w:hAnsi="Times New Roman" w:cs="Times New Roman"/>
          <w:bCs/>
          <w:color w:val="000000"/>
        </w:rPr>
        <w:t xml:space="preserve">, including those that are voluntarily resolved by the affected parties. </w:t>
      </w:r>
      <w:r w:rsidR="00206ACD">
        <w:rPr>
          <w:rFonts w:ascii="Times New Roman" w:hAnsi="Times New Roman" w:cs="Times New Roman"/>
          <w:bCs/>
          <w:color w:val="000000"/>
        </w:rPr>
        <w:t xml:space="preserve">The TAC also proposed a study to develop a next generation system architecture for spectrum interference resolution, and recommended that the Commission initiate and collaborate with other government agencies, academia, and the private sector, to undertake </w:t>
      </w:r>
      <w:r w:rsidR="00CC102D">
        <w:rPr>
          <w:rFonts w:ascii="Times New Roman" w:hAnsi="Times New Roman" w:cs="Times New Roman"/>
          <w:bCs/>
          <w:color w:val="000000"/>
        </w:rPr>
        <w:t>the development of such an architecture</w:t>
      </w:r>
      <w:r w:rsidR="00206ACD">
        <w:rPr>
          <w:rFonts w:ascii="Times New Roman" w:hAnsi="Times New Roman" w:cs="Times New Roman"/>
          <w:bCs/>
          <w:color w:val="000000"/>
        </w:rPr>
        <w:t xml:space="preserve">. Budget, resource, and speed limitations of </w:t>
      </w:r>
      <w:r w:rsidR="00736BFC">
        <w:rPr>
          <w:rFonts w:ascii="Times New Roman" w:hAnsi="Times New Roman" w:cs="Times New Roman"/>
          <w:bCs/>
          <w:color w:val="000000"/>
        </w:rPr>
        <w:t>manually</w:t>
      </w:r>
      <w:r w:rsidR="00206ACD">
        <w:rPr>
          <w:rFonts w:ascii="Times New Roman" w:hAnsi="Times New Roman" w:cs="Times New Roman"/>
          <w:bCs/>
          <w:color w:val="000000"/>
        </w:rPr>
        <w:t xml:space="preserve"> detecting, locating, reporting, and mitigating interference</w:t>
      </w:r>
      <w:r w:rsidR="00F235A7">
        <w:rPr>
          <w:rFonts w:ascii="Times New Roman" w:hAnsi="Times New Roman" w:cs="Times New Roman"/>
          <w:bCs/>
          <w:color w:val="000000"/>
        </w:rPr>
        <w:t xml:space="preserve"> have propelled the urgency of the TAC’s recommendations</w:t>
      </w:r>
      <w:r w:rsidR="00CC102D">
        <w:rPr>
          <w:rFonts w:ascii="Times New Roman" w:hAnsi="Times New Roman" w:cs="Times New Roman"/>
          <w:bCs/>
          <w:color w:val="000000"/>
        </w:rPr>
        <w:t>. The TAC has said that resource gaps that slow the response to serious interference incidents involving the safety of life, property, and homeland security, and</w:t>
      </w:r>
      <w:r w:rsidR="00736BFC">
        <w:rPr>
          <w:rFonts w:ascii="Times New Roman" w:hAnsi="Times New Roman" w:cs="Times New Roman"/>
          <w:bCs/>
          <w:color w:val="000000"/>
        </w:rPr>
        <w:t>,</w:t>
      </w:r>
      <w:r w:rsidR="00CC102D">
        <w:rPr>
          <w:rFonts w:ascii="Times New Roman" w:hAnsi="Times New Roman" w:cs="Times New Roman"/>
          <w:bCs/>
          <w:color w:val="000000"/>
        </w:rPr>
        <w:t xml:space="preserve"> the lack of a next generation system architecture</w:t>
      </w:r>
      <w:r w:rsidR="00C923E0">
        <w:rPr>
          <w:rFonts w:ascii="Times New Roman" w:hAnsi="Times New Roman" w:cs="Times New Roman"/>
          <w:bCs/>
          <w:color w:val="000000"/>
        </w:rPr>
        <w:t>,</w:t>
      </w:r>
      <w:r w:rsidR="00DB4785">
        <w:rPr>
          <w:rFonts w:ascii="Times New Roman" w:hAnsi="Times New Roman" w:cs="Times New Roman"/>
          <w:bCs/>
          <w:color w:val="000000"/>
        </w:rPr>
        <w:t xml:space="preserve"> could undermine the value of shared spectrum and the willingness of agencies to share spectrum.</w:t>
      </w:r>
      <w:r>
        <w:rPr>
          <w:rStyle w:val="FootnoteReference"/>
          <w:rFonts w:cs="Times New Roman"/>
          <w:bCs/>
        </w:rPr>
        <w:footnoteReference w:id="19"/>
      </w:r>
    </w:p>
    <w:p w:rsidR="00237DEF" w:rsidRPr="00E4168E" w:rsidP="008E00FC" w14:paraId="50917D92" w14:textId="36E5393C">
      <w:pPr>
        <w:spacing w:before="120" w:after="240"/>
        <w:ind w:firstLine="720"/>
        <w:rPr>
          <w:rFonts w:ascii="Times New Roman" w:hAnsi="Times New Roman" w:cs="Times New Roman"/>
        </w:rPr>
      </w:pPr>
      <w:r w:rsidRPr="00FC6AF8">
        <w:rPr>
          <w:rFonts w:ascii="Times New Roman" w:hAnsi="Times New Roman" w:cs="Times New Roman"/>
          <w:b/>
          <w:bCs/>
          <w:i/>
          <w:color w:val="000000"/>
          <w:u w:val="single"/>
        </w:rPr>
        <w:t>Discussion</w:t>
      </w:r>
      <w:r w:rsidR="00FC6AF8">
        <w:rPr>
          <w:rFonts w:ascii="Times New Roman" w:hAnsi="Times New Roman" w:cs="Times New Roman"/>
          <w:b/>
          <w:bCs/>
          <w:i/>
          <w:color w:val="000000"/>
          <w:u w:val="single"/>
        </w:rPr>
        <w:t xml:space="preserve"> </w:t>
      </w:r>
      <w:r w:rsidR="00FC6AF8">
        <w:rPr>
          <w:rFonts w:ascii="Times New Roman" w:hAnsi="Times New Roman" w:cs="Times New Roman"/>
          <w:bCs/>
          <w:color w:val="000000"/>
        </w:rPr>
        <w:t xml:space="preserve">- </w:t>
      </w:r>
      <w:r>
        <w:rPr>
          <w:rFonts w:ascii="Times New Roman" w:hAnsi="Times New Roman" w:cs="Times New Roman"/>
          <w:bCs/>
          <w:color w:val="000000"/>
        </w:rPr>
        <w:t>We invite comment on the</w:t>
      </w:r>
      <w:r w:rsidR="00577E47">
        <w:rPr>
          <w:rFonts w:ascii="Times New Roman" w:hAnsi="Times New Roman" w:cs="Times New Roman"/>
          <w:bCs/>
          <w:color w:val="000000"/>
        </w:rPr>
        <w:t xml:space="preserve"> above spectrum management principles</w:t>
      </w:r>
      <w:r>
        <w:rPr>
          <w:rFonts w:ascii="Times New Roman" w:hAnsi="Times New Roman" w:cs="Times New Roman"/>
          <w:bCs/>
          <w:color w:val="000000"/>
        </w:rPr>
        <w:t xml:space="preserve"> recommended by the TAC.  These comments will be considered by the TAC in making any refinements to the recommendations.  We also solicit view</w:t>
      </w:r>
      <w:r w:rsidR="00577E47">
        <w:rPr>
          <w:rFonts w:ascii="Times New Roman" w:hAnsi="Times New Roman" w:cs="Times New Roman"/>
          <w:bCs/>
          <w:color w:val="000000"/>
        </w:rPr>
        <w:t>s</w:t>
      </w:r>
      <w:r>
        <w:rPr>
          <w:rFonts w:ascii="Times New Roman" w:hAnsi="Times New Roman" w:cs="Times New Roman"/>
          <w:bCs/>
          <w:color w:val="000000"/>
        </w:rPr>
        <w:t xml:space="preserve"> as to whether and how these principles may be integrated into FCC spectrum policy.  For exa</w:t>
      </w:r>
      <w:r w:rsidR="00577E47">
        <w:rPr>
          <w:rFonts w:ascii="Times New Roman" w:hAnsi="Times New Roman" w:cs="Times New Roman"/>
          <w:bCs/>
          <w:color w:val="000000"/>
        </w:rPr>
        <w:t xml:space="preserve">mple, should they be adopted </w:t>
      </w:r>
      <w:r>
        <w:rPr>
          <w:rFonts w:ascii="Times New Roman" w:hAnsi="Times New Roman" w:cs="Times New Roman"/>
          <w:bCs/>
          <w:color w:val="000000"/>
        </w:rPr>
        <w:t xml:space="preserve">by the Commission </w:t>
      </w:r>
      <w:r w:rsidR="00577E47">
        <w:rPr>
          <w:rFonts w:ascii="Times New Roman" w:hAnsi="Times New Roman" w:cs="Times New Roman"/>
          <w:bCs/>
          <w:color w:val="000000"/>
        </w:rPr>
        <w:t>as a policy statement that may serve as a reference in considering various spectrum matters?  Would doing so be helpful?  For example, would it serve to promote deployment of receivers with improved interference rejection characteristics?  Are there specific spectrum matters where the Commission should apply these principles, and if so, what are they?  We also solicit views on any suggested additions, deletions or modifications to these principles that should be considered.</w:t>
      </w:r>
    </w:p>
    <w:p w:rsidR="00383290" w:rsidP="003D4408" w14:paraId="28FCC3D3" w14:textId="74A47553">
      <w:pPr>
        <w:autoSpaceDE w:val="0"/>
        <w:autoSpaceDN w:val="0"/>
        <w:adjustRightInd w:val="0"/>
        <w:rPr>
          <w:rFonts w:ascii="Times New Roman" w:hAnsi="Times New Roman" w:cs="Times New Roman"/>
        </w:rPr>
      </w:pPr>
      <w:r w:rsidRPr="0069204C">
        <w:rPr>
          <w:rFonts w:ascii="Times New Roman" w:hAnsi="Times New Roman" w:cs="Times New Roman"/>
          <w:i/>
        </w:rPr>
        <w:t>Comments and Reply Comments</w:t>
      </w:r>
      <w:r w:rsidRPr="0069204C">
        <w:rPr>
          <w:rFonts w:ascii="Times New Roman" w:hAnsi="Times New Roman" w:cs="Times New Roman"/>
        </w:rPr>
        <w:t>:</w:t>
      </w:r>
      <w:r w:rsidR="0049448C">
        <w:rPr>
          <w:rFonts w:ascii="Times New Roman" w:hAnsi="Times New Roman" w:cs="Times New Roman"/>
        </w:rPr>
        <w:t xml:space="preserve"> </w:t>
      </w:r>
      <w:r w:rsidR="005B7B3B">
        <w:rPr>
          <w:rFonts w:ascii="TimesNewRoman" w:eastAsia="Times New Roman" w:hAnsi="TimesNewRoman" w:cs="TimesNewRoman"/>
        </w:rPr>
        <w:t>I</w:t>
      </w:r>
      <w:r w:rsidR="0049448C">
        <w:rPr>
          <w:rFonts w:ascii="TimesNewRoman" w:eastAsia="Times New Roman" w:hAnsi="TimesNewRoman" w:cs="TimesNewRoman"/>
        </w:rPr>
        <w:t>nterested parties may file comments and reply comments on or before the dates indicated on the first</w:t>
      </w:r>
      <w:r w:rsidR="003D4408">
        <w:rPr>
          <w:rFonts w:ascii="TimesNewRoman" w:eastAsia="Times New Roman" w:hAnsi="TimesNewRoman" w:cs="TimesNewRoman"/>
        </w:rPr>
        <w:t xml:space="preserve"> </w:t>
      </w:r>
      <w:r w:rsidR="0049448C">
        <w:rPr>
          <w:rFonts w:ascii="TimesNewRoman" w:eastAsia="Times New Roman" w:hAnsi="TimesNewRoman" w:cs="TimesNewRoman"/>
        </w:rPr>
        <w:t>page of this document. Comments may be filed using the Commission’s Electronic Comment Filing</w:t>
      </w:r>
      <w:r w:rsidR="003D4408">
        <w:rPr>
          <w:rFonts w:ascii="TimesNewRoman" w:eastAsia="Times New Roman" w:hAnsi="TimesNewRoman" w:cs="TimesNewRoman"/>
        </w:rPr>
        <w:t xml:space="preserve"> </w:t>
      </w:r>
      <w:r w:rsidR="0049448C">
        <w:rPr>
          <w:rFonts w:ascii="TimesNewRoman" w:eastAsia="Times New Roman" w:hAnsi="TimesNewRoman" w:cs="TimesNewRoman"/>
        </w:rPr>
        <w:t xml:space="preserve">System (ECFS). </w:t>
      </w:r>
      <w:r w:rsidRPr="0069204C" w:rsidR="003D4408">
        <w:rPr>
          <w:rFonts w:ascii="Times New Roman" w:hAnsi="Times New Roman" w:cs="Times New Roman"/>
          <w:i/>
        </w:rPr>
        <w:t>See Electronic Filing of Documents in Rulemaking Proceedings</w:t>
      </w:r>
      <w:r w:rsidRPr="0069204C" w:rsidR="003D4408">
        <w:rPr>
          <w:rFonts w:ascii="Times New Roman" w:hAnsi="Times New Roman" w:cs="Times New Roman"/>
        </w:rPr>
        <w:t>, 63 FR 24121 (1998).</w:t>
      </w:r>
    </w:p>
    <w:p w:rsidR="003D4408" w:rsidRPr="003D4408" w:rsidP="003D4408" w14:paraId="416D23B1" w14:textId="77777777">
      <w:pPr>
        <w:autoSpaceDE w:val="0"/>
        <w:autoSpaceDN w:val="0"/>
        <w:adjustRightInd w:val="0"/>
        <w:rPr>
          <w:rFonts w:ascii="TimesNewRoman" w:eastAsia="Times New Roman" w:hAnsi="TimesNewRoman" w:cs="TimesNewRoman"/>
        </w:rPr>
      </w:pPr>
    </w:p>
    <w:p w:rsidR="00383290" w:rsidRPr="0069204C" w:rsidP="00383290" w14:paraId="03F14169" w14:textId="6C22ACDF">
      <w:pPr>
        <w:numPr>
          <w:ilvl w:val="0"/>
          <w:numId w:val="10"/>
        </w:numPr>
        <w:rPr>
          <w:rFonts w:ascii="Times New Roman" w:hAnsi="Times New Roman" w:cs="Times New Roman"/>
        </w:rPr>
      </w:pPr>
      <w:r w:rsidRPr="0069204C">
        <w:rPr>
          <w:rFonts w:ascii="Times New Roman" w:hAnsi="Times New Roman" w:cs="Times New Roman"/>
          <w:i/>
        </w:rPr>
        <w:t>Electronic Filers</w:t>
      </w:r>
      <w:r w:rsidRPr="0069204C">
        <w:rPr>
          <w:rFonts w:ascii="Times New Roman" w:hAnsi="Times New Roman" w:cs="Times New Roman"/>
        </w:rPr>
        <w:t>:  Comments may be filed electronically using the Internet by accessing the ECFS</w:t>
      </w:r>
      <w:r w:rsidR="00D21E21">
        <w:rPr>
          <w:rFonts w:ascii="Times New Roman" w:hAnsi="Times New Roman" w:cs="Times New Roman"/>
        </w:rPr>
        <w:t xml:space="preserve">: </w:t>
      </w:r>
      <w:r>
        <w:fldChar w:fldCharType="begin"/>
      </w:r>
      <w:r>
        <w:instrText xml:space="preserve"> HYPERLINK "http://apps.fcc.gov/ecfs" </w:instrText>
      </w:r>
      <w:r>
        <w:fldChar w:fldCharType="separate"/>
      </w:r>
      <w:r w:rsidRPr="003C4352" w:rsidR="00D21E21">
        <w:rPr>
          <w:rStyle w:val="Hyperlink"/>
          <w:rFonts w:ascii="Times New Roman" w:hAnsi="Times New Roman" w:cs="Times New Roman"/>
        </w:rPr>
        <w:t>http://apps.fcc.gov/ecfs</w:t>
      </w:r>
      <w:r>
        <w:fldChar w:fldCharType="end"/>
      </w:r>
      <w:r w:rsidR="00D21E21">
        <w:rPr>
          <w:rFonts w:ascii="Times New Roman" w:hAnsi="Times New Roman" w:cs="Times New Roman"/>
        </w:rPr>
        <w:t xml:space="preserve">  </w:t>
      </w:r>
    </w:p>
    <w:p w:rsidR="00383290" w:rsidRPr="0069204C" w:rsidP="00383290" w14:paraId="5966FEC2" w14:textId="77777777">
      <w:pPr>
        <w:rPr>
          <w:rFonts w:ascii="Times New Roman" w:hAnsi="Times New Roman" w:cs="Times New Roman"/>
        </w:rPr>
      </w:pPr>
    </w:p>
    <w:p w:rsidR="00383290" w:rsidRPr="0069204C" w:rsidP="00383290" w14:paraId="5F48395B" w14:textId="77777777">
      <w:pPr>
        <w:numPr>
          <w:ilvl w:val="0"/>
          <w:numId w:val="8"/>
        </w:numPr>
        <w:rPr>
          <w:rFonts w:ascii="Times New Roman" w:hAnsi="Times New Roman" w:cs="Times New Roman"/>
        </w:rPr>
      </w:pPr>
      <w:r w:rsidRPr="0069204C">
        <w:rPr>
          <w:rFonts w:ascii="Times New Roman" w:hAnsi="Times New Roman" w:cs="Times New Roman"/>
          <w:i/>
        </w:rPr>
        <w:t>Paper Filers</w:t>
      </w:r>
      <w:r w:rsidRPr="0069204C">
        <w:rPr>
          <w:rFonts w:ascii="Times New Roman" w:hAnsi="Times New Roman" w:cs="Times New Roman"/>
        </w:rPr>
        <w:t>:  Parties who choose to file by p</w:t>
      </w:r>
      <w:r w:rsidRPr="0069204C" w:rsidR="00D06CD0">
        <w:rPr>
          <w:rFonts w:ascii="Times New Roman" w:hAnsi="Times New Roman" w:cs="Times New Roman"/>
        </w:rPr>
        <w:t xml:space="preserve">aper must file an original and </w:t>
      </w:r>
      <w:r w:rsidRPr="0069204C">
        <w:rPr>
          <w:rFonts w:ascii="Times New Roman" w:hAnsi="Times New Roman" w:cs="Times New Roman"/>
        </w:rPr>
        <w:t>one copy of each filing.  If more than one docket or rulemaking number appears in the caption of this proceeding, filers must submit two additional copies for each additional docket or rulemaking number.</w:t>
      </w:r>
    </w:p>
    <w:p w:rsidR="00383290" w:rsidRPr="0069204C" w:rsidP="00383290" w14:paraId="70CD52F0" w14:textId="77777777">
      <w:pPr>
        <w:rPr>
          <w:rFonts w:ascii="Times New Roman" w:hAnsi="Times New Roman" w:cs="Times New Roman"/>
        </w:rPr>
      </w:pPr>
    </w:p>
    <w:p w:rsidR="00383290" w:rsidRPr="0069204C" w:rsidP="00383290" w14:paraId="0FF3BD32" w14:textId="77777777">
      <w:pPr>
        <w:ind w:left="720"/>
        <w:rPr>
          <w:rFonts w:ascii="Times New Roman" w:hAnsi="Times New Roman" w:cs="Times New Roman"/>
        </w:rPr>
      </w:pPr>
      <w:r w:rsidRPr="0069204C">
        <w:rPr>
          <w:rFonts w:ascii="Times New Roman" w:hAnsi="Times New Roman" w:cs="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83290" w:rsidRPr="0069204C" w:rsidP="00383290" w14:paraId="14ADF252" w14:textId="77777777">
      <w:pPr>
        <w:rPr>
          <w:rFonts w:ascii="Times New Roman" w:hAnsi="Times New Roman" w:cs="Times New Roman"/>
        </w:rPr>
      </w:pPr>
    </w:p>
    <w:p w:rsidR="00383290" w:rsidRPr="0069204C" w:rsidP="00383290" w14:paraId="7035EE61" w14:textId="77777777">
      <w:pPr>
        <w:numPr>
          <w:ilvl w:val="0"/>
          <w:numId w:val="9"/>
        </w:numPr>
        <w:rPr>
          <w:rFonts w:ascii="Times New Roman" w:hAnsi="Times New Roman" w:cs="Times New Roman"/>
        </w:rPr>
      </w:pPr>
      <w:r w:rsidRPr="0069204C">
        <w:rPr>
          <w:rFonts w:ascii="Times New Roman" w:hAnsi="Times New Roman" w:cs="Times New Roman"/>
        </w:rPr>
        <w:t>All hand-delivered or messenger-delivered paper filings for the Commission’s Secretary must be delivered to FCC Headquarters at 445 12</w:t>
      </w:r>
      <w:r w:rsidRPr="0069204C">
        <w:rPr>
          <w:rFonts w:ascii="Times New Roman" w:hAnsi="Times New Roman" w:cs="Times New Roman"/>
          <w:vertAlign w:val="superscript"/>
        </w:rPr>
        <w:t>th</w:t>
      </w:r>
      <w:r w:rsidRPr="0069204C">
        <w:rPr>
          <w:rFonts w:ascii="Times New Roman" w:hAnsi="Times New Roman" w:cs="Times New Roman"/>
        </w:rPr>
        <w:t xml:space="preserve"> St., SW, Room TW-A325, Washington, DC 20554.  The filing hours are 8:00 a.m. to 7:00 p.m.  All hand deliveries must be held together with rubber bands or fasteners.  Any envelopes and boxes must be disposed of </w:t>
      </w:r>
      <w:r w:rsidRPr="0069204C">
        <w:rPr>
          <w:rFonts w:ascii="Times New Roman" w:hAnsi="Times New Roman" w:cs="Times New Roman"/>
          <w:u w:val="single"/>
        </w:rPr>
        <w:t>before</w:t>
      </w:r>
      <w:r w:rsidRPr="0069204C">
        <w:rPr>
          <w:rFonts w:ascii="Times New Roman" w:hAnsi="Times New Roman" w:cs="Times New Roman"/>
        </w:rPr>
        <w:t xml:space="preserve"> entering the building.  </w:t>
      </w:r>
    </w:p>
    <w:p w:rsidR="00383290" w:rsidRPr="0069204C" w:rsidP="00383290" w14:paraId="60070116" w14:textId="77777777">
      <w:pPr>
        <w:ind w:left="1080"/>
        <w:rPr>
          <w:rFonts w:ascii="Times New Roman" w:hAnsi="Times New Roman" w:cs="Times New Roman"/>
        </w:rPr>
      </w:pPr>
    </w:p>
    <w:p w:rsidR="00383290" w:rsidRPr="0069204C" w:rsidP="00383290" w14:paraId="07C1A0F5" w14:textId="77777777">
      <w:pPr>
        <w:numPr>
          <w:ilvl w:val="0"/>
          <w:numId w:val="9"/>
        </w:numPr>
        <w:rPr>
          <w:rFonts w:ascii="Times New Roman" w:hAnsi="Times New Roman" w:cs="Times New Roman"/>
        </w:rPr>
      </w:pPr>
      <w:r w:rsidRPr="0069204C">
        <w:rPr>
          <w:rFonts w:ascii="Times New Roman" w:hAnsi="Times New Roman" w:cs="Times New Roman"/>
        </w:rPr>
        <w:t>Commercial overnight mail (other than U.S. Postal Service Express Mail and Priority Mail) must be sent to 9300 East Hampton Drive, Capitol Heights, MD 20743.</w:t>
      </w:r>
    </w:p>
    <w:p w:rsidR="00383290" w:rsidRPr="0069204C" w:rsidP="00383290" w14:paraId="2A488310" w14:textId="77777777">
      <w:pPr>
        <w:rPr>
          <w:rFonts w:ascii="Times New Roman" w:hAnsi="Times New Roman" w:cs="Times New Roman"/>
        </w:rPr>
      </w:pPr>
    </w:p>
    <w:p w:rsidR="001445E9" w:rsidRPr="0069204C" w:rsidP="00EC14EF" w14:paraId="3AD8CF29" w14:textId="77777777">
      <w:pPr>
        <w:numPr>
          <w:ilvl w:val="0"/>
          <w:numId w:val="9"/>
        </w:numPr>
        <w:rPr>
          <w:rFonts w:ascii="Times New Roman" w:hAnsi="Times New Roman" w:cs="Times New Roman"/>
        </w:rPr>
      </w:pPr>
      <w:r w:rsidRPr="0069204C">
        <w:rPr>
          <w:rFonts w:ascii="Times New Roman" w:hAnsi="Times New Roman" w:cs="Times New Roman"/>
        </w:rPr>
        <w:t>U.S. Postal Service first-class, Express, and Priority mail must be addressed to 445 12</w:t>
      </w:r>
      <w:r w:rsidRPr="0069204C">
        <w:rPr>
          <w:rFonts w:ascii="Times New Roman" w:hAnsi="Times New Roman" w:cs="Times New Roman"/>
          <w:vertAlign w:val="superscript"/>
        </w:rPr>
        <w:t>th</w:t>
      </w:r>
      <w:r w:rsidRPr="0069204C">
        <w:rPr>
          <w:rFonts w:ascii="Times New Roman" w:hAnsi="Times New Roman" w:cs="Times New Roman"/>
        </w:rPr>
        <w:t xml:space="preserve"> Street, SW, Washington DC 20554.</w:t>
      </w:r>
    </w:p>
    <w:p w:rsidR="00BE6657" w:rsidRPr="0069204C" w:rsidP="00EC14EF" w14:paraId="2A902346" w14:textId="77777777">
      <w:pPr>
        <w:spacing w:before="120" w:after="240"/>
        <w:ind w:firstLine="720"/>
        <w:rPr>
          <w:rFonts w:ascii="Times New Roman" w:hAnsi="Times New Roman" w:cs="Times New Roman"/>
        </w:rPr>
      </w:pPr>
      <w:r w:rsidRPr="0069204C">
        <w:rPr>
          <w:rFonts w:ascii="Times New Roman" w:hAnsi="Times New Roman" w:cs="Times New Roman"/>
        </w:rPr>
        <w:t>Comments and reply comments filed in response to this Public Notice will be available via ECFS.  These documents also will be available for public inspection during regular business hours in the FCC Reference Information Center, Portals II, 445 12th Street S.W., Room CY-A257, Washington, D.C. 20554</w:t>
      </w:r>
      <w:r w:rsidRPr="0069204C">
        <w:rPr>
          <w:rFonts w:ascii="Times New Roman" w:hAnsi="Times New Roman" w:cs="Times New Roman"/>
        </w:rPr>
        <w:t>.</w:t>
      </w:r>
    </w:p>
    <w:p w:rsidR="00D06CD0" w:rsidRPr="0069204C" w:rsidP="001E2BBA" w14:paraId="59F19095" w14:textId="18E882C5">
      <w:pPr>
        <w:ind w:firstLine="720"/>
        <w:rPr>
          <w:rFonts w:ascii="Times New Roman" w:hAnsi="Times New Roman" w:cs="Times New Roman"/>
        </w:rPr>
      </w:pPr>
      <w:r w:rsidRPr="0069204C">
        <w:rPr>
          <w:rFonts w:ascii="Times New Roman" w:hAnsi="Times New Roman" w:cs="Times New Roman"/>
          <w:i/>
        </w:rPr>
        <w:t>People with Disabilities</w:t>
      </w:r>
      <w:r w:rsidRPr="0069204C">
        <w:rPr>
          <w:rFonts w:ascii="Times New Roman" w:hAnsi="Times New Roman" w:cs="Times New Roman"/>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9204C">
        <w:rPr>
          <w:rFonts w:ascii="Times New Roman" w:hAnsi="Times New Roman" w:cs="Times New Roman"/>
          <w:color w:val="0000FF"/>
          <w:u w:val="single"/>
        </w:rPr>
        <w:t>fcc504@fcc.gov</w:t>
      </w:r>
      <w:r>
        <w:fldChar w:fldCharType="end"/>
      </w:r>
      <w:r w:rsidRPr="0069204C">
        <w:rPr>
          <w:rFonts w:ascii="Times New Roman" w:hAnsi="Times New Roman" w:cs="Times New Roman"/>
        </w:rPr>
        <w:t xml:space="preserve"> or call the Consumer &amp; Governmental Affairs Bureau at 202-418-0530 (voice), 202-418-0432 (tty).</w:t>
      </w:r>
    </w:p>
    <w:p w:rsidR="00CE7F6B" w:rsidRPr="00CE7F6B" w:rsidP="00FB649A" w14:paraId="23449D24" w14:textId="03F0F8CD">
      <w:pPr>
        <w:spacing w:before="120" w:after="240"/>
        <w:ind w:firstLine="720"/>
        <w:rPr>
          <w:rFonts w:ascii="Times New Roman" w:hAnsi="Times New Roman" w:cs="Times New Roman"/>
        </w:rPr>
      </w:pPr>
      <w:r w:rsidRPr="0069204C">
        <w:rPr>
          <w:rFonts w:ascii="Times New Roman" w:hAnsi="Times New Roman" w:cs="Times New Roman"/>
          <w:i/>
        </w:rPr>
        <w:t>Additional Information</w:t>
      </w:r>
      <w:r w:rsidRPr="0069204C">
        <w:rPr>
          <w:rFonts w:ascii="Times New Roman" w:hAnsi="Times New Roman" w:cs="Times New Roman"/>
        </w:rPr>
        <w:t xml:space="preserve">: </w:t>
      </w:r>
      <w:r w:rsidRPr="0069204C" w:rsidR="00FB481C">
        <w:rPr>
          <w:rFonts w:ascii="Times New Roman" w:hAnsi="Times New Roman" w:cs="Times New Roman"/>
        </w:rPr>
        <w:t xml:space="preserve"> </w:t>
      </w:r>
      <w:r w:rsidRPr="0069204C" w:rsidR="00AB6C11">
        <w:rPr>
          <w:rFonts w:ascii="Times New Roman" w:hAnsi="Times New Roman" w:cs="Times New Roman"/>
        </w:rPr>
        <w:t>Fo</w:t>
      </w:r>
      <w:r w:rsidRPr="0069204C" w:rsidR="004D0FCF">
        <w:rPr>
          <w:rFonts w:ascii="Times New Roman" w:hAnsi="Times New Roman" w:cs="Times New Roman"/>
        </w:rPr>
        <w:t xml:space="preserve">r further information, contact </w:t>
      </w:r>
      <w:r w:rsidRPr="0069204C" w:rsidR="003D040A">
        <w:rPr>
          <w:rFonts w:ascii="Times New Roman" w:hAnsi="Times New Roman" w:cs="Times New Roman"/>
        </w:rPr>
        <w:t>Robert Pavlak</w:t>
      </w:r>
      <w:r w:rsidRPr="0069204C" w:rsidR="004D0FCF">
        <w:rPr>
          <w:rFonts w:ascii="Times New Roman" w:hAnsi="Times New Roman" w:cs="Times New Roman"/>
        </w:rPr>
        <w:t xml:space="preserve"> of the Office of Engineering and Technology at </w:t>
      </w:r>
      <w:r>
        <w:fldChar w:fldCharType="begin"/>
      </w:r>
      <w:r>
        <w:instrText xml:space="preserve"> HYPERLINK "mailto:Robert.Pavlak@fcc.gov" </w:instrText>
      </w:r>
      <w:r>
        <w:fldChar w:fldCharType="separate"/>
      </w:r>
      <w:r w:rsidRPr="0069204C" w:rsidR="003D040A">
        <w:rPr>
          <w:rStyle w:val="Hyperlink"/>
          <w:rFonts w:ascii="Times New Roman" w:hAnsi="Times New Roman" w:cs="Times New Roman"/>
        </w:rPr>
        <w:t>Robert.Pavlak@fcc.gov</w:t>
      </w:r>
      <w:r>
        <w:fldChar w:fldCharType="end"/>
      </w:r>
      <w:r w:rsidRPr="0069204C" w:rsidR="003D040A">
        <w:rPr>
          <w:rFonts w:ascii="Times New Roman" w:hAnsi="Times New Roman" w:cs="Times New Roman"/>
        </w:rPr>
        <w:t xml:space="preserve"> or (202) 418-0761</w:t>
      </w:r>
      <w:r w:rsidRPr="0069204C" w:rsidR="004D0FCF">
        <w:rPr>
          <w:rFonts w:ascii="Times New Roman" w:hAnsi="Times New Roman" w:cs="Times New Roman"/>
        </w:rPr>
        <w:t>.</w:t>
      </w: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8F35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056432" w14:textId="77777777">
    <w:pPr>
      <w:pStyle w:val="Footer"/>
    </w:pPr>
  </w:p>
  <w:p w:rsidR="003660ED" w14:paraId="4CE1981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964FBF" w14:textId="310D3FEB">
    <w:pPr>
      <w:pStyle w:val="Footer"/>
      <w:framePr w:wrap="around" w:vAnchor="text" w:hAnchor="margin" w:xAlign="center" w:y="1"/>
    </w:pPr>
    <w:r>
      <w:fldChar w:fldCharType="begin"/>
    </w:r>
    <w:r>
      <w:instrText xml:space="preserve">PAGE  </w:instrText>
    </w:r>
    <w:r>
      <w:fldChar w:fldCharType="separate"/>
    </w:r>
    <w:r w:rsidR="009C5F74">
      <w:rPr>
        <w:noProof/>
      </w:rPr>
      <w:t>2</w:t>
    </w:r>
    <w:r>
      <w:fldChar w:fldCharType="end"/>
    </w:r>
  </w:p>
  <w:p w:rsidR="003660ED" w:rsidP="000E05FE" w14:paraId="087E09B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BEB02D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2802" w14:paraId="188977A4" w14:textId="77777777">
      <w:r>
        <w:separator/>
      </w:r>
    </w:p>
  </w:footnote>
  <w:footnote w:type="continuationSeparator" w:id="1">
    <w:p w:rsidR="000C2802" w:rsidP="00C721AC" w14:paraId="0A6E7EF1" w14:textId="77777777">
      <w:pPr>
        <w:spacing w:before="120"/>
        <w:rPr>
          <w:sz w:val="20"/>
        </w:rPr>
      </w:pPr>
      <w:r>
        <w:rPr>
          <w:sz w:val="20"/>
        </w:rPr>
        <w:t xml:space="preserve">(Continued from previous page)  </w:t>
      </w:r>
      <w:r>
        <w:rPr>
          <w:sz w:val="20"/>
        </w:rPr>
        <w:separator/>
      </w:r>
    </w:p>
  </w:footnote>
  <w:footnote w:type="continuationNotice" w:id="2">
    <w:p w:rsidR="000C2802" w:rsidP="00C721AC" w14:paraId="017CAEDF" w14:textId="77777777">
      <w:pPr>
        <w:jc w:val="right"/>
        <w:rPr>
          <w:sz w:val="20"/>
        </w:rPr>
      </w:pPr>
      <w:r>
        <w:rPr>
          <w:sz w:val="20"/>
        </w:rPr>
        <w:t>(continued….)</w:t>
      </w:r>
    </w:p>
  </w:footnote>
  <w:footnote w:id="3">
    <w:p w:rsidR="006C414E" w14:paraId="5525E9C9" w14:textId="27022ADE">
      <w:pPr>
        <w:pStyle w:val="FootnoteText"/>
      </w:pPr>
      <w:r>
        <w:rPr>
          <w:rStyle w:val="FootnoteReference"/>
        </w:rPr>
        <w:footnoteRef/>
      </w:r>
      <w:r>
        <w:t xml:space="preserve"> The Technological Advisory Council is an advisory group operating under the authority of the Federal Advisory Committee Act and</w:t>
      </w:r>
      <w:r w:rsidR="00187A18">
        <w:t xml:space="preserve"> </w:t>
      </w:r>
      <w:r w:rsidRPr="006C414E">
        <w:t>comprise</w:t>
      </w:r>
      <w:r w:rsidR="00187A18">
        <w:t>s</w:t>
      </w:r>
      <w:r w:rsidRPr="006C414E">
        <w:t xml:space="preserve"> a </w:t>
      </w:r>
      <w:r>
        <w:fldChar w:fldCharType="begin"/>
      </w:r>
      <w:r>
        <w:instrText xml:space="preserve"> HYPERLINK "https://www.fcc.gov/encyclopedia/technological-advisory-council-members" </w:instrText>
      </w:r>
      <w:r>
        <w:fldChar w:fldCharType="separate"/>
      </w:r>
      <w:r w:rsidRPr="00883A34">
        <w:t>diverse array of leading experts</w:t>
      </w:r>
      <w:r>
        <w:fldChar w:fldCharType="end"/>
      </w:r>
      <w:r w:rsidRPr="006C414E">
        <w:t> that helps the FCC identify important areas of innovation and develop informed technology policies supporting America’s competitiveness and job creation in the global economy</w:t>
      </w:r>
      <w:r>
        <w:t xml:space="preserve">, see  </w:t>
      </w:r>
      <w:r>
        <w:fldChar w:fldCharType="begin"/>
      </w:r>
      <w:r>
        <w:instrText xml:space="preserve"> HYPERLINK "https://www.fcc.gov/general/technological-advisory-council" </w:instrText>
      </w:r>
      <w:r>
        <w:fldChar w:fldCharType="separate"/>
      </w:r>
      <w:r w:rsidRPr="00D11260">
        <w:rPr>
          <w:rStyle w:val="Hyperlink"/>
        </w:rPr>
        <w:t>https://www.fcc.gov/general/technological-advisory-council</w:t>
      </w:r>
      <w:r>
        <w:fldChar w:fldCharType="end"/>
      </w:r>
      <w:r>
        <w:t xml:space="preserve">, last visited on </w:t>
      </w:r>
      <w:r w:rsidR="001663CD">
        <w:t>November 30</w:t>
      </w:r>
      <w:r w:rsidRPr="00883A34">
        <w:rPr>
          <w:vertAlign w:val="superscript"/>
        </w:rPr>
        <w:t>th</w:t>
      </w:r>
      <w:r>
        <w:t>, 2017.</w:t>
      </w:r>
    </w:p>
  </w:footnote>
  <w:footnote w:id="4">
    <w:p w:rsidR="006C414E" w14:paraId="2A86A3C8" w14:textId="2BFDD0CF">
      <w:pPr>
        <w:pStyle w:val="FootnoteText"/>
      </w:pPr>
      <w:r>
        <w:rPr>
          <w:rStyle w:val="FootnoteReference"/>
        </w:rPr>
        <w:footnoteRef/>
      </w:r>
      <w:r>
        <w:t xml:space="preserve"> </w:t>
      </w:r>
      <w:r w:rsidRPr="00E01A6F">
        <w:rPr>
          <w:i/>
        </w:rPr>
        <w:t>See</w:t>
      </w:r>
      <w:r w:rsidR="00E01A6F">
        <w:t>,</w:t>
      </w:r>
      <w:r>
        <w:t xml:space="preserve"> </w:t>
      </w:r>
      <w:r>
        <w:fldChar w:fldCharType="begin"/>
      </w:r>
      <w:r>
        <w:instrText xml:space="preserve"> HYPERLINK "https://www.fcc.gov/general/tac-reports-and-papers" </w:instrText>
      </w:r>
      <w:r>
        <w:fldChar w:fldCharType="separate"/>
      </w:r>
      <w:r w:rsidRPr="00D11260">
        <w:rPr>
          <w:rStyle w:val="Hyperlink"/>
        </w:rPr>
        <w:t>https://www.fcc.gov/general/tac-reports-and-papers</w:t>
      </w:r>
      <w:r>
        <w:fldChar w:fldCharType="end"/>
      </w:r>
      <w:r w:rsidR="001663CD">
        <w:t>, last visited on November 30</w:t>
      </w:r>
      <w:r w:rsidRPr="00883A34">
        <w:rPr>
          <w:vertAlign w:val="superscript"/>
        </w:rPr>
        <w:t>th</w:t>
      </w:r>
      <w:r>
        <w:t>, 2017.</w:t>
      </w:r>
    </w:p>
  </w:footnote>
  <w:footnote w:id="5">
    <w:p w:rsidR="00932D5B" w:rsidRPr="0069204C" w14:paraId="0A45E861" w14:textId="5A6725B5">
      <w:pPr>
        <w:pStyle w:val="FootnoteText"/>
        <w:rPr>
          <w:color w:val="000000"/>
        </w:rPr>
      </w:pPr>
      <w:r w:rsidRPr="00FC3E96">
        <w:rPr>
          <w:rStyle w:val="FootnoteReference"/>
          <w:rFonts w:asciiTheme="minorHAnsi" w:hAnsiTheme="minorHAnsi" w:cstheme="minorHAnsi"/>
        </w:rPr>
        <w:footnoteRef/>
      </w:r>
      <w:r w:rsidRPr="00FC3E96">
        <w:rPr>
          <w:rFonts w:asciiTheme="minorHAnsi" w:hAnsiTheme="minorHAnsi" w:cstheme="minorHAnsi"/>
        </w:rPr>
        <w:t xml:space="preserve"> </w:t>
      </w:r>
      <w:r w:rsidRPr="0069204C">
        <w:rPr>
          <w:i/>
        </w:rPr>
        <w:t xml:space="preserve">See, </w:t>
      </w:r>
      <w:r w:rsidRPr="0069204C">
        <w:rPr>
          <w:color w:val="000000"/>
        </w:rPr>
        <w:t xml:space="preserve">December 2015 paper “Basic Principles for Assessing Compatibility of New Spectrum Allocations”, </w:t>
      </w:r>
      <w:r>
        <w:fldChar w:fldCharType="begin"/>
      </w:r>
      <w:r>
        <w:instrText xml:space="preserve"> HYPERLINK "https://transition.fcc.gov/bureaus/oet/tac/tacdocs/meeting121015/Principles-White-Paper-Release-1.1.pdf" </w:instrText>
      </w:r>
      <w:r>
        <w:fldChar w:fldCharType="separate"/>
      </w:r>
      <w:r w:rsidRPr="005450F8">
        <w:rPr>
          <w:rStyle w:val="Hyperlink"/>
        </w:rPr>
        <w:t>https://transition.f</w:t>
      </w:r>
      <w:r w:rsidRPr="005450F8" w:rsidR="006E269B">
        <w:rPr>
          <w:rStyle w:val="Hyperlink"/>
        </w:rPr>
        <w:t>cc.gov/bureaus/oet/tac/tacdocs/</w:t>
      </w:r>
      <w:r w:rsidRPr="005450F8">
        <w:rPr>
          <w:rStyle w:val="Hyperlink"/>
        </w:rPr>
        <w:t>meeting121015/Principles-White-Paper-Release-1.1.pdf</w:t>
      </w:r>
      <w:r>
        <w:fldChar w:fldCharType="end"/>
      </w:r>
      <w:r w:rsidRPr="0069204C">
        <w:rPr>
          <w:rStyle w:val="Hyperlink"/>
          <w:u w:val="none"/>
        </w:rPr>
        <w:t xml:space="preserve"> </w:t>
      </w:r>
      <w:r w:rsidRPr="0069204C" w:rsidR="002A387F">
        <w:rPr>
          <w:rStyle w:val="Hyperlink"/>
          <w:color w:val="auto"/>
          <w:u w:val="none"/>
        </w:rPr>
        <w:t>(</w:t>
      </w:r>
      <w:r w:rsidRPr="0069204C" w:rsidR="002A387F">
        <w:rPr>
          <w:rStyle w:val="Hyperlink"/>
          <w:i/>
          <w:color w:val="auto"/>
          <w:u w:val="none"/>
        </w:rPr>
        <w:t>Basic Spectrum Principles White Paper);</w:t>
      </w:r>
      <w:r w:rsidRPr="0069204C" w:rsidR="002A387F">
        <w:rPr>
          <w:rStyle w:val="Hyperlink"/>
          <w:color w:val="auto"/>
          <w:u w:val="none"/>
        </w:rPr>
        <w:t xml:space="preserve"> </w:t>
      </w:r>
      <w:r w:rsidRPr="0069204C">
        <w:rPr>
          <w:rStyle w:val="Hyperlink"/>
          <w:color w:val="auto"/>
          <w:u w:val="none"/>
        </w:rPr>
        <w:t>and</w:t>
      </w:r>
      <w:r w:rsidRPr="0069204C">
        <w:rPr>
          <w:rStyle w:val="Hyperlink"/>
          <w:u w:val="none"/>
        </w:rPr>
        <w:t xml:space="preserve"> </w:t>
      </w:r>
      <w:r w:rsidRPr="0069204C">
        <w:rPr>
          <w:color w:val="000000"/>
        </w:rPr>
        <w:t>March 2014 paper, “Interference Limits Policy and Harm Claim Thresholds: An Introduction”,</w:t>
      </w:r>
      <w:r w:rsidR="00E4168E">
        <w:rPr>
          <w:color w:val="000000"/>
        </w:rPr>
        <w:t xml:space="preserve"> </w:t>
      </w:r>
      <w:r>
        <w:fldChar w:fldCharType="begin"/>
      </w:r>
      <w:r>
        <w:instrText xml:space="preserve"> HYPERLINK "http://transition.fcc.gov/oet/tac/tacdocs/reports/TACInterferenceLimitsIntrov1.0.pdf" </w:instrText>
      </w:r>
      <w:r>
        <w:fldChar w:fldCharType="separate"/>
      </w:r>
      <w:r w:rsidRPr="005450F8" w:rsidR="00E4168E">
        <w:rPr>
          <w:rStyle w:val="Hyperlink"/>
        </w:rPr>
        <w:t>http://transition.fcc.gov/oet/tac/tacdocs/reports/TACInterferenceLimitsIntrov1.0.pdf</w:t>
      </w:r>
      <w:r>
        <w:fldChar w:fldCharType="end"/>
      </w:r>
      <w:r w:rsidR="00E4168E">
        <w:rPr>
          <w:color w:val="000000"/>
        </w:rPr>
        <w:t xml:space="preserve">; </w:t>
      </w:r>
      <w:r w:rsidRPr="0069204C">
        <w:rPr>
          <w:color w:val="000000"/>
        </w:rPr>
        <w:t xml:space="preserve">see especially </w:t>
      </w:r>
      <w:r w:rsidRPr="0069204C">
        <w:rPr>
          <w:i/>
          <w:iCs/>
          <w:color w:val="000000"/>
        </w:rPr>
        <w:t>Section 5, Developing harm claim threshold values</w:t>
      </w:r>
      <w:r w:rsidRPr="0069204C">
        <w:rPr>
          <w:color w:val="000000"/>
        </w:rPr>
        <w:t>.</w:t>
      </w:r>
    </w:p>
  </w:footnote>
  <w:footnote w:id="6">
    <w:p w:rsidR="00932D5B" w:rsidRPr="0069204C" w:rsidP="00932D5B" w14:paraId="36F097F9" w14:textId="182DE0AB">
      <w:pPr>
        <w:keepNext/>
        <w:rPr>
          <w:rFonts w:ascii="Times New Roman" w:hAnsi="Times New Roman" w:cs="Times New Roman"/>
          <w:color w:val="000000"/>
          <w:sz w:val="20"/>
          <w:szCs w:val="20"/>
        </w:rPr>
      </w:pPr>
      <w:r w:rsidRPr="0069204C">
        <w:rPr>
          <w:rStyle w:val="FootnoteReference"/>
          <w:rFonts w:cs="Times New Roman"/>
          <w:szCs w:val="20"/>
        </w:rPr>
        <w:footnoteRef/>
      </w:r>
      <w:r w:rsidRPr="0069204C">
        <w:rPr>
          <w:rFonts w:ascii="Times New Roman" w:hAnsi="Times New Roman" w:cs="Times New Roman"/>
          <w:sz w:val="20"/>
          <w:szCs w:val="20"/>
        </w:rPr>
        <w:t xml:space="preserve"> </w:t>
      </w:r>
      <w:r w:rsidRPr="0069204C">
        <w:rPr>
          <w:rFonts w:ascii="Times New Roman" w:hAnsi="Times New Roman" w:cs="Times New Roman"/>
          <w:i/>
          <w:sz w:val="20"/>
          <w:szCs w:val="20"/>
        </w:rPr>
        <w:t>See</w:t>
      </w:r>
      <w:r w:rsidRPr="0069204C">
        <w:rPr>
          <w:rFonts w:ascii="Times New Roman" w:hAnsi="Times New Roman" w:cs="Times New Roman"/>
          <w:sz w:val="20"/>
          <w:szCs w:val="20"/>
        </w:rPr>
        <w:t xml:space="preserve">, </w:t>
      </w:r>
      <w:r w:rsidRPr="0069204C">
        <w:rPr>
          <w:rFonts w:ascii="Times New Roman" w:hAnsi="Times New Roman" w:cs="Times New Roman"/>
          <w:color w:val="000000"/>
          <w:sz w:val="20"/>
          <w:szCs w:val="20"/>
        </w:rPr>
        <w:t xml:space="preserve">April 2015 paper, “A Quick Introduction to Risk-Informed Interference Assessment”, </w:t>
      </w:r>
      <w:r>
        <w:fldChar w:fldCharType="begin"/>
      </w:r>
      <w:r>
        <w:instrText xml:space="preserve"> HYPERLINK "http://transition.fcc.gov/bureaus/oet/tac/tacdocs/meeting4115/Intro-to-RIA-v100.pdf" </w:instrText>
      </w:r>
      <w:r>
        <w:fldChar w:fldCharType="separate"/>
      </w:r>
      <w:r w:rsidRPr="005450F8">
        <w:rPr>
          <w:rStyle w:val="Hyperlink"/>
          <w:rFonts w:ascii="Times New Roman" w:hAnsi="Times New Roman" w:cs="Times New Roman"/>
          <w:sz w:val="20"/>
          <w:szCs w:val="20"/>
        </w:rPr>
        <w:t>http://transition.fcc.gov/bureaus/oet/tac/tacdocs/meeting4115/Intro-to-RIA-v100.pdf</w:t>
      </w:r>
      <w:r>
        <w:fldChar w:fldCharType="end"/>
      </w:r>
      <w:r w:rsidRPr="0069204C">
        <w:rPr>
          <w:rFonts w:ascii="Times New Roman" w:hAnsi="Times New Roman" w:cs="Times New Roman"/>
          <w:color w:val="000000"/>
          <w:sz w:val="20"/>
          <w:szCs w:val="20"/>
        </w:rPr>
        <w:t xml:space="preserve">; see especially </w:t>
      </w:r>
      <w:r w:rsidRPr="0069204C">
        <w:rPr>
          <w:rFonts w:ascii="Times New Roman" w:hAnsi="Times New Roman" w:cs="Times New Roman"/>
          <w:i/>
          <w:iCs/>
          <w:color w:val="000000"/>
          <w:sz w:val="20"/>
          <w:szCs w:val="20"/>
        </w:rPr>
        <w:t>Section 5, Recommended FCC Action</w:t>
      </w:r>
      <w:r w:rsidRPr="0069204C">
        <w:rPr>
          <w:rFonts w:ascii="Times New Roman" w:hAnsi="Times New Roman" w:cs="Times New Roman"/>
          <w:iCs/>
          <w:color w:val="000000"/>
          <w:sz w:val="20"/>
          <w:szCs w:val="20"/>
        </w:rPr>
        <w:t xml:space="preserve">; and </w:t>
      </w:r>
      <w:r w:rsidRPr="0069204C">
        <w:rPr>
          <w:rFonts w:ascii="Times New Roman" w:hAnsi="Times New Roman" w:cs="Times New Roman"/>
          <w:color w:val="000000"/>
          <w:sz w:val="20"/>
          <w:szCs w:val="20"/>
        </w:rPr>
        <w:t xml:space="preserve">December 2015 TAC paper, “A Case Study of Risk-Informed Interference Assessment: MetSat/LTE Co-existence in 1695–1710 MHz”, </w:t>
      </w:r>
      <w:r>
        <w:fldChar w:fldCharType="begin"/>
      </w:r>
      <w:r>
        <w:instrText xml:space="preserve"> HYPERLINK "https://transition.fcc.gov/bureaus/oet/tac/tacdocs/meeting121015/MetSat-LTE-v100-TAC-risk-assessment.pdf" </w:instrText>
      </w:r>
      <w:r>
        <w:fldChar w:fldCharType="separate"/>
      </w:r>
      <w:r w:rsidRPr="005450F8" w:rsidR="00FD478F">
        <w:rPr>
          <w:rStyle w:val="Hyperlink"/>
          <w:rFonts w:ascii="Times New Roman" w:hAnsi="Times New Roman" w:cs="Times New Roman"/>
          <w:sz w:val="20"/>
          <w:szCs w:val="20"/>
        </w:rPr>
        <w:t>https://transition.fcc.gov/bureaus/oet/tac/tacdocs/meeting121015/MetSat-LTE-v100-TAC-risk-assessment.pdf</w:t>
      </w:r>
      <w:r>
        <w:fldChar w:fldCharType="end"/>
      </w:r>
      <w:r w:rsidRPr="0069204C">
        <w:rPr>
          <w:rFonts w:ascii="Times New Roman" w:hAnsi="Times New Roman" w:cs="Times New Roman"/>
          <w:color w:val="000000"/>
          <w:sz w:val="20"/>
          <w:szCs w:val="20"/>
        </w:rPr>
        <w:t xml:space="preserve">; see especially </w:t>
      </w:r>
      <w:r w:rsidRPr="0069204C">
        <w:rPr>
          <w:rFonts w:ascii="Times New Roman" w:hAnsi="Times New Roman" w:cs="Times New Roman"/>
          <w:i/>
          <w:iCs/>
          <w:color w:val="000000"/>
          <w:sz w:val="20"/>
          <w:szCs w:val="20"/>
        </w:rPr>
        <w:t>Section 8, Conclusions and recommendations</w:t>
      </w:r>
      <w:r w:rsidRPr="0069204C">
        <w:rPr>
          <w:rFonts w:ascii="Times New Roman" w:hAnsi="Times New Roman" w:cs="Times New Roman"/>
          <w:color w:val="000000"/>
          <w:sz w:val="20"/>
          <w:szCs w:val="20"/>
        </w:rPr>
        <w:t xml:space="preserve">, and the </w:t>
      </w:r>
      <w:r w:rsidRPr="0069204C">
        <w:rPr>
          <w:rFonts w:ascii="Times New Roman" w:hAnsi="Times New Roman" w:cs="Times New Roman"/>
          <w:i/>
          <w:iCs/>
          <w:color w:val="000000"/>
          <w:sz w:val="20"/>
          <w:szCs w:val="20"/>
        </w:rPr>
        <w:t>Executive Summary</w:t>
      </w:r>
      <w:r w:rsidRPr="0069204C">
        <w:rPr>
          <w:rFonts w:ascii="Times New Roman" w:hAnsi="Times New Roman" w:cs="Times New Roman"/>
          <w:color w:val="000000"/>
          <w:sz w:val="20"/>
          <w:szCs w:val="20"/>
        </w:rPr>
        <w:t>.</w:t>
      </w:r>
      <w:r w:rsidR="00CE7F6B">
        <w:rPr>
          <w:rFonts w:ascii="Times New Roman" w:hAnsi="Times New Roman" w:cs="Times New Roman"/>
          <w:color w:val="000000"/>
          <w:sz w:val="20"/>
          <w:szCs w:val="20"/>
        </w:rPr>
        <w:t xml:space="preserve"> </w:t>
      </w:r>
    </w:p>
    <w:p w:rsidR="00CE7F6B" w:rsidRPr="00932D5B" w:rsidP="00932D5B" w14:paraId="4702F0EA" w14:textId="77777777">
      <w:pPr>
        <w:keepNext/>
        <w:rPr>
          <w:rFonts w:ascii="Times New Roman" w:hAnsi="Times New Roman" w:cs="Times New Roman"/>
          <w:color w:val="000000"/>
          <w:sz w:val="20"/>
          <w:szCs w:val="20"/>
        </w:rPr>
      </w:pPr>
    </w:p>
  </w:footnote>
  <w:footnote w:id="7">
    <w:p w:rsidR="00932D5B" w:rsidRPr="0069204C" w14:paraId="56E12975" w14:textId="03841DB6">
      <w:pPr>
        <w:pStyle w:val="FootnoteText"/>
      </w:pPr>
      <w:r w:rsidRPr="00FC3E96">
        <w:rPr>
          <w:rStyle w:val="FootnoteReference"/>
          <w:rFonts w:asciiTheme="minorHAnsi" w:hAnsiTheme="minorHAnsi" w:cstheme="minorHAnsi"/>
        </w:rPr>
        <w:footnoteRef/>
      </w:r>
      <w:r w:rsidRPr="00FC3E96">
        <w:rPr>
          <w:rFonts w:asciiTheme="minorHAnsi" w:hAnsiTheme="minorHAnsi" w:cstheme="minorHAnsi"/>
        </w:rPr>
        <w:t xml:space="preserve"> </w:t>
      </w:r>
      <w:r w:rsidRPr="0069204C">
        <w:rPr>
          <w:i/>
        </w:rPr>
        <w:t>See</w:t>
      </w:r>
      <w:r w:rsidRPr="0069204C">
        <w:t xml:space="preserve">, </w:t>
      </w:r>
      <w:r w:rsidRPr="0069204C">
        <w:rPr>
          <w:color w:val="000000"/>
        </w:rPr>
        <w:t xml:space="preserve">March 2016 paper, “A Study to Develop the Next Generation Systems Architecture for Radio Spectrum Interference Resolution”, </w:t>
      </w:r>
      <w:r>
        <w:fldChar w:fldCharType="begin"/>
      </w:r>
      <w:r>
        <w:instrText xml:space="preserve"> HYPERLINK "https://transition.fcc.gov/oet/tac/tacdocs/reports/2016/A-Study-to-Develop-a-Next-Generation-System-Architecture-V1.0.pdf" </w:instrText>
      </w:r>
      <w:r>
        <w:fldChar w:fldCharType="separate"/>
      </w:r>
      <w:r w:rsidRPr="00281AB4" w:rsidR="005450F8">
        <w:rPr>
          <w:rStyle w:val="Hyperlink"/>
        </w:rPr>
        <w:t>https://transition.fcc.gov/oet/tac/tacdocs/reports/2016/A-Study-to-Develop-a-Next-Generation-System-Architecture-V1.0.pdf</w:t>
      </w:r>
      <w:r>
        <w:fldChar w:fldCharType="end"/>
      </w:r>
      <w:r w:rsidR="005450F8">
        <w:t xml:space="preserve"> </w:t>
      </w:r>
      <w:r w:rsidRPr="005B4993" w:rsidR="00736BFC">
        <w:rPr>
          <w:rStyle w:val="Hyperlink"/>
          <w:color w:val="auto"/>
          <w:u w:val="none"/>
        </w:rPr>
        <w:t>(</w:t>
      </w:r>
      <w:r w:rsidRPr="005B4993" w:rsidR="00736BFC">
        <w:rPr>
          <w:rStyle w:val="Hyperlink"/>
          <w:i/>
          <w:color w:val="auto"/>
          <w:u w:val="none"/>
        </w:rPr>
        <w:t>Next Generation Architecture for Interference Resolution</w:t>
      </w:r>
      <w:r w:rsidRPr="00736BFC" w:rsidR="00736BFC">
        <w:rPr>
          <w:rStyle w:val="Hyperlink"/>
          <w:u w:val="none"/>
        </w:rPr>
        <w:t>)</w:t>
      </w:r>
      <w:r w:rsidRPr="0069204C">
        <w:rPr>
          <w:rStyle w:val="Hyperlink"/>
          <w:u w:val="none"/>
        </w:rPr>
        <w:t xml:space="preserve">; </w:t>
      </w:r>
      <w:r w:rsidRPr="0069204C">
        <w:t xml:space="preserve">June 2014 paper, “Introduction to Interference Resolution, Enforcement and Radio Noise”, </w:t>
      </w:r>
      <w:r>
        <w:fldChar w:fldCharType="begin"/>
      </w:r>
      <w:r>
        <w:instrText xml:space="preserve"> HYPERLINK "https://transition.fcc.gov/bureaus/oet/tac/tacdocs/meeting61014/InterferenceResolution-Enforcement-Radio-Noise-White-Paper.pdf" </w:instrText>
      </w:r>
      <w:r>
        <w:fldChar w:fldCharType="separate"/>
      </w:r>
      <w:r w:rsidRPr="005450F8">
        <w:rPr>
          <w:rStyle w:val="Hyperlink"/>
        </w:rPr>
        <w:t>https://transition.fcc.gov/bureaus/oet/tac</w:t>
      </w:r>
      <w:r w:rsidRPr="005450F8" w:rsidR="006E269B">
        <w:rPr>
          <w:rStyle w:val="Hyperlink"/>
        </w:rPr>
        <w:t>/tacdocs/meeting61014/</w:t>
      </w:r>
      <w:r w:rsidRPr="005450F8">
        <w:rPr>
          <w:rStyle w:val="Hyperlink"/>
        </w:rPr>
        <w:t>InterferenceRes</w:t>
      </w:r>
      <w:r w:rsidRPr="005450F8" w:rsidR="006E269B">
        <w:rPr>
          <w:rStyle w:val="Hyperlink"/>
        </w:rPr>
        <w:t>olution-Enforcement-Radio-Noise-</w:t>
      </w:r>
      <w:r w:rsidRPr="005450F8">
        <w:rPr>
          <w:rStyle w:val="Hyperlink"/>
        </w:rPr>
        <w:t>White-Paper.pdf</w:t>
      </w:r>
      <w:r>
        <w:fldChar w:fldCharType="end"/>
      </w:r>
      <w:r w:rsidRPr="0069204C">
        <w:t xml:space="preserve">; see especially </w:t>
      </w:r>
      <w:r w:rsidRPr="0069204C">
        <w:rPr>
          <w:i/>
        </w:rPr>
        <w:t>Section V, Potential New Strategies or Approaches for Addressing Enforcement Challenge.</w:t>
      </w:r>
    </w:p>
  </w:footnote>
  <w:footnote w:id="8">
    <w:p w:rsidR="004116FD" w:rsidRPr="00725DC1" w14:paraId="34BFD18E" w14:textId="4769B7F4">
      <w:pPr>
        <w:pStyle w:val="FootnoteText"/>
        <w:rPr>
          <w:i/>
        </w:rPr>
      </w:pPr>
      <w:r>
        <w:rPr>
          <w:rStyle w:val="FootnoteReference"/>
        </w:rPr>
        <w:footnoteRef/>
      </w:r>
      <w:r>
        <w:t xml:space="preserve"> 47 CFR </w:t>
      </w:r>
      <w:r>
        <w:rPr>
          <w:rFonts w:ascii="Calibri" w:hAnsi="Calibri" w:cs="Calibri"/>
        </w:rPr>
        <w:t>§</w:t>
      </w:r>
      <w:r>
        <w:t xml:space="preserve">2.1 </w:t>
      </w:r>
      <w:r>
        <w:rPr>
          <w:i/>
        </w:rPr>
        <w:t xml:space="preserve">Harmful Interference </w:t>
      </w:r>
      <w:r>
        <w:t>– Interference which endangers the functioning of a radionavigation service or of other safety services or seriously degrades, obstructs, or repeatedly interrupts a radio communication service operating in accordance with the [ITU] Radio Regulations.</w:t>
      </w:r>
    </w:p>
  </w:footnote>
  <w:footnote w:id="9">
    <w:p w:rsidR="00FA5E31" w:rsidRPr="00026E5D" w:rsidP="00FA5E31" w14:paraId="050F4AA5" w14:textId="77777777">
      <w:pPr>
        <w:pStyle w:val="FootnoteText"/>
      </w:pPr>
      <w:r>
        <w:rPr>
          <w:rStyle w:val="FootnoteReference"/>
        </w:rPr>
        <w:footnoteRef/>
      </w:r>
      <w:r>
        <w:t xml:space="preserve"> </w:t>
      </w:r>
      <w:r>
        <w:rPr>
          <w:i/>
        </w:rPr>
        <w:t>See,</w:t>
      </w:r>
      <w:r>
        <w:t xml:space="preserve"> Principle #8.</w:t>
      </w:r>
    </w:p>
  </w:footnote>
  <w:footnote w:id="10">
    <w:p w:rsidR="00C0515C" w:rsidRPr="00C0515C" w14:paraId="17004F4A" w14:textId="77777777">
      <w:pPr>
        <w:pStyle w:val="FootnoteText"/>
      </w:pPr>
      <w:r>
        <w:rPr>
          <w:rStyle w:val="FootnoteReference"/>
        </w:rPr>
        <w:footnoteRef/>
      </w:r>
      <w:r>
        <w:t xml:space="preserve"> </w:t>
      </w:r>
      <w:r>
        <w:rPr>
          <w:i/>
        </w:rPr>
        <w:t>See, Basic Principles White Paper,</w:t>
      </w:r>
      <w:r>
        <w:t xml:space="preserve"> at 29-31.</w:t>
      </w:r>
    </w:p>
  </w:footnote>
  <w:footnote w:id="11">
    <w:p w:rsidR="00DA035C" w:rsidRPr="0069204C" w:rsidP="00DA035C" w14:paraId="01EE7EF0" w14:textId="77777777">
      <w:pPr>
        <w:pStyle w:val="FootnoteText"/>
      </w:pPr>
      <w:r w:rsidRPr="0069204C">
        <w:rPr>
          <w:rStyle w:val="FootnoteReference"/>
        </w:rPr>
        <w:footnoteRef/>
      </w:r>
      <w:r w:rsidRPr="0069204C">
        <w:t xml:space="preserve"> </w:t>
      </w:r>
      <w:r w:rsidRPr="00725DC1">
        <w:rPr>
          <w:i/>
        </w:rPr>
        <w:t>See</w:t>
      </w:r>
      <w:r w:rsidRPr="0069204C">
        <w:t>, 3GPP TR 36.942 v13.0.0, Radio Frequency (RF) system scenarios, Section 8, Rationales for co-existence requirements, Adjacent Channel Leakage Ratio (ACLR).</w:t>
      </w:r>
    </w:p>
  </w:footnote>
  <w:footnote w:id="12">
    <w:p w:rsidR="00DA035C" w:rsidRPr="0069204C" w:rsidP="00DA035C" w14:paraId="35886161" w14:textId="0E99DF5C">
      <w:pPr>
        <w:pStyle w:val="FootnoteText"/>
      </w:pPr>
      <w:r w:rsidRPr="0069204C">
        <w:rPr>
          <w:rStyle w:val="FootnoteReference"/>
        </w:rPr>
        <w:footnoteRef/>
      </w:r>
      <w:r w:rsidRPr="0069204C">
        <w:t xml:space="preserve"> </w:t>
      </w:r>
      <w:r w:rsidRPr="0069204C">
        <w:rPr>
          <w:i/>
        </w:rPr>
        <w:t>Id</w:t>
      </w:r>
      <w:r w:rsidR="00D72267">
        <w:t>.</w:t>
      </w:r>
      <w:r w:rsidRPr="0069204C">
        <w:t xml:space="preserve"> Adjacent Channel Selectivity (ACS).</w:t>
      </w:r>
    </w:p>
  </w:footnote>
  <w:footnote w:id="13">
    <w:p w:rsidR="00DA035C" w:rsidRPr="00577FAA" w:rsidP="00DA035C" w14:paraId="4C0C95D0" w14:textId="51E90067">
      <w:pPr>
        <w:pStyle w:val="FootnoteText"/>
      </w:pPr>
      <w:r w:rsidRPr="0069204C">
        <w:rPr>
          <w:rStyle w:val="FootnoteReference"/>
        </w:rPr>
        <w:footnoteRef/>
      </w:r>
      <w:r w:rsidRPr="0069204C">
        <w:t xml:space="preserve"> </w:t>
      </w:r>
      <w:r w:rsidRPr="0069204C">
        <w:rPr>
          <w:i/>
        </w:rPr>
        <w:t>Id</w:t>
      </w:r>
      <w:r w:rsidR="00D72267">
        <w:t>.</w:t>
      </w:r>
      <w:r w:rsidRPr="0069204C">
        <w:t xml:space="preserve"> Adjacent Channel Interference Ratio (ACIR)</w:t>
      </w:r>
      <w:r w:rsidR="00485F3F">
        <w:t>.</w:t>
      </w:r>
    </w:p>
  </w:footnote>
  <w:footnote w:id="14">
    <w:p w:rsidR="008A10C4" w:rsidRPr="008A10C4" w14:paraId="309CCDDB" w14:textId="152905E9">
      <w:pPr>
        <w:pStyle w:val="FootnoteText"/>
      </w:pPr>
      <w:r>
        <w:rPr>
          <w:rStyle w:val="FootnoteReference"/>
        </w:rPr>
        <w:footnoteRef/>
      </w:r>
      <w:r>
        <w:t xml:space="preserve"> </w:t>
      </w:r>
      <w:r w:rsidR="00D72267">
        <w:rPr>
          <w:i/>
        </w:rPr>
        <w:t>Id.</w:t>
      </w:r>
      <w:r>
        <w:rPr>
          <w:i/>
        </w:rPr>
        <w:t xml:space="preserve"> </w:t>
      </w:r>
      <w:r>
        <w:t>at 24-25</w:t>
      </w:r>
      <w:r w:rsidR="00D72267">
        <w:t>.</w:t>
      </w:r>
    </w:p>
  </w:footnote>
  <w:footnote w:id="15">
    <w:p w:rsidR="000C072C" w:rsidRPr="00C523D9" w:rsidP="000C072C" w14:paraId="0A920CA6" w14:textId="77777777">
      <w:pPr>
        <w:pStyle w:val="FootnoteText"/>
      </w:pPr>
      <w:r>
        <w:rPr>
          <w:rStyle w:val="FootnoteReference"/>
        </w:rPr>
        <w:footnoteRef/>
      </w:r>
      <w:r>
        <w:t xml:space="preserve"> </w:t>
      </w:r>
      <w:r>
        <w:rPr>
          <w:i/>
        </w:rPr>
        <w:t>See, A Quick Introduction to Risk-Informed Interference Assessment</w:t>
      </w:r>
      <w:r>
        <w:t>, April 1, 2015, at ii.</w:t>
      </w:r>
    </w:p>
  </w:footnote>
  <w:footnote w:id="16">
    <w:p w:rsidR="00691598" w:rsidRPr="00691598" w14:paraId="1FFBF7BA" w14:textId="434DAF29">
      <w:pPr>
        <w:pStyle w:val="FootnoteText"/>
      </w:pPr>
      <w:r>
        <w:rPr>
          <w:rStyle w:val="FootnoteReference"/>
        </w:rPr>
        <w:footnoteRef/>
      </w:r>
      <w:r>
        <w:t xml:space="preserve"> </w:t>
      </w:r>
      <w:r>
        <w:rPr>
          <w:i/>
        </w:rPr>
        <w:t>Id</w:t>
      </w:r>
      <w:r w:rsidR="00D72267">
        <w:t>.</w:t>
      </w:r>
      <w:r>
        <w:t xml:space="preserve"> at </w:t>
      </w:r>
      <w:r w:rsidR="001750CD">
        <w:t>11-</w:t>
      </w:r>
      <w:r>
        <w:t>12</w:t>
      </w:r>
      <w:r w:rsidR="00D72267">
        <w:t>.</w:t>
      </w:r>
    </w:p>
  </w:footnote>
  <w:footnote w:id="17">
    <w:p w:rsidR="003B42B7" w14:paraId="205B4F9F" w14:textId="0E951820">
      <w:pPr>
        <w:pStyle w:val="FootnoteText"/>
      </w:pPr>
      <w:r>
        <w:rPr>
          <w:rStyle w:val="FootnoteReference"/>
        </w:rPr>
        <w:footnoteRef/>
      </w:r>
      <w:r>
        <w:t xml:space="preserve"> </w:t>
      </w:r>
      <w:r>
        <w:rPr>
          <w:i/>
        </w:rPr>
        <w:t>Id</w:t>
      </w:r>
      <w:r w:rsidR="00D72267">
        <w:t>.</w:t>
      </w:r>
      <w:r>
        <w:t xml:space="preserve"> at 12</w:t>
      </w:r>
      <w:r w:rsidR="00D72267">
        <w:t>.</w:t>
      </w:r>
    </w:p>
  </w:footnote>
  <w:footnote w:id="18">
    <w:p w:rsidR="00DA09CA" w14:paraId="6A0A5150" w14:textId="6A4BB77A">
      <w:pPr>
        <w:pStyle w:val="FootnoteText"/>
      </w:pPr>
      <w:r>
        <w:rPr>
          <w:rStyle w:val="FootnoteReference"/>
        </w:rPr>
        <w:footnoteRef/>
      </w:r>
      <w:r>
        <w:t xml:space="preserve"> </w:t>
      </w:r>
      <w:r w:rsidRPr="0069204C">
        <w:rPr>
          <w:i/>
        </w:rPr>
        <w:t>See</w:t>
      </w:r>
      <w:r w:rsidRPr="0069204C">
        <w:t xml:space="preserve">, </w:t>
      </w:r>
      <w:r w:rsidRPr="005B4993" w:rsidR="005B4993">
        <w:rPr>
          <w:i/>
        </w:rPr>
        <w:t>Next Generation Architecture for Interference Resolution</w:t>
      </w:r>
      <w:r w:rsidR="00D72267">
        <w:rPr>
          <w:i/>
        </w:rPr>
        <w:t>.</w:t>
      </w:r>
    </w:p>
  </w:footnote>
  <w:footnote w:id="19">
    <w:p w:rsidR="00736BFC" w:rsidRPr="005B4993" w14:paraId="28DE6000" w14:textId="05034A72">
      <w:pPr>
        <w:pStyle w:val="FootnoteText"/>
      </w:pPr>
      <w:r>
        <w:rPr>
          <w:rStyle w:val="FootnoteReference"/>
        </w:rPr>
        <w:footnoteRef/>
      </w:r>
      <w:r>
        <w:t xml:space="preserve"> </w:t>
      </w:r>
      <w:r w:rsidR="005B4993">
        <w:rPr>
          <w:i/>
        </w:rPr>
        <w:t>Id</w:t>
      </w:r>
      <w:r w:rsidR="00D72267">
        <w:rPr>
          <w:i/>
        </w:rPr>
        <w:t>.</w:t>
      </w:r>
      <w:r w:rsidR="005B4993">
        <w:t xml:space="preserve"> at 6</w:t>
      </w:r>
      <w:r w:rsidR="00D722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F74" w14:paraId="09D0E7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F74" w14:paraId="469D5C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340568D1"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9F7853F" w14:textId="77777777">
                    <w:pPr>
                      <w:rPr>
                        <w:rFonts w:ascii="Arial" w:hAnsi="Arial"/>
                        <w:b/>
                      </w:rPr>
                    </w:pPr>
                    <w:r>
                      <w:rPr>
                        <w:rFonts w:ascii="Arial" w:hAnsi="Arial"/>
                        <w:b/>
                      </w:rPr>
                      <w:t>Federal Communications Commission</w:t>
                    </w:r>
                  </w:p>
                  <w:p w:rsidR="00D47505" w:rsidP="00D47505" w14:paraId="67BF83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39172AA9"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5294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4E92FB42"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Internet:</w:t>
                          </w:r>
                          <w:r w:rsidR="00DD1578">
                            <w:rPr>
                              <w:rFonts w:ascii="Arial" w:hAnsi="Arial"/>
                              <w:b/>
                              <w:sz w:val="16"/>
                            </w:rPr>
                            <w:t xml:space="preserve"> https://www.fcc.gov/</w:t>
                          </w:r>
                          <w:r>
                            <w:rPr>
                              <w:rFonts w:ascii="Arial" w:hAnsi="Arial"/>
                              <w:b/>
                              <w:sz w:val="16"/>
                            </w:rPr>
                            <w:t xml:space="preserve"> </w:t>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71BD3B9" w14:textId="77777777">
                    <w:pPr>
                      <w:spacing w:before="40"/>
                      <w:jc w:val="right"/>
                      <w:rPr>
                        <w:rFonts w:ascii="Arial" w:hAnsi="Arial"/>
                        <w:b/>
                        <w:sz w:val="16"/>
                      </w:rPr>
                    </w:pPr>
                    <w:r>
                      <w:rPr>
                        <w:rFonts w:ascii="Arial" w:hAnsi="Arial"/>
                        <w:b/>
                        <w:sz w:val="16"/>
                      </w:rPr>
                      <w:t>News Media Information 202 / 418-0500</w:t>
                    </w:r>
                  </w:p>
                  <w:p w:rsidR="00D47505" w:rsidP="00D47505" w14:paraId="31965685" w14:textId="77777777">
                    <w:pPr>
                      <w:jc w:val="right"/>
                      <w:rPr>
                        <w:rFonts w:ascii="Arial" w:hAnsi="Arial"/>
                        <w:b/>
                        <w:sz w:val="16"/>
                      </w:rPr>
                    </w:pPr>
                    <w:r>
                      <w:rPr>
                        <w:rFonts w:ascii="Arial" w:hAnsi="Arial"/>
                        <w:b/>
                        <w:sz w:val="16"/>
                      </w:rPr>
                      <w:t>Internet:</w:t>
                    </w:r>
                    <w:r w:rsidR="00DD1578">
                      <w:rPr>
                        <w:rFonts w:ascii="Arial" w:hAnsi="Arial"/>
                        <w:b/>
                        <w:sz w:val="16"/>
                      </w:rPr>
                      <w:t xml:space="preserve"> https://www.fcc.gov/</w:t>
                    </w:r>
                    <w:r>
                      <w:rPr>
                        <w:rFonts w:ascii="Arial" w:hAnsi="Arial"/>
                        <w:b/>
                        <w:sz w:val="16"/>
                      </w:rPr>
                      <w:t xml:space="preserve"> </w:t>
                    </w:r>
                  </w:p>
                  <w:p w:rsidR="00D47505" w:rsidP="00B338A9" w14:paraId="6F81FEE3"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62CA2"/>
    <w:multiLevelType w:val="hybridMultilevel"/>
    <w:tmpl w:val="7C5070E4"/>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7B29CF"/>
    <w:multiLevelType w:val="hybridMultilevel"/>
    <w:tmpl w:val="22DEEB84"/>
    <w:lvl w:ilvl="0">
      <w:start w:val="0"/>
      <w:numFmt w:val="bullet"/>
      <w:lvlText w:val=""/>
      <w:lvlJc w:val="left"/>
      <w:pPr>
        <w:ind w:left="1080" w:hanging="360"/>
      </w:pPr>
      <w:rPr>
        <w:rFonts w:ascii="Wingdings" w:hAnsi="Wingdings"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A20528B"/>
    <w:multiLevelType w:val="hybridMultilevel"/>
    <w:tmpl w:val="D794DD42"/>
    <w:lvl w:ilvl="0">
      <w:start w:val="0"/>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762F16"/>
    <w:multiLevelType w:val="hybridMultilevel"/>
    <w:tmpl w:val="048826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3D6302"/>
    <w:multiLevelType w:val="hybridMultilevel"/>
    <w:tmpl w:val="10003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5"/>
  </w:num>
  <w:num w:numId="4">
    <w:abstractNumId w:val="7"/>
  </w:num>
  <w:num w:numId="5">
    <w:abstractNumId w:val="4"/>
  </w:num>
  <w:num w:numId="6">
    <w:abstractNumId w:val="2"/>
  </w:num>
  <w:num w:numId="7">
    <w:abstractNumId w:val="8"/>
  </w:num>
  <w:num w:numId="8">
    <w:abstractNumId w:val="1"/>
  </w:num>
  <w:num w:numId="9">
    <w:abstractNumId w:val="14"/>
  </w:num>
  <w:num w:numId="10">
    <w:abstractNumId w:val="6"/>
  </w:num>
  <w:num w:numId="11">
    <w:abstractNumId w:val="12"/>
  </w:num>
  <w:num w:numId="12">
    <w:abstractNumId w:val="13"/>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D8"/>
    <w:rsid w:val="00002B37"/>
    <w:rsid w:val="00020096"/>
    <w:rsid w:val="00025D1C"/>
    <w:rsid w:val="00026E5D"/>
    <w:rsid w:val="00034EED"/>
    <w:rsid w:val="00036039"/>
    <w:rsid w:val="00037F90"/>
    <w:rsid w:val="00056771"/>
    <w:rsid w:val="00080BD9"/>
    <w:rsid w:val="00086A95"/>
    <w:rsid w:val="000875BF"/>
    <w:rsid w:val="00095EDD"/>
    <w:rsid w:val="000961BE"/>
    <w:rsid w:val="00096D8C"/>
    <w:rsid w:val="00096DC2"/>
    <w:rsid w:val="000A0435"/>
    <w:rsid w:val="000A2AB4"/>
    <w:rsid w:val="000A7BAA"/>
    <w:rsid w:val="000B1F68"/>
    <w:rsid w:val="000C072C"/>
    <w:rsid w:val="000C0B65"/>
    <w:rsid w:val="000C2802"/>
    <w:rsid w:val="000C7A31"/>
    <w:rsid w:val="000D51AC"/>
    <w:rsid w:val="000E05FE"/>
    <w:rsid w:val="000E3D42"/>
    <w:rsid w:val="00122BD5"/>
    <w:rsid w:val="00124076"/>
    <w:rsid w:val="00126046"/>
    <w:rsid w:val="00133F79"/>
    <w:rsid w:val="00135025"/>
    <w:rsid w:val="0014003E"/>
    <w:rsid w:val="001445E9"/>
    <w:rsid w:val="001663CD"/>
    <w:rsid w:val="00170068"/>
    <w:rsid w:val="001718DE"/>
    <w:rsid w:val="001750CD"/>
    <w:rsid w:val="001849FB"/>
    <w:rsid w:val="00187A18"/>
    <w:rsid w:val="00194A66"/>
    <w:rsid w:val="001A16FD"/>
    <w:rsid w:val="001A53C0"/>
    <w:rsid w:val="001D6BCF"/>
    <w:rsid w:val="001E01CA"/>
    <w:rsid w:val="001E2BBA"/>
    <w:rsid w:val="001F15F7"/>
    <w:rsid w:val="00206ACD"/>
    <w:rsid w:val="00211E72"/>
    <w:rsid w:val="002136DB"/>
    <w:rsid w:val="00213F72"/>
    <w:rsid w:val="00214664"/>
    <w:rsid w:val="00222E94"/>
    <w:rsid w:val="0023442C"/>
    <w:rsid w:val="00237DEF"/>
    <w:rsid w:val="00242C09"/>
    <w:rsid w:val="002713B7"/>
    <w:rsid w:val="00273582"/>
    <w:rsid w:val="00275CF5"/>
    <w:rsid w:val="00276290"/>
    <w:rsid w:val="00281AB4"/>
    <w:rsid w:val="0028301F"/>
    <w:rsid w:val="00285017"/>
    <w:rsid w:val="0029241B"/>
    <w:rsid w:val="002961B5"/>
    <w:rsid w:val="002A2D2E"/>
    <w:rsid w:val="002A387F"/>
    <w:rsid w:val="002B52DA"/>
    <w:rsid w:val="002C00E8"/>
    <w:rsid w:val="002D65EA"/>
    <w:rsid w:val="002E2458"/>
    <w:rsid w:val="00301F85"/>
    <w:rsid w:val="00336C9A"/>
    <w:rsid w:val="00343749"/>
    <w:rsid w:val="00346ED9"/>
    <w:rsid w:val="00356242"/>
    <w:rsid w:val="00362A9E"/>
    <w:rsid w:val="0036323F"/>
    <w:rsid w:val="003660ED"/>
    <w:rsid w:val="00380369"/>
    <w:rsid w:val="0038167C"/>
    <w:rsid w:val="00383290"/>
    <w:rsid w:val="003918EC"/>
    <w:rsid w:val="003B0550"/>
    <w:rsid w:val="003B42B7"/>
    <w:rsid w:val="003B694F"/>
    <w:rsid w:val="003C4352"/>
    <w:rsid w:val="003C635D"/>
    <w:rsid w:val="003D040A"/>
    <w:rsid w:val="003D2CC5"/>
    <w:rsid w:val="003D4408"/>
    <w:rsid w:val="003E0E4E"/>
    <w:rsid w:val="003E7829"/>
    <w:rsid w:val="003F171C"/>
    <w:rsid w:val="003F22D9"/>
    <w:rsid w:val="00403858"/>
    <w:rsid w:val="004116FD"/>
    <w:rsid w:val="00412FC5"/>
    <w:rsid w:val="00414D41"/>
    <w:rsid w:val="00415096"/>
    <w:rsid w:val="00417FBC"/>
    <w:rsid w:val="00422276"/>
    <w:rsid w:val="00422C11"/>
    <w:rsid w:val="004242F1"/>
    <w:rsid w:val="00424364"/>
    <w:rsid w:val="00441C15"/>
    <w:rsid w:val="00445A00"/>
    <w:rsid w:val="0044787C"/>
    <w:rsid w:val="00451B0F"/>
    <w:rsid w:val="00456AB6"/>
    <w:rsid w:val="00457BCC"/>
    <w:rsid w:val="00465BC5"/>
    <w:rsid w:val="004665C4"/>
    <w:rsid w:val="00470F5C"/>
    <w:rsid w:val="00485F3F"/>
    <w:rsid w:val="0049448C"/>
    <w:rsid w:val="004C2EE3"/>
    <w:rsid w:val="004D0FCF"/>
    <w:rsid w:val="004E0BB1"/>
    <w:rsid w:val="004E3B40"/>
    <w:rsid w:val="004E4A22"/>
    <w:rsid w:val="004F211E"/>
    <w:rsid w:val="00511968"/>
    <w:rsid w:val="005229C8"/>
    <w:rsid w:val="005253E5"/>
    <w:rsid w:val="00533387"/>
    <w:rsid w:val="0054343C"/>
    <w:rsid w:val="005450F8"/>
    <w:rsid w:val="00551FF1"/>
    <w:rsid w:val="0055614C"/>
    <w:rsid w:val="005611D4"/>
    <w:rsid w:val="00571C5B"/>
    <w:rsid w:val="00577452"/>
    <w:rsid w:val="00577E47"/>
    <w:rsid w:val="00577FAA"/>
    <w:rsid w:val="00584491"/>
    <w:rsid w:val="00584515"/>
    <w:rsid w:val="00586194"/>
    <w:rsid w:val="005B33B1"/>
    <w:rsid w:val="005B4993"/>
    <w:rsid w:val="005B7B3B"/>
    <w:rsid w:val="005C4540"/>
    <w:rsid w:val="005E14C2"/>
    <w:rsid w:val="005E5DF1"/>
    <w:rsid w:val="005F5DAA"/>
    <w:rsid w:val="00607BA5"/>
    <w:rsid w:val="0061180A"/>
    <w:rsid w:val="00622603"/>
    <w:rsid w:val="00626EB6"/>
    <w:rsid w:val="00636541"/>
    <w:rsid w:val="00650AF2"/>
    <w:rsid w:val="006521BE"/>
    <w:rsid w:val="00653468"/>
    <w:rsid w:val="00655D03"/>
    <w:rsid w:val="006770AD"/>
    <w:rsid w:val="00682EEB"/>
    <w:rsid w:val="00683388"/>
    <w:rsid w:val="00683F84"/>
    <w:rsid w:val="00691598"/>
    <w:rsid w:val="0069204C"/>
    <w:rsid w:val="00696FB5"/>
    <w:rsid w:val="006A1F49"/>
    <w:rsid w:val="006A42BC"/>
    <w:rsid w:val="006A6A81"/>
    <w:rsid w:val="006B1456"/>
    <w:rsid w:val="006C10B4"/>
    <w:rsid w:val="006C414E"/>
    <w:rsid w:val="006D3D4D"/>
    <w:rsid w:val="006E269B"/>
    <w:rsid w:val="006F7393"/>
    <w:rsid w:val="0070224F"/>
    <w:rsid w:val="00702A96"/>
    <w:rsid w:val="007076BD"/>
    <w:rsid w:val="007115F7"/>
    <w:rsid w:val="00725DC1"/>
    <w:rsid w:val="007354C3"/>
    <w:rsid w:val="00736BFC"/>
    <w:rsid w:val="00775E89"/>
    <w:rsid w:val="0078520E"/>
    <w:rsid w:val="00785689"/>
    <w:rsid w:val="00786657"/>
    <w:rsid w:val="0079754B"/>
    <w:rsid w:val="007A1E6D"/>
    <w:rsid w:val="007A44E2"/>
    <w:rsid w:val="007A7FB9"/>
    <w:rsid w:val="007B0EB2"/>
    <w:rsid w:val="007B637F"/>
    <w:rsid w:val="007B658B"/>
    <w:rsid w:val="007B6816"/>
    <w:rsid w:val="007C3246"/>
    <w:rsid w:val="007C6795"/>
    <w:rsid w:val="007C7D58"/>
    <w:rsid w:val="007D4621"/>
    <w:rsid w:val="007E6C0C"/>
    <w:rsid w:val="007F413A"/>
    <w:rsid w:val="00801147"/>
    <w:rsid w:val="00806B99"/>
    <w:rsid w:val="00807298"/>
    <w:rsid w:val="00810B6F"/>
    <w:rsid w:val="008115AC"/>
    <w:rsid w:val="00822CE0"/>
    <w:rsid w:val="00841AB1"/>
    <w:rsid w:val="00850981"/>
    <w:rsid w:val="00860DAC"/>
    <w:rsid w:val="00862141"/>
    <w:rsid w:val="008760CB"/>
    <w:rsid w:val="00880249"/>
    <w:rsid w:val="00883A34"/>
    <w:rsid w:val="0088768A"/>
    <w:rsid w:val="008A10C4"/>
    <w:rsid w:val="008A6227"/>
    <w:rsid w:val="008A6869"/>
    <w:rsid w:val="008C0DD6"/>
    <w:rsid w:val="008C16E9"/>
    <w:rsid w:val="008C68F1"/>
    <w:rsid w:val="008E00FC"/>
    <w:rsid w:val="008E5BD7"/>
    <w:rsid w:val="008F54CB"/>
    <w:rsid w:val="00905250"/>
    <w:rsid w:val="00911877"/>
    <w:rsid w:val="00912914"/>
    <w:rsid w:val="00921803"/>
    <w:rsid w:val="00921B44"/>
    <w:rsid w:val="00922E08"/>
    <w:rsid w:val="00926503"/>
    <w:rsid w:val="00932D5B"/>
    <w:rsid w:val="00941532"/>
    <w:rsid w:val="00947F10"/>
    <w:rsid w:val="00964183"/>
    <w:rsid w:val="009647B6"/>
    <w:rsid w:val="009726D8"/>
    <w:rsid w:val="009971F7"/>
    <w:rsid w:val="0099785B"/>
    <w:rsid w:val="009B2FF9"/>
    <w:rsid w:val="009B629F"/>
    <w:rsid w:val="009C5F74"/>
    <w:rsid w:val="009D3324"/>
    <w:rsid w:val="009D479C"/>
    <w:rsid w:val="009F2819"/>
    <w:rsid w:val="009F6142"/>
    <w:rsid w:val="009F76DB"/>
    <w:rsid w:val="00A02290"/>
    <w:rsid w:val="00A03AF0"/>
    <w:rsid w:val="00A10B4E"/>
    <w:rsid w:val="00A163BD"/>
    <w:rsid w:val="00A32C3B"/>
    <w:rsid w:val="00A374B4"/>
    <w:rsid w:val="00A45F4F"/>
    <w:rsid w:val="00A600A9"/>
    <w:rsid w:val="00A86849"/>
    <w:rsid w:val="00A9569E"/>
    <w:rsid w:val="00AA55B7"/>
    <w:rsid w:val="00AA5B9E"/>
    <w:rsid w:val="00AB2407"/>
    <w:rsid w:val="00AB53DF"/>
    <w:rsid w:val="00AB6C11"/>
    <w:rsid w:val="00AB7BE1"/>
    <w:rsid w:val="00AC424B"/>
    <w:rsid w:val="00AC4271"/>
    <w:rsid w:val="00AD512C"/>
    <w:rsid w:val="00AD6017"/>
    <w:rsid w:val="00AE1859"/>
    <w:rsid w:val="00AE4670"/>
    <w:rsid w:val="00AF46DC"/>
    <w:rsid w:val="00AF4DA4"/>
    <w:rsid w:val="00B056B3"/>
    <w:rsid w:val="00B07E5C"/>
    <w:rsid w:val="00B20363"/>
    <w:rsid w:val="00B205F1"/>
    <w:rsid w:val="00B234D6"/>
    <w:rsid w:val="00B338A9"/>
    <w:rsid w:val="00B3765F"/>
    <w:rsid w:val="00B52E30"/>
    <w:rsid w:val="00B679AB"/>
    <w:rsid w:val="00B732EC"/>
    <w:rsid w:val="00B76DB8"/>
    <w:rsid w:val="00B811F7"/>
    <w:rsid w:val="00B96F90"/>
    <w:rsid w:val="00BA0F07"/>
    <w:rsid w:val="00BA5DC6"/>
    <w:rsid w:val="00BA6196"/>
    <w:rsid w:val="00BC6D8C"/>
    <w:rsid w:val="00BD1AA4"/>
    <w:rsid w:val="00BE6657"/>
    <w:rsid w:val="00C02393"/>
    <w:rsid w:val="00C0515C"/>
    <w:rsid w:val="00C127A7"/>
    <w:rsid w:val="00C1683E"/>
    <w:rsid w:val="00C32476"/>
    <w:rsid w:val="00C33BD5"/>
    <w:rsid w:val="00C34006"/>
    <w:rsid w:val="00C4131C"/>
    <w:rsid w:val="00C426B1"/>
    <w:rsid w:val="00C47C1C"/>
    <w:rsid w:val="00C523D9"/>
    <w:rsid w:val="00C52CB1"/>
    <w:rsid w:val="00C6516B"/>
    <w:rsid w:val="00C66160"/>
    <w:rsid w:val="00C721AC"/>
    <w:rsid w:val="00C75087"/>
    <w:rsid w:val="00C75169"/>
    <w:rsid w:val="00C82DC2"/>
    <w:rsid w:val="00C83C8D"/>
    <w:rsid w:val="00C90D6A"/>
    <w:rsid w:val="00C923E0"/>
    <w:rsid w:val="00CA247E"/>
    <w:rsid w:val="00CB104F"/>
    <w:rsid w:val="00CB5B1B"/>
    <w:rsid w:val="00CC102D"/>
    <w:rsid w:val="00CC72B6"/>
    <w:rsid w:val="00CC776F"/>
    <w:rsid w:val="00CD3673"/>
    <w:rsid w:val="00CE4C2A"/>
    <w:rsid w:val="00CE7F6B"/>
    <w:rsid w:val="00CF5F15"/>
    <w:rsid w:val="00D0218D"/>
    <w:rsid w:val="00D06657"/>
    <w:rsid w:val="00D06CD0"/>
    <w:rsid w:val="00D11260"/>
    <w:rsid w:val="00D21E21"/>
    <w:rsid w:val="00D253F9"/>
    <w:rsid w:val="00D25FB5"/>
    <w:rsid w:val="00D306D1"/>
    <w:rsid w:val="00D44223"/>
    <w:rsid w:val="00D4515F"/>
    <w:rsid w:val="00D47505"/>
    <w:rsid w:val="00D72267"/>
    <w:rsid w:val="00D7242A"/>
    <w:rsid w:val="00D742F8"/>
    <w:rsid w:val="00D80AF5"/>
    <w:rsid w:val="00DA035C"/>
    <w:rsid w:val="00DA09CA"/>
    <w:rsid w:val="00DA2529"/>
    <w:rsid w:val="00DA30E4"/>
    <w:rsid w:val="00DB01BE"/>
    <w:rsid w:val="00DB130A"/>
    <w:rsid w:val="00DB2EBB"/>
    <w:rsid w:val="00DB4785"/>
    <w:rsid w:val="00DB55B4"/>
    <w:rsid w:val="00DB5E95"/>
    <w:rsid w:val="00DC0EE8"/>
    <w:rsid w:val="00DC10A1"/>
    <w:rsid w:val="00DC655F"/>
    <w:rsid w:val="00DC7234"/>
    <w:rsid w:val="00DD0B59"/>
    <w:rsid w:val="00DD1578"/>
    <w:rsid w:val="00DD7EBD"/>
    <w:rsid w:val="00DE4C8D"/>
    <w:rsid w:val="00DF0810"/>
    <w:rsid w:val="00DF62B6"/>
    <w:rsid w:val="00E01A6F"/>
    <w:rsid w:val="00E07225"/>
    <w:rsid w:val="00E21506"/>
    <w:rsid w:val="00E21BF8"/>
    <w:rsid w:val="00E2791F"/>
    <w:rsid w:val="00E27AE0"/>
    <w:rsid w:val="00E4168E"/>
    <w:rsid w:val="00E5409F"/>
    <w:rsid w:val="00E56055"/>
    <w:rsid w:val="00E77C2D"/>
    <w:rsid w:val="00E82C44"/>
    <w:rsid w:val="00E86C90"/>
    <w:rsid w:val="00E9138C"/>
    <w:rsid w:val="00E96F56"/>
    <w:rsid w:val="00E972EB"/>
    <w:rsid w:val="00E9741B"/>
    <w:rsid w:val="00EB4ACC"/>
    <w:rsid w:val="00EC14EF"/>
    <w:rsid w:val="00EE6488"/>
    <w:rsid w:val="00EF7587"/>
    <w:rsid w:val="00F021FA"/>
    <w:rsid w:val="00F068D3"/>
    <w:rsid w:val="00F154DB"/>
    <w:rsid w:val="00F218FA"/>
    <w:rsid w:val="00F235A7"/>
    <w:rsid w:val="00F258B2"/>
    <w:rsid w:val="00F501E3"/>
    <w:rsid w:val="00F53044"/>
    <w:rsid w:val="00F62C4D"/>
    <w:rsid w:val="00F62E97"/>
    <w:rsid w:val="00F64209"/>
    <w:rsid w:val="00F67D2F"/>
    <w:rsid w:val="00F722D0"/>
    <w:rsid w:val="00F76BD8"/>
    <w:rsid w:val="00F84588"/>
    <w:rsid w:val="00F8591E"/>
    <w:rsid w:val="00F913AE"/>
    <w:rsid w:val="00F93BF5"/>
    <w:rsid w:val="00F96D4E"/>
    <w:rsid w:val="00FA164D"/>
    <w:rsid w:val="00FA5E31"/>
    <w:rsid w:val="00FA72BA"/>
    <w:rsid w:val="00FB34AA"/>
    <w:rsid w:val="00FB481C"/>
    <w:rsid w:val="00FB649A"/>
    <w:rsid w:val="00FB6763"/>
    <w:rsid w:val="00FC2894"/>
    <w:rsid w:val="00FC3E96"/>
    <w:rsid w:val="00FC6AF8"/>
    <w:rsid w:val="00FC6AFC"/>
    <w:rsid w:val="00FD478F"/>
    <w:rsid w:val="00FE2C64"/>
    <w:rsid w:val="00FF15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29"/>
    <w:rPr>
      <w:rFonts w:asciiTheme="minorHAnsi" w:eastAsiaTheme="minorEastAsia" w:hAnsiTheme="minorHAnsi" w:cstheme="minorBidi"/>
      <w:sz w:val="22"/>
      <w:szCs w:val="22"/>
    </w:rPr>
  </w:style>
  <w:style w:type="paragraph" w:styleId="Heading1">
    <w:name w:val="heading 1"/>
    <w:aliases w:val="H1,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Heading 2 Char Char1,Heading 2 Char Char1 Char Char,Heading 2 Char Char2,Heading 2 Char Char3 Char,Heading 2 Char1 Char,Heading 2 Char1 Char Char,Heading 2 Char1 Char Char Char,UNDERRUBRIK 1-2,UNDERRUBRIK 1-2 Char,h2,h2 Char"/>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num" w:pos="360"/>
        <w:tab w:val="clear" w:pos="1080"/>
        <w:tab w:val="num" w:pos="1440"/>
      </w:tabs>
      <w:spacing w:after="120"/>
      <w:ind w:firstLine="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AB6C11"/>
    <w:pPr>
      <w:widowControl w:val="0"/>
      <w:ind w:left="720"/>
      <w:contextualSpacing/>
    </w:pPr>
    <w:rPr>
      <w:rFonts w:ascii="Times New Roman" w:eastAsia="Times New Roman" w:hAnsi="Times New Roman" w:cs="Times New Roman"/>
      <w:snapToGrid w:val="0"/>
      <w:kern w:val="28"/>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basedOn w:val="DefaultParagraphFont"/>
    <w:link w:val="FootnoteText"/>
    <w:rsid w:val="00AB6C11"/>
  </w:style>
  <w:style w:type="character" w:customStyle="1" w:styleId="ParaNumChar">
    <w:name w:val="ParaNum Char"/>
    <w:link w:val="ParaNum"/>
    <w:locked/>
    <w:rsid w:val="00BE6657"/>
    <w:rPr>
      <w:snapToGrid w:val="0"/>
      <w:kern w:val="28"/>
      <w:sz w:val="22"/>
    </w:rPr>
  </w:style>
  <w:style w:type="character" w:styleId="CommentReference">
    <w:name w:val="annotation reference"/>
    <w:basedOn w:val="DefaultParagraphFont"/>
    <w:semiHidden/>
    <w:unhideWhenUsed/>
    <w:rsid w:val="00CF5F15"/>
    <w:rPr>
      <w:sz w:val="16"/>
      <w:szCs w:val="16"/>
    </w:rPr>
  </w:style>
  <w:style w:type="paragraph" w:styleId="CommentText">
    <w:name w:val="annotation text"/>
    <w:basedOn w:val="Normal"/>
    <w:link w:val="CommentTextChar"/>
    <w:semiHidden/>
    <w:unhideWhenUsed/>
    <w:rsid w:val="00CF5F15"/>
    <w:rPr>
      <w:sz w:val="20"/>
      <w:szCs w:val="20"/>
    </w:rPr>
  </w:style>
  <w:style w:type="character" w:customStyle="1" w:styleId="CommentTextChar">
    <w:name w:val="Comment Text Char"/>
    <w:basedOn w:val="DefaultParagraphFont"/>
    <w:link w:val="CommentText"/>
    <w:semiHidden/>
    <w:rsid w:val="00CF5F15"/>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CF5F15"/>
    <w:rPr>
      <w:b/>
      <w:bCs/>
    </w:rPr>
  </w:style>
  <w:style w:type="character" w:customStyle="1" w:styleId="CommentSubjectChar">
    <w:name w:val="Comment Subject Char"/>
    <w:basedOn w:val="CommentTextChar"/>
    <w:link w:val="CommentSubject"/>
    <w:semiHidden/>
    <w:rsid w:val="00CF5F15"/>
    <w:rPr>
      <w:rFonts w:asciiTheme="minorHAnsi" w:eastAsiaTheme="minorEastAsia" w:hAnsiTheme="minorHAnsi" w:cstheme="minorBidi"/>
      <w:b/>
      <w:bCs/>
    </w:rPr>
  </w:style>
  <w:style w:type="paragraph" w:styleId="Revision">
    <w:name w:val="Revision"/>
    <w:hidden/>
    <w:uiPriority w:val="99"/>
    <w:semiHidden/>
    <w:rsid w:val="00D21E21"/>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6E2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2017-12-14T19:50:59Z</dcterms:created>
  <dcterms:modified xsi:type="dcterms:W3CDTF">2017-12-14T19:50:59Z</dcterms:modified>
</cp:coreProperties>
</file>