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618B4" w14:textId="23F05652" w:rsidR="0022022A" w:rsidRDefault="0022022A">
      <w:pPr>
        <w:jc w:val="center"/>
        <w:rPr>
          <w:rFonts w:ascii="Times New Roman Bold" w:hAnsi="Times New Roman Bold"/>
          <w:b/>
          <w:kern w:val="0"/>
          <w:szCs w:val="22"/>
        </w:rPr>
      </w:pPr>
      <w:bookmarkStart w:id="0" w:name="_GoBack"/>
      <w:bookmarkEnd w:id="0"/>
    </w:p>
    <w:p w14:paraId="562C55F0" w14:textId="77777777" w:rsidR="008A04A8" w:rsidRDefault="008A04A8">
      <w:pPr>
        <w:jc w:val="center"/>
        <w:rPr>
          <w:rFonts w:ascii="Times New Roman Bold" w:hAnsi="Times New Roman Bold"/>
          <w:b/>
          <w:kern w:val="0"/>
          <w:szCs w:val="22"/>
        </w:rPr>
      </w:pPr>
    </w:p>
    <w:p w14:paraId="653C0B9C" w14:textId="2AFEE439" w:rsidR="004C2EE3" w:rsidRDefault="004C2EE3">
      <w:pPr>
        <w:jc w:val="center"/>
        <w:rPr>
          <w:b/>
        </w:rPr>
      </w:pPr>
      <w:r w:rsidRPr="0070224F">
        <w:rPr>
          <w:rFonts w:ascii="Times New Roman Bold" w:hAnsi="Times New Roman Bold"/>
          <w:b/>
          <w:kern w:val="0"/>
          <w:szCs w:val="22"/>
        </w:rPr>
        <w:t>Before</w:t>
      </w:r>
      <w:r>
        <w:rPr>
          <w:b/>
        </w:rPr>
        <w:t xml:space="preserve"> the</w:t>
      </w:r>
    </w:p>
    <w:p w14:paraId="4B963FA8" w14:textId="77777777" w:rsidR="00921803" w:rsidRDefault="00921803" w:rsidP="00921803">
      <w:pPr>
        <w:pStyle w:val="StyleBoldCentered"/>
      </w:pPr>
      <w:r>
        <w:t>F</w:t>
      </w:r>
      <w:r>
        <w:rPr>
          <w:caps w:val="0"/>
        </w:rPr>
        <w:t>ederal Communications Commission</w:t>
      </w:r>
    </w:p>
    <w:p w14:paraId="5E14DDA8" w14:textId="77777777" w:rsidR="004C2EE3" w:rsidRDefault="00810B6F" w:rsidP="00096D8C">
      <w:pPr>
        <w:pStyle w:val="StyleBoldCentered"/>
      </w:pPr>
      <w:r>
        <w:rPr>
          <w:caps w:val="0"/>
        </w:rPr>
        <w:t>Washington, D.C. 20554</w:t>
      </w:r>
    </w:p>
    <w:p w14:paraId="618856C3" w14:textId="77777777" w:rsidR="004C2EE3" w:rsidRDefault="004C2EE3" w:rsidP="0070224F"/>
    <w:p w14:paraId="467563C9" w14:textId="259E1E9A" w:rsidR="004C2EE3" w:rsidRDefault="004C2EE3" w:rsidP="0070224F"/>
    <w:p w14:paraId="3E08BAAF" w14:textId="77777777" w:rsidR="00F67878" w:rsidRDefault="00F67878" w:rsidP="0070224F"/>
    <w:tbl>
      <w:tblPr>
        <w:tblW w:w="0" w:type="auto"/>
        <w:tblLayout w:type="fixed"/>
        <w:tblLook w:val="0000" w:firstRow="0" w:lastRow="0" w:firstColumn="0" w:lastColumn="0" w:noHBand="0" w:noVBand="0"/>
      </w:tblPr>
      <w:tblGrid>
        <w:gridCol w:w="4698"/>
        <w:gridCol w:w="630"/>
        <w:gridCol w:w="4248"/>
      </w:tblGrid>
      <w:tr w:rsidR="004C2EE3" w14:paraId="3515D4FF" w14:textId="77777777">
        <w:tc>
          <w:tcPr>
            <w:tcW w:w="4698" w:type="dxa"/>
          </w:tcPr>
          <w:p w14:paraId="2081F3E8" w14:textId="77777777" w:rsidR="004C2EE3" w:rsidRDefault="004C2EE3">
            <w:pPr>
              <w:tabs>
                <w:tab w:val="center" w:pos="4680"/>
              </w:tabs>
              <w:suppressAutoHyphens/>
              <w:rPr>
                <w:spacing w:val="-2"/>
              </w:rPr>
            </w:pPr>
            <w:r>
              <w:rPr>
                <w:spacing w:val="-2"/>
              </w:rPr>
              <w:t>In the Matter of</w:t>
            </w:r>
          </w:p>
          <w:p w14:paraId="3476D59C" w14:textId="77777777" w:rsidR="004C2EE3" w:rsidRDefault="004C2EE3">
            <w:pPr>
              <w:tabs>
                <w:tab w:val="center" w:pos="4680"/>
              </w:tabs>
              <w:suppressAutoHyphens/>
              <w:rPr>
                <w:spacing w:val="-2"/>
              </w:rPr>
            </w:pPr>
          </w:p>
          <w:p w14:paraId="4DEDA2B4" w14:textId="77777777" w:rsidR="004C2EE3" w:rsidRDefault="00747478" w:rsidP="007115F7">
            <w:pPr>
              <w:tabs>
                <w:tab w:val="center" w:pos="4680"/>
              </w:tabs>
              <w:suppressAutoHyphens/>
              <w:rPr>
                <w:spacing w:val="-2"/>
              </w:rPr>
            </w:pPr>
            <w:r>
              <w:rPr>
                <w:spacing w:val="-2"/>
              </w:rPr>
              <w:t>Connect America Fund</w:t>
            </w:r>
          </w:p>
          <w:p w14:paraId="3087B5D9" w14:textId="77777777" w:rsidR="00747478" w:rsidRDefault="00747478" w:rsidP="007115F7">
            <w:pPr>
              <w:tabs>
                <w:tab w:val="center" w:pos="4680"/>
              </w:tabs>
              <w:suppressAutoHyphens/>
              <w:rPr>
                <w:spacing w:val="-2"/>
              </w:rPr>
            </w:pPr>
          </w:p>
          <w:p w14:paraId="6158133B" w14:textId="77777777" w:rsidR="00747478" w:rsidRPr="007115F7" w:rsidRDefault="00747478" w:rsidP="007115F7">
            <w:pPr>
              <w:tabs>
                <w:tab w:val="center" w:pos="4680"/>
              </w:tabs>
              <w:suppressAutoHyphens/>
              <w:rPr>
                <w:spacing w:val="-2"/>
              </w:rPr>
            </w:pPr>
            <w:r>
              <w:rPr>
                <w:spacing w:val="-2"/>
              </w:rPr>
              <w:t>Universal Service Reform – Mobility Fund</w:t>
            </w:r>
          </w:p>
        </w:tc>
        <w:tc>
          <w:tcPr>
            <w:tcW w:w="630" w:type="dxa"/>
          </w:tcPr>
          <w:p w14:paraId="0AE6B0A1" w14:textId="77777777" w:rsidR="004C2EE3" w:rsidRDefault="004C2EE3">
            <w:pPr>
              <w:tabs>
                <w:tab w:val="center" w:pos="4680"/>
              </w:tabs>
              <w:suppressAutoHyphens/>
              <w:rPr>
                <w:b/>
                <w:spacing w:val="-2"/>
              </w:rPr>
            </w:pPr>
            <w:r>
              <w:rPr>
                <w:b/>
                <w:spacing w:val="-2"/>
              </w:rPr>
              <w:t>)</w:t>
            </w:r>
          </w:p>
          <w:p w14:paraId="4F12BD12" w14:textId="77777777" w:rsidR="004C2EE3" w:rsidRDefault="004C2EE3">
            <w:pPr>
              <w:tabs>
                <w:tab w:val="center" w:pos="4680"/>
              </w:tabs>
              <w:suppressAutoHyphens/>
              <w:rPr>
                <w:b/>
                <w:spacing w:val="-2"/>
              </w:rPr>
            </w:pPr>
            <w:r>
              <w:rPr>
                <w:b/>
                <w:spacing w:val="-2"/>
              </w:rPr>
              <w:t>)</w:t>
            </w:r>
          </w:p>
          <w:p w14:paraId="1CEC384E" w14:textId="77777777" w:rsidR="004C2EE3" w:rsidRDefault="004C2EE3">
            <w:pPr>
              <w:tabs>
                <w:tab w:val="center" w:pos="4680"/>
              </w:tabs>
              <w:suppressAutoHyphens/>
              <w:rPr>
                <w:b/>
                <w:spacing w:val="-2"/>
              </w:rPr>
            </w:pPr>
            <w:r>
              <w:rPr>
                <w:b/>
                <w:spacing w:val="-2"/>
              </w:rPr>
              <w:t>)</w:t>
            </w:r>
          </w:p>
          <w:p w14:paraId="2D38B6DE" w14:textId="77777777" w:rsidR="004C2EE3" w:rsidRDefault="004C2EE3">
            <w:pPr>
              <w:tabs>
                <w:tab w:val="center" w:pos="4680"/>
              </w:tabs>
              <w:suppressAutoHyphens/>
              <w:rPr>
                <w:b/>
                <w:spacing w:val="-2"/>
              </w:rPr>
            </w:pPr>
            <w:r>
              <w:rPr>
                <w:b/>
                <w:spacing w:val="-2"/>
              </w:rPr>
              <w:t>)</w:t>
            </w:r>
          </w:p>
          <w:p w14:paraId="7C114666" w14:textId="611F5731" w:rsidR="004C2EE3" w:rsidRDefault="004C2EE3">
            <w:pPr>
              <w:tabs>
                <w:tab w:val="center" w:pos="4680"/>
              </w:tabs>
              <w:suppressAutoHyphens/>
              <w:rPr>
                <w:b/>
                <w:spacing w:val="-2"/>
              </w:rPr>
            </w:pPr>
            <w:r>
              <w:rPr>
                <w:b/>
                <w:spacing w:val="-2"/>
              </w:rPr>
              <w:t>)</w:t>
            </w:r>
          </w:p>
          <w:p w14:paraId="16210C2D" w14:textId="77777777" w:rsidR="004C2EE3" w:rsidRDefault="004C2EE3" w:rsidP="00747478">
            <w:pPr>
              <w:tabs>
                <w:tab w:val="center" w:pos="4680"/>
              </w:tabs>
              <w:suppressAutoHyphens/>
              <w:rPr>
                <w:b/>
                <w:spacing w:val="-2"/>
              </w:rPr>
            </w:pPr>
            <w:r>
              <w:rPr>
                <w:b/>
                <w:spacing w:val="-2"/>
              </w:rPr>
              <w:t>)</w:t>
            </w:r>
          </w:p>
          <w:p w14:paraId="2828BE0E" w14:textId="77777777" w:rsidR="00D84CC9" w:rsidRDefault="00D84CC9" w:rsidP="00747478">
            <w:pPr>
              <w:tabs>
                <w:tab w:val="center" w:pos="4680"/>
              </w:tabs>
              <w:suppressAutoHyphens/>
              <w:rPr>
                <w:b/>
                <w:spacing w:val="-2"/>
              </w:rPr>
            </w:pPr>
            <w:r>
              <w:rPr>
                <w:b/>
                <w:spacing w:val="-2"/>
              </w:rPr>
              <w:t>)</w:t>
            </w:r>
          </w:p>
          <w:p w14:paraId="3DC6B95B" w14:textId="64583CFE" w:rsidR="00F67878" w:rsidRPr="00D84CC9" w:rsidRDefault="00F67878" w:rsidP="00747478">
            <w:pPr>
              <w:tabs>
                <w:tab w:val="center" w:pos="4680"/>
              </w:tabs>
              <w:suppressAutoHyphens/>
              <w:rPr>
                <w:b/>
                <w:spacing w:val="-2"/>
              </w:rPr>
            </w:pPr>
          </w:p>
        </w:tc>
        <w:tc>
          <w:tcPr>
            <w:tcW w:w="4248" w:type="dxa"/>
          </w:tcPr>
          <w:p w14:paraId="0BC1AD1B" w14:textId="77777777" w:rsidR="004C2EE3" w:rsidRDefault="004C2EE3">
            <w:pPr>
              <w:tabs>
                <w:tab w:val="center" w:pos="4680"/>
              </w:tabs>
              <w:suppressAutoHyphens/>
              <w:rPr>
                <w:spacing w:val="-2"/>
              </w:rPr>
            </w:pPr>
          </w:p>
          <w:p w14:paraId="201A9E81" w14:textId="77777777" w:rsidR="004C2EE3" w:rsidRDefault="004C2EE3">
            <w:pPr>
              <w:pStyle w:val="TOAHeading"/>
              <w:tabs>
                <w:tab w:val="clear" w:pos="9360"/>
                <w:tab w:val="center" w:pos="4680"/>
              </w:tabs>
              <w:rPr>
                <w:spacing w:val="-2"/>
              </w:rPr>
            </w:pPr>
          </w:p>
          <w:p w14:paraId="383F8F75" w14:textId="77777777" w:rsidR="004C2EE3" w:rsidRDefault="00747478">
            <w:pPr>
              <w:tabs>
                <w:tab w:val="center" w:pos="4680"/>
              </w:tabs>
              <w:suppressAutoHyphens/>
              <w:rPr>
                <w:spacing w:val="-2"/>
              </w:rPr>
            </w:pPr>
            <w:r>
              <w:rPr>
                <w:spacing w:val="-2"/>
              </w:rPr>
              <w:t>WC Docket No. 10-90</w:t>
            </w:r>
          </w:p>
          <w:p w14:paraId="796F581D" w14:textId="77777777" w:rsidR="00747478" w:rsidRDefault="00747478">
            <w:pPr>
              <w:tabs>
                <w:tab w:val="center" w:pos="4680"/>
              </w:tabs>
              <w:suppressAutoHyphens/>
              <w:rPr>
                <w:spacing w:val="-2"/>
              </w:rPr>
            </w:pPr>
          </w:p>
          <w:p w14:paraId="3F943DDB" w14:textId="77777777" w:rsidR="00747478" w:rsidRDefault="00747478">
            <w:pPr>
              <w:tabs>
                <w:tab w:val="center" w:pos="4680"/>
              </w:tabs>
              <w:suppressAutoHyphens/>
              <w:rPr>
                <w:spacing w:val="-2"/>
              </w:rPr>
            </w:pPr>
            <w:r>
              <w:rPr>
                <w:spacing w:val="-2"/>
              </w:rPr>
              <w:t>WT Docket No. 10-208</w:t>
            </w:r>
          </w:p>
        </w:tc>
      </w:tr>
    </w:tbl>
    <w:p w14:paraId="21991DB2" w14:textId="77777777" w:rsidR="004C2EE3" w:rsidRDefault="004C2EE3" w:rsidP="0070224F"/>
    <w:p w14:paraId="0A14EE17" w14:textId="77777777" w:rsidR="00841AB1" w:rsidRDefault="00747478" w:rsidP="00F021FA">
      <w:pPr>
        <w:pStyle w:val="StyleBoldCentered"/>
      </w:pPr>
      <w:r>
        <w:t>ORDER</w:t>
      </w:r>
    </w:p>
    <w:p w14:paraId="5FFE9336" w14:textId="77777777" w:rsidR="004C2EE3" w:rsidRDefault="004C2EE3">
      <w:pPr>
        <w:tabs>
          <w:tab w:val="left" w:pos="-720"/>
        </w:tabs>
        <w:suppressAutoHyphens/>
        <w:spacing w:line="227" w:lineRule="auto"/>
        <w:rPr>
          <w:spacing w:val="-2"/>
        </w:rPr>
      </w:pPr>
    </w:p>
    <w:p w14:paraId="44627AEC" w14:textId="52CB77BD" w:rsidR="004C2EE3" w:rsidRDefault="004C2EE3" w:rsidP="00133F79">
      <w:pPr>
        <w:tabs>
          <w:tab w:val="left" w:pos="720"/>
          <w:tab w:val="right" w:pos="9360"/>
        </w:tabs>
        <w:suppressAutoHyphens/>
        <w:spacing w:line="227" w:lineRule="auto"/>
        <w:rPr>
          <w:spacing w:val="-2"/>
        </w:rPr>
      </w:pPr>
      <w:r>
        <w:rPr>
          <w:b/>
          <w:spacing w:val="-2"/>
        </w:rPr>
        <w:t xml:space="preserve">Adopted:  </w:t>
      </w:r>
      <w:r w:rsidR="00747478">
        <w:rPr>
          <w:b/>
          <w:spacing w:val="-2"/>
        </w:rPr>
        <w:t xml:space="preserve">December </w:t>
      </w:r>
      <w:r w:rsidR="00CB4874">
        <w:rPr>
          <w:b/>
          <w:spacing w:val="-2"/>
        </w:rPr>
        <w:t>4</w:t>
      </w:r>
      <w:r w:rsidR="00747478">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47478">
        <w:rPr>
          <w:b/>
          <w:spacing w:val="-2"/>
        </w:rPr>
        <w:t xml:space="preserve">December </w:t>
      </w:r>
      <w:r w:rsidR="00CB4874">
        <w:rPr>
          <w:b/>
          <w:spacing w:val="-2"/>
        </w:rPr>
        <w:t>4</w:t>
      </w:r>
      <w:r w:rsidR="00747478">
        <w:rPr>
          <w:b/>
          <w:spacing w:val="-2"/>
        </w:rPr>
        <w:t>, 2017</w:t>
      </w:r>
    </w:p>
    <w:p w14:paraId="111296B0" w14:textId="77777777" w:rsidR="00822CE0" w:rsidRDefault="00822CE0"/>
    <w:p w14:paraId="112BA772" w14:textId="3EEE77C8" w:rsidR="004C2EE3" w:rsidRDefault="004C2EE3">
      <w:pPr>
        <w:rPr>
          <w:spacing w:val="-2"/>
        </w:rPr>
      </w:pPr>
      <w:r>
        <w:t xml:space="preserve">By </w:t>
      </w:r>
      <w:r w:rsidR="004E4A22">
        <w:t>the</w:t>
      </w:r>
      <w:r w:rsidR="00747478">
        <w:t xml:space="preserve"> Chief, </w:t>
      </w:r>
      <w:r w:rsidR="00747478">
        <w:rPr>
          <w:spacing w:val="-2"/>
        </w:rPr>
        <w:t>Wireless Telecommunications Bureau</w:t>
      </w:r>
      <w:r w:rsidR="00D84CC9">
        <w:rPr>
          <w:spacing w:val="-2"/>
        </w:rPr>
        <w:t>,</w:t>
      </w:r>
      <w:r w:rsidR="00C64EA3">
        <w:rPr>
          <w:spacing w:val="-2"/>
        </w:rPr>
        <w:t xml:space="preserve"> and Chief</w:t>
      </w:r>
      <w:r w:rsidR="00D84CC9">
        <w:rPr>
          <w:spacing w:val="-2"/>
        </w:rPr>
        <w:t>,</w:t>
      </w:r>
      <w:r w:rsidR="00C64EA3">
        <w:rPr>
          <w:spacing w:val="-2"/>
        </w:rPr>
        <w:t xml:space="preserve"> Wireline Competition Bureau</w:t>
      </w:r>
      <w:r>
        <w:rPr>
          <w:spacing w:val="-2"/>
        </w:rPr>
        <w:t>:</w:t>
      </w:r>
    </w:p>
    <w:p w14:paraId="52C37B28" w14:textId="77777777" w:rsidR="00412FC5" w:rsidRDefault="00412FC5" w:rsidP="00412FC5"/>
    <w:p w14:paraId="305896F5" w14:textId="77777777" w:rsidR="002C00E8" w:rsidRDefault="00747478" w:rsidP="002C00E8">
      <w:pPr>
        <w:pStyle w:val="Heading1"/>
      </w:pPr>
      <w:r>
        <w:t>introduction</w:t>
      </w:r>
    </w:p>
    <w:p w14:paraId="51A3FE48" w14:textId="31FB1F24" w:rsidR="00747478" w:rsidRDefault="0005186E" w:rsidP="00747478">
      <w:pPr>
        <w:pStyle w:val="ParaNum"/>
      </w:pPr>
      <w:r>
        <w:t xml:space="preserve">In light of the destruction caused by Hurricanes Irma and Maria, </w:t>
      </w:r>
      <w:r w:rsidR="0046215A">
        <w:t>we waive</w:t>
      </w:r>
      <w:r w:rsidR="005C109A">
        <w:t xml:space="preserve"> </w:t>
      </w:r>
      <w:r>
        <w:t>the</w:t>
      </w:r>
      <w:r w:rsidR="0059451A">
        <w:t xml:space="preserve"> </w:t>
      </w:r>
      <w:r w:rsidR="00230700">
        <w:t xml:space="preserve">upcoming </w:t>
      </w:r>
      <w:r w:rsidR="0059451A">
        <w:t>filing deadline</w:t>
      </w:r>
      <w:r w:rsidR="000036D8">
        <w:t xml:space="preserve"> for </w:t>
      </w:r>
      <w:r>
        <w:t xml:space="preserve">mobile wireless providers on Puerto Rico and the U.S. Virgin Islands to submit </w:t>
      </w:r>
      <w:r w:rsidR="00FA338A">
        <w:t xml:space="preserve">certain </w:t>
      </w:r>
      <w:r w:rsidR="00DA21D3">
        <w:t xml:space="preserve">information </w:t>
      </w:r>
      <w:r w:rsidR="00FA338A">
        <w:t>regarding</w:t>
      </w:r>
      <w:r w:rsidR="00DA21D3">
        <w:t xml:space="preserve"> </w:t>
      </w:r>
      <w:r w:rsidR="00FA338A">
        <w:t>4G </w:t>
      </w:r>
      <w:r w:rsidR="00663332">
        <w:t xml:space="preserve">Long Term Evolution (LTE) coverage </w:t>
      </w:r>
      <w:r>
        <w:t xml:space="preserve">to the Commission for the purpose of </w:t>
      </w:r>
      <w:r w:rsidR="00663332">
        <w:t>determin</w:t>
      </w:r>
      <w:r>
        <w:t>ing</w:t>
      </w:r>
      <w:r w:rsidR="00663332">
        <w:t xml:space="preserve"> eligible areas for Mobility Fund Phase II</w:t>
      </w:r>
      <w:r w:rsidR="00944C9C">
        <w:t xml:space="preserve"> (MF-II)</w:t>
      </w:r>
      <w:r w:rsidR="000036D8">
        <w:t xml:space="preserve">.  We </w:t>
      </w:r>
      <w:r w:rsidR="00CB7933" w:rsidRPr="00536279">
        <w:t>grant the waiver for a period of 180 days (i.e., until July 3, 2018)</w:t>
      </w:r>
      <w:r w:rsidR="00CB7933">
        <w:t xml:space="preserve">, or until the Commission </w:t>
      </w:r>
      <w:r w:rsidR="00394BF2">
        <w:t xml:space="preserve">takes </w:t>
      </w:r>
      <w:r w:rsidR="005A7C9B">
        <w:t>action</w:t>
      </w:r>
      <w:r w:rsidR="00394BF2">
        <w:t xml:space="preserve"> </w:t>
      </w:r>
      <w:r w:rsidR="00D37E7D">
        <w:t xml:space="preserve">addressing the appropriate </w:t>
      </w:r>
      <w:r w:rsidR="00DA7DB7">
        <w:t>approach, given the circumstances,</w:t>
      </w:r>
      <w:r w:rsidR="00D37E7D">
        <w:t xml:space="preserve"> for </w:t>
      </w:r>
      <w:r w:rsidR="00DA7DB7">
        <w:t xml:space="preserve">providing </w:t>
      </w:r>
      <w:r w:rsidR="00D37E7D">
        <w:t>ongoing</w:t>
      </w:r>
      <w:r w:rsidR="00621802">
        <w:t xml:space="preserve">, high-cost support </w:t>
      </w:r>
      <w:bookmarkStart w:id="1" w:name="_Hlk499647252"/>
      <w:r w:rsidR="00A37C5A">
        <w:t xml:space="preserve">for mobile services in </w:t>
      </w:r>
      <w:bookmarkEnd w:id="1"/>
      <w:r w:rsidR="00CB7933">
        <w:t xml:space="preserve">Puerto </w:t>
      </w:r>
      <w:r w:rsidR="00394BF2">
        <w:t>Rico and the U.S. Virgin Islands</w:t>
      </w:r>
      <w:r w:rsidR="00A37C5A">
        <w:t>, whichever occurs earlier</w:t>
      </w:r>
      <w:r w:rsidR="003A3B9C">
        <w:t>.</w:t>
      </w:r>
    </w:p>
    <w:p w14:paraId="1B5F02B9" w14:textId="77777777" w:rsidR="00747478" w:rsidRDefault="00747478" w:rsidP="00747478">
      <w:pPr>
        <w:pStyle w:val="Heading1"/>
        <w:tabs>
          <w:tab w:val="left" w:pos="720"/>
        </w:tabs>
      </w:pPr>
      <w:r>
        <w:t>Background</w:t>
      </w:r>
    </w:p>
    <w:p w14:paraId="0453908B" w14:textId="1E38D126" w:rsidR="003A3B9C" w:rsidRPr="003A3B9C" w:rsidRDefault="00663332" w:rsidP="00D84CC9">
      <w:pPr>
        <w:pStyle w:val="ParaNum"/>
        <w:widowControl/>
      </w:pPr>
      <w:r>
        <w:t xml:space="preserve">On August 3, 2017, the Commission adopted the </w:t>
      </w:r>
      <w:r w:rsidRPr="009E243E">
        <w:rPr>
          <w:i/>
        </w:rPr>
        <w:t>MF-II Challenge Process Order</w:t>
      </w:r>
      <w:r>
        <w:t>, which establis</w:t>
      </w:r>
      <w:r w:rsidR="009A279E">
        <w:t xml:space="preserve">hed the </w:t>
      </w:r>
      <w:r w:rsidR="00656F2D">
        <w:t xml:space="preserve">framework </w:t>
      </w:r>
      <w:r w:rsidR="009A279E">
        <w:t xml:space="preserve">for a </w:t>
      </w:r>
      <w:r>
        <w:t>challenge process to ensure that the Commission targets MF-II support to areas that lack unsubsidized 4G LTE service.</w:t>
      </w:r>
      <w:r>
        <w:rPr>
          <w:rStyle w:val="FootnoteReference"/>
        </w:rPr>
        <w:footnoteReference w:id="2"/>
      </w:r>
      <w:r w:rsidR="003F0C85">
        <w:t xml:space="preserve">  </w:t>
      </w:r>
      <w:r w:rsidR="009A279E" w:rsidRPr="009E243E">
        <w:rPr>
          <w:szCs w:val="22"/>
        </w:rPr>
        <w:t>As part of that process, t</w:t>
      </w:r>
      <w:r w:rsidR="003F0C85" w:rsidRPr="009E243E">
        <w:rPr>
          <w:szCs w:val="22"/>
        </w:rPr>
        <w:t xml:space="preserve">he </w:t>
      </w:r>
      <w:r w:rsidR="003F0C85" w:rsidRPr="009E243E">
        <w:rPr>
          <w:i/>
        </w:rPr>
        <w:t>MF-II Challenge Process Order</w:t>
      </w:r>
      <w:r w:rsidR="003F0C85" w:rsidRPr="009E243E">
        <w:rPr>
          <w:szCs w:val="22"/>
        </w:rPr>
        <w:t xml:space="preserve"> adopted parameters for a one-time collection of </w:t>
      </w:r>
      <w:r w:rsidR="00251F14">
        <w:rPr>
          <w:szCs w:val="22"/>
        </w:rPr>
        <w:t xml:space="preserve">qualified </w:t>
      </w:r>
      <w:r w:rsidR="003F0C85" w:rsidRPr="009E243E">
        <w:rPr>
          <w:szCs w:val="22"/>
        </w:rPr>
        <w:t>4G LTE coverage data</w:t>
      </w:r>
      <w:r w:rsidR="00345915">
        <w:rPr>
          <w:szCs w:val="22"/>
        </w:rPr>
        <w:t>, which</w:t>
      </w:r>
      <w:r w:rsidR="003F0C85" w:rsidRPr="009E243E">
        <w:rPr>
          <w:szCs w:val="22"/>
        </w:rPr>
        <w:t xml:space="preserve"> will </w:t>
      </w:r>
      <w:r w:rsidR="00345915">
        <w:rPr>
          <w:szCs w:val="22"/>
        </w:rPr>
        <w:t xml:space="preserve">be </w:t>
      </w:r>
      <w:r w:rsidR="003F0C85" w:rsidRPr="009E243E">
        <w:rPr>
          <w:szCs w:val="22"/>
        </w:rPr>
        <w:t>use</w:t>
      </w:r>
      <w:r w:rsidR="00345915">
        <w:rPr>
          <w:szCs w:val="22"/>
        </w:rPr>
        <w:t>d</w:t>
      </w:r>
      <w:r w:rsidR="003F0C85" w:rsidRPr="009E243E">
        <w:rPr>
          <w:szCs w:val="22"/>
        </w:rPr>
        <w:t xml:space="preserve"> to establish the map of areas presumptively eligible for MF-II support.</w:t>
      </w:r>
      <w:r w:rsidR="003F0C85">
        <w:rPr>
          <w:rStyle w:val="FootnoteReference"/>
          <w:szCs w:val="22"/>
        </w:rPr>
        <w:footnoteReference w:id="3"/>
      </w:r>
      <w:r w:rsidR="000B3C71" w:rsidRPr="009E243E">
        <w:rPr>
          <w:szCs w:val="22"/>
        </w:rPr>
        <w:t xml:space="preserve">  </w:t>
      </w:r>
      <w:r w:rsidR="003A3B9C">
        <w:rPr>
          <w:szCs w:val="22"/>
        </w:rPr>
        <w:t>Additionally, the challenge process allows challengers and responding providers to submit actual speed tests within specified windows to confirm existing coverage.</w:t>
      </w:r>
      <w:r w:rsidR="00A2082D">
        <w:rPr>
          <w:rStyle w:val="FootnoteReference"/>
          <w:szCs w:val="22"/>
        </w:rPr>
        <w:footnoteReference w:id="4"/>
      </w:r>
    </w:p>
    <w:p w14:paraId="61EC31E8" w14:textId="12316F91" w:rsidR="00457EEA" w:rsidRPr="00457EEA" w:rsidRDefault="00457EEA" w:rsidP="00457EEA">
      <w:pPr>
        <w:pStyle w:val="ParaNum"/>
      </w:pPr>
      <w:r>
        <w:rPr>
          <w:szCs w:val="22"/>
        </w:rPr>
        <w:t xml:space="preserve">After release of the </w:t>
      </w:r>
      <w:r w:rsidRPr="009E243E">
        <w:rPr>
          <w:i/>
        </w:rPr>
        <w:t>MF-II Challenge Process Order</w:t>
      </w:r>
      <w:r w:rsidRPr="009E243E">
        <w:rPr>
          <w:szCs w:val="22"/>
        </w:rPr>
        <w:t xml:space="preserve">, the Rural Broadband Auctions Task Force, in </w:t>
      </w:r>
      <w:r w:rsidRPr="00457EEA">
        <w:t>conjunction</w:t>
      </w:r>
      <w:r w:rsidRPr="009E243E">
        <w:rPr>
          <w:szCs w:val="22"/>
        </w:rPr>
        <w:t xml:space="preserve"> with the </w:t>
      </w:r>
      <w:r w:rsidRPr="00457EEA">
        <w:t>Wireline</w:t>
      </w:r>
      <w:r w:rsidRPr="009E243E">
        <w:rPr>
          <w:szCs w:val="22"/>
        </w:rPr>
        <w:t xml:space="preserve"> Competition Bureau and the Wireless Telecommunications </w:t>
      </w:r>
      <w:r w:rsidRPr="009E243E">
        <w:rPr>
          <w:szCs w:val="22"/>
        </w:rPr>
        <w:lastRenderedPageBreak/>
        <w:t xml:space="preserve">Bureau, released instructions for </w:t>
      </w:r>
      <w:r>
        <w:rPr>
          <w:szCs w:val="22"/>
        </w:rPr>
        <w:t>submitting</w:t>
      </w:r>
      <w:r w:rsidRPr="009E243E">
        <w:rPr>
          <w:szCs w:val="22"/>
        </w:rPr>
        <w:t xml:space="preserve"> the data</w:t>
      </w:r>
      <w:r>
        <w:rPr>
          <w:rStyle w:val="FootnoteReference"/>
          <w:szCs w:val="22"/>
        </w:rPr>
        <w:footnoteReference w:id="5"/>
      </w:r>
      <w:r w:rsidRPr="009E243E">
        <w:rPr>
          <w:szCs w:val="22"/>
        </w:rPr>
        <w:t xml:space="preserve"> and announc</w:t>
      </w:r>
      <w:r>
        <w:rPr>
          <w:szCs w:val="22"/>
        </w:rPr>
        <w:t>ed</w:t>
      </w:r>
      <w:r w:rsidRPr="009E243E">
        <w:rPr>
          <w:szCs w:val="22"/>
        </w:rPr>
        <w:t xml:space="preserve"> </w:t>
      </w:r>
      <w:r>
        <w:rPr>
          <w:szCs w:val="22"/>
        </w:rPr>
        <w:t>a deadline</w:t>
      </w:r>
      <w:r w:rsidRPr="009E243E">
        <w:rPr>
          <w:szCs w:val="22"/>
        </w:rPr>
        <w:t xml:space="preserve"> of January 4, 2018</w:t>
      </w:r>
      <w:r w:rsidR="00884871">
        <w:rPr>
          <w:szCs w:val="22"/>
        </w:rPr>
        <w:t>,</w:t>
      </w:r>
      <w:r>
        <w:rPr>
          <w:szCs w:val="22"/>
        </w:rPr>
        <w:t xml:space="preserve"> to submit the required information</w:t>
      </w:r>
      <w:r w:rsidRPr="009E243E">
        <w:rPr>
          <w:szCs w:val="22"/>
        </w:rPr>
        <w:t>.</w:t>
      </w:r>
      <w:r>
        <w:rPr>
          <w:rStyle w:val="FootnoteReference"/>
          <w:szCs w:val="22"/>
        </w:rPr>
        <w:footnoteReference w:id="6"/>
      </w:r>
      <w:r>
        <w:t xml:space="preserve">  </w:t>
      </w:r>
      <w:r w:rsidRPr="00457EEA">
        <w:rPr>
          <w:szCs w:val="22"/>
        </w:rPr>
        <w:t xml:space="preserve">Specifically, any entity </w:t>
      </w:r>
      <w:r w:rsidR="000B3C71" w:rsidRPr="00457EEA">
        <w:rPr>
          <w:szCs w:val="22"/>
        </w:rPr>
        <w:t xml:space="preserve">that </w:t>
      </w:r>
      <w:r w:rsidR="00DA21D3" w:rsidRPr="00457EEA">
        <w:rPr>
          <w:szCs w:val="22"/>
        </w:rPr>
        <w:t>p</w:t>
      </w:r>
      <w:r w:rsidR="00FA338A">
        <w:rPr>
          <w:szCs w:val="22"/>
        </w:rPr>
        <w:t>reviously reported 4G </w:t>
      </w:r>
      <w:r w:rsidR="000B3C71" w:rsidRPr="00457EEA">
        <w:rPr>
          <w:szCs w:val="22"/>
        </w:rPr>
        <w:t xml:space="preserve">LTE coverage </w:t>
      </w:r>
      <w:r w:rsidR="007413CA">
        <w:rPr>
          <w:szCs w:val="22"/>
        </w:rPr>
        <w:t>o</w:t>
      </w:r>
      <w:r w:rsidR="007413CA" w:rsidRPr="00457EEA">
        <w:rPr>
          <w:szCs w:val="22"/>
        </w:rPr>
        <w:t xml:space="preserve">n </w:t>
      </w:r>
      <w:r w:rsidR="000B3C71" w:rsidRPr="00457EEA">
        <w:rPr>
          <w:szCs w:val="22"/>
        </w:rPr>
        <w:t xml:space="preserve">any </w:t>
      </w:r>
      <w:r w:rsidR="00345915" w:rsidRPr="00457EEA">
        <w:rPr>
          <w:szCs w:val="22"/>
        </w:rPr>
        <w:t xml:space="preserve">FCC </w:t>
      </w:r>
      <w:r w:rsidR="000B3C71" w:rsidRPr="00457EEA">
        <w:rPr>
          <w:szCs w:val="22"/>
        </w:rPr>
        <w:t xml:space="preserve">Form 477 </w:t>
      </w:r>
      <w:r w:rsidR="009654A5" w:rsidRPr="00457EEA">
        <w:rPr>
          <w:szCs w:val="22"/>
        </w:rPr>
        <w:t xml:space="preserve">and </w:t>
      </w:r>
      <w:r w:rsidR="00DA21D3" w:rsidRPr="00457EEA">
        <w:rPr>
          <w:szCs w:val="22"/>
        </w:rPr>
        <w:t>has</w:t>
      </w:r>
      <w:r w:rsidR="009654A5" w:rsidRPr="00457EEA">
        <w:rPr>
          <w:szCs w:val="22"/>
        </w:rPr>
        <w:t xml:space="preserve"> qualified 4G LTE coverage based on the specification</w:t>
      </w:r>
      <w:r w:rsidR="002F251D" w:rsidRPr="00457EEA">
        <w:rPr>
          <w:szCs w:val="22"/>
        </w:rPr>
        <w:t>s</w:t>
      </w:r>
      <w:r w:rsidR="009654A5" w:rsidRPr="00457EEA">
        <w:rPr>
          <w:szCs w:val="22"/>
        </w:rPr>
        <w:t xml:space="preserve"> described in the </w:t>
      </w:r>
      <w:r w:rsidR="00F41A3A" w:rsidRPr="00457EEA">
        <w:rPr>
          <w:i/>
          <w:szCs w:val="22"/>
        </w:rPr>
        <w:t>MF-II</w:t>
      </w:r>
      <w:r w:rsidR="009654A5" w:rsidRPr="00457EEA">
        <w:rPr>
          <w:i/>
          <w:szCs w:val="22"/>
        </w:rPr>
        <w:t xml:space="preserve"> Challenge Process Order</w:t>
      </w:r>
      <w:r w:rsidR="00884871">
        <w:rPr>
          <w:szCs w:val="22"/>
        </w:rPr>
        <w:t xml:space="preserve"> must provide coverage maps</w:t>
      </w:r>
      <w:r w:rsidR="00FA338A">
        <w:rPr>
          <w:szCs w:val="22"/>
        </w:rPr>
        <w:t xml:space="preserve"> and other supporting documentation</w:t>
      </w:r>
      <w:r w:rsidR="000B3C71" w:rsidRPr="00457EEA">
        <w:rPr>
          <w:szCs w:val="22"/>
        </w:rPr>
        <w:t>.</w:t>
      </w:r>
      <w:r w:rsidR="000B3C71">
        <w:rPr>
          <w:rStyle w:val="FootnoteReference"/>
          <w:szCs w:val="22"/>
        </w:rPr>
        <w:footnoteReference w:id="7"/>
      </w:r>
      <w:r w:rsidR="009E243E" w:rsidRPr="00457EEA">
        <w:rPr>
          <w:szCs w:val="22"/>
        </w:rPr>
        <w:t xml:space="preserve">  </w:t>
      </w:r>
      <w:r w:rsidRPr="00457EEA">
        <w:rPr>
          <w:szCs w:val="22"/>
        </w:rPr>
        <w:t>A</w:t>
      </w:r>
      <w:r w:rsidR="00DA21D3" w:rsidRPr="00457EEA">
        <w:rPr>
          <w:szCs w:val="22"/>
        </w:rPr>
        <w:t>ny</w:t>
      </w:r>
      <w:r w:rsidR="002B7D77" w:rsidRPr="00457EEA">
        <w:rPr>
          <w:szCs w:val="22"/>
        </w:rPr>
        <w:t xml:space="preserve"> provider that previously reported</w:t>
      </w:r>
      <w:r w:rsidR="00A70DF4">
        <w:rPr>
          <w:szCs w:val="22"/>
        </w:rPr>
        <w:t xml:space="preserve"> 4G</w:t>
      </w:r>
      <w:r w:rsidRPr="00457EEA">
        <w:rPr>
          <w:szCs w:val="22"/>
        </w:rPr>
        <w:t xml:space="preserve"> LTE coverage </w:t>
      </w:r>
      <w:r w:rsidR="002B7D77" w:rsidRPr="00457EEA">
        <w:rPr>
          <w:szCs w:val="22"/>
        </w:rPr>
        <w:t>on FCC Form 477,</w:t>
      </w:r>
      <w:r w:rsidRPr="00457EEA">
        <w:rPr>
          <w:szCs w:val="22"/>
        </w:rPr>
        <w:t xml:space="preserve"> but does not have qualified 4G LTE coverage</w:t>
      </w:r>
      <w:r w:rsidR="002B7D77" w:rsidRPr="00457EEA">
        <w:rPr>
          <w:szCs w:val="22"/>
        </w:rPr>
        <w:t xml:space="preserve"> must provide a certification </w:t>
      </w:r>
      <w:r w:rsidRPr="00457EEA">
        <w:rPr>
          <w:szCs w:val="22"/>
        </w:rPr>
        <w:t xml:space="preserve">that </w:t>
      </w:r>
      <w:r w:rsidR="007413CA">
        <w:rPr>
          <w:szCs w:val="22"/>
        </w:rPr>
        <w:t>its</w:t>
      </w:r>
      <w:r w:rsidR="007413CA" w:rsidRPr="00457EEA">
        <w:rPr>
          <w:szCs w:val="22"/>
        </w:rPr>
        <w:t xml:space="preserve"> </w:t>
      </w:r>
      <w:r w:rsidRPr="00457EEA">
        <w:rPr>
          <w:szCs w:val="22"/>
        </w:rPr>
        <w:t>coverage does not qualify</w:t>
      </w:r>
      <w:r w:rsidR="002B7D77" w:rsidRPr="00457EEA">
        <w:rPr>
          <w:szCs w:val="22"/>
        </w:rPr>
        <w:t>.</w:t>
      </w:r>
      <w:r w:rsidR="002B7D77">
        <w:rPr>
          <w:rStyle w:val="FootnoteReference"/>
          <w:szCs w:val="22"/>
        </w:rPr>
        <w:footnoteReference w:id="8"/>
      </w:r>
    </w:p>
    <w:p w14:paraId="5BAC90A6" w14:textId="1747997A" w:rsidR="00E02929" w:rsidRPr="00747478" w:rsidRDefault="00E02929" w:rsidP="008D2B7B">
      <w:pPr>
        <w:pStyle w:val="ParaNum"/>
      </w:pPr>
      <w:r>
        <w:t xml:space="preserve">In September 2017, </w:t>
      </w:r>
      <w:r w:rsidR="0005186E">
        <w:t xml:space="preserve">Hurricanes Irma and Maria struck </w:t>
      </w:r>
      <w:r>
        <w:t>Puerto Rico and the U.S. Virgin Islands</w:t>
      </w:r>
      <w:r w:rsidR="0075623A">
        <w:t>.</w:t>
      </w:r>
      <w:r w:rsidR="00761934">
        <w:rPr>
          <w:rStyle w:val="FootnoteReference"/>
        </w:rPr>
        <w:footnoteReference w:id="9"/>
      </w:r>
      <w:r w:rsidR="0075623A">
        <w:t xml:space="preserve">  </w:t>
      </w:r>
      <w:r w:rsidR="0005186E">
        <w:t>T</w:t>
      </w:r>
      <w:r w:rsidR="00761934">
        <w:t>hese hurricanes</w:t>
      </w:r>
      <w:r w:rsidR="00944C9C">
        <w:t>, which</w:t>
      </w:r>
      <w:r w:rsidR="00761934">
        <w:t xml:space="preserve"> </w:t>
      </w:r>
      <w:r w:rsidR="003A3B9C">
        <w:t xml:space="preserve">occurred within weeks of each other, </w:t>
      </w:r>
      <w:r w:rsidR="00944C9C">
        <w:t xml:space="preserve">were some of the strongest storms ever recorded on </w:t>
      </w:r>
      <w:r w:rsidR="007413CA">
        <w:t xml:space="preserve">a </w:t>
      </w:r>
      <w:r w:rsidR="00944C9C">
        <w:t xml:space="preserve">U.S. territory and </w:t>
      </w:r>
      <w:r>
        <w:t xml:space="preserve">caused </w:t>
      </w:r>
      <w:r w:rsidR="00AC28EF">
        <w:t xml:space="preserve">extensive </w:t>
      </w:r>
      <w:r w:rsidR="00761934">
        <w:t>damage to the islands</w:t>
      </w:r>
      <w:r w:rsidR="00944C9C">
        <w:t xml:space="preserve"> and their communications </w:t>
      </w:r>
      <w:r w:rsidR="00EC6E76">
        <w:t>and power grids</w:t>
      </w:r>
      <w:r>
        <w:t>.</w:t>
      </w:r>
      <w:r w:rsidR="00D15B9D">
        <w:rPr>
          <w:rStyle w:val="FootnoteReference"/>
        </w:rPr>
        <w:footnoteReference w:id="10"/>
      </w:r>
      <w:r w:rsidR="008D2B7B">
        <w:t xml:space="preserve">  </w:t>
      </w:r>
      <w:r w:rsidR="00761934">
        <w:t>Recognizing the catastrophic impact on the islands’ communications networks</w:t>
      </w:r>
      <w:r w:rsidR="008D2B7B">
        <w:t>,</w:t>
      </w:r>
      <w:r>
        <w:t xml:space="preserve"> the Commission</w:t>
      </w:r>
      <w:r w:rsidR="00761934">
        <w:t xml:space="preserve"> took </w:t>
      </w:r>
      <w:r w:rsidR="00D84CC9">
        <w:t>rapid</w:t>
      </w:r>
      <w:r w:rsidR="00761934">
        <w:t xml:space="preserve"> action</w:t>
      </w:r>
      <w:r w:rsidR="00D84CC9">
        <w:t xml:space="preserve"> to help </w:t>
      </w:r>
      <w:r w:rsidR="002F251D">
        <w:t xml:space="preserve">providers </w:t>
      </w:r>
      <w:r w:rsidR="00D84CC9">
        <w:t>with restor</w:t>
      </w:r>
      <w:r w:rsidR="002F251D">
        <w:t>ing</w:t>
      </w:r>
      <w:r w:rsidR="00CF7F67">
        <w:t xml:space="preserve"> service </w:t>
      </w:r>
      <w:r w:rsidR="00761934">
        <w:t>by, among other things, waiving</w:t>
      </w:r>
      <w:r w:rsidR="005D6C22">
        <w:t xml:space="preserve"> on its own motion certain progr</w:t>
      </w:r>
      <w:r w:rsidR="008D784E">
        <w:t>ammatic requirements for the Connect America Fund.</w:t>
      </w:r>
      <w:r w:rsidR="008D784E">
        <w:rPr>
          <w:rStyle w:val="FootnoteReference"/>
        </w:rPr>
        <w:footnoteReference w:id="11"/>
      </w:r>
    </w:p>
    <w:p w14:paraId="06361935" w14:textId="77777777" w:rsidR="00747478" w:rsidRDefault="00747478" w:rsidP="00747478">
      <w:pPr>
        <w:pStyle w:val="Heading1"/>
        <w:tabs>
          <w:tab w:val="left" w:pos="720"/>
        </w:tabs>
      </w:pPr>
      <w:r>
        <w:lastRenderedPageBreak/>
        <w:t>Discussion</w:t>
      </w:r>
    </w:p>
    <w:p w14:paraId="264B673B" w14:textId="676466CC" w:rsidR="00536279" w:rsidRDefault="009A279E" w:rsidP="00AB7312">
      <w:pPr>
        <w:pStyle w:val="ParaNum"/>
        <w:widowControl/>
      </w:pPr>
      <w:r w:rsidRPr="00536279">
        <w:t xml:space="preserve">We waive, on our own motion, </w:t>
      </w:r>
      <w:r w:rsidR="00E02929" w:rsidRPr="00536279">
        <w:t>the</w:t>
      </w:r>
      <w:r w:rsidR="00944C9C">
        <w:t xml:space="preserve"> upcoming</w:t>
      </w:r>
      <w:r w:rsidRPr="00536279">
        <w:t xml:space="preserve"> </w:t>
      </w:r>
      <w:r w:rsidR="00AB1529" w:rsidRPr="00536279">
        <w:t xml:space="preserve">deadline </w:t>
      </w:r>
      <w:r w:rsidR="00944C9C">
        <w:t xml:space="preserve">of January 4, 2018, </w:t>
      </w:r>
      <w:r w:rsidR="00AB1529" w:rsidRPr="00536279">
        <w:t xml:space="preserve">for </w:t>
      </w:r>
      <w:r w:rsidR="009C25C7" w:rsidRPr="00536279">
        <w:t xml:space="preserve">submitting </w:t>
      </w:r>
      <w:r w:rsidR="00A70DF4">
        <w:t>(i) </w:t>
      </w:r>
      <w:r w:rsidR="009C25C7" w:rsidRPr="00536279">
        <w:t>qualified</w:t>
      </w:r>
      <w:r w:rsidR="00AB1529" w:rsidRPr="00536279">
        <w:t xml:space="preserve"> </w:t>
      </w:r>
      <w:r w:rsidRPr="00536279">
        <w:t>4G</w:t>
      </w:r>
      <w:r w:rsidR="00E02929" w:rsidRPr="00536279">
        <w:t xml:space="preserve"> </w:t>
      </w:r>
      <w:r w:rsidR="00F0573E" w:rsidRPr="00536279">
        <w:rPr>
          <w:szCs w:val="22"/>
        </w:rPr>
        <w:t>LTE coverage data</w:t>
      </w:r>
      <w:r w:rsidR="00D33E51">
        <w:rPr>
          <w:szCs w:val="22"/>
        </w:rPr>
        <w:t xml:space="preserve">, </w:t>
      </w:r>
      <w:r w:rsidR="00345915">
        <w:rPr>
          <w:szCs w:val="22"/>
        </w:rPr>
        <w:t xml:space="preserve">as </w:t>
      </w:r>
      <w:r w:rsidR="00D33E51">
        <w:rPr>
          <w:szCs w:val="22"/>
        </w:rPr>
        <w:t xml:space="preserve">required under the </w:t>
      </w:r>
      <w:r w:rsidR="00D33E51" w:rsidRPr="00D33E51">
        <w:rPr>
          <w:i/>
          <w:szCs w:val="22"/>
        </w:rPr>
        <w:t>MF-II Challenge Process Order</w:t>
      </w:r>
      <w:r w:rsidR="00A70DF4">
        <w:t xml:space="preserve"> and (ii) any</w:t>
      </w:r>
      <w:r w:rsidR="00FA338A">
        <w:t xml:space="preserve"> certifications connected with the 4G LTE</w:t>
      </w:r>
      <w:r w:rsidR="007F1A71">
        <w:t xml:space="preserve"> data</w:t>
      </w:r>
      <w:r w:rsidR="00FA338A">
        <w:t xml:space="preserve"> collection</w:t>
      </w:r>
      <w:r w:rsidR="00A70DF4">
        <w:t xml:space="preserve">, </w:t>
      </w:r>
      <w:r w:rsidR="00A70DF4" w:rsidRPr="00536279">
        <w:rPr>
          <w:szCs w:val="22"/>
        </w:rPr>
        <w:t xml:space="preserve">for the Commonwealth of </w:t>
      </w:r>
      <w:r w:rsidR="00A70DF4" w:rsidRPr="00536279">
        <w:t>Puerto Rico and territory of the U.S. Virgin Islands</w:t>
      </w:r>
      <w:r w:rsidR="00FA338A">
        <w:t>.</w:t>
      </w:r>
      <w:r w:rsidR="00EC6E76" w:rsidRPr="00536279">
        <w:rPr>
          <w:rStyle w:val="FootnoteReference"/>
        </w:rPr>
        <w:footnoteReference w:id="12"/>
      </w:r>
      <w:r w:rsidR="00FA338A">
        <w:t xml:space="preserve">  </w:t>
      </w:r>
      <w:r w:rsidR="009C25C7" w:rsidRPr="00536279">
        <w:t xml:space="preserve">We </w:t>
      </w:r>
      <w:r w:rsidR="005311AB" w:rsidRPr="00536279">
        <w:t>limit the waiver to mobile wireless providers that</w:t>
      </w:r>
      <w:r w:rsidR="005311AB">
        <w:t xml:space="preserve"> </w:t>
      </w:r>
      <w:r w:rsidR="005311AB" w:rsidRPr="00536279">
        <w:t xml:space="preserve">previously reported 4G LTE coverage on FCC Form 477 for Puerto </w:t>
      </w:r>
      <w:r w:rsidR="00FA338A">
        <w:t>Rico or the U.S. Virgin Islands</w:t>
      </w:r>
      <w:r w:rsidR="005311AB">
        <w:t>.</w:t>
      </w:r>
      <w:r w:rsidR="00621802">
        <w:rPr>
          <w:rStyle w:val="FootnoteReference"/>
        </w:rPr>
        <w:footnoteReference w:id="13"/>
      </w:r>
      <w:r w:rsidR="00621802">
        <w:t xml:space="preserve">  </w:t>
      </w:r>
      <w:r w:rsidR="00230700">
        <w:t xml:space="preserve">We </w:t>
      </w:r>
      <w:r w:rsidR="00230700" w:rsidRPr="00536279">
        <w:t>grant the waiver for a period of 180 days (i.e., until July 3, 2018)</w:t>
      </w:r>
      <w:r w:rsidR="00230700">
        <w:t xml:space="preserve">, or until the Commission takes action </w:t>
      </w:r>
      <w:r w:rsidR="0033275B">
        <w:t>addressing the appropriate approach</w:t>
      </w:r>
      <w:r w:rsidR="00DA7DB7">
        <w:t>, given the circumstances,</w:t>
      </w:r>
      <w:r w:rsidR="0033275B">
        <w:t xml:space="preserve"> for providing ongoing, </w:t>
      </w:r>
      <w:r w:rsidR="00230700">
        <w:t xml:space="preserve">high-cost support </w:t>
      </w:r>
      <w:r w:rsidR="0033275B">
        <w:t xml:space="preserve">for mobile services in </w:t>
      </w:r>
      <w:r w:rsidR="00230700">
        <w:t>Puerto Rico and the U.S. Virgin Islands</w:t>
      </w:r>
      <w:r w:rsidR="0033275B">
        <w:t>, whichever occurs earlier</w:t>
      </w:r>
      <w:r w:rsidR="00D33E51">
        <w:t>.</w:t>
      </w:r>
    </w:p>
    <w:p w14:paraId="7BA3F8F2" w14:textId="449225C9" w:rsidR="008A5DA4" w:rsidRDefault="009C25C7" w:rsidP="00C553DA">
      <w:pPr>
        <w:pStyle w:val="ParaNum"/>
        <w:widowControl/>
      </w:pPr>
      <w:r w:rsidRPr="00536279">
        <w:t>We take this action c</w:t>
      </w:r>
      <w:r w:rsidR="00B417CC" w:rsidRPr="00536279">
        <w:t xml:space="preserve">onsistent with other recent </w:t>
      </w:r>
      <w:r w:rsidR="00D33E51">
        <w:t>steps</w:t>
      </w:r>
      <w:r w:rsidR="00B417CC" w:rsidRPr="00536279">
        <w:t xml:space="preserve"> taken by the Commission </w:t>
      </w:r>
      <w:r w:rsidR="00345915">
        <w:t xml:space="preserve">to </w:t>
      </w:r>
      <w:r w:rsidR="00B417CC" w:rsidRPr="00536279">
        <w:t>extend filing and other regulatory deadlines</w:t>
      </w:r>
      <w:r w:rsidR="00D33E51">
        <w:t xml:space="preserve"> due to</w:t>
      </w:r>
      <w:r w:rsidR="00F0573E" w:rsidRPr="00536279">
        <w:t xml:space="preserve"> the special circumstances of </w:t>
      </w:r>
      <w:r w:rsidR="00100148">
        <w:t xml:space="preserve">the </w:t>
      </w:r>
      <w:r w:rsidR="00F0573E" w:rsidRPr="00536279">
        <w:t xml:space="preserve">widespread service disruption </w:t>
      </w:r>
      <w:r w:rsidR="00536279">
        <w:t>resulting from</w:t>
      </w:r>
      <w:r w:rsidR="009A279E" w:rsidRPr="00536279">
        <w:t xml:space="preserve"> </w:t>
      </w:r>
      <w:r w:rsidR="00536279">
        <w:t xml:space="preserve">the </w:t>
      </w:r>
      <w:r w:rsidR="009A279E" w:rsidRPr="00536279">
        <w:t xml:space="preserve">unprecedented destruction </w:t>
      </w:r>
      <w:r w:rsidR="00536279">
        <w:t>caused by</w:t>
      </w:r>
      <w:r w:rsidR="009A279E" w:rsidRPr="00536279">
        <w:t xml:space="preserve"> </w:t>
      </w:r>
      <w:r w:rsidR="00580455">
        <w:t>H</w:t>
      </w:r>
      <w:r w:rsidR="009A279E" w:rsidRPr="00536279">
        <w:t>urricanes</w:t>
      </w:r>
      <w:r w:rsidR="00580455">
        <w:t xml:space="preserve"> Irma and Maria</w:t>
      </w:r>
      <w:r w:rsidR="00F0573E" w:rsidRPr="008E1F82">
        <w:t>.</w:t>
      </w:r>
      <w:r w:rsidR="00F43AAA" w:rsidRPr="008E1F82">
        <w:rPr>
          <w:rStyle w:val="FootnoteReference"/>
        </w:rPr>
        <w:footnoteReference w:id="14"/>
      </w:r>
      <w:r w:rsidR="00536279">
        <w:t xml:space="preserve">  Given </w:t>
      </w:r>
      <w:r w:rsidR="003A3B9C">
        <w:t>the current network outages</w:t>
      </w:r>
      <w:r w:rsidR="00536279">
        <w:t>,</w:t>
      </w:r>
      <w:r w:rsidR="00C16EA6">
        <w:rPr>
          <w:rStyle w:val="FootnoteReference"/>
        </w:rPr>
        <w:footnoteReference w:id="15"/>
      </w:r>
      <w:r w:rsidR="00536279">
        <w:t xml:space="preserve"> </w:t>
      </w:r>
      <w:r w:rsidR="00384370">
        <w:t xml:space="preserve">we </w:t>
      </w:r>
      <w:r w:rsidR="00C42C5A">
        <w:t xml:space="preserve">conclude that </w:t>
      </w:r>
      <w:r w:rsidR="00DA7DB7">
        <w:t xml:space="preserve">it is not possible to collect data by the deadline that will be meaningful for purposes of establishing the map of </w:t>
      </w:r>
      <w:r w:rsidR="00DA7DB7" w:rsidRPr="009E243E">
        <w:rPr>
          <w:szCs w:val="22"/>
        </w:rPr>
        <w:t xml:space="preserve">areas </w:t>
      </w:r>
      <w:r w:rsidR="00DA7DB7">
        <w:t>on Puerto Rico and the U.S. Virgin Islands</w:t>
      </w:r>
      <w:r w:rsidR="00DA7DB7" w:rsidRPr="009E243E">
        <w:rPr>
          <w:szCs w:val="22"/>
        </w:rPr>
        <w:t xml:space="preserve"> </w:t>
      </w:r>
      <w:r w:rsidR="00DA7DB7">
        <w:rPr>
          <w:szCs w:val="22"/>
        </w:rPr>
        <w:t xml:space="preserve">that would be </w:t>
      </w:r>
      <w:r w:rsidR="00DA7DB7" w:rsidRPr="009E243E">
        <w:rPr>
          <w:szCs w:val="22"/>
        </w:rPr>
        <w:t>presumptively eligible for MF-II support</w:t>
      </w:r>
      <w:r w:rsidR="00E67E71">
        <w:rPr>
          <w:szCs w:val="22"/>
        </w:rPr>
        <w:t>.</w:t>
      </w:r>
      <w:r w:rsidR="00DA7DB7">
        <w:t xml:space="preserve">  </w:t>
      </w:r>
      <w:r w:rsidR="00E67E71">
        <w:t>Moreover, we do not believe the public interest in ensuring efficient targeting of funding for areas that lack unsubsidized qualified 4G LTE service would be served by relying on coverage data that would be affected by the massive outages caused by these two hurricanes.</w:t>
      </w:r>
      <w:r w:rsidR="00E67E71">
        <w:rPr>
          <w:rStyle w:val="FootnoteReference"/>
        </w:rPr>
        <w:footnoteReference w:id="16"/>
      </w:r>
      <w:r w:rsidR="00E67E71">
        <w:t xml:space="preserve">  </w:t>
      </w:r>
      <w:r w:rsidR="00DA7DB7">
        <w:t xml:space="preserve">We therefore conclude that </w:t>
      </w:r>
      <w:r w:rsidR="00C42C5A">
        <w:t>a temporary delay of this requirement will</w:t>
      </w:r>
      <w:r w:rsidR="00C343C2">
        <w:t xml:space="preserve"> </w:t>
      </w:r>
      <w:r w:rsidR="00584EAB">
        <w:t xml:space="preserve">allow the Commission </w:t>
      </w:r>
      <w:r w:rsidR="00E478B3">
        <w:t xml:space="preserve">adequate time </w:t>
      </w:r>
      <w:r w:rsidR="00584EAB">
        <w:t>to consider the best way to provide future on-going support for mobile voice and broadband coverage on these islands</w:t>
      </w:r>
      <w:r w:rsidR="00580455">
        <w:t>.</w:t>
      </w:r>
      <w:r w:rsidR="00EE084D">
        <w:t xml:space="preserve">  </w:t>
      </w:r>
    </w:p>
    <w:p w14:paraId="5C924F14" w14:textId="311A3510" w:rsidR="00747478" w:rsidRDefault="004D670E" w:rsidP="00747478">
      <w:pPr>
        <w:pStyle w:val="ParaNum"/>
      </w:pPr>
      <w:r>
        <w:t xml:space="preserve">We find </w:t>
      </w:r>
      <w:r w:rsidR="008A5DA4">
        <w:t xml:space="preserve">that </w:t>
      </w:r>
      <w:r w:rsidR="00EE084D">
        <w:t>the waiver</w:t>
      </w:r>
      <w:r w:rsidR="00BE29D4">
        <w:t xml:space="preserve"> period </w:t>
      </w:r>
      <w:r w:rsidR="00EE084D">
        <w:t>i</w:t>
      </w:r>
      <w:r w:rsidR="008A5DA4">
        <w:t xml:space="preserve">s an appropriate timeframe for delaying the </w:t>
      </w:r>
      <w:r w:rsidR="00AB1529">
        <w:t xml:space="preserve">submission </w:t>
      </w:r>
      <w:r w:rsidR="008A5DA4">
        <w:t>of the required data</w:t>
      </w:r>
      <w:r>
        <w:t xml:space="preserve"> </w:t>
      </w:r>
      <w:r w:rsidR="00587348">
        <w:t xml:space="preserve">to allow </w:t>
      </w:r>
      <w:r w:rsidR="003A3B9C">
        <w:t xml:space="preserve">the Commission to determine, </w:t>
      </w:r>
      <w:r>
        <w:t>in light of the widespread destruction that has taken place in these areas</w:t>
      </w:r>
      <w:r w:rsidR="003A3B9C">
        <w:t>, the appropriate path forward</w:t>
      </w:r>
      <w:r w:rsidR="008A5DA4">
        <w:t>.</w:t>
      </w:r>
      <w:r w:rsidR="00E617BE">
        <w:rPr>
          <w:rStyle w:val="FootnoteReference"/>
        </w:rPr>
        <w:footnoteReference w:id="17"/>
      </w:r>
      <w:r w:rsidR="008A5DA4">
        <w:t xml:space="preserve">  </w:t>
      </w:r>
      <w:r w:rsidR="00701F2D">
        <w:t>By taking this action</w:t>
      </w:r>
      <w:r w:rsidR="00371C10">
        <w:t>,</w:t>
      </w:r>
      <w:r w:rsidR="00701F2D">
        <w:t xml:space="preserve"> we </w:t>
      </w:r>
      <w:r w:rsidR="00587348">
        <w:t xml:space="preserve">make no determination regarding how </w:t>
      </w:r>
      <w:r w:rsidR="008A5DA4">
        <w:t xml:space="preserve">the Commission may address </w:t>
      </w:r>
      <w:r w:rsidR="00345915">
        <w:t xml:space="preserve">future </w:t>
      </w:r>
      <w:r w:rsidR="00955DD1">
        <w:t>universal service funding</w:t>
      </w:r>
      <w:r w:rsidR="00D15B9D">
        <w:t>, including the Mobility Fund, for Puerto R</w:t>
      </w:r>
      <w:r w:rsidR="008D784E">
        <w:t>ico and the U.S. Virgin Islands</w:t>
      </w:r>
      <w:r w:rsidR="008A5DA4">
        <w:t xml:space="preserve">.  </w:t>
      </w:r>
      <w:r w:rsidR="00F03DAA">
        <w:t xml:space="preserve">Indeed, no further determination will be made </w:t>
      </w:r>
      <w:r w:rsidR="00E67E71">
        <w:t xml:space="preserve">on </w:t>
      </w:r>
      <w:r w:rsidR="00F03DAA">
        <w:t xml:space="preserve">how to proceed with the Mobility Fund for these areas until </w:t>
      </w:r>
      <w:r w:rsidR="00E478B3">
        <w:t>further Commission action</w:t>
      </w:r>
      <w:r w:rsidR="00F03DAA">
        <w:t>.</w:t>
      </w:r>
    </w:p>
    <w:p w14:paraId="73F09325" w14:textId="77777777" w:rsidR="00747478" w:rsidRDefault="00747478" w:rsidP="00747478">
      <w:pPr>
        <w:pStyle w:val="Heading1"/>
        <w:tabs>
          <w:tab w:val="left" w:pos="720"/>
        </w:tabs>
      </w:pPr>
      <w:r>
        <w:t>Ordering Clauses</w:t>
      </w:r>
    </w:p>
    <w:p w14:paraId="6F49ED52" w14:textId="38BC703D" w:rsidR="00747478" w:rsidRPr="00C64EA3" w:rsidRDefault="00C64EA3" w:rsidP="00230700">
      <w:pPr>
        <w:pStyle w:val="ParaNum"/>
        <w:widowControl/>
      </w:pPr>
      <w:r>
        <w:t>Accordingly, IT IS ORDERED that pursuant to Section 1.3 of the Commission’s rules, 47</w:t>
      </w:r>
      <w:r w:rsidR="009410ED">
        <w:t> </w:t>
      </w:r>
      <w:r>
        <w:t xml:space="preserve">CFR § 1.3, </w:t>
      </w:r>
      <w:r w:rsidR="0039593F" w:rsidRPr="00B73C0C">
        <w:t xml:space="preserve">and pursuant to the authority delegated under </w:t>
      </w:r>
      <w:r w:rsidR="00F03DAA">
        <w:t>S</w:t>
      </w:r>
      <w:r w:rsidR="0039593F" w:rsidRPr="00C7200D">
        <w:t>ections 0.91, 0.131, 0.291, and 0.331 of the Commission’s rules, 47 CFR §§ 0.91, 0.131, 0.291, 0.331</w:t>
      </w:r>
      <w:r w:rsidR="0039593F">
        <w:t xml:space="preserve">, </w:t>
      </w:r>
      <w:r>
        <w:t xml:space="preserve">the </w:t>
      </w:r>
      <w:r w:rsidR="00580455">
        <w:t>deadline</w:t>
      </w:r>
      <w:r>
        <w:t xml:space="preserve"> to submit </w:t>
      </w:r>
      <w:r w:rsidR="00DA21D3">
        <w:t xml:space="preserve">information </w:t>
      </w:r>
      <w:r w:rsidR="003102D0">
        <w:t>in connection with the</w:t>
      </w:r>
      <w:r w:rsidR="00DA21D3">
        <w:t xml:space="preserve"> </w:t>
      </w:r>
      <w:r w:rsidR="003102D0">
        <w:t xml:space="preserve">one-time </w:t>
      </w:r>
      <w:r>
        <w:t xml:space="preserve">4G LTE </w:t>
      </w:r>
      <w:r w:rsidR="003102D0">
        <w:t>data collection established in</w:t>
      </w:r>
      <w:r>
        <w:t xml:space="preserve"> the </w:t>
      </w:r>
      <w:r w:rsidRPr="006A084F">
        <w:rPr>
          <w:i/>
          <w:szCs w:val="22"/>
        </w:rPr>
        <w:t>MF-II Challenge Process Order</w:t>
      </w:r>
      <w:r>
        <w:rPr>
          <w:szCs w:val="22"/>
        </w:rPr>
        <w:t xml:space="preserve"> IS WAIVED to the extent described above.</w:t>
      </w:r>
    </w:p>
    <w:p w14:paraId="02225ECD" w14:textId="77777777" w:rsidR="00C64EA3" w:rsidRDefault="001E6449" w:rsidP="00DA21D3">
      <w:pPr>
        <w:pStyle w:val="ParaNum"/>
        <w:keepNext/>
        <w:keepLines/>
        <w:widowControl/>
      </w:pPr>
      <w:r>
        <w:t>IT IS FURTHER ORDERED that, pursuant to Section 1.102(b)(1) of the Commission’s rules, 47 CFR § 1.102(b)(1), this Order SHALL BE EFFECTIVE upon release.</w:t>
      </w:r>
    </w:p>
    <w:p w14:paraId="1807824D" w14:textId="77777777" w:rsidR="00747478" w:rsidRDefault="00747478" w:rsidP="00DA21D3">
      <w:pPr>
        <w:pStyle w:val="ParaNum"/>
        <w:keepNext/>
        <w:keepLines/>
        <w:widowControl/>
        <w:numPr>
          <w:ilvl w:val="0"/>
          <w:numId w:val="0"/>
        </w:numPr>
        <w:ind w:firstLine="720"/>
      </w:pPr>
    </w:p>
    <w:p w14:paraId="731E902C" w14:textId="77777777" w:rsidR="00747478" w:rsidRDefault="00747478" w:rsidP="00DA21D3">
      <w:pPr>
        <w:pStyle w:val="ParaNum"/>
        <w:keepNext/>
        <w:keepLines/>
        <w:widowControl/>
        <w:numPr>
          <w:ilvl w:val="0"/>
          <w:numId w:val="0"/>
        </w:numPr>
        <w:spacing w:after="0"/>
        <w:ind w:left="3600" w:firstLine="720"/>
      </w:pPr>
      <w:r>
        <w:t>FEDERAL COMMUNICATIONS COMMISSION</w:t>
      </w:r>
    </w:p>
    <w:p w14:paraId="768DDDC5" w14:textId="77777777" w:rsidR="00747478" w:rsidRDefault="00747478" w:rsidP="00DA21D3">
      <w:pPr>
        <w:pStyle w:val="ParaNum"/>
        <w:keepNext/>
        <w:keepLines/>
        <w:widowControl/>
        <w:numPr>
          <w:ilvl w:val="0"/>
          <w:numId w:val="0"/>
        </w:numPr>
        <w:spacing w:after="0"/>
        <w:ind w:left="3600" w:firstLine="720"/>
      </w:pPr>
    </w:p>
    <w:p w14:paraId="3B81BD16" w14:textId="77777777" w:rsidR="00747478" w:rsidRDefault="00747478" w:rsidP="00DA21D3">
      <w:pPr>
        <w:pStyle w:val="ParaNum"/>
        <w:keepNext/>
        <w:keepLines/>
        <w:widowControl/>
        <w:numPr>
          <w:ilvl w:val="0"/>
          <w:numId w:val="0"/>
        </w:numPr>
        <w:spacing w:after="0"/>
        <w:ind w:left="3600" w:firstLine="720"/>
      </w:pPr>
    </w:p>
    <w:p w14:paraId="7B3FCBD5" w14:textId="77777777" w:rsidR="00C64EA3" w:rsidRDefault="00C64EA3" w:rsidP="00DA21D3">
      <w:pPr>
        <w:pStyle w:val="ParaNum"/>
        <w:keepNext/>
        <w:keepLines/>
        <w:widowControl/>
        <w:numPr>
          <w:ilvl w:val="0"/>
          <w:numId w:val="0"/>
        </w:numPr>
        <w:spacing w:after="0"/>
        <w:ind w:left="3600" w:firstLine="720"/>
      </w:pPr>
    </w:p>
    <w:p w14:paraId="597B9839" w14:textId="77777777" w:rsidR="00C64EA3" w:rsidRDefault="00C64EA3" w:rsidP="00DA21D3">
      <w:pPr>
        <w:pStyle w:val="ParaNum"/>
        <w:keepNext/>
        <w:keepLines/>
        <w:widowControl/>
        <w:numPr>
          <w:ilvl w:val="0"/>
          <w:numId w:val="0"/>
        </w:numPr>
        <w:spacing w:after="0"/>
        <w:ind w:left="3600" w:firstLine="720"/>
      </w:pPr>
    </w:p>
    <w:p w14:paraId="758BA7A2" w14:textId="77777777" w:rsidR="00747478" w:rsidRDefault="00747478" w:rsidP="00DA21D3">
      <w:pPr>
        <w:pStyle w:val="ParaNum"/>
        <w:keepNext/>
        <w:keepLines/>
        <w:widowControl/>
        <w:numPr>
          <w:ilvl w:val="0"/>
          <w:numId w:val="0"/>
        </w:numPr>
        <w:spacing w:after="0"/>
        <w:ind w:left="3600" w:firstLine="720"/>
      </w:pPr>
      <w:r>
        <w:t>Donald Stockdale</w:t>
      </w:r>
    </w:p>
    <w:p w14:paraId="09AAE565" w14:textId="77777777" w:rsidR="00C64EA3" w:rsidRDefault="00747478" w:rsidP="00DA21D3">
      <w:pPr>
        <w:pStyle w:val="ParaNum"/>
        <w:keepNext/>
        <w:keepLines/>
        <w:widowControl/>
        <w:numPr>
          <w:ilvl w:val="0"/>
          <w:numId w:val="0"/>
        </w:numPr>
        <w:spacing w:after="0"/>
        <w:ind w:left="3600" w:firstLine="720"/>
      </w:pPr>
      <w:r>
        <w:t>Chief</w:t>
      </w:r>
    </w:p>
    <w:p w14:paraId="7C2F0AC3" w14:textId="77777777" w:rsidR="00747478" w:rsidRDefault="00747478" w:rsidP="00DA21D3">
      <w:pPr>
        <w:pStyle w:val="ParaNum"/>
        <w:keepNext/>
        <w:keepLines/>
        <w:widowControl/>
        <w:numPr>
          <w:ilvl w:val="0"/>
          <w:numId w:val="0"/>
        </w:numPr>
        <w:spacing w:after="0"/>
        <w:ind w:left="3600" w:firstLine="720"/>
      </w:pPr>
      <w:r>
        <w:t>Wireless Telecommunications Bureau</w:t>
      </w:r>
    </w:p>
    <w:p w14:paraId="33BCC816" w14:textId="77777777" w:rsidR="00C64EA3" w:rsidRDefault="00C64EA3" w:rsidP="00DA21D3">
      <w:pPr>
        <w:pStyle w:val="ParaNum"/>
        <w:keepNext/>
        <w:keepLines/>
        <w:widowControl/>
        <w:numPr>
          <w:ilvl w:val="0"/>
          <w:numId w:val="0"/>
        </w:numPr>
        <w:spacing w:after="0"/>
        <w:ind w:left="3600" w:firstLine="720"/>
      </w:pPr>
    </w:p>
    <w:p w14:paraId="6C54C789" w14:textId="77777777" w:rsidR="00C64EA3" w:rsidRDefault="00C64EA3" w:rsidP="00DA21D3">
      <w:pPr>
        <w:pStyle w:val="ParaNum"/>
        <w:keepNext/>
        <w:keepLines/>
        <w:widowControl/>
        <w:numPr>
          <w:ilvl w:val="0"/>
          <w:numId w:val="0"/>
        </w:numPr>
        <w:spacing w:after="0"/>
        <w:ind w:left="3600" w:firstLine="720"/>
      </w:pPr>
    </w:p>
    <w:p w14:paraId="0B77C0EB" w14:textId="77777777" w:rsidR="00C64EA3" w:rsidRDefault="00C64EA3" w:rsidP="00DA21D3">
      <w:pPr>
        <w:pStyle w:val="ParaNum"/>
        <w:keepNext/>
        <w:keepLines/>
        <w:widowControl/>
        <w:numPr>
          <w:ilvl w:val="0"/>
          <w:numId w:val="0"/>
        </w:numPr>
        <w:spacing w:after="0"/>
        <w:ind w:left="3600" w:firstLine="720"/>
      </w:pPr>
    </w:p>
    <w:p w14:paraId="0C30AB73" w14:textId="77777777" w:rsidR="00C64EA3" w:rsidRDefault="00C64EA3" w:rsidP="00DA21D3">
      <w:pPr>
        <w:pStyle w:val="ParaNum"/>
        <w:keepNext/>
        <w:keepLines/>
        <w:widowControl/>
        <w:numPr>
          <w:ilvl w:val="0"/>
          <w:numId w:val="0"/>
        </w:numPr>
        <w:spacing w:after="0"/>
        <w:ind w:left="3600" w:firstLine="720"/>
      </w:pPr>
    </w:p>
    <w:p w14:paraId="422E1778" w14:textId="77777777" w:rsidR="00C64EA3" w:rsidRDefault="00C64EA3" w:rsidP="00DA21D3">
      <w:pPr>
        <w:pStyle w:val="ParaNum"/>
        <w:keepNext/>
        <w:keepLines/>
        <w:widowControl/>
        <w:numPr>
          <w:ilvl w:val="0"/>
          <w:numId w:val="0"/>
        </w:numPr>
        <w:spacing w:after="0"/>
        <w:ind w:left="3600" w:firstLine="720"/>
      </w:pPr>
      <w:r>
        <w:t xml:space="preserve">Kris </w:t>
      </w:r>
      <w:r w:rsidR="001E6449">
        <w:t xml:space="preserve">Anne </w:t>
      </w:r>
      <w:r>
        <w:t>Monteith</w:t>
      </w:r>
    </w:p>
    <w:p w14:paraId="7D473560" w14:textId="77777777" w:rsidR="00C64EA3" w:rsidRDefault="00C64EA3" w:rsidP="00DA21D3">
      <w:pPr>
        <w:pStyle w:val="ParaNum"/>
        <w:keepNext/>
        <w:keepLines/>
        <w:widowControl/>
        <w:numPr>
          <w:ilvl w:val="0"/>
          <w:numId w:val="0"/>
        </w:numPr>
        <w:spacing w:after="0"/>
        <w:ind w:left="3600" w:firstLine="720"/>
      </w:pPr>
      <w:r>
        <w:t>Chief</w:t>
      </w:r>
    </w:p>
    <w:p w14:paraId="7D73D3CE" w14:textId="19329F6F" w:rsidR="00C64EA3" w:rsidRPr="00747478" w:rsidRDefault="00C64EA3" w:rsidP="00DA21D3">
      <w:pPr>
        <w:pStyle w:val="ParaNum"/>
        <w:keepNext/>
        <w:keepLines/>
        <w:widowControl/>
        <w:numPr>
          <w:ilvl w:val="0"/>
          <w:numId w:val="0"/>
        </w:numPr>
        <w:spacing w:after="0"/>
        <w:ind w:left="3600" w:firstLine="720"/>
      </w:pPr>
      <w:r>
        <w:t>Wireline Competition Bureau</w:t>
      </w:r>
    </w:p>
    <w:sectPr w:rsidR="00C64EA3" w:rsidRPr="0074747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AA875" w14:textId="77777777" w:rsidR="004E6609" w:rsidRDefault="004E6609">
      <w:pPr>
        <w:spacing w:line="20" w:lineRule="exact"/>
      </w:pPr>
    </w:p>
  </w:endnote>
  <w:endnote w:type="continuationSeparator" w:id="0">
    <w:p w14:paraId="2909AE33" w14:textId="77777777" w:rsidR="004E6609" w:rsidRDefault="004E6609">
      <w:r>
        <w:t xml:space="preserve"> </w:t>
      </w:r>
    </w:p>
  </w:endnote>
  <w:endnote w:type="continuationNotice" w:id="1">
    <w:p w14:paraId="2C788A03" w14:textId="77777777" w:rsidR="004E6609" w:rsidRDefault="004E66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2DC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617E15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F6D5" w14:textId="44F24C9E" w:rsidR="00D25FB5" w:rsidRDefault="00D25FB5" w:rsidP="0055614C">
    <w:pPr>
      <w:pStyle w:val="Footer"/>
      <w:framePr w:wrap="around" w:vAnchor="text" w:hAnchor="margin" w:xAlign="center" w:y="1"/>
    </w:pPr>
    <w:r>
      <w:fldChar w:fldCharType="begin"/>
    </w:r>
    <w:r>
      <w:instrText xml:space="preserve">PAGE  </w:instrText>
    </w:r>
    <w:r>
      <w:fldChar w:fldCharType="separate"/>
    </w:r>
    <w:r w:rsidR="000022A7">
      <w:rPr>
        <w:noProof/>
      </w:rPr>
      <w:t>2</w:t>
    </w:r>
    <w:r>
      <w:fldChar w:fldCharType="end"/>
    </w:r>
  </w:p>
  <w:p w14:paraId="7330246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A9ED"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CF130" w14:textId="77777777" w:rsidR="004E6609" w:rsidRDefault="004E6609">
      <w:r>
        <w:separator/>
      </w:r>
    </w:p>
  </w:footnote>
  <w:footnote w:type="continuationSeparator" w:id="0">
    <w:p w14:paraId="7ACE9BE0" w14:textId="77777777" w:rsidR="004E6609" w:rsidRDefault="004E6609" w:rsidP="00C721AC">
      <w:pPr>
        <w:spacing w:before="120"/>
        <w:rPr>
          <w:sz w:val="20"/>
        </w:rPr>
      </w:pPr>
      <w:r>
        <w:rPr>
          <w:sz w:val="20"/>
        </w:rPr>
        <w:t xml:space="preserve">(Continued from previous page)  </w:t>
      </w:r>
      <w:r>
        <w:rPr>
          <w:sz w:val="20"/>
        </w:rPr>
        <w:separator/>
      </w:r>
    </w:p>
  </w:footnote>
  <w:footnote w:type="continuationNotice" w:id="1">
    <w:p w14:paraId="7AAE0860" w14:textId="6DE7AB92" w:rsidR="004E6609" w:rsidRDefault="004E6609" w:rsidP="00C721AC">
      <w:pPr>
        <w:jc w:val="right"/>
        <w:rPr>
          <w:sz w:val="20"/>
        </w:rPr>
      </w:pPr>
    </w:p>
  </w:footnote>
  <w:footnote w:id="2">
    <w:p w14:paraId="17144D3D" w14:textId="77777777" w:rsidR="00663332" w:rsidRPr="003F0C85" w:rsidRDefault="00663332">
      <w:pPr>
        <w:pStyle w:val="FootnoteText"/>
      </w:pPr>
      <w:r>
        <w:rPr>
          <w:rStyle w:val="FootnoteReference"/>
        </w:rPr>
        <w:footnoteRef/>
      </w:r>
      <w:r>
        <w:t xml:space="preserve"> </w:t>
      </w:r>
      <w:r>
        <w:rPr>
          <w:i/>
        </w:rPr>
        <w:t>Connect America Fund; Universal Service Reform – Mobility Fund</w:t>
      </w:r>
      <w:r>
        <w:t>, Order on Reconsideration and Second Report and Order, 32 FCC Rcd 6282, 6296</w:t>
      </w:r>
      <w:r w:rsidR="003F0C85">
        <w:t>-6314</w:t>
      </w:r>
      <w:r>
        <w:t>, para</w:t>
      </w:r>
      <w:r w:rsidR="003F0C85">
        <w:t>s</w:t>
      </w:r>
      <w:r>
        <w:t>. 2</w:t>
      </w:r>
      <w:r w:rsidR="003F0C85">
        <w:t>7-64</w:t>
      </w:r>
      <w:r>
        <w:t xml:space="preserve"> (2017) (</w:t>
      </w:r>
      <w:r w:rsidRPr="001376AB">
        <w:rPr>
          <w:i/>
        </w:rPr>
        <w:t>MF-II Challenge Process Order</w:t>
      </w:r>
      <w:r w:rsidR="003F0C85">
        <w:t>).</w:t>
      </w:r>
    </w:p>
  </w:footnote>
  <w:footnote w:id="3">
    <w:p w14:paraId="00E3D24A" w14:textId="00EE58CB" w:rsidR="003F0C85" w:rsidRDefault="003F0C85">
      <w:pPr>
        <w:pStyle w:val="FootnoteText"/>
      </w:pPr>
      <w:r>
        <w:rPr>
          <w:rStyle w:val="FootnoteReference"/>
        </w:rPr>
        <w:footnoteRef/>
      </w:r>
      <w:r>
        <w:t xml:space="preserve"> </w:t>
      </w:r>
      <w:r w:rsidR="007413CA">
        <w:rPr>
          <w:i/>
        </w:rPr>
        <w:t>Id.</w:t>
      </w:r>
      <w:r>
        <w:t xml:space="preserve"> at 6287-88, 6296, 6298</w:t>
      </w:r>
      <w:r w:rsidR="00944C9C">
        <w:t>-6303</w:t>
      </w:r>
      <w:r>
        <w:t>, para</w:t>
      </w:r>
      <w:r w:rsidR="00944C9C">
        <w:t>s</w:t>
      </w:r>
      <w:r>
        <w:t xml:space="preserve">. </w:t>
      </w:r>
      <w:r w:rsidR="00BE3D7F">
        <w:t xml:space="preserve">10-11, 28, </w:t>
      </w:r>
      <w:r>
        <w:t>34</w:t>
      </w:r>
      <w:r w:rsidR="00944C9C">
        <w:t>-40</w:t>
      </w:r>
      <w:r>
        <w:t>.</w:t>
      </w:r>
      <w:r w:rsidR="00251F14">
        <w:t xml:space="preserve">  For purposes of MF-II, “qualified 4G LTE service” is defined as mobile wireless service provided using 4G LTE technology with download speeds of at least</w:t>
      </w:r>
      <w:r w:rsidR="00371C10">
        <w:t> </w:t>
      </w:r>
      <w:r w:rsidR="00251F14">
        <w:t>5</w:t>
      </w:r>
      <w:r w:rsidR="00560D6D">
        <w:t> </w:t>
      </w:r>
      <w:r w:rsidR="00251F14">
        <w:t>Mbps</w:t>
      </w:r>
      <w:r w:rsidR="00560D6D">
        <w:t xml:space="preserve"> at the cell edge with 80 percent probability and a 30 percent cell loading factor</w:t>
      </w:r>
      <w:r w:rsidR="00251F14">
        <w:t>.</w:t>
      </w:r>
      <w:r w:rsidR="008F04FC">
        <w:t xml:space="preserve"> </w:t>
      </w:r>
      <w:r w:rsidR="009B2812">
        <w:t xml:space="preserve"> </w:t>
      </w:r>
      <w:r w:rsidR="008D2B7B" w:rsidRPr="008D2B7B">
        <w:rPr>
          <w:i/>
        </w:rPr>
        <w:t>Id</w:t>
      </w:r>
      <w:r w:rsidR="008D2B7B">
        <w:t xml:space="preserve">. at </w:t>
      </w:r>
      <w:r w:rsidR="00560D6D">
        <w:t>6298-6303, paras. 34-40</w:t>
      </w:r>
      <w:r w:rsidR="008D2B7B">
        <w:t>.</w:t>
      </w:r>
    </w:p>
  </w:footnote>
  <w:footnote w:id="4">
    <w:p w14:paraId="726DFFCC" w14:textId="181BFC0C" w:rsidR="00A2082D" w:rsidRDefault="00A2082D">
      <w:pPr>
        <w:pStyle w:val="FootnoteText"/>
      </w:pPr>
      <w:r>
        <w:rPr>
          <w:rStyle w:val="FootnoteReference"/>
        </w:rPr>
        <w:footnoteRef/>
      </w:r>
      <w:r>
        <w:t xml:space="preserve"> </w:t>
      </w:r>
      <w:r w:rsidRPr="00934B52">
        <w:rPr>
          <w:i/>
        </w:rPr>
        <w:t>Id</w:t>
      </w:r>
      <w:r>
        <w:t>. at 6296-97, 6306</w:t>
      </w:r>
      <w:r w:rsidR="00C82AF5">
        <w:t>-09, 6311-12, para</w:t>
      </w:r>
      <w:r w:rsidR="00934B52">
        <w:t>s</w:t>
      </w:r>
      <w:r w:rsidR="00C82AF5">
        <w:t xml:space="preserve">. </w:t>
      </w:r>
      <w:r w:rsidR="00BE3D7F">
        <w:t xml:space="preserve">29-31, 47, 49-51, </w:t>
      </w:r>
      <w:r w:rsidR="00C82AF5">
        <w:t>59</w:t>
      </w:r>
      <w:r w:rsidR="00934B52">
        <w:t>-60</w:t>
      </w:r>
      <w:r>
        <w:t>.</w:t>
      </w:r>
    </w:p>
  </w:footnote>
  <w:footnote w:id="5">
    <w:p w14:paraId="6B7C6A58" w14:textId="16146B01" w:rsidR="00457EEA" w:rsidRDefault="00457EEA" w:rsidP="00457EEA">
      <w:pPr>
        <w:pStyle w:val="FootnoteText"/>
      </w:pPr>
      <w:r>
        <w:rPr>
          <w:rStyle w:val="FootnoteReference"/>
        </w:rPr>
        <w:footnoteRef/>
      </w:r>
      <w:r>
        <w:t xml:space="preserve"> </w:t>
      </w:r>
      <w:r w:rsidRPr="00E4280B">
        <w:rPr>
          <w:i/>
        </w:rPr>
        <w:t>Instructions for Filing 4G LTE Coverage Data to Determine Areas Presumptively Eligible for Mobility Fund II Support</w:t>
      </w:r>
      <w:r>
        <w:t>, Public Notice, 32 FCC Rcd 7023, 7024-28 (WCB/WTB 2017) (</w:t>
      </w:r>
      <w:r w:rsidRPr="00621802">
        <w:rPr>
          <w:i/>
        </w:rPr>
        <w:t>4G LTE Collection Instructions Public Notice</w:t>
      </w:r>
      <w:r>
        <w:t xml:space="preserve">).  </w:t>
      </w:r>
      <w:r w:rsidRPr="009E243E">
        <w:rPr>
          <w:szCs w:val="22"/>
        </w:rPr>
        <w:t xml:space="preserve">As set forth in </w:t>
      </w:r>
      <w:r>
        <w:rPr>
          <w:szCs w:val="22"/>
        </w:rPr>
        <w:t>that public notice</w:t>
      </w:r>
      <w:r w:rsidRPr="009E243E">
        <w:rPr>
          <w:szCs w:val="22"/>
        </w:rPr>
        <w:t>, filers must collect and submit the data no later than 90 days</w:t>
      </w:r>
      <w:r>
        <w:rPr>
          <w:szCs w:val="22"/>
        </w:rPr>
        <w:t xml:space="preserve"> after the Commission published, in the Federal Register, a </w:t>
      </w:r>
      <w:r w:rsidRPr="009E243E">
        <w:rPr>
          <w:szCs w:val="22"/>
        </w:rPr>
        <w:t xml:space="preserve">notice </w:t>
      </w:r>
      <w:r w:rsidRPr="001F5079">
        <w:rPr>
          <w:szCs w:val="22"/>
        </w:rPr>
        <w:t xml:space="preserve">of approval by the Office of Management and Budget (OMB) of the one-time information collection request. </w:t>
      </w:r>
      <w:r>
        <w:rPr>
          <w:szCs w:val="22"/>
        </w:rPr>
        <w:t xml:space="preserve"> </w:t>
      </w:r>
      <w:r w:rsidRPr="00934B52">
        <w:rPr>
          <w:i/>
          <w:szCs w:val="22"/>
        </w:rPr>
        <w:t>Id</w:t>
      </w:r>
      <w:r>
        <w:rPr>
          <w:szCs w:val="22"/>
        </w:rPr>
        <w:t>. at 7023, 7027.</w:t>
      </w:r>
      <w:r w:rsidRPr="001F5079">
        <w:rPr>
          <w:szCs w:val="22"/>
        </w:rPr>
        <w:t xml:space="preserve"> </w:t>
      </w:r>
      <w:r>
        <w:rPr>
          <w:szCs w:val="22"/>
        </w:rPr>
        <w:t xml:space="preserve"> </w:t>
      </w:r>
      <w:r w:rsidRPr="001F5079">
        <w:rPr>
          <w:szCs w:val="22"/>
        </w:rPr>
        <w:t>The Commission published notice of OMB’s approval in the Federal Register on October 5, 2017</w:t>
      </w:r>
      <w:r>
        <w:rPr>
          <w:szCs w:val="22"/>
        </w:rPr>
        <w:t>.</w:t>
      </w:r>
      <w:r w:rsidRPr="009E243E">
        <w:t xml:space="preserve"> </w:t>
      </w:r>
      <w:r>
        <w:t xml:space="preserve"> 82 Fed. Reg. 46494, 46494 (Oct. 5, 2017).</w:t>
      </w:r>
    </w:p>
  </w:footnote>
  <w:footnote w:id="6">
    <w:p w14:paraId="1F08B4B9" w14:textId="316F80FE" w:rsidR="00457EEA" w:rsidRDefault="00457EEA" w:rsidP="00457EEA">
      <w:pPr>
        <w:pStyle w:val="FootnoteText"/>
      </w:pPr>
      <w:r>
        <w:rPr>
          <w:rStyle w:val="FootnoteReference"/>
        </w:rPr>
        <w:footnoteRef/>
      </w:r>
      <w:r>
        <w:t xml:space="preserve"> </w:t>
      </w:r>
      <w:r>
        <w:rPr>
          <w:i/>
        </w:rPr>
        <w:t xml:space="preserve">Responses to the </w:t>
      </w:r>
      <w:r w:rsidRPr="00E4280B">
        <w:rPr>
          <w:i/>
        </w:rPr>
        <w:t xml:space="preserve">Mobility Fund </w:t>
      </w:r>
      <w:r>
        <w:rPr>
          <w:i/>
        </w:rPr>
        <w:t xml:space="preserve">Phase </w:t>
      </w:r>
      <w:r w:rsidRPr="00E4280B">
        <w:rPr>
          <w:i/>
        </w:rPr>
        <w:t>II</w:t>
      </w:r>
      <w:r>
        <w:rPr>
          <w:i/>
        </w:rPr>
        <w:t xml:space="preserve"> </w:t>
      </w:r>
      <w:r w:rsidRPr="00E4280B">
        <w:rPr>
          <w:i/>
        </w:rPr>
        <w:t>4G LTE Data</w:t>
      </w:r>
      <w:r>
        <w:rPr>
          <w:i/>
        </w:rPr>
        <w:t xml:space="preserve"> Collection Are Due by January 4, 2018</w:t>
      </w:r>
      <w:r>
        <w:t xml:space="preserve">, Public Notice, </w:t>
      </w:r>
      <w:r w:rsidR="0069299F">
        <w:t>32 FCC Rcd</w:t>
      </w:r>
      <w:r w:rsidR="00BE3D7F">
        <w:t xml:space="preserve"> </w:t>
      </w:r>
      <w:r w:rsidR="0069299F">
        <w:t>7431</w:t>
      </w:r>
      <w:r>
        <w:t xml:space="preserve"> (WCB/WTB 2017).</w:t>
      </w:r>
    </w:p>
  </w:footnote>
  <w:footnote w:id="7">
    <w:p w14:paraId="3F070C0B" w14:textId="68FDF217" w:rsidR="000B3C71" w:rsidRDefault="000B3C71">
      <w:pPr>
        <w:pStyle w:val="FootnoteText"/>
      </w:pPr>
      <w:r>
        <w:rPr>
          <w:rStyle w:val="FootnoteReference"/>
        </w:rPr>
        <w:footnoteRef/>
      </w:r>
      <w:r>
        <w:t xml:space="preserve"> </w:t>
      </w:r>
      <w:r w:rsidR="0081772A" w:rsidRPr="001376AB">
        <w:rPr>
          <w:i/>
        </w:rPr>
        <w:t>MF-II Challenge Process Order</w:t>
      </w:r>
      <w:r w:rsidR="00457EEA">
        <w:t>, 32 FCC Rcd</w:t>
      </w:r>
      <w:r w:rsidR="00944C9C">
        <w:t xml:space="preserve"> at 6288, </w:t>
      </w:r>
      <w:r w:rsidR="007413CA">
        <w:t xml:space="preserve">6296, 6298-6303, paras. </w:t>
      </w:r>
      <w:r w:rsidR="00BE3D7F">
        <w:t xml:space="preserve">11, 28, </w:t>
      </w:r>
      <w:r w:rsidR="007413CA">
        <w:t>34-40</w:t>
      </w:r>
      <w:r w:rsidR="0081772A">
        <w:t>;</w:t>
      </w:r>
      <w:r w:rsidR="00457EEA" w:rsidRPr="00457EEA">
        <w:rPr>
          <w:i/>
        </w:rPr>
        <w:t xml:space="preserve"> </w:t>
      </w:r>
      <w:r w:rsidR="00457EEA" w:rsidRPr="00621802">
        <w:rPr>
          <w:i/>
        </w:rPr>
        <w:t>4G LTE Collection Instructions Public Notice</w:t>
      </w:r>
      <w:r w:rsidR="00457EEA">
        <w:t>, 32 FCC Rcd at</w:t>
      </w:r>
      <w:r w:rsidR="00884871">
        <w:t xml:space="preserve"> 7024-27</w:t>
      </w:r>
      <w:r w:rsidR="0081772A">
        <w:t>.</w:t>
      </w:r>
    </w:p>
  </w:footnote>
  <w:footnote w:id="8">
    <w:p w14:paraId="1D4456E3" w14:textId="05E85AD9" w:rsidR="002B7D77" w:rsidRDefault="002B7D77">
      <w:pPr>
        <w:pStyle w:val="FootnoteText"/>
      </w:pPr>
      <w:r>
        <w:rPr>
          <w:rStyle w:val="FootnoteReference"/>
        </w:rPr>
        <w:footnoteRef/>
      </w:r>
      <w:r>
        <w:t xml:space="preserve"> </w:t>
      </w:r>
      <w:r w:rsidR="0081772A" w:rsidRPr="00621802">
        <w:rPr>
          <w:i/>
        </w:rPr>
        <w:t>4G LTE Collection Instructions Public Notice</w:t>
      </w:r>
      <w:r>
        <w:t xml:space="preserve">, 32 FCC Rcd </w:t>
      </w:r>
      <w:r w:rsidR="0081772A">
        <w:t>at</w:t>
      </w:r>
      <w:r>
        <w:t xml:space="preserve"> 7027.</w:t>
      </w:r>
    </w:p>
  </w:footnote>
  <w:footnote w:id="9">
    <w:p w14:paraId="69CB2268" w14:textId="2638459A" w:rsidR="00761934" w:rsidRPr="00FA338A" w:rsidRDefault="00761934" w:rsidP="00761934">
      <w:pPr>
        <w:pStyle w:val="FootnoteText"/>
        <w:rPr>
          <w:i/>
        </w:rPr>
      </w:pPr>
      <w:r>
        <w:rPr>
          <w:rStyle w:val="FootnoteReference"/>
        </w:rPr>
        <w:footnoteRef/>
      </w:r>
      <w:r>
        <w:t xml:space="preserve"> </w:t>
      </w:r>
      <w:r w:rsidRPr="00AC28EF">
        <w:rPr>
          <w:i/>
        </w:rPr>
        <w:t>See</w:t>
      </w:r>
      <w:r>
        <w:t xml:space="preserve"> </w:t>
      </w:r>
      <w:r w:rsidRPr="00E02929">
        <w:rPr>
          <w:i/>
        </w:rPr>
        <w:t>Connect America Fund</w:t>
      </w:r>
      <w:r>
        <w:t xml:space="preserve">, Order, </w:t>
      </w:r>
      <w:r w:rsidR="0069299F">
        <w:t>32 FCC Rcd 7981</w:t>
      </w:r>
      <w:r w:rsidR="00BE3D7F">
        <w:t>, 798</w:t>
      </w:r>
      <w:r w:rsidR="00B85123">
        <w:t xml:space="preserve">1, </w:t>
      </w:r>
      <w:r w:rsidR="00BE3D7F">
        <w:t>798</w:t>
      </w:r>
      <w:r w:rsidR="00B85123">
        <w:t>3,</w:t>
      </w:r>
      <w:r>
        <w:t xml:space="preserve"> para</w:t>
      </w:r>
      <w:r w:rsidR="00B85123">
        <w:t>s</w:t>
      </w:r>
      <w:r>
        <w:t xml:space="preserve">. </w:t>
      </w:r>
      <w:r w:rsidR="00B85123">
        <w:t xml:space="preserve">1, </w:t>
      </w:r>
      <w:r>
        <w:t>7 (2017) (</w:t>
      </w:r>
      <w:r w:rsidRPr="00D15B9D">
        <w:rPr>
          <w:i/>
        </w:rPr>
        <w:t>CAF</w:t>
      </w:r>
      <w:r>
        <w:t xml:space="preserve"> </w:t>
      </w:r>
      <w:r w:rsidRPr="005D6C22">
        <w:rPr>
          <w:i/>
        </w:rPr>
        <w:t>PR-USVI Order</w:t>
      </w:r>
      <w:r>
        <w:t>).</w:t>
      </w:r>
    </w:p>
  </w:footnote>
  <w:footnote w:id="10">
    <w:p w14:paraId="30AA4A96" w14:textId="7D169F9D" w:rsidR="00D15B9D" w:rsidRDefault="00D15B9D">
      <w:pPr>
        <w:pStyle w:val="FootnoteText"/>
      </w:pPr>
      <w:r>
        <w:rPr>
          <w:rStyle w:val="FootnoteReference"/>
        </w:rPr>
        <w:footnoteRef/>
      </w:r>
      <w:r>
        <w:t xml:space="preserve"> </w:t>
      </w:r>
      <w:r w:rsidRPr="00D15B9D">
        <w:rPr>
          <w:i/>
        </w:rPr>
        <w:t>Id</w:t>
      </w:r>
      <w:r>
        <w:t>.</w:t>
      </w:r>
      <w:r w:rsidR="00B85123">
        <w:t xml:space="preserve"> at </w:t>
      </w:r>
      <w:r w:rsidR="0069299F">
        <w:t>7981</w:t>
      </w:r>
      <w:r w:rsidR="00B85123">
        <w:t xml:space="preserve">, </w:t>
      </w:r>
      <w:r w:rsidR="0069299F">
        <w:t>798</w:t>
      </w:r>
      <w:r w:rsidR="00B85123">
        <w:t>3, paras. 1-2, 7, 9</w:t>
      </w:r>
      <w:r w:rsidR="00C16A0A">
        <w:t>;</w:t>
      </w:r>
      <w:r w:rsidR="00903A83">
        <w:t xml:space="preserve"> </w:t>
      </w:r>
      <w:r w:rsidR="00F52162">
        <w:t xml:space="preserve">Jeremy Peters, </w:t>
      </w:r>
      <w:r w:rsidR="00F52162">
        <w:rPr>
          <w:i/>
        </w:rPr>
        <w:t xml:space="preserve">In the Virgin Islands, Hurricane Maria Drowned What Irma Didn’t </w:t>
      </w:r>
      <w:r w:rsidR="00F52162" w:rsidRPr="00B841C1">
        <w:rPr>
          <w:i/>
        </w:rPr>
        <w:t>Destroy</w:t>
      </w:r>
      <w:r w:rsidR="00F52162">
        <w:t xml:space="preserve"> (Sept. 27, 2017), </w:t>
      </w:r>
      <w:r w:rsidR="006C716B" w:rsidRPr="001E4967">
        <w:t>https://www.nytimes.com/2017/09/27/us/hurricane-maria-virgin-islands.html</w:t>
      </w:r>
      <w:r w:rsidR="00F52162">
        <w:t xml:space="preserve">.  </w:t>
      </w:r>
      <w:r w:rsidR="00903A83" w:rsidRPr="00F52162">
        <w:t>Shortly</w:t>
      </w:r>
      <w:r w:rsidR="00903A83">
        <w:t xml:space="preserve"> after the hurricanes</w:t>
      </w:r>
      <w:r w:rsidR="00394BF2">
        <w:t xml:space="preserve"> hit the islands</w:t>
      </w:r>
      <w:r w:rsidR="00903A83">
        <w:t xml:space="preserve">, the Commission’s Public Safety and Homeland Security Bureau reported that, as of October 1, 2017, 88.8 percent of cell sites were out of service in Puerto Rico and 68.9 percent were out of service in the U.S. Virgin Islands.  </w:t>
      </w:r>
      <w:r w:rsidR="00903A83" w:rsidRPr="00903A83">
        <w:rPr>
          <w:i/>
        </w:rPr>
        <w:t>See</w:t>
      </w:r>
      <w:r w:rsidR="00903A83">
        <w:t xml:space="preserve"> FCC, Communications Status Report for Areas Impacted by Hurricane Maria at 2-3 (Oct. 1, 2017)</w:t>
      </w:r>
      <w:r w:rsidR="005731DA">
        <w:t>,</w:t>
      </w:r>
      <w:r w:rsidR="00A87C7A">
        <w:t xml:space="preserve"> </w:t>
      </w:r>
      <w:r w:rsidR="00E15D77" w:rsidRPr="001E4967">
        <w:t>https://apps.fcc.gov/edocs_public/attachmatch/DOC-346989A1.pdf</w:t>
      </w:r>
      <w:r w:rsidR="00903A83">
        <w:t xml:space="preserve">.  More than two months </w:t>
      </w:r>
      <w:r w:rsidR="00E04B5E">
        <w:t>after the hurricanes</w:t>
      </w:r>
      <w:r w:rsidR="00903A83">
        <w:t xml:space="preserve">, </w:t>
      </w:r>
      <w:r w:rsidR="00852543">
        <w:t>25.3</w:t>
      </w:r>
      <w:r w:rsidR="00903A83">
        <w:t xml:space="preserve"> percent of cell sites were still out of service in Puerto Rico and </w:t>
      </w:r>
      <w:r w:rsidR="00852543">
        <w:t>30.3</w:t>
      </w:r>
      <w:r w:rsidR="00903A83">
        <w:t xml:space="preserve"> percent were still out of service in the U.S. Virgin Islands.  </w:t>
      </w:r>
      <w:r w:rsidR="00903A83" w:rsidRPr="00903A83">
        <w:rPr>
          <w:i/>
        </w:rPr>
        <w:t>See</w:t>
      </w:r>
      <w:r w:rsidR="00903A83">
        <w:t xml:space="preserve"> FCC, Communications Status Report for Areas Impacted by Hurricane Maria at 2-3 (</w:t>
      </w:r>
      <w:r w:rsidR="00C63994">
        <w:t>Dec. 1</w:t>
      </w:r>
      <w:r w:rsidR="00903A83">
        <w:t>, 2017)</w:t>
      </w:r>
      <w:r w:rsidR="00E15D77">
        <w:t xml:space="preserve"> (</w:t>
      </w:r>
      <w:r w:rsidR="00C63994">
        <w:rPr>
          <w:i/>
        </w:rPr>
        <w:t>December 1</w:t>
      </w:r>
      <w:r w:rsidR="00E15D77" w:rsidRPr="00E15D77">
        <w:rPr>
          <w:i/>
        </w:rPr>
        <w:t xml:space="preserve"> Status Report</w:t>
      </w:r>
      <w:r w:rsidR="00E15D77">
        <w:t>)</w:t>
      </w:r>
      <w:r w:rsidR="005731DA">
        <w:t xml:space="preserve">, </w:t>
      </w:r>
      <w:r w:rsidR="005731DA" w:rsidRPr="001E4967">
        <w:t>http://transition.fcc.gov/Daily_Releases/Daily_Business/2017/db</w:t>
      </w:r>
      <w:r w:rsidR="00C63994">
        <w:t>1201</w:t>
      </w:r>
      <w:r w:rsidR="005731DA" w:rsidRPr="001E4967">
        <w:t>/DOC-34</w:t>
      </w:r>
      <w:r w:rsidR="00C63994">
        <w:t>8048</w:t>
      </w:r>
      <w:r w:rsidR="005731DA" w:rsidRPr="001E4967">
        <w:t>A1.pdf</w:t>
      </w:r>
      <w:r w:rsidR="00903A83">
        <w:t>.</w:t>
      </w:r>
    </w:p>
  </w:footnote>
  <w:footnote w:id="11">
    <w:p w14:paraId="581F3F2C" w14:textId="6DE6FF5A" w:rsidR="008D784E" w:rsidRPr="00E04B5E" w:rsidRDefault="008D784E">
      <w:pPr>
        <w:pStyle w:val="FootnoteText"/>
      </w:pPr>
      <w:r>
        <w:rPr>
          <w:rStyle w:val="FootnoteReference"/>
        </w:rPr>
        <w:footnoteRef/>
      </w:r>
      <w:r>
        <w:t xml:space="preserve"> </w:t>
      </w:r>
      <w:r>
        <w:rPr>
          <w:i/>
        </w:rPr>
        <w:t xml:space="preserve">See </w:t>
      </w:r>
      <w:r w:rsidR="007F1A71" w:rsidRPr="00D15B9D">
        <w:rPr>
          <w:i/>
        </w:rPr>
        <w:t>CAF</w:t>
      </w:r>
      <w:r w:rsidR="007F1A71">
        <w:t xml:space="preserve"> </w:t>
      </w:r>
      <w:r w:rsidR="007F1A71" w:rsidRPr="005D6C22">
        <w:rPr>
          <w:i/>
        </w:rPr>
        <w:t>PR-USVI Order</w:t>
      </w:r>
      <w:r w:rsidR="0069299F">
        <w:t>, 32 FCC Rcd</w:t>
      </w:r>
      <w:r w:rsidR="00B85123">
        <w:t xml:space="preserve"> at </w:t>
      </w:r>
      <w:r w:rsidR="0069299F">
        <w:t>7983</w:t>
      </w:r>
      <w:r w:rsidR="00B85123">
        <w:t xml:space="preserve">, </w:t>
      </w:r>
      <w:r w:rsidR="0069299F">
        <w:t>798</w:t>
      </w:r>
      <w:r w:rsidR="00B85123">
        <w:t>4</w:t>
      </w:r>
      <w:r w:rsidR="005A7C9B">
        <w:t>-5</w:t>
      </w:r>
      <w:r w:rsidR="00B85123">
        <w:t>,</w:t>
      </w:r>
      <w:r w:rsidR="00761934">
        <w:t xml:space="preserve"> paras. 3, 12. </w:t>
      </w:r>
      <w:r w:rsidR="009C25C7">
        <w:t xml:space="preserve"> </w:t>
      </w:r>
      <w:r w:rsidR="00CF7F67">
        <w:t xml:space="preserve">The Commission also made up to $76.9 million </w:t>
      </w:r>
      <w:r w:rsidR="00345915">
        <w:t xml:space="preserve">in universal service support </w:t>
      </w:r>
      <w:r w:rsidR="00CF7F67">
        <w:t xml:space="preserve">immediately available for the restoration of communications networks in Puerto Rico and the U.S. Virgin Islands.  </w:t>
      </w:r>
      <w:r w:rsidR="00CF7F67" w:rsidRPr="00CF7F67">
        <w:rPr>
          <w:i/>
        </w:rPr>
        <w:t>Id</w:t>
      </w:r>
      <w:r w:rsidR="00CF7F67">
        <w:t xml:space="preserve">. at </w:t>
      </w:r>
      <w:r w:rsidR="0069299F">
        <w:t>7983</w:t>
      </w:r>
      <w:r w:rsidR="00B85123">
        <w:t xml:space="preserve">, para. </w:t>
      </w:r>
      <w:r w:rsidR="00CF7F67">
        <w:t xml:space="preserve">3.  </w:t>
      </w:r>
      <w:r w:rsidR="001B351E">
        <w:t xml:space="preserve">Shortly thereafter, several telecommunications providers </w:t>
      </w:r>
      <w:r w:rsidR="00761934">
        <w:t xml:space="preserve">in Puerto Rico and the U.S. Virgin Islands filed various petitions seeking additional relief of universal service obligations and deadlines due to the extensive damage caused by the </w:t>
      </w:r>
      <w:r w:rsidR="009C25C7">
        <w:t xml:space="preserve">hurricanes.  </w:t>
      </w:r>
      <w:r w:rsidR="009C25C7" w:rsidRPr="009C25C7">
        <w:rPr>
          <w:i/>
        </w:rPr>
        <w:t>See</w:t>
      </w:r>
      <w:r w:rsidR="009C25C7">
        <w:t xml:space="preserve">, </w:t>
      </w:r>
      <w:r w:rsidR="009C25C7" w:rsidRPr="009C25C7">
        <w:rPr>
          <w:i/>
        </w:rPr>
        <w:t>e</w:t>
      </w:r>
      <w:r w:rsidR="009C25C7">
        <w:t>.</w:t>
      </w:r>
      <w:r w:rsidR="009C25C7" w:rsidRPr="009C25C7">
        <w:rPr>
          <w:i/>
        </w:rPr>
        <w:t>g</w:t>
      </w:r>
      <w:r w:rsidR="009C25C7">
        <w:t xml:space="preserve">., </w:t>
      </w:r>
      <w:r w:rsidR="00E04B5E">
        <w:t xml:space="preserve">PRWireless, Inc. d/b/a Open Mobile </w:t>
      </w:r>
      <w:r w:rsidR="009C25C7">
        <w:t>Emergency Petition for Waiver and Other Relief</w:t>
      </w:r>
      <w:r w:rsidR="006A3EFA">
        <w:t xml:space="preserve">, WT Docket No. 10-208, </w:t>
      </w:r>
      <w:r w:rsidR="006A3EFA" w:rsidRPr="00E04B5E">
        <w:t>et al.</w:t>
      </w:r>
      <w:r w:rsidR="006A3EFA">
        <w:t>, at 5-17 (filed</w:t>
      </w:r>
      <w:r w:rsidR="00E617BE">
        <w:t xml:space="preserve"> Oct</w:t>
      </w:r>
      <w:r w:rsidR="006A3EFA">
        <w:t>.</w:t>
      </w:r>
      <w:r w:rsidR="00E617BE">
        <w:t> </w:t>
      </w:r>
      <w:r w:rsidR="009C25C7">
        <w:t>4, 2017</w:t>
      </w:r>
      <w:r w:rsidR="006A3EFA">
        <w:t>)</w:t>
      </w:r>
      <w:r w:rsidR="009C25C7">
        <w:t xml:space="preserve"> (seeking support to rebuild its wireless network in Puerto Rico); </w:t>
      </w:r>
      <w:r w:rsidR="00E04B5E">
        <w:t xml:space="preserve">ATN International, Inc., parent company of Viya Wireless, </w:t>
      </w:r>
      <w:r w:rsidR="009C25C7">
        <w:t>Emergency Petition</w:t>
      </w:r>
      <w:r w:rsidR="006A3EFA">
        <w:t>, WT Docket No. 10-208</w:t>
      </w:r>
      <w:r w:rsidR="006A3EFA" w:rsidRPr="00E04B5E">
        <w:t>, et al. (filed</w:t>
      </w:r>
      <w:r w:rsidR="006A3EFA">
        <w:t xml:space="preserve"> </w:t>
      </w:r>
      <w:r w:rsidR="009C25C7">
        <w:t>Oct</w:t>
      </w:r>
      <w:r w:rsidR="006A3EFA">
        <w:t>.</w:t>
      </w:r>
      <w:r w:rsidR="009C25C7">
        <w:t xml:space="preserve"> 5, 2017</w:t>
      </w:r>
      <w:r w:rsidR="006A3EFA">
        <w:t>)</w:t>
      </w:r>
      <w:r w:rsidR="009C25C7">
        <w:t xml:space="preserve">; </w:t>
      </w:r>
      <w:r w:rsidR="00E04B5E">
        <w:t>Vitelcom Cellular, Inc., d/b/a Viya Wireless, and Choice Communications, LLC, Emergency Petition,</w:t>
      </w:r>
      <w:r w:rsidR="006A3EFA">
        <w:t xml:space="preserve"> WT Docket No. 10-</w:t>
      </w:r>
      <w:r w:rsidR="006A3EFA" w:rsidRPr="00E04B5E">
        <w:t>208, et al., at</w:t>
      </w:r>
      <w:r w:rsidR="006A3EFA">
        <w:t xml:space="preserve"> 9-10 (filed</w:t>
      </w:r>
      <w:r w:rsidR="009C25C7">
        <w:t xml:space="preserve"> Oct</w:t>
      </w:r>
      <w:r w:rsidR="006A3EFA">
        <w:t>.</w:t>
      </w:r>
      <w:r w:rsidR="009C25C7">
        <w:t xml:space="preserve"> 5, 2017</w:t>
      </w:r>
      <w:r w:rsidR="006A3EFA">
        <w:t>)</w:t>
      </w:r>
      <w:r w:rsidR="009C25C7">
        <w:t xml:space="preserve"> (</w:t>
      </w:r>
      <w:r w:rsidR="00482D04">
        <w:t>requesting</w:t>
      </w:r>
      <w:r w:rsidR="009C25C7">
        <w:t xml:space="preserve"> a one-time infusion of $50 million for mobile providers to restore wireless networks in the U.S. Virgin Islands)</w:t>
      </w:r>
      <w:r w:rsidR="001B351E">
        <w:t xml:space="preserve">; </w:t>
      </w:r>
      <w:r w:rsidR="006A3EFA">
        <w:t xml:space="preserve">Telrite Corporation </w:t>
      </w:r>
      <w:r w:rsidR="001B351E">
        <w:t>Emergency Petition</w:t>
      </w:r>
      <w:r w:rsidR="006A3EFA">
        <w:t>, WC Docket No. 10-</w:t>
      </w:r>
      <w:r w:rsidR="006A3EFA" w:rsidRPr="00E04B5E">
        <w:t>90, et al</w:t>
      </w:r>
      <w:r w:rsidR="00E04B5E">
        <w:t xml:space="preserve">. </w:t>
      </w:r>
      <w:r w:rsidR="006A3EFA" w:rsidRPr="00E04B5E">
        <w:t>(filed</w:t>
      </w:r>
      <w:r w:rsidR="006A3EFA">
        <w:t xml:space="preserve"> </w:t>
      </w:r>
      <w:r w:rsidR="001B351E">
        <w:t>Oct</w:t>
      </w:r>
      <w:r w:rsidR="006A3EFA">
        <w:t>.</w:t>
      </w:r>
      <w:r w:rsidR="001B351E">
        <w:t xml:space="preserve"> 6, 2017</w:t>
      </w:r>
      <w:r w:rsidR="006A3EFA">
        <w:t>)</w:t>
      </w:r>
      <w:r w:rsidR="00B85123">
        <w:t>;</w:t>
      </w:r>
      <w:r w:rsidR="009C25C7">
        <w:t xml:space="preserve"> </w:t>
      </w:r>
      <w:r w:rsidR="00B85123">
        <w:rPr>
          <w:i/>
        </w:rPr>
        <w:t>s</w:t>
      </w:r>
      <w:r w:rsidR="009C25C7" w:rsidRPr="009C25C7">
        <w:rPr>
          <w:i/>
        </w:rPr>
        <w:t>ee also</w:t>
      </w:r>
      <w:r w:rsidR="009C25C7">
        <w:t xml:space="preserve"> Comments of the Public Service Commission of the United States Virgin Islands in Response to Emergency Petitions for Waiver in Connections with Hurricanes Irma and Maria</w:t>
      </w:r>
      <w:r w:rsidR="006A3EFA">
        <w:t>,</w:t>
      </w:r>
      <w:r w:rsidR="006A3EFA" w:rsidRPr="006A3EFA">
        <w:t xml:space="preserve"> </w:t>
      </w:r>
      <w:r w:rsidR="006A3EFA">
        <w:t>WT Docket No. 10-</w:t>
      </w:r>
      <w:r w:rsidR="006A3EFA" w:rsidRPr="00E04B5E">
        <w:t>208, et al., at 2</w:t>
      </w:r>
      <w:r w:rsidR="008A7E99" w:rsidRPr="00E04B5E">
        <w:t>-8</w:t>
      </w:r>
      <w:r w:rsidR="006A3EFA" w:rsidRPr="00E04B5E">
        <w:t xml:space="preserve"> (f</w:t>
      </w:r>
      <w:r w:rsidR="009C25C7" w:rsidRPr="00E04B5E">
        <w:t xml:space="preserve">iled </w:t>
      </w:r>
      <w:r w:rsidR="001B351E" w:rsidRPr="00E04B5E">
        <w:t>Nov</w:t>
      </w:r>
      <w:r w:rsidR="006A3EFA" w:rsidRPr="00E04B5E">
        <w:t>.</w:t>
      </w:r>
      <w:r w:rsidR="001B351E" w:rsidRPr="00E04B5E">
        <w:t> </w:t>
      </w:r>
      <w:r w:rsidR="009C25C7" w:rsidRPr="00E04B5E">
        <w:t>13, 2017</w:t>
      </w:r>
      <w:r w:rsidR="006A3EFA" w:rsidRPr="00E04B5E">
        <w:t>)</w:t>
      </w:r>
      <w:r w:rsidR="009C25C7" w:rsidRPr="00E04B5E">
        <w:t xml:space="preserve"> (supporting petitions</w:t>
      </w:r>
      <w:r w:rsidR="001B351E" w:rsidRPr="00E04B5E">
        <w:t xml:space="preserve"> filed by U.S. Virgin Island</w:t>
      </w:r>
      <w:r w:rsidR="00B85123" w:rsidRPr="00E04B5E">
        <w:t>s</w:t>
      </w:r>
      <w:r w:rsidR="001B351E" w:rsidRPr="00E04B5E">
        <w:t xml:space="preserve"> providers</w:t>
      </w:r>
      <w:r w:rsidR="009C25C7" w:rsidRPr="00E04B5E">
        <w:t>).</w:t>
      </w:r>
    </w:p>
  </w:footnote>
  <w:footnote w:id="12">
    <w:p w14:paraId="1CD0E7E9" w14:textId="3C84772E" w:rsidR="00EC6E76" w:rsidRDefault="00EC6E76" w:rsidP="00EC6E76">
      <w:pPr>
        <w:pStyle w:val="FootnoteText"/>
      </w:pPr>
      <w:r>
        <w:rPr>
          <w:rStyle w:val="FootnoteReference"/>
        </w:rPr>
        <w:footnoteRef/>
      </w:r>
      <w:r>
        <w:t xml:space="preserve"> </w:t>
      </w:r>
      <w:r w:rsidRPr="009E02F6">
        <w:t>Generally, the Commission’s rules may be waived for good cause shown.</w:t>
      </w:r>
      <w:r w:rsidRPr="009E02F6">
        <w:rPr>
          <w:rStyle w:val="FootnoteReference"/>
        </w:rPr>
        <w:t xml:space="preserve"> </w:t>
      </w:r>
      <w:r w:rsidRPr="009E02F6">
        <w:t xml:space="preserve"> 47 CFR § 1.3.  The Commission may exercise its discretion to waive a rule where </w:t>
      </w:r>
      <w:r>
        <w:t>“</w:t>
      </w:r>
      <w:r w:rsidRPr="009E02F6">
        <w:t>the particular facts make strict compliance inconsistent with the public interest.</w:t>
      </w:r>
      <w:r>
        <w:t>”</w:t>
      </w:r>
      <w:r w:rsidRPr="009E02F6">
        <w:rPr>
          <w:rStyle w:val="FootnoteReference"/>
        </w:rPr>
        <w:t xml:space="preserve"> </w:t>
      </w:r>
      <w:r w:rsidRPr="009E02F6">
        <w:t xml:space="preserve"> </w:t>
      </w:r>
      <w:r w:rsidRPr="009E02F6">
        <w:rPr>
          <w:i/>
        </w:rPr>
        <w:t>Ne</w:t>
      </w:r>
      <w:r>
        <w:rPr>
          <w:i/>
        </w:rPr>
        <w:t>.</w:t>
      </w:r>
      <w:r w:rsidRPr="009E02F6">
        <w:rPr>
          <w:i/>
        </w:rPr>
        <w:t xml:space="preserve"> Cellular Tel</w:t>
      </w:r>
      <w:r>
        <w:rPr>
          <w:i/>
        </w:rPr>
        <w:t>.</w:t>
      </w:r>
      <w:r w:rsidRPr="009E02F6">
        <w:rPr>
          <w:i/>
        </w:rPr>
        <w:t xml:space="preserve"> Co. v. FCC</w:t>
      </w:r>
      <w:r w:rsidRPr="009E02F6">
        <w:t xml:space="preserve">, 897 F.2d 1164, 1166 (D.C. Cir. 1990).  In addition, the Commission may </w:t>
      </w:r>
      <w:r>
        <w:t>“</w:t>
      </w:r>
      <w:r w:rsidRPr="009E02F6">
        <w:t>take into account considerations of hardship, equity, or more effective implementation of overall policy</w:t>
      </w:r>
      <w:r>
        <w:t>”</w:t>
      </w:r>
      <w:r w:rsidRPr="009E02F6">
        <w:t xml:space="preserve"> on an individual basis.  </w:t>
      </w:r>
      <w:r w:rsidRPr="009E02F6">
        <w:rPr>
          <w:i/>
        </w:rPr>
        <w:t>WAIT Radio v. FCC</w:t>
      </w:r>
      <w:r w:rsidRPr="009E02F6">
        <w:t xml:space="preserve">, 418 F.2d 1153, 1159 (D.C. Cir. 1969).  Waiver of the Commission’s rules is appropriate if special circumstances warrant a deviation from the general rule, and such deviation will serve the public interest.  </w:t>
      </w:r>
      <w:r w:rsidRPr="009E02F6">
        <w:rPr>
          <w:i/>
        </w:rPr>
        <w:t>N</w:t>
      </w:r>
      <w:r>
        <w:rPr>
          <w:i/>
        </w:rPr>
        <w:t>e.</w:t>
      </w:r>
      <w:r w:rsidRPr="009E02F6">
        <w:rPr>
          <w:i/>
        </w:rPr>
        <w:t xml:space="preserve"> Cellular</w:t>
      </w:r>
      <w:r w:rsidRPr="009E02F6">
        <w:t>, 897 F.2d at 1166</w:t>
      </w:r>
      <w:r>
        <w:t>.</w:t>
      </w:r>
    </w:p>
  </w:footnote>
  <w:footnote w:id="13">
    <w:p w14:paraId="23618387" w14:textId="74D24F2A" w:rsidR="00621802" w:rsidRPr="00621802" w:rsidRDefault="00621802">
      <w:pPr>
        <w:pStyle w:val="FootnoteText"/>
      </w:pPr>
      <w:r>
        <w:rPr>
          <w:rStyle w:val="FootnoteReference"/>
        </w:rPr>
        <w:footnoteRef/>
      </w:r>
      <w:r>
        <w:t xml:space="preserve"> </w:t>
      </w:r>
      <w:r w:rsidR="00D23852" w:rsidRPr="00D23852">
        <w:rPr>
          <w:i/>
        </w:rPr>
        <w:t>See</w:t>
      </w:r>
      <w:r w:rsidR="00D23852">
        <w:t xml:space="preserve"> </w:t>
      </w:r>
      <w:r w:rsidRPr="001376AB">
        <w:rPr>
          <w:i/>
        </w:rPr>
        <w:t>MF-II Challenge Process Order</w:t>
      </w:r>
      <w:r>
        <w:t xml:space="preserve">, 32 FCC Rcd at </w:t>
      </w:r>
      <w:r w:rsidR="00D23852">
        <w:t>62</w:t>
      </w:r>
      <w:r>
        <w:t xml:space="preserve">88, 6296, 6298-6303, paras. </w:t>
      </w:r>
      <w:r w:rsidR="00C20033">
        <w:t xml:space="preserve">11, 28, </w:t>
      </w:r>
      <w:r>
        <w:t xml:space="preserve">34-40; </w:t>
      </w:r>
      <w:r w:rsidRPr="00621802">
        <w:rPr>
          <w:i/>
        </w:rPr>
        <w:t>4G LTE Collection Instructions Public Notice</w:t>
      </w:r>
      <w:r>
        <w:t xml:space="preserve">, 32 FCC Rcd at </w:t>
      </w:r>
      <w:r w:rsidR="00D23852">
        <w:t>7024-27</w:t>
      </w:r>
      <w:r>
        <w:t>.</w:t>
      </w:r>
    </w:p>
  </w:footnote>
  <w:footnote w:id="14">
    <w:p w14:paraId="2B010B2C" w14:textId="4CAEF55C" w:rsidR="00F43AAA" w:rsidRDefault="00F43AAA">
      <w:pPr>
        <w:pStyle w:val="FootnoteText"/>
      </w:pPr>
      <w:r>
        <w:rPr>
          <w:rStyle w:val="FootnoteReference"/>
        </w:rPr>
        <w:footnoteRef/>
      </w:r>
      <w:r>
        <w:t xml:space="preserve"> </w:t>
      </w:r>
      <w:r w:rsidR="00536279" w:rsidRPr="00F43AAA">
        <w:rPr>
          <w:i/>
        </w:rPr>
        <w:t>See</w:t>
      </w:r>
      <w:r w:rsidR="00536279">
        <w:t xml:space="preserve">, </w:t>
      </w:r>
      <w:r w:rsidR="00536279" w:rsidRPr="00F43AAA">
        <w:rPr>
          <w:i/>
        </w:rPr>
        <w:t>e</w:t>
      </w:r>
      <w:r w:rsidR="00536279">
        <w:t>.</w:t>
      </w:r>
      <w:r w:rsidR="00536279" w:rsidRPr="00F43AAA">
        <w:rPr>
          <w:i/>
        </w:rPr>
        <w:t>g</w:t>
      </w:r>
      <w:r w:rsidR="00536279">
        <w:t xml:space="preserve">., </w:t>
      </w:r>
      <w:r w:rsidR="00536279" w:rsidRPr="00D15B9D">
        <w:rPr>
          <w:i/>
        </w:rPr>
        <w:t>CAF</w:t>
      </w:r>
      <w:r w:rsidR="00536279">
        <w:t xml:space="preserve"> </w:t>
      </w:r>
      <w:r w:rsidR="00536279" w:rsidRPr="00F43AAA">
        <w:rPr>
          <w:i/>
        </w:rPr>
        <w:t>PR-USVI Order</w:t>
      </w:r>
      <w:r w:rsidR="009410ED">
        <w:t>, 32 FCC Rcd</w:t>
      </w:r>
      <w:r w:rsidR="003D44BB">
        <w:t xml:space="preserve"> at </w:t>
      </w:r>
      <w:r w:rsidR="0069299F">
        <w:t>798</w:t>
      </w:r>
      <w:r w:rsidR="003D44BB">
        <w:t>4-5, para.</w:t>
      </w:r>
      <w:r w:rsidR="00D23852">
        <w:t xml:space="preserve"> </w:t>
      </w:r>
      <w:r w:rsidR="003D44BB">
        <w:t>12</w:t>
      </w:r>
      <w:r w:rsidR="00536279">
        <w:t xml:space="preserve">; </w:t>
      </w:r>
      <w:r w:rsidR="00536279" w:rsidRPr="00F43AAA">
        <w:rPr>
          <w:i/>
        </w:rPr>
        <w:t>Wireless Telecommunications Bureau and Public Safety and Homeland Security Bureau Extend F</w:t>
      </w:r>
      <w:r w:rsidR="00536279">
        <w:rPr>
          <w:i/>
        </w:rPr>
        <w:t>iling and R</w:t>
      </w:r>
      <w:r w:rsidR="00536279" w:rsidRPr="00F43AAA">
        <w:rPr>
          <w:i/>
        </w:rPr>
        <w:t>egulatory Deadlines and Streamline Environmental Notification Process for Areas Affected by Hurricane Maria</w:t>
      </w:r>
      <w:r w:rsidR="00536279">
        <w:t xml:space="preserve">, Public Notice, </w:t>
      </w:r>
      <w:r w:rsidR="0069299F">
        <w:t>32 FCC Rcd 7453</w:t>
      </w:r>
      <w:r w:rsidR="003D44BB">
        <w:t xml:space="preserve">, </w:t>
      </w:r>
      <w:r w:rsidR="0069299F">
        <w:t>7453-55</w:t>
      </w:r>
      <w:r w:rsidR="00536279">
        <w:t xml:space="preserve"> (</w:t>
      </w:r>
      <w:r w:rsidR="003D44BB">
        <w:t xml:space="preserve">WTB/PSHSB </w:t>
      </w:r>
      <w:r w:rsidR="00536279">
        <w:t xml:space="preserve">2017) </w:t>
      </w:r>
      <w:r w:rsidR="00106C64">
        <w:t>(</w:t>
      </w:r>
      <w:r w:rsidR="00106C64" w:rsidRPr="00106C64">
        <w:rPr>
          <w:i/>
        </w:rPr>
        <w:t>PR-USVI Public Notice</w:t>
      </w:r>
      <w:r w:rsidR="00106C64">
        <w:t>)</w:t>
      </w:r>
      <w:r>
        <w:t>.</w:t>
      </w:r>
    </w:p>
  </w:footnote>
  <w:footnote w:id="15">
    <w:p w14:paraId="6D20566F" w14:textId="119D4261" w:rsidR="00C16EA6" w:rsidRPr="003F45BD" w:rsidRDefault="00C16EA6">
      <w:pPr>
        <w:pStyle w:val="FootnoteText"/>
      </w:pPr>
      <w:r>
        <w:rPr>
          <w:rStyle w:val="FootnoteReference"/>
        </w:rPr>
        <w:footnoteRef/>
      </w:r>
      <w:r>
        <w:t xml:space="preserve"> As of </w:t>
      </w:r>
      <w:r w:rsidR="00DD313E">
        <w:t>December 1,</w:t>
      </w:r>
      <w:r>
        <w:t xml:space="preserve"> 2017, wireless providers </w:t>
      </w:r>
      <w:r w:rsidR="003F45BD">
        <w:t xml:space="preserve">report that, while progress in restoring coverage is being made, many cell sites remain out of service throughout the islands.  </w:t>
      </w:r>
      <w:r w:rsidR="003F45BD">
        <w:rPr>
          <w:i/>
        </w:rPr>
        <w:t xml:space="preserve">See, e.g., </w:t>
      </w:r>
      <w:r w:rsidR="00CB4874">
        <w:rPr>
          <w:i/>
        </w:rPr>
        <w:t xml:space="preserve">December 1 </w:t>
      </w:r>
      <w:r w:rsidR="00E15D77">
        <w:rPr>
          <w:i/>
        </w:rPr>
        <w:t xml:space="preserve">Status Report </w:t>
      </w:r>
      <w:r w:rsidR="00E15D77">
        <w:t>at 2-3</w:t>
      </w:r>
      <w:r w:rsidR="00EE084D">
        <w:t>.</w:t>
      </w:r>
    </w:p>
  </w:footnote>
  <w:footnote w:id="16">
    <w:p w14:paraId="5F55AC8F" w14:textId="2C8C4C1E" w:rsidR="00E67E71" w:rsidRDefault="00E67E71" w:rsidP="00E67E71">
      <w:pPr>
        <w:pStyle w:val="FootnoteText"/>
      </w:pPr>
      <w:r>
        <w:rPr>
          <w:rStyle w:val="FootnoteReference"/>
        </w:rPr>
        <w:footnoteRef/>
      </w:r>
      <w:r>
        <w:t xml:space="preserve"> </w:t>
      </w:r>
      <w:r w:rsidRPr="00EE084D">
        <w:rPr>
          <w:i/>
        </w:rPr>
        <w:t>See</w:t>
      </w:r>
      <w:r>
        <w:t xml:space="preserve">, </w:t>
      </w:r>
      <w:r w:rsidRPr="00EE084D">
        <w:rPr>
          <w:i/>
        </w:rPr>
        <w:t>e</w:t>
      </w:r>
      <w:r>
        <w:t>.</w:t>
      </w:r>
      <w:r w:rsidRPr="00EE084D">
        <w:rPr>
          <w:i/>
        </w:rPr>
        <w:t>g</w:t>
      </w:r>
      <w:r>
        <w:t xml:space="preserve">., </w:t>
      </w:r>
      <w:r w:rsidRPr="00EE084D">
        <w:rPr>
          <w:i/>
        </w:rPr>
        <w:t>id</w:t>
      </w:r>
      <w:r>
        <w:t xml:space="preserve">. </w:t>
      </w:r>
      <w:r w:rsidR="009830F2">
        <w:t xml:space="preserve">at 2-3, 7 </w:t>
      </w:r>
      <w:r>
        <w:t>(</w:t>
      </w:r>
      <w:r w:rsidR="00E15D77">
        <w:t xml:space="preserve">stating that, </w:t>
      </w:r>
      <w:r>
        <w:t xml:space="preserve">in Puerto Rico, </w:t>
      </w:r>
      <w:r w:rsidR="00D27020">
        <w:t xml:space="preserve">13 </w:t>
      </w:r>
      <w:r>
        <w:t>counties have greater than 50</w:t>
      </w:r>
      <w:r w:rsidR="00E04B5E">
        <w:t xml:space="preserve"> percent</w:t>
      </w:r>
      <w:r>
        <w:t xml:space="preserve"> of their cell sites out of service, and</w:t>
      </w:r>
      <w:r w:rsidR="009830F2">
        <w:t xml:space="preserve"> that,</w:t>
      </w:r>
      <w:r>
        <w:t xml:space="preserve"> in the U.S. Virgin Islands, two islands have greater than </w:t>
      </w:r>
      <w:r w:rsidR="00D27020">
        <w:t>25</w:t>
      </w:r>
      <w:r w:rsidR="00E04B5E">
        <w:t xml:space="preserve"> percent </w:t>
      </w:r>
      <w:r>
        <w:t>of their cell sites out of service</w:t>
      </w:r>
      <w:r w:rsidR="00D27020">
        <w:t xml:space="preserve"> and the third has greater than 66 percent of its cell sites out of service</w:t>
      </w:r>
      <w:r>
        <w:t>).</w:t>
      </w:r>
    </w:p>
  </w:footnote>
  <w:footnote w:id="17">
    <w:p w14:paraId="55935C04" w14:textId="1D50E801" w:rsidR="00E617BE" w:rsidRPr="00106C64" w:rsidRDefault="00E617BE">
      <w:pPr>
        <w:pStyle w:val="FootnoteText"/>
      </w:pPr>
      <w:r>
        <w:rPr>
          <w:rStyle w:val="FootnoteReference"/>
        </w:rPr>
        <w:footnoteRef/>
      </w:r>
      <w:r>
        <w:t xml:space="preserve"> The grant of an additional 180 days is consistent with the</w:t>
      </w:r>
      <w:r w:rsidR="003D44BB">
        <w:t xml:space="preserve"> waiver</w:t>
      </w:r>
      <w:r w:rsidR="00106C64">
        <w:t xml:space="preserve"> of other deadlines by the Commission.  </w:t>
      </w:r>
      <w:r w:rsidR="00106C64" w:rsidRPr="00106C64">
        <w:rPr>
          <w:i/>
        </w:rPr>
        <w:t>See</w:t>
      </w:r>
      <w:r w:rsidR="00106C64">
        <w:t xml:space="preserve">, </w:t>
      </w:r>
      <w:r w:rsidR="00106C64" w:rsidRPr="00106C64">
        <w:rPr>
          <w:i/>
        </w:rPr>
        <w:t>e</w:t>
      </w:r>
      <w:r w:rsidR="00106C64">
        <w:t>.</w:t>
      </w:r>
      <w:r w:rsidR="00106C64" w:rsidRPr="00106C64">
        <w:rPr>
          <w:i/>
        </w:rPr>
        <w:t>g</w:t>
      </w:r>
      <w:r w:rsidR="00106C64">
        <w:t xml:space="preserve">., </w:t>
      </w:r>
      <w:r w:rsidR="00106C64" w:rsidRPr="00106C64">
        <w:rPr>
          <w:i/>
        </w:rPr>
        <w:t>PR-USVI Public Notice</w:t>
      </w:r>
      <w:r w:rsidR="0069299F">
        <w:t>, 32 FCC Rcd</w:t>
      </w:r>
      <w:r w:rsidR="00106C64">
        <w:t xml:space="preserve"> </w:t>
      </w:r>
      <w:r w:rsidR="003D44BB">
        <w:t xml:space="preserve">at </w:t>
      </w:r>
      <w:r w:rsidR="0069299F">
        <w:t>7453</w:t>
      </w:r>
      <w:r w:rsidR="003D44BB">
        <w:t xml:space="preserve"> </w:t>
      </w:r>
      <w:r w:rsidR="00106C64">
        <w:t>(waiving certain rules for six months in order to alleviate the burden of regulatory compliance as Puerto Rico and the U.S. Virgin Islands recover from Hurricane Maria).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55F26" w14:textId="77777777" w:rsidR="006F0A60" w:rsidRDefault="006F0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A0DD" w14:textId="302AB68B" w:rsidR="00D25FB5" w:rsidRDefault="00D25FB5" w:rsidP="00810B6F">
    <w:pPr>
      <w:pStyle w:val="Header"/>
      <w:rPr>
        <w:b w:val="0"/>
      </w:rPr>
    </w:pPr>
    <w:r>
      <w:tab/>
      <w:t>Federal Communications Commission</w:t>
    </w:r>
    <w:r>
      <w:tab/>
    </w:r>
    <w:r w:rsidR="00F43AAA">
      <w:t>DA 17-</w:t>
    </w:r>
    <w:r w:rsidR="00CB4874">
      <w:t>1166</w:t>
    </w:r>
  </w:p>
  <w:p w14:paraId="5D012190" w14:textId="77777777" w:rsidR="00D25FB5" w:rsidRDefault="0074747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ACCE88C" wp14:editId="6202207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5EF433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F718501"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5FF3C" w14:textId="77777777" w:rsidR="0031303C" w:rsidRDefault="0031303C" w:rsidP="00810B6F">
    <w:pPr>
      <w:pStyle w:val="Header"/>
    </w:pPr>
  </w:p>
  <w:p w14:paraId="1266E11B" w14:textId="71A9B8ED" w:rsidR="00D25FB5" w:rsidRDefault="00747478" w:rsidP="00810B6F">
    <w:pPr>
      <w:pStyle w:val="Header"/>
      <w:rPr>
        <w:b w:val="0"/>
      </w:rPr>
    </w:pPr>
    <w:r>
      <w:rPr>
        <w:noProof/>
      </w:rPr>
      <mc:AlternateContent>
        <mc:Choice Requires="wps">
          <w:drawing>
            <wp:anchor distT="0" distB="0" distL="114300" distR="114300" simplePos="0" relativeHeight="251658240" behindDoc="1" locked="0" layoutInCell="0" allowOverlap="1" wp14:anchorId="06A38A3D" wp14:editId="4AFAEAF3">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A1FAAA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17-</w:t>
    </w:r>
    <w:r w:rsidR="00CB4874">
      <w:rPr>
        <w:spacing w:val="-2"/>
      </w:rPr>
      <w:t>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78"/>
    <w:rsid w:val="000022A7"/>
    <w:rsid w:val="000036D8"/>
    <w:rsid w:val="000048DA"/>
    <w:rsid w:val="00036039"/>
    <w:rsid w:val="00037F90"/>
    <w:rsid w:val="000474F8"/>
    <w:rsid w:val="0005186E"/>
    <w:rsid w:val="000537D7"/>
    <w:rsid w:val="00076B41"/>
    <w:rsid w:val="000875BF"/>
    <w:rsid w:val="00096D8C"/>
    <w:rsid w:val="000A2543"/>
    <w:rsid w:val="000B3C71"/>
    <w:rsid w:val="000C0B65"/>
    <w:rsid w:val="000D67E3"/>
    <w:rsid w:val="000E05FE"/>
    <w:rsid w:val="000E3D42"/>
    <w:rsid w:val="000E5154"/>
    <w:rsid w:val="00100148"/>
    <w:rsid w:val="00106C64"/>
    <w:rsid w:val="00122BD5"/>
    <w:rsid w:val="00133F79"/>
    <w:rsid w:val="001410E4"/>
    <w:rsid w:val="00141B27"/>
    <w:rsid w:val="001437D9"/>
    <w:rsid w:val="001643D9"/>
    <w:rsid w:val="001860E9"/>
    <w:rsid w:val="00194A66"/>
    <w:rsid w:val="001B351E"/>
    <w:rsid w:val="001B375C"/>
    <w:rsid w:val="001D6BCF"/>
    <w:rsid w:val="001D7EAC"/>
    <w:rsid w:val="001E01CA"/>
    <w:rsid w:val="001E4967"/>
    <w:rsid w:val="001E6449"/>
    <w:rsid w:val="0020296B"/>
    <w:rsid w:val="0022022A"/>
    <w:rsid w:val="00230700"/>
    <w:rsid w:val="002359D3"/>
    <w:rsid w:val="00251F14"/>
    <w:rsid w:val="00275CF5"/>
    <w:rsid w:val="0028301F"/>
    <w:rsid w:val="00285017"/>
    <w:rsid w:val="00285453"/>
    <w:rsid w:val="002A25D3"/>
    <w:rsid w:val="002A2D2E"/>
    <w:rsid w:val="002B22E8"/>
    <w:rsid w:val="002B7D77"/>
    <w:rsid w:val="002C00E8"/>
    <w:rsid w:val="002D1B06"/>
    <w:rsid w:val="002D7E29"/>
    <w:rsid w:val="002E0A3A"/>
    <w:rsid w:val="002E3C47"/>
    <w:rsid w:val="002F251D"/>
    <w:rsid w:val="00302A7D"/>
    <w:rsid w:val="00304467"/>
    <w:rsid w:val="00305F78"/>
    <w:rsid w:val="003102D0"/>
    <w:rsid w:val="0031303C"/>
    <w:rsid w:val="00313DF9"/>
    <w:rsid w:val="0031497A"/>
    <w:rsid w:val="003260D9"/>
    <w:rsid w:val="0033275B"/>
    <w:rsid w:val="00343749"/>
    <w:rsid w:val="00345915"/>
    <w:rsid w:val="003641F8"/>
    <w:rsid w:val="003660ED"/>
    <w:rsid w:val="00371C10"/>
    <w:rsid w:val="00383E08"/>
    <w:rsid w:val="00384370"/>
    <w:rsid w:val="00394BF2"/>
    <w:rsid w:val="0039593F"/>
    <w:rsid w:val="003A2400"/>
    <w:rsid w:val="003A3B9C"/>
    <w:rsid w:val="003B0550"/>
    <w:rsid w:val="003B694F"/>
    <w:rsid w:val="003B783F"/>
    <w:rsid w:val="003C0348"/>
    <w:rsid w:val="003D44BB"/>
    <w:rsid w:val="003F0C85"/>
    <w:rsid w:val="003F171C"/>
    <w:rsid w:val="003F45BD"/>
    <w:rsid w:val="00412FC5"/>
    <w:rsid w:val="00422276"/>
    <w:rsid w:val="004242F1"/>
    <w:rsid w:val="00433346"/>
    <w:rsid w:val="00445A00"/>
    <w:rsid w:val="00451B0F"/>
    <w:rsid w:val="00451E15"/>
    <w:rsid w:val="004529E2"/>
    <w:rsid w:val="00457EEA"/>
    <w:rsid w:val="0046215A"/>
    <w:rsid w:val="004661D2"/>
    <w:rsid w:val="00476526"/>
    <w:rsid w:val="00477AB8"/>
    <w:rsid w:val="00482D04"/>
    <w:rsid w:val="004B34F6"/>
    <w:rsid w:val="004B389B"/>
    <w:rsid w:val="004B3ACD"/>
    <w:rsid w:val="004B665C"/>
    <w:rsid w:val="004C2EE3"/>
    <w:rsid w:val="004D670E"/>
    <w:rsid w:val="004E4A22"/>
    <w:rsid w:val="004E6609"/>
    <w:rsid w:val="004F0826"/>
    <w:rsid w:val="00511968"/>
    <w:rsid w:val="00530102"/>
    <w:rsid w:val="005311AB"/>
    <w:rsid w:val="00536279"/>
    <w:rsid w:val="005427E9"/>
    <w:rsid w:val="005525D8"/>
    <w:rsid w:val="0055614C"/>
    <w:rsid w:val="00560255"/>
    <w:rsid w:val="00560D6D"/>
    <w:rsid w:val="005731DA"/>
    <w:rsid w:val="00580455"/>
    <w:rsid w:val="00584EAB"/>
    <w:rsid w:val="00587348"/>
    <w:rsid w:val="0059451A"/>
    <w:rsid w:val="005A7C9B"/>
    <w:rsid w:val="005B1522"/>
    <w:rsid w:val="005B6004"/>
    <w:rsid w:val="005C109A"/>
    <w:rsid w:val="005D6C22"/>
    <w:rsid w:val="005E14C2"/>
    <w:rsid w:val="005F05A3"/>
    <w:rsid w:val="00607BA5"/>
    <w:rsid w:val="0061180A"/>
    <w:rsid w:val="006217FD"/>
    <w:rsid w:val="00621802"/>
    <w:rsid w:val="00626EB6"/>
    <w:rsid w:val="006379EA"/>
    <w:rsid w:val="00655D03"/>
    <w:rsid w:val="00656F2D"/>
    <w:rsid w:val="00663332"/>
    <w:rsid w:val="00683388"/>
    <w:rsid w:val="00683F84"/>
    <w:rsid w:val="00690CAB"/>
    <w:rsid w:val="0069299F"/>
    <w:rsid w:val="006A084F"/>
    <w:rsid w:val="006A3EFA"/>
    <w:rsid w:val="006A6A81"/>
    <w:rsid w:val="006C716B"/>
    <w:rsid w:val="006D43C7"/>
    <w:rsid w:val="006E75B9"/>
    <w:rsid w:val="006F0A60"/>
    <w:rsid w:val="006F49F1"/>
    <w:rsid w:val="006F7393"/>
    <w:rsid w:val="00701F2D"/>
    <w:rsid w:val="0070224F"/>
    <w:rsid w:val="00705682"/>
    <w:rsid w:val="007115F7"/>
    <w:rsid w:val="0072161F"/>
    <w:rsid w:val="007413CA"/>
    <w:rsid w:val="00747478"/>
    <w:rsid w:val="0075623A"/>
    <w:rsid w:val="00761934"/>
    <w:rsid w:val="007740ED"/>
    <w:rsid w:val="00783B50"/>
    <w:rsid w:val="00785689"/>
    <w:rsid w:val="00795DEC"/>
    <w:rsid w:val="00796A27"/>
    <w:rsid w:val="0079754B"/>
    <w:rsid w:val="007A1E6D"/>
    <w:rsid w:val="007B0EB2"/>
    <w:rsid w:val="007C1A1F"/>
    <w:rsid w:val="007C42B2"/>
    <w:rsid w:val="007E165D"/>
    <w:rsid w:val="007F1A71"/>
    <w:rsid w:val="00810B6F"/>
    <w:rsid w:val="0081772A"/>
    <w:rsid w:val="00822CE0"/>
    <w:rsid w:val="008258E9"/>
    <w:rsid w:val="00840637"/>
    <w:rsid w:val="00841AB1"/>
    <w:rsid w:val="00852543"/>
    <w:rsid w:val="008644F8"/>
    <w:rsid w:val="00870BD2"/>
    <w:rsid w:val="00884871"/>
    <w:rsid w:val="00896941"/>
    <w:rsid w:val="008A04A8"/>
    <w:rsid w:val="008A128A"/>
    <w:rsid w:val="008A5DA4"/>
    <w:rsid w:val="008A7E99"/>
    <w:rsid w:val="008C24DB"/>
    <w:rsid w:val="008C68F1"/>
    <w:rsid w:val="008C73D3"/>
    <w:rsid w:val="008D2B7B"/>
    <w:rsid w:val="008D784E"/>
    <w:rsid w:val="008E1F82"/>
    <w:rsid w:val="008F04FC"/>
    <w:rsid w:val="008F7A4C"/>
    <w:rsid w:val="00903A83"/>
    <w:rsid w:val="00905AAD"/>
    <w:rsid w:val="00905CDB"/>
    <w:rsid w:val="00910B7C"/>
    <w:rsid w:val="009135BF"/>
    <w:rsid w:val="00915711"/>
    <w:rsid w:val="00921803"/>
    <w:rsid w:val="00926503"/>
    <w:rsid w:val="00934B52"/>
    <w:rsid w:val="009410ED"/>
    <w:rsid w:val="00944C9C"/>
    <w:rsid w:val="00955DD1"/>
    <w:rsid w:val="0095697A"/>
    <w:rsid w:val="009654A5"/>
    <w:rsid w:val="009726D8"/>
    <w:rsid w:val="00974705"/>
    <w:rsid w:val="009830F2"/>
    <w:rsid w:val="009A279E"/>
    <w:rsid w:val="009A4971"/>
    <w:rsid w:val="009A4EC9"/>
    <w:rsid w:val="009B2812"/>
    <w:rsid w:val="009C25C7"/>
    <w:rsid w:val="009C7276"/>
    <w:rsid w:val="009E243E"/>
    <w:rsid w:val="009E7366"/>
    <w:rsid w:val="009F10F0"/>
    <w:rsid w:val="009F1E61"/>
    <w:rsid w:val="009F76DB"/>
    <w:rsid w:val="00A0304C"/>
    <w:rsid w:val="00A05AAD"/>
    <w:rsid w:val="00A06963"/>
    <w:rsid w:val="00A13282"/>
    <w:rsid w:val="00A2082D"/>
    <w:rsid w:val="00A32C3B"/>
    <w:rsid w:val="00A37C5A"/>
    <w:rsid w:val="00A45F4F"/>
    <w:rsid w:val="00A468F5"/>
    <w:rsid w:val="00A600A9"/>
    <w:rsid w:val="00A70DF4"/>
    <w:rsid w:val="00A76172"/>
    <w:rsid w:val="00A87C7A"/>
    <w:rsid w:val="00AA0B16"/>
    <w:rsid w:val="00AA31DA"/>
    <w:rsid w:val="00AA55B7"/>
    <w:rsid w:val="00AA5B9E"/>
    <w:rsid w:val="00AA63D1"/>
    <w:rsid w:val="00AB1529"/>
    <w:rsid w:val="00AB2407"/>
    <w:rsid w:val="00AB53DF"/>
    <w:rsid w:val="00AB7312"/>
    <w:rsid w:val="00AC28EF"/>
    <w:rsid w:val="00B07E5C"/>
    <w:rsid w:val="00B128D6"/>
    <w:rsid w:val="00B417CC"/>
    <w:rsid w:val="00B753E9"/>
    <w:rsid w:val="00B8107F"/>
    <w:rsid w:val="00B811F7"/>
    <w:rsid w:val="00B841C1"/>
    <w:rsid w:val="00B85123"/>
    <w:rsid w:val="00BA5DC6"/>
    <w:rsid w:val="00BA6196"/>
    <w:rsid w:val="00BB2076"/>
    <w:rsid w:val="00BC6D8C"/>
    <w:rsid w:val="00BE29D4"/>
    <w:rsid w:val="00BE3D7F"/>
    <w:rsid w:val="00BE4C17"/>
    <w:rsid w:val="00C16A0A"/>
    <w:rsid w:val="00C16EA6"/>
    <w:rsid w:val="00C20033"/>
    <w:rsid w:val="00C27467"/>
    <w:rsid w:val="00C30C7E"/>
    <w:rsid w:val="00C30D81"/>
    <w:rsid w:val="00C34006"/>
    <w:rsid w:val="00C343C2"/>
    <w:rsid w:val="00C426B1"/>
    <w:rsid w:val="00C42C5A"/>
    <w:rsid w:val="00C63994"/>
    <w:rsid w:val="00C64EA3"/>
    <w:rsid w:val="00C66160"/>
    <w:rsid w:val="00C721AC"/>
    <w:rsid w:val="00C82AF5"/>
    <w:rsid w:val="00C90D6A"/>
    <w:rsid w:val="00CA247E"/>
    <w:rsid w:val="00CB4874"/>
    <w:rsid w:val="00CB7933"/>
    <w:rsid w:val="00CC72B6"/>
    <w:rsid w:val="00CD37D9"/>
    <w:rsid w:val="00CE04D5"/>
    <w:rsid w:val="00CE7CFD"/>
    <w:rsid w:val="00CF3EE3"/>
    <w:rsid w:val="00CF7F67"/>
    <w:rsid w:val="00D00BDA"/>
    <w:rsid w:val="00D0218D"/>
    <w:rsid w:val="00D15B9D"/>
    <w:rsid w:val="00D23852"/>
    <w:rsid w:val="00D25FB5"/>
    <w:rsid w:val="00D27020"/>
    <w:rsid w:val="00D33E51"/>
    <w:rsid w:val="00D37E7D"/>
    <w:rsid w:val="00D400F5"/>
    <w:rsid w:val="00D44223"/>
    <w:rsid w:val="00D5528A"/>
    <w:rsid w:val="00D767DF"/>
    <w:rsid w:val="00D84CC9"/>
    <w:rsid w:val="00DA21D3"/>
    <w:rsid w:val="00DA2529"/>
    <w:rsid w:val="00DA3B25"/>
    <w:rsid w:val="00DA3BA1"/>
    <w:rsid w:val="00DA7DB7"/>
    <w:rsid w:val="00DB130A"/>
    <w:rsid w:val="00DB2EBB"/>
    <w:rsid w:val="00DC10A1"/>
    <w:rsid w:val="00DC655F"/>
    <w:rsid w:val="00DD0B59"/>
    <w:rsid w:val="00DD313E"/>
    <w:rsid w:val="00DD7EBD"/>
    <w:rsid w:val="00DF62B6"/>
    <w:rsid w:val="00E02929"/>
    <w:rsid w:val="00E04B5E"/>
    <w:rsid w:val="00E07225"/>
    <w:rsid w:val="00E15D77"/>
    <w:rsid w:val="00E41249"/>
    <w:rsid w:val="00E478B3"/>
    <w:rsid w:val="00E5409F"/>
    <w:rsid w:val="00E617BE"/>
    <w:rsid w:val="00E67E71"/>
    <w:rsid w:val="00EB06FF"/>
    <w:rsid w:val="00EC6E76"/>
    <w:rsid w:val="00EC7E2B"/>
    <w:rsid w:val="00EE084D"/>
    <w:rsid w:val="00EE6488"/>
    <w:rsid w:val="00F021FA"/>
    <w:rsid w:val="00F03DAA"/>
    <w:rsid w:val="00F0573E"/>
    <w:rsid w:val="00F233FB"/>
    <w:rsid w:val="00F3379D"/>
    <w:rsid w:val="00F41A3A"/>
    <w:rsid w:val="00F43AAA"/>
    <w:rsid w:val="00F47FB0"/>
    <w:rsid w:val="00F52162"/>
    <w:rsid w:val="00F577F2"/>
    <w:rsid w:val="00F57DCD"/>
    <w:rsid w:val="00F62E97"/>
    <w:rsid w:val="00F64209"/>
    <w:rsid w:val="00F67878"/>
    <w:rsid w:val="00F702F4"/>
    <w:rsid w:val="00F772F9"/>
    <w:rsid w:val="00F93BF5"/>
    <w:rsid w:val="00F9731A"/>
    <w:rsid w:val="00FA338A"/>
    <w:rsid w:val="00FB7D55"/>
    <w:rsid w:val="00FC3C9B"/>
    <w:rsid w:val="00FE1179"/>
    <w:rsid w:val="00FE4B3A"/>
    <w:rsid w:val="00F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3E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erChar">
    <w:name w:val="Header Char"/>
    <w:basedOn w:val="DefaultParagraphFont"/>
    <w:link w:val="Header"/>
    <w:rsid w:val="000036D8"/>
    <w:rPr>
      <w:b/>
      <w:snapToGrid w:val="0"/>
      <w:kern w:val="28"/>
      <w:sz w:val="22"/>
    </w:rPr>
  </w:style>
  <w:style w:type="paragraph" w:styleId="BalloonText">
    <w:name w:val="Balloon Text"/>
    <w:basedOn w:val="Normal"/>
    <w:link w:val="BalloonTextChar"/>
    <w:rsid w:val="005C109A"/>
    <w:rPr>
      <w:rFonts w:ascii="Segoe UI" w:hAnsi="Segoe UI" w:cs="Segoe UI"/>
      <w:sz w:val="18"/>
      <w:szCs w:val="18"/>
    </w:rPr>
  </w:style>
  <w:style w:type="character" w:customStyle="1" w:styleId="BalloonTextChar">
    <w:name w:val="Balloon Text Char"/>
    <w:basedOn w:val="DefaultParagraphFont"/>
    <w:link w:val="BalloonText"/>
    <w:rsid w:val="005C109A"/>
    <w:rPr>
      <w:rFonts w:ascii="Segoe UI" w:hAnsi="Segoe UI" w:cs="Segoe UI"/>
      <w:snapToGrid w:val="0"/>
      <w:kern w:val="28"/>
      <w:sz w:val="18"/>
      <w:szCs w:val="18"/>
    </w:rPr>
  </w:style>
  <w:style w:type="character" w:styleId="Emphasis">
    <w:name w:val="Emphasis"/>
    <w:basedOn w:val="DefaultParagraphFont"/>
    <w:qFormat/>
    <w:rsid w:val="0095697A"/>
    <w:rPr>
      <w:i/>
      <w:iCs/>
    </w:rPr>
  </w:style>
  <w:style w:type="character" w:styleId="CommentReference">
    <w:name w:val="annotation reference"/>
    <w:basedOn w:val="DefaultParagraphFont"/>
    <w:rsid w:val="009A279E"/>
    <w:rPr>
      <w:sz w:val="16"/>
      <w:szCs w:val="16"/>
    </w:rPr>
  </w:style>
  <w:style w:type="paragraph" w:styleId="CommentText">
    <w:name w:val="annotation text"/>
    <w:basedOn w:val="Normal"/>
    <w:link w:val="CommentTextChar"/>
    <w:rsid w:val="009A279E"/>
    <w:rPr>
      <w:sz w:val="20"/>
    </w:rPr>
  </w:style>
  <w:style w:type="character" w:customStyle="1" w:styleId="CommentTextChar">
    <w:name w:val="Comment Text Char"/>
    <w:basedOn w:val="DefaultParagraphFont"/>
    <w:link w:val="CommentText"/>
    <w:rsid w:val="009A279E"/>
    <w:rPr>
      <w:snapToGrid w:val="0"/>
      <w:kern w:val="28"/>
    </w:rPr>
  </w:style>
  <w:style w:type="paragraph" w:styleId="CommentSubject">
    <w:name w:val="annotation subject"/>
    <w:basedOn w:val="CommentText"/>
    <w:next w:val="CommentText"/>
    <w:link w:val="CommentSubjectChar"/>
    <w:rsid w:val="009A279E"/>
    <w:rPr>
      <w:b/>
      <w:bCs/>
    </w:rPr>
  </w:style>
  <w:style w:type="character" w:customStyle="1" w:styleId="CommentSubjectChar">
    <w:name w:val="Comment Subject Char"/>
    <w:basedOn w:val="CommentTextChar"/>
    <w:link w:val="CommentSubject"/>
    <w:rsid w:val="009A279E"/>
    <w:rPr>
      <w:b/>
      <w:bCs/>
      <w:snapToGrid w:val="0"/>
      <w:kern w:val="28"/>
    </w:rPr>
  </w:style>
  <w:style w:type="paragraph" w:styleId="Revision">
    <w:name w:val="Revision"/>
    <w:hidden/>
    <w:uiPriority w:val="99"/>
    <w:semiHidden/>
    <w:rsid w:val="00BE29D4"/>
    <w:rPr>
      <w:snapToGrid w:val="0"/>
      <w:kern w:val="28"/>
      <w:sz w:val="22"/>
    </w:rPr>
  </w:style>
  <w:style w:type="character" w:styleId="FollowedHyperlink">
    <w:name w:val="FollowedHyperlink"/>
    <w:basedOn w:val="DefaultParagraphFont"/>
    <w:rsid w:val="00CF3EE3"/>
    <w:rPr>
      <w:color w:val="954F72" w:themeColor="followedHyperlink"/>
      <w:u w:val="single"/>
    </w:rPr>
  </w:style>
  <w:style w:type="character" w:customStyle="1" w:styleId="UnresolvedMention1">
    <w:name w:val="Unresolved Mention1"/>
    <w:basedOn w:val="DefaultParagraphFont"/>
    <w:uiPriority w:val="99"/>
    <w:semiHidden/>
    <w:unhideWhenUsed/>
    <w:rsid w:val="00EE084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aliases w:val="Appel note de bas de p,Style 12,(NECG) Footnote Reference,Style 124,Style 13,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erChar">
    <w:name w:val="Header Char"/>
    <w:basedOn w:val="DefaultParagraphFont"/>
    <w:link w:val="Header"/>
    <w:rsid w:val="000036D8"/>
    <w:rPr>
      <w:b/>
      <w:snapToGrid w:val="0"/>
      <w:kern w:val="28"/>
      <w:sz w:val="22"/>
    </w:rPr>
  </w:style>
  <w:style w:type="paragraph" w:styleId="BalloonText">
    <w:name w:val="Balloon Text"/>
    <w:basedOn w:val="Normal"/>
    <w:link w:val="BalloonTextChar"/>
    <w:rsid w:val="005C109A"/>
    <w:rPr>
      <w:rFonts w:ascii="Segoe UI" w:hAnsi="Segoe UI" w:cs="Segoe UI"/>
      <w:sz w:val="18"/>
      <w:szCs w:val="18"/>
    </w:rPr>
  </w:style>
  <w:style w:type="character" w:customStyle="1" w:styleId="BalloonTextChar">
    <w:name w:val="Balloon Text Char"/>
    <w:basedOn w:val="DefaultParagraphFont"/>
    <w:link w:val="BalloonText"/>
    <w:rsid w:val="005C109A"/>
    <w:rPr>
      <w:rFonts w:ascii="Segoe UI" w:hAnsi="Segoe UI" w:cs="Segoe UI"/>
      <w:snapToGrid w:val="0"/>
      <w:kern w:val="28"/>
      <w:sz w:val="18"/>
      <w:szCs w:val="18"/>
    </w:rPr>
  </w:style>
  <w:style w:type="character" w:styleId="Emphasis">
    <w:name w:val="Emphasis"/>
    <w:basedOn w:val="DefaultParagraphFont"/>
    <w:qFormat/>
    <w:rsid w:val="0095697A"/>
    <w:rPr>
      <w:i/>
      <w:iCs/>
    </w:rPr>
  </w:style>
  <w:style w:type="character" w:styleId="CommentReference">
    <w:name w:val="annotation reference"/>
    <w:basedOn w:val="DefaultParagraphFont"/>
    <w:rsid w:val="009A279E"/>
    <w:rPr>
      <w:sz w:val="16"/>
      <w:szCs w:val="16"/>
    </w:rPr>
  </w:style>
  <w:style w:type="paragraph" w:styleId="CommentText">
    <w:name w:val="annotation text"/>
    <w:basedOn w:val="Normal"/>
    <w:link w:val="CommentTextChar"/>
    <w:rsid w:val="009A279E"/>
    <w:rPr>
      <w:sz w:val="20"/>
    </w:rPr>
  </w:style>
  <w:style w:type="character" w:customStyle="1" w:styleId="CommentTextChar">
    <w:name w:val="Comment Text Char"/>
    <w:basedOn w:val="DefaultParagraphFont"/>
    <w:link w:val="CommentText"/>
    <w:rsid w:val="009A279E"/>
    <w:rPr>
      <w:snapToGrid w:val="0"/>
      <w:kern w:val="28"/>
    </w:rPr>
  </w:style>
  <w:style w:type="paragraph" w:styleId="CommentSubject">
    <w:name w:val="annotation subject"/>
    <w:basedOn w:val="CommentText"/>
    <w:next w:val="CommentText"/>
    <w:link w:val="CommentSubjectChar"/>
    <w:rsid w:val="009A279E"/>
    <w:rPr>
      <w:b/>
      <w:bCs/>
    </w:rPr>
  </w:style>
  <w:style w:type="character" w:customStyle="1" w:styleId="CommentSubjectChar">
    <w:name w:val="Comment Subject Char"/>
    <w:basedOn w:val="CommentTextChar"/>
    <w:link w:val="CommentSubject"/>
    <w:rsid w:val="009A279E"/>
    <w:rPr>
      <w:b/>
      <w:bCs/>
      <w:snapToGrid w:val="0"/>
      <w:kern w:val="28"/>
    </w:rPr>
  </w:style>
  <w:style w:type="paragraph" w:styleId="Revision">
    <w:name w:val="Revision"/>
    <w:hidden/>
    <w:uiPriority w:val="99"/>
    <w:semiHidden/>
    <w:rsid w:val="00BE29D4"/>
    <w:rPr>
      <w:snapToGrid w:val="0"/>
      <w:kern w:val="28"/>
      <w:sz w:val="22"/>
    </w:rPr>
  </w:style>
  <w:style w:type="character" w:styleId="FollowedHyperlink">
    <w:name w:val="FollowedHyperlink"/>
    <w:basedOn w:val="DefaultParagraphFont"/>
    <w:rsid w:val="00CF3EE3"/>
    <w:rPr>
      <w:color w:val="954F72" w:themeColor="followedHyperlink"/>
      <w:u w:val="single"/>
    </w:rPr>
  </w:style>
  <w:style w:type="character" w:customStyle="1" w:styleId="UnresolvedMention1">
    <w:name w:val="Unresolved Mention1"/>
    <w:basedOn w:val="DefaultParagraphFont"/>
    <w:uiPriority w:val="99"/>
    <w:semiHidden/>
    <w:unhideWhenUsed/>
    <w:rsid w:val="00EE0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5237</Characters>
  <Application>Microsoft Office Word</Application>
  <DocSecurity>0</DocSecurity>
  <Lines>113</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2017-12-04T19:39:00Z</dcterms:created>
  <dcterms:modified xsi:type="dcterms:W3CDTF">2017-12-04T19:39:00Z</dcterms:modified>
  <cp:category> </cp:category>
  <cp:contentStatus> </cp:contentStatus>
</cp:coreProperties>
</file>