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5428D0">
      <w:pPr>
        <w:jc w:val="right"/>
        <w:rPr>
          <w:b/>
          <w:szCs w:val="22"/>
        </w:rPr>
      </w:pPr>
      <w:r>
        <w:rPr>
          <w:b/>
          <w:szCs w:val="22"/>
        </w:rPr>
        <w:lastRenderedPageBreak/>
        <w:t>DA 17</w:t>
      </w:r>
      <w:r w:rsidR="007665F9" w:rsidRPr="007665F9">
        <w:rPr>
          <w:b/>
          <w:szCs w:val="22"/>
        </w:rPr>
        <w:t>-</w:t>
      </w:r>
      <w:r w:rsidR="00156D42">
        <w:rPr>
          <w:b/>
          <w:szCs w:val="22"/>
        </w:rPr>
        <w:t>116</w:t>
      </w:r>
    </w:p>
    <w:p w:rsidR="00602577" w:rsidRPr="007665F9" w:rsidRDefault="007665F9">
      <w:pPr>
        <w:spacing w:before="60"/>
        <w:jc w:val="right"/>
        <w:rPr>
          <w:b/>
          <w:szCs w:val="22"/>
        </w:rPr>
      </w:pPr>
      <w:r w:rsidRPr="007665F9">
        <w:rPr>
          <w:b/>
          <w:szCs w:val="22"/>
        </w:rPr>
        <w:t xml:space="preserve">Released:  </w:t>
      </w:r>
      <w:r w:rsidR="00475EA9">
        <w:rPr>
          <w:b/>
          <w:szCs w:val="22"/>
        </w:rPr>
        <w:t>February 1</w:t>
      </w:r>
      <w:r w:rsidR="005428D0">
        <w:rPr>
          <w:b/>
          <w:szCs w:val="22"/>
        </w:rPr>
        <w:t>, 2017</w:t>
      </w:r>
    </w:p>
    <w:p w:rsidR="00602577" w:rsidRDefault="00602577">
      <w:pPr>
        <w:jc w:val="right"/>
        <w:rPr>
          <w:sz w:val="24"/>
        </w:rPr>
      </w:pPr>
    </w:p>
    <w:p w:rsidR="004C6CFC" w:rsidRDefault="003F2B65" w:rsidP="004C6CFC">
      <w:pPr>
        <w:jc w:val="center"/>
        <w:outlineLvl w:val="0"/>
        <w:rPr>
          <w:b/>
          <w:szCs w:val="22"/>
        </w:rPr>
      </w:pPr>
      <w:r>
        <w:rPr>
          <w:b/>
          <w:szCs w:val="22"/>
        </w:rPr>
        <w:t xml:space="preserve">NOTIFICATION </w:t>
      </w:r>
      <w:r w:rsidR="00702185">
        <w:rPr>
          <w:b/>
          <w:szCs w:val="22"/>
        </w:rPr>
        <w:t xml:space="preserve">OF </w:t>
      </w:r>
      <w:r>
        <w:rPr>
          <w:b/>
          <w:szCs w:val="22"/>
        </w:rPr>
        <w:t>NEW CINGULAR WIRELESS PCS LLC</w:t>
      </w:r>
      <w:r w:rsidR="005428D0" w:rsidRPr="007665F9">
        <w:rPr>
          <w:b/>
          <w:szCs w:val="22"/>
        </w:rPr>
        <w:t xml:space="preserve"> AND </w:t>
      </w:r>
      <w:r>
        <w:rPr>
          <w:b/>
          <w:szCs w:val="22"/>
        </w:rPr>
        <w:t>GIGSKY MOBILE LLC</w:t>
      </w:r>
      <w:r w:rsidR="007665F9" w:rsidRPr="007665F9">
        <w:rPr>
          <w:b/>
          <w:szCs w:val="22"/>
        </w:rPr>
        <w:t xml:space="preserve"> </w:t>
      </w:r>
      <w:r w:rsidR="00702185">
        <w:rPr>
          <w:b/>
          <w:szCs w:val="22"/>
        </w:rPr>
        <w:t xml:space="preserve">FOR </w:t>
      </w:r>
      <w:r>
        <w:rPr>
          <w:b/>
          <w:szCs w:val="22"/>
        </w:rPr>
        <w:t xml:space="preserve">A LONG-TERM SPECTRUM MANAGER LEASING ARRANGEMENT INVOLVING TWO </w:t>
      </w:r>
      <w:r w:rsidRPr="007665F9">
        <w:rPr>
          <w:b/>
          <w:szCs w:val="22"/>
        </w:rPr>
        <w:t xml:space="preserve">LOWER 700 </w:t>
      </w:r>
      <w:r>
        <w:rPr>
          <w:b/>
          <w:szCs w:val="22"/>
        </w:rPr>
        <w:t xml:space="preserve">MHZ B BLOCK LICENSES </w:t>
      </w:r>
      <w:r w:rsidRPr="007665F9">
        <w:rPr>
          <w:b/>
          <w:szCs w:val="22"/>
        </w:rPr>
        <w:t xml:space="preserve">IN </w:t>
      </w:r>
      <w:r>
        <w:rPr>
          <w:b/>
          <w:szCs w:val="22"/>
        </w:rPr>
        <w:t>THE VIRGIN ISLANDS</w:t>
      </w:r>
    </w:p>
    <w:p w:rsidR="00BD611B" w:rsidRDefault="00BD611B" w:rsidP="004C6CFC">
      <w:pPr>
        <w:jc w:val="center"/>
        <w:outlineLvl w:val="0"/>
        <w:rPr>
          <w:b/>
          <w:szCs w:val="22"/>
        </w:rPr>
      </w:pP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 xml:space="preserve">WT Docket No. </w:t>
      </w:r>
      <w:r w:rsidR="007D4A55" w:rsidRPr="00227577">
        <w:rPr>
          <w:b/>
        </w:rPr>
        <w:t>17-</w:t>
      </w:r>
      <w:r w:rsidR="003F2B65">
        <w:rPr>
          <w:b/>
        </w:rPr>
        <w:t>32</w:t>
      </w:r>
    </w:p>
    <w:p w:rsidR="00702185" w:rsidRPr="007A67C8" w:rsidRDefault="00702185">
      <w:pPr>
        <w:spacing w:after="240"/>
        <w:jc w:val="center"/>
        <w:rPr>
          <w:b/>
          <w:szCs w:val="22"/>
        </w:rPr>
      </w:pPr>
      <w:r>
        <w:rPr>
          <w:b/>
          <w:szCs w:val="22"/>
        </w:rPr>
        <w:t>CC Docket No. 99-200</w:t>
      </w:r>
    </w:p>
    <w:p w:rsidR="007665F9" w:rsidRDefault="00D9535A" w:rsidP="00D91E2C">
      <w:pPr>
        <w:spacing w:after="120"/>
        <w:ind w:firstLine="720"/>
        <w:rPr>
          <w:szCs w:val="22"/>
        </w:rPr>
      </w:pPr>
      <w:r>
        <w:rPr>
          <w:szCs w:val="22"/>
        </w:rPr>
        <w:t>New Cingular Wireless PCS LLC</w:t>
      </w:r>
      <w:r w:rsidRPr="00A13202">
        <w:rPr>
          <w:szCs w:val="22"/>
        </w:rPr>
        <w:t xml:space="preserve">, an indirect wholly-owned subsidiary of AT&amp;T Inc. </w:t>
      </w:r>
      <w:r>
        <w:rPr>
          <w:szCs w:val="22"/>
        </w:rPr>
        <w:t>(</w:t>
      </w:r>
      <w:r w:rsidRPr="00A13202">
        <w:rPr>
          <w:szCs w:val="22"/>
        </w:rPr>
        <w:t xml:space="preserve">together with </w:t>
      </w:r>
      <w:r>
        <w:rPr>
          <w:szCs w:val="22"/>
        </w:rPr>
        <w:t>New Cingular Wireless PCS LLC,</w:t>
      </w:r>
      <w:r w:rsidRPr="00A13202">
        <w:rPr>
          <w:szCs w:val="22"/>
        </w:rPr>
        <w:t xml:space="preserve"> AT&amp;T), </w:t>
      </w:r>
      <w:r>
        <w:rPr>
          <w:szCs w:val="22"/>
        </w:rPr>
        <w:t>and GigSky Mobile LLC</w:t>
      </w:r>
      <w:r w:rsidRPr="00A13202">
        <w:t xml:space="preserve"> (</w:t>
      </w:r>
      <w:r>
        <w:t>GigSky</w:t>
      </w:r>
      <w:r w:rsidRPr="00A13202">
        <w:rPr>
          <w:szCs w:val="22"/>
        </w:rPr>
        <w:t>, and together with AT&amp;T</w:t>
      </w:r>
      <w:r>
        <w:rPr>
          <w:szCs w:val="22"/>
        </w:rPr>
        <w:t xml:space="preserve">, </w:t>
      </w:r>
      <w:r w:rsidRPr="00A13202">
        <w:rPr>
          <w:szCs w:val="22"/>
        </w:rPr>
        <w:t>the Applicants) have filed</w:t>
      </w:r>
      <w:r>
        <w:rPr>
          <w:szCs w:val="22"/>
        </w:rPr>
        <w:t>,</w:t>
      </w:r>
      <w:r w:rsidRPr="00A13202">
        <w:rPr>
          <w:szCs w:val="22"/>
        </w:rPr>
        <w:t xml:space="preserve"> </w:t>
      </w:r>
      <w:r w:rsidRPr="002B120B">
        <w:rPr>
          <w:szCs w:val="22"/>
        </w:rPr>
        <w:t>pursuant to Section 310(d)</w:t>
      </w:r>
      <w:r w:rsidRPr="00A13202">
        <w:rPr>
          <w:szCs w:val="22"/>
        </w:rPr>
        <w:t xml:space="preserve"> of the Communications Act of 1934, as amended,</w:t>
      </w:r>
      <w:r w:rsidRPr="00A13202">
        <w:rPr>
          <w:rStyle w:val="FootnoteReference"/>
          <w:sz w:val="20"/>
        </w:rPr>
        <w:footnoteReference w:id="1"/>
      </w:r>
      <w:r w:rsidRPr="00A13202">
        <w:rPr>
          <w:szCs w:val="22"/>
        </w:rPr>
        <w:t xml:space="preserve"> </w:t>
      </w:r>
      <w:r>
        <w:rPr>
          <w:szCs w:val="22"/>
        </w:rPr>
        <w:t xml:space="preserve">a long-term spectrum manager leasing notification.  AT&amp;T would lease from GigSky spectrum under </w:t>
      </w:r>
      <w:r w:rsidRPr="00EA0976">
        <w:rPr>
          <w:szCs w:val="22"/>
        </w:rPr>
        <w:t>two</w:t>
      </w:r>
      <w:r>
        <w:rPr>
          <w:szCs w:val="22"/>
        </w:rPr>
        <w:t xml:space="preserve"> </w:t>
      </w:r>
      <w:r w:rsidRPr="00A13202">
        <w:rPr>
          <w:szCs w:val="22"/>
        </w:rPr>
        <w:t xml:space="preserve">Lower 700 MHz </w:t>
      </w:r>
      <w:r>
        <w:rPr>
          <w:szCs w:val="22"/>
        </w:rPr>
        <w:t>B</w:t>
      </w:r>
      <w:r w:rsidRPr="00A13202">
        <w:rPr>
          <w:szCs w:val="22"/>
        </w:rPr>
        <w:t xml:space="preserve"> Block licenses</w:t>
      </w:r>
      <w:r w:rsidRPr="00704124">
        <w:rPr>
          <w:szCs w:val="22"/>
        </w:rPr>
        <w:t xml:space="preserve"> in the Virgin Islands.</w:t>
      </w:r>
      <w:r>
        <w:rPr>
          <w:szCs w:val="22"/>
        </w:rPr>
        <w:t xml:space="preserve">  </w:t>
      </w:r>
      <w:r w:rsidR="006225C0">
        <w:t xml:space="preserve">On </w:t>
      </w:r>
      <w:r w:rsidR="00475EA9">
        <w:t>February 1</w:t>
      </w:r>
      <w:r w:rsidR="005428D0">
        <w:t>, 2017</w:t>
      </w:r>
      <w:r w:rsidR="006225C0">
        <w:t>, the Commission accepted the application for filing and established a pleading cycle for the proposed transaction.</w:t>
      </w:r>
      <w:r w:rsidR="006225C0" w:rsidRPr="002F4B1B">
        <w:rPr>
          <w:rStyle w:val="FootnoteReference"/>
          <w:sz w:val="20"/>
        </w:rPr>
        <w:footnoteReference w:id="2"/>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4"/>
      </w:r>
      <w:r>
        <w:t xml:space="preserve"> the Commission intends to place into the record in this proceeding:</w:t>
      </w:r>
    </w:p>
    <w:p w:rsidR="00337116" w:rsidRDefault="00337116" w:rsidP="00337116">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June 30, 2014</w:t>
      </w:r>
      <w:r>
        <w:t>, December 31, 2014, June 30, 2015, December 31, 2015, June 30, 2016</w:t>
      </w:r>
      <w:r w:rsidR="005A28D5">
        <w:t>, and December 31, 2016</w:t>
      </w:r>
      <w:r>
        <w:t xml:space="preserve"> (when available).</w:t>
      </w:r>
    </w:p>
    <w:p w:rsidR="00337116" w:rsidRDefault="00337116" w:rsidP="00337116">
      <w:pPr>
        <w:numPr>
          <w:ilvl w:val="0"/>
          <w:numId w:val="14"/>
        </w:numPr>
        <w:tabs>
          <w:tab w:val="clear" w:pos="576"/>
          <w:tab w:val="num" w:pos="720"/>
        </w:tabs>
        <w:spacing w:after="120"/>
        <w:ind w:left="720" w:hanging="360"/>
      </w:pPr>
      <w:r>
        <w:t xml:space="preserve">Wireless-to-wireless LNP data for all wireless telecommunications carriers from the </w:t>
      </w:r>
      <w:r w:rsidRPr="00D31991">
        <w:t>June 30, 2014</w:t>
      </w:r>
      <w:r>
        <w:t>, December 31, 2014, June 30, 2015, December 31, 2015, June 30, 2016</w:t>
      </w:r>
      <w:r w:rsidR="005A28D5">
        <w:t xml:space="preserve">, and December 31, </w:t>
      </w:r>
      <w:r w:rsidR="005A28D5">
        <w:lastRenderedPageBreak/>
        <w:t>2016</w:t>
      </w:r>
      <w:r>
        <w:t xml:space="preserve"> (when available) LNP databases that the Commission receives from the LNP Administrator, NeuStar, Inc.  This LNP data shows the total number of ports in and ports out per carrier.</w:t>
      </w:r>
    </w:p>
    <w:p w:rsidR="00337116" w:rsidRDefault="00337116" w:rsidP="00337116">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A28D5">
        <w:t>June 2014</w:t>
      </w:r>
      <w:r w:rsidRPr="00AF10A9">
        <w:t xml:space="preserve"> to </w:t>
      </w:r>
      <w:r w:rsidR="005A28D5">
        <w:t>June 2016</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475EA9" w:rsidRPr="00475EA9">
        <w:rPr>
          <w:b/>
          <w:u w:val="single"/>
        </w:rPr>
        <w:t>February 13</w:t>
      </w:r>
      <w:r w:rsidR="005A28D5" w:rsidRPr="00475EA9">
        <w:rPr>
          <w:b/>
          <w:u w:val="single"/>
        </w:rPr>
        <w:t>, 2017</w:t>
      </w:r>
      <w:r w:rsidR="005A28D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475EA9">
        <w:t>February 13</w:t>
      </w:r>
      <w:r w:rsidR="005A28D5">
        <w:t>, 2017</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E876B0">
        <w:rPr>
          <w:szCs w:val="22"/>
        </w:rPr>
        <w:t>17-32</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8"/>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9"/>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lastRenderedPageBreak/>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715AA8">
        <w:rPr>
          <w:rFonts w:cs="TmsRmn"/>
          <w:szCs w:val="22"/>
        </w:rPr>
        <w:t>Kathy 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715AA8">
        <w:rPr>
          <w:rFonts w:cs="TmsRmn"/>
          <w:szCs w:val="22"/>
        </w:rPr>
        <w:t>kathy.harris</w:t>
      </w:r>
      <w:r w:rsidRPr="00163B87">
        <w:rPr>
          <w:rFonts w:cs="TmsRmn"/>
          <w:szCs w:val="22"/>
        </w:rPr>
        <w:t>@fcc.gov or (202) 418-2643 (facsimile);</w:t>
      </w:r>
      <w:r w:rsidRPr="00163B87">
        <w:rPr>
          <w:szCs w:val="22"/>
        </w:rPr>
        <w:t xml:space="preserve"> (2) </w:t>
      </w:r>
      <w:r w:rsidR="00641FB9">
        <w:rPr>
          <w:szCs w:val="22"/>
        </w:rPr>
        <w:t>Kate Matraves, Competition and Infrastructure Policy Division</w:t>
      </w:r>
      <w:r w:rsidR="00641FB9">
        <w:rPr>
          <w:rFonts w:cs="TmsRmn"/>
          <w:szCs w:val="22"/>
        </w:rPr>
        <w:t xml:space="preserve">, </w:t>
      </w:r>
      <w:r w:rsidR="00641FB9">
        <w:rPr>
          <w:szCs w:val="22"/>
        </w:rPr>
        <w:t xml:space="preserve">Wireless Telecommunications Bureau, at </w:t>
      </w:r>
      <w:r w:rsidR="00641FB9">
        <w:rPr>
          <w:rFonts w:cs="TmsRmn"/>
          <w:szCs w:val="22"/>
        </w:rPr>
        <w:t>catherine.matraves@fcc.gov</w:t>
      </w:r>
      <w:r w:rsidR="00641FB9">
        <w:rPr>
          <w:szCs w:val="22"/>
        </w:rPr>
        <w:t xml:space="preserve"> or (202) 418-2643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715AA8">
        <w:rPr>
          <w:szCs w:val="22"/>
        </w:rPr>
        <w:t>Kathy Harris</w:t>
      </w:r>
      <w:r w:rsidRPr="00B33FD2">
        <w:rPr>
          <w:szCs w:val="22"/>
        </w:rPr>
        <w:t>, Mobility Division, Wireless Telecommunications Bureau, at (202) 418-</w:t>
      </w:r>
      <w:r w:rsidR="00715AA8">
        <w:rPr>
          <w:szCs w:val="22"/>
        </w:rPr>
        <w:t>0609</w:t>
      </w:r>
      <w:r w:rsidRPr="00B33FD2">
        <w:rPr>
          <w:szCs w:val="22"/>
        </w:rPr>
        <w:t xml:space="preserve">, or </w:t>
      </w:r>
      <w:r w:rsidR="00641FB9">
        <w:rPr>
          <w:szCs w:val="22"/>
        </w:rPr>
        <w:t>Kate Matraves, Competition and Infrastructure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BD" w:rsidRDefault="00D61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EB6D6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BD" w:rsidRDefault="00D6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D9535A" w:rsidRDefault="00D9535A" w:rsidP="00D9535A">
      <w:pPr>
        <w:pStyle w:val="FootnoteText"/>
      </w:pPr>
      <w:r>
        <w:rPr>
          <w:rStyle w:val="FootnoteReference"/>
        </w:rPr>
        <w:footnoteRef/>
      </w:r>
      <w:r>
        <w:t xml:space="preserve"> 47 U.S.C. § 310(d).</w:t>
      </w:r>
    </w:p>
  </w:footnote>
  <w:footnote w:id="2">
    <w:p w:rsidR="006225C0" w:rsidRPr="00E6362D" w:rsidRDefault="006225C0" w:rsidP="004C3D7E">
      <w:pPr>
        <w:pStyle w:val="FootnoteText"/>
      </w:pPr>
      <w:r>
        <w:rPr>
          <w:rStyle w:val="FootnoteReference"/>
        </w:rPr>
        <w:footnoteRef/>
      </w:r>
      <w:r>
        <w:t xml:space="preserve"> </w:t>
      </w:r>
      <w:r w:rsidR="00D9535A" w:rsidRPr="00D9535A">
        <w:rPr>
          <w:i/>
        </w:rPr>
        <w:t>N</w:t>
      </w:r>
      <w:r w:rsidR="00D9535A">
        <w:rPr>
          <w:i/>
        </w:rPr>
        <w:t>ew</w:t>
      </w:r>
      <w:r w:rsidR="00D9535A" w:rsidRPr="00D9535A">
        <w:rPr>
          <w:i/>
        </w:rPr>
        <w:t xml:space="preserve"> C</w:t>
      </w:r>
      <w:r w:rsidR="00D9535A">
        <w:rPr>
          <w:i/>
        </w:rPr>
        <w:t>ingular</w:t>
      </w:r>
      <w:r w:rsidR="00D9535A" w:rsidRPr="00D9535A">
        <w:rPr>
          <w:i/>
        </w:rPr>
        <w:t xml:space="preserve"> W</w:t>
      </w:r>
      <w:r w:rsidR="00D9535A">
        <w:rPr>
          <w:i/>
        </w:rPr>
        <w:t>ireless</w:t>
      </w:r>
      <w:r w:rsidR="00D9535A" w:rsidRPr="00D9535A">
        <w:rPr>
          <w:i/>
        </w:rPr>
        <w:t xml:space="preserve"> PCS LLC </w:t>
      </w:r>
      <w:r w:rsidR="00D9535A">
        <w:rPr>
          <w:i/>
        </w:rPr>
        <w:t>and</w:t>
      </w:r>
      <w:r w:rsidR="00D9535A" w:rsidRPr="00D9535A">
        <w:rPr>
          <w:i/>
        </w:rPr>
        <w:t xml:space="preserve"> G</w:t>
      </w:r>
      <w:r w:rsidR="00D9535A">
        <w:rPr>
          <w:i/>
        </w:rPr>
        <w:t>ig</w:t>
      </w:r>
      <w:r w:rsidR="00D9535A" w:rsidRPr="00D9535A">
        <w:rPr>
          <w:i/>
        </w:rPr>
        <w:t>S</w:t>
      </w:r>
      <w:r w:rsidR="00D9535A">
        <w:rPr>
          <w:i/>
        </w:rPr>
        <w:t>ky</w:t>
      </w:r>
      <w:r w:rsidR="00D9535A" w:rsidRPr="00D9535A">
        <w:rPr>
          <w:i/>
        </w:rPr>
        <w:t xml:space="preserve"> M</w:t>
      </w:r>
      <w:r w:rsidR="00D9535A">
        <w:rPr>
          <w:i/>
        </w:rPr>
        <w:t>obile</w:t>
      </w:r>
      <w:r w:rsidR="00D9535A" w:rsidRPr="00D9535A">
        <w:rPr>
          <w:i/>
        </w:rPr>
        <w:t xml:space="preserve"> LLC H</w:t>
      </w:r>
      <w:r w:rsidR="00D9535A">
        <w:rPr>
          <w:i/>
        </w:rPr>
        <w:t>ave</w:t>
      </w:r>
      <w:r w:rsidR="00D9535A" w:rsidRPr="00D9535A">
        <w:rPr>
          <w:i/>
        </w:rPr>
        <w:t xml:space="preserve"> F</w:t>
      </w:r>
      <w:r w:rsidR="00D9535A">
        <w:rPr>
          <w:i/>
        </w:rPr>
        <w:t>iled a</w:t>
      </w:r>
      <w:r w:rsidR="00D9535A" w:rsidRPr="00D9535A">
        <w:rPr>
          <w:i/>
        </w:rPr>
        <w:t xml:space="preserve"> L</w:t>
      </w:r>
      <w:r w:rsidR="00D9535A">
        <w:rPr>
          <w:i/>
        </w:rPr>
        <w:t>ong</w:t>
      </w:r>
      <w:r w:rsidR="00D9535A" w:rsidRPr="00D9535A">
        <w:rPr>
          <w:i/>
        </w:rPr>
        <w:t>-T</w:t>
      </w:r>
      <w:r w:rsidR="00D9535A">
        <w:rPr>
          <w:i/>
        </w:rPr>
        <w:t>erm</w:t>
      </w:r>
      <w:r w:rsidR="00D9535A" w:rsidRPr="00D9535A">
        <w:rPr>
          <w:i/>
        </w:rPr>
        <w:t xml:space="preserve"> S</w:t>
      </w:r>
      <w:r w:rsidR="00D9535A">
        <w:rPr>
          <w:i/>
        </w:rPr>
        <w:t>pectrum</w:t>
      </w:r>
      <w:r w:rsidR="00D9535A" w:rsidRPr="00D9535A">
        <w:rPr>
          <w:i/>
        </w:rPr>
        <w:t xml:space="preserve"> M</w:t>
      </w:r>
      <w:r w:rsidR="00D9535A">
        <w:rPr>
          <w:i/>
        </w:rPr>
        <w:t>anager</w:t>
      </w:r>
      <w:r w:rsidR="00D9535A" w:rsidRPr="00D9535A">
        <w:rPr>
          <w:i/>
        </w:rPr>
        <w:t xml:space="preserve"> L</w:t>
      </w:r>
      <w:r w:rsidR="00D9535A">
        <w:rPr>
          <w:i/>
        </w:rPr>
        <w:t>easing</w:t>
      </w:r>
      <w:r w:rsidR="00D9535A" w:rsidRPr="00D9535A">
        <w:rPr>
          <w:i/>
        </w:rPr>
        <w:t xml:space="preserve"> N</w:t>
      </w:r>
      <w:r w:rsidR="00D9535A">
        <w:rPr>
          <w:i/>
        </w:rPr>
        <w:t xml:space="preserve">otification </w:t>
      </w:r>
      <w:r w:rsidR="00D9535A" w:rsidRPr="00D9535A">
        <w:rPr>
          <w:i/>
        </w:rPr>
        <w:t>I</w:t>
      </w:r>
      <w:r w:rsidR="00D9535A">
        <w:rPr>
          <w:i/>
        </w:rPr>
        <w:t>nvolving</w:t>
      </w:r>
      <w:r w:rsidR="00D9535A" w:rsidRPr="00D9535A">
        <w:rPr>
          <w:i/>
        </w:rPr>
        <w:t xml:space="preserve"> T</w:t>
      </w:r>
      <w:r w:rsidR="00D9535A">
        <w:rPr>
          <w:i/>
        </w:rPr>
        <w:t>wo</w:t>
      </w:r>
      <w:r w:rsidR="00D9535A" w:rsidRPr="00D9535A">
        <w:rPr>
          <w:i/>
        </w:rPr>
        <w:t xml:space="preserve"> L</w:t>
      </w:r>
      <w:r w:rsidR="00D9535A">
        <w:rPr>
          <w:i/>
        </w:rPr>
        <w:t>ower</w:t>
      </w:r>
      <w:r w:rsidR="00D9535A" w:rsidRPr="00D9535A">
        <w:rPr>
          <w:i/>
        </w:rPr>
        <w:t xml:space="preserve"> 700 MH</w:t>
      </w:r>
      <w:r w:rsidR="00D9535A">
        <w:rPr>
          <w:i/>
        </w:rPr>
        <w:t>z</w:t>
      </w:r>
      <w:r w:rsidR="00D9535A" w:rsidRPr="00D9535A">
        <w:rPr>
          <w:i/>
        </w:rPr>
        <w:t xml:space="preserve"> B B</w:t>
      </w:r>
      <w:r w:rsidR="00D9535A">
        <w:rPr>
          <w:i/>
        </w:rPr>
        <w:t>lock</w:t>
      </w:r>
      <w:r w:rsidR="00D9535A" w:rsidRPr="00D9535A">
        <w:rPr>
          <w:i/>
        </w:rPr>
        <w:t xml:space="preserve"> L</w:t>
      </w:r>
      <w:r w:rsidR="00D9535A">
        <w:rPr>
          <w:i/>
        </w:rPr>
        <w:t>icenses</w:t>
      </w:r>
      <w:r w:rsidR="00D9535A" w:rsidRPr="00D9535A">
        <w:rPr>
          <w:i/>
        </w:rPr>
        <w:t xml:space="preserve"> </w:t>
      </w:r>
      <w:r w:rsidR="00D9535A">
        <w:rPr>
          <w:i/>
        </w:rPr>
        <w:t>in</w:t>
      </w:r>
      <w:r w:rsidR="00D9535A" w:rsidRPr="00D9535A">
        <w:rPr>
          <w:i/>
        </w:rPr>
        <w:t xml:space="preserve"> </w:t>
      </w:r>
      <w:r w:rsidR="00D9535A">
        <w:rPr>
          <w:i/>
        </w:rPr>
        <w:t>the</w:t>
      </w:r>
      <w:r w:rsidR="00D9535A" w:rsidRPr="00D9535A">
        <w:rPr>
          <w:i/>
        </w:rPr>
        <w:t xml:space="preserve"> V</w:t>
      </w:r>
      <w:r w:rsidR="00D9535A">
        <w:rPr>
          <w:i/>
        </w:rPr>
        <w:t>irgin</w:t>
      </w:r>
      <w:r w:rsidR="00D9535A" w:rsidRPr="00D9535A">
        <w:rPr>
          <w:i/>
        </w:rPr>
        <w:t xml:space="preserve"> I</w:t>
      </w:r>
      <w:r w:rsidR="00D9535A">
        <w:rPr>
          <w:i/>
        </w:rPr>
        <w:t>slands</w:t>
      </w:r>
      <w:r>
        <w:t>, WT Docket No. 1</w:t>
      </w:r>
      <w:r w:rsidR="007D4A55">
        <w:t>7</w:t>
      </w:r>
      <w:r>
        <w:t>-</w:t>
      </w:r>
      <w:r w:rsidR="00D9535A">
        <w:t>32</w:t>
      </w:r>
      <w:r>
        <w:t xml:space="preserve">, </w:t>
      </w:r>
      <w:r w:rsidRPr="001B20B4">
        <w:t>Public Notice</w:t>
      </w:r>
      <w:r>
        <w:t>¸ DA 1</w:t>
      </w:r>
      <w:r w:rsidR="00211C37">
        <w:t>7</w:t>
      </w:r>
      <w:r>
        <w:t>-</w:t>
      </w:r>
      <w:r w:rsidR="003F748E">
        <w:t>113</w:t>
      </w:r>
      <w:r>
        <w:t xml:space="preserve"> (WTB </w:t>
      </w:r>
      <w:r w:rsidR="00475EA9">
        <w:t>Feb. 1</w:t>
      </w:r>
      <w:r w:rsidR="00211C37">
        <w:t>, 2017</w:t>
      </w:r>
      <w:r>
        <w:t>).</w:t>
      </w:r>
    </w:p>
  </w:footnote>
  <w:footnote w:id="3">
    <w:p w:rsidR="0093751F" w:rsidRDefault="0093751F" w:rsidP="0093751F">
      <w:pPr>
        <w:pStyle w:val="FootnoteText"/>
        <w:rPr>
          <w:i/>
        </w:rPr>
      </w:pPr>
      <w:r>
        <w:rPr>
          <w:rStyle w:val="FootnoteReference"/>
        </w:rPr>
        <w:footnoteRef/>
      </w:r>
      <w:r>
        <w:t xml:space="preserve"> 47 CFR §§ 1.907, 52.5.</w:t>
      </w:r>
    </w:p>
  </w:footnote>
  <w:footnote w:id="4">
    <w:p w:rsidR="0093751F" w:rsidRDefault="0093751F" w:rsidP="0093751F">
      <w:pPr>
        <w:pStyle w:val="FootnoteText"/>
      </w:pPr>
      <w:r>
        <w:rPr>
          <w:rStyle w:val="FootnoteReference"/>
        </w:rPr>
        <w:footnoteRef/>
      </w:r>
      <w:r>
        <w:t xml:space="preserve"> </w:t>
      </w:r>
      <w:r w:rsidR="00410558" w:rsidRPr="00410558">
        <w:rPr>
          <w:i/>
        </w:rPr>
        <w:t>Notification of New Cingular Wireless PCS LLC and GigSky Mobile LLC</w:t>
      </w:r>
      <w:r w:rsidR="00E876B0">
        <w:rPr>
          <w:i/>
        </w:rPr>
        <w:t xml:space="preserve"> f</w:t>
      </w:r>
      <w:r w:rsidR="00E876B0" w:rsidRPr="00E876B0">
        <w:rPr>
          <w:i/>
        </w:rPr>
        <w:t>or a Long-Term Spectrum Manager Leasing Arrangemen</w:t>
      </w:r>
      <w:r w:rsidR="00E876B0">
        <w:rPr>
          <w:i/>
        </w:rPr>
        <w:t>t</w:t>
      </w:r>
      <w:r>
        <w:t xml:space="preserve">, </w:t>
      </w:r>
      <w:r w:rsidRPr="00D27ABB">
        <w:t xml:space="preserve">WT Docket No. </w:t>
      </w:r>
      <w:r>
        <w:t>1</w:t>
      </w:r>
      <w:r w:rsidR="007D4A55">
        <w:t>7</w:t>
      </w:r>
      <w:r w:rsidRPr="00D27ABB">
        <w:t>-</w:t>
      </w:r>
      <w:r w:rsidR="00E876B0">
        <w:t>32</w:t>
      </w:r>
      <w:r w:rsidRPr="00D27ABB">
        <w:t xml:space="preserve">, </w:t>
      </w:r>
      <w:r w:rsidRPr="001B20B4">
        <w:t>NRUF/LNP Protective Order</w:t>
      </w:r>
      <w:r w:rsidRPr="00D27ABB">
        <w:t>, DA 1</w:t>
      </w:r>
      <w:r w:rsidR="005A28D5">
        <w:t>7</w:t>
      </w:r>
      <w:r w:rsidRPr="00D27ABB">
        <w:t>-</w:t>
      </w:r>
      <w:r w:rsidR="003F748E">
        <w:t>115</w:t>
      </w:r>
      <w:r w:rsidRPr="00D27ABB">
        <w:t xml:space="preserve"> (WTB </w:t>
      </w:r>
      <w:r w:rsidR="00475EA9">
        <w:t>Feb. 1</w:t>
      </w:r>
      <w:r w:rsidR="005A28D5">
        <w:t>, 2017</w:t>
      </w:r>
      <w:r w:rsidR="007D389B">
        <w:t>).</w:t>
      </w:r>
    </w:p>
  </w:footnote>
  <w:footnote w:id="5">
    <w:p w:rsidR="00A31FC8" w:rsidRDefault="00A31FC8" w:rsidP="00A31FC8">
      <w:pPr>
        <w:pStyle w:val="FootnoteText"/>
      </w:pPr>
      <w:r>
        <w:rPr>
          <w:rStyle w:val="FootnoteReference"/>
        </w:rPr>
        <w:footnoteRef/>
      </w:r>
      <w:r>
        <w:t xml:space="preserve"> 47 U.S.C. § 251.</w:t>
      </w:r>
    </w:p>
  </w:footnote>
  <w:footnote w:id="6">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7">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8">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9">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BD" w:rsidRDefault="00D61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BD" w:rsidRDefault="00D61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6485D"/>
    <w:rsid w:val="000B62AD"/>
    <w:rsid w:val="000B654E"/>
    <w:rsid w:val="000D5731"/>
    <w:rsid w:val="00112BBE"/>
    <w:rsid w:val="001370AC"/>
    <w:rsid w:val="00144BD1"/>
    <w:rsid w:val="001474C5"/>
    <w:rsid w:val="00150A0D"/>
    <w:rsid w:val="00156D42"/>
    <w:rsid w:val="00163B87"/>
    <w:rsid w:val="0017677B"/>
    <w:rsid w:val="00194C55"/>
    <w:rsid w:val="00211C37"/>
    <w:rsid w:val="00221716"/>
    <w:rsid w:val="00227577"/>
    <w:rsid w:val="00227D55"/>
    <w:rsid w:val="00231A9C"/>
    <w:rsid w:val="00235C25"/>
    <w:rsid w:val="00254FFE"/>
    <w:rsid w:val="002B6478"/>
    <w:rsid w:val="002B69A4"/>
    <w:rsid w:val="002D010A"/>
    <w:rsid w:val="002F4B1B"/>
    <w:rsid w:val="00337116"/>
    <w:rsid w:val="003633BE"/>
    <w:rsid w:val="00365752"/>
    <w:rsid w:val="003F2B65"/>
    <w:rsid w:val="003F748E"/>
    <w:rsid w:val="00410558"/>
    <w:rsid w:val="00475EA9"/>
    <w:rsid w:val="004C3D7E"/>
    <w:rsid w:val="004C6CFC"/>
    <w:rsid w:val="00501B3C"/>
    <w:rsid w:val="005377B1"/>
    <w:rsid w:val="005428D0"/>
    <w:rsid w:val="00567DFC"/>
    <w:rsid w:val="005A28D5"/>
    <w:rsid w:val="005D4CED"/>
    <w:rsid w:val="005D52D0"/>
    <w:rsid w:val="006016C2"/>
    <w:rsid w:val="00602577"/>
    <w:rsid w:val="00602DD9"/>
    <w:rsid w:val="00606B7D"/>
    <w:rsid w:val="006225C0"/>
    <w:rsid w:val="00641FB9"/>
    <w:rsid w:val="0066040B"/>
    <w:rsid w:val="006C0585"/>
    <w:rsid w:val="006C79CB"/>
    <w:rsid w:val="006D1260"/>
    <w:rsid w:val="006E0D6B"/>
    <w:rsid w:val="006F6FB1"/>
    <w:rsid w:val="00702185"/>
    <w:rsid w:val="00715AA8"/>
    <w:rsid w:val="007341CA"/>
    <w:rsid w:val="007665F9"/>
    <w:rsid w:val="007668FB"/>
    <w:rsid w:val="007A67C8"/>
    <w:rsid w:val="007A6A66"/>
    <w:rsid w:val="007B00E4"/>
    <w:rsid w:val="007B16B0"/>
    <w:rsid w:val="007B3539"/>
    <w:rsid w:val="007B79E1"/>
    <w:rsid w:val="007C2E6E"/>
    <w:rsid w:val="007C642D"/>
    <w:rsid w:val="007D389B"/>
    <w:rsid w:val="007D40C3"/>
    <w:rsid w:val="007D4A55"/>
    <w:rsid w:val="00883A17"/>
    <w:rsid w:val="008979AB"/>
    <w:rsid w:val="008A0DEC"/>
    <w:rsid w:val="00923A25"/>
    <w:rsid w:val="00927FFA"/>
    <w:rsid w:val="0093751F"/>
    <w:rsid w:val="00946884"/>
    <w:rsid w:val="00955B02"/>
    <w:rsid w:val="009C0EA1"/>
    <w:rsid w:val="009F4890"/>
    <w:rsid w:val="00A31FC8"/>
    <w:rsid w:val="00A42F48"/>
    <w:rsid w:val="00A72107"/>
    <w:rsid w:val="00B10477"/>
    <w:rsid w:val="00B110EA"/>
    <w:rsid w:val="00B23777"/>
    <w:rsid w:val="00B63AD7"/>
    <w:rsid w:val="00B9182D"/>
    <w:rsid w:val="00BB493B"/>
    <w:rsid w:val="00BC47CF"/>
    <w:rsid w:val="00BD611B"/>
    <w:rsid w:val="00BD7CDF"/>
    <w:rsid w:val="00BE2AED"/>
    <w:rsid w:val="00BF7452"/>
    <w:rsid w:val="00C009B0"/>
    <w:rsid w:val="00C36E9F"/>
    <w:rsid w:val="00C73932"/>
    <w:rsid w:val="00C85E15"/>
    <w:rsid w:val="00CB160F"/>
    <w:rsid w:val="00CB1D1F"/>
    <w:rsid w:val="00D07BF5"/>
    <w:rsid w:val="00D17DC0"/>
    <w:rsid w:val="00D42AD8"/>
    <w:rsid w:val="00D60EFF"/>
    <w:rsid w:val="00D613BD"/>
    <w:rsid w:val="00D803F3"/>
    <w:rsid w:val="00D91E2C"/>
    <w:rsid w:val="00D9535A"/>
    <w:rsid w:val="00DB03A3"/>
    <w:rsid w:val="00E41F2A"/>
    <w:rsid w:val="00E43668"/>
    <w:rsid w:val="00E506D5"/>
    <w:rsid w:val="00E72D84"/>
    <w:rsid w:val="00E81681"/>
    <w:rsid w:val="00E86F74"/>
    <w:rsid w:val="00E876B0"/>
    <w:rsid w:val="00EA2C9F"/>
    <w:rsid w:val="00EA506D"/>
    <w:rsid w:val="00EB6D66"/>
    <w:rsid w:val="00ED2670"/>
    <w:rsid w:val="00ED6218"/>
    <w:rsid w:val="00F75E28"/>
    <w:rsid w:val="00FF199D"/>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 w:type="character" w:styleId="CommentReference">
    <w:name w:val="annotation reference"/>
    <w:basedOn w:val="DefaultParagraphFont"/>
    <w:uiPriority w:val="99"/>
    <w:semiHidden/>
    <w:unhideWhenUsed/>
    <w:rsid w:val="005428D0"/>
    <w:rPr>
      <w:sz w:val="16"/>
      <w:szCs w:val="16"/>
    </w:rPr>
  </w:style>
  <w:style w:type="paragraph" w:styleId="CommentText">
    <w:name w:val="annotation text"/>
    <w:basedOn w:val="Normal"/>
    <w:link w:val="CommentTextChar"/>
    <w:uiPriority w:val="99"/>
    <w:semiHidden/>
    <w:unhideWhenUsed/>
    <w:rsid w:val="005428D0"/>
    <w:rPr>
      <w:sz w:val="20"/>
    </w:rPr>
  </w:style>
  <w:style w:type="character" w:customStyle="1" w:styleId="CommentTextChar">
    <w:name w:val="Comment Text Char"/>
    <w:basedOn w:val="DefaultParagraphFont"/>
    <w:link w:val="CommentText"/>
    <w:uiPriority w:val="99"/>
    <w:semiHidden/>
    <w:rsid w:val="0054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1185</Words>
  <Characters>6750</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2016-11-30T17:46:00Z</cp:lastPrinted>
  <dcterms:created xsi:type="dcterms:W3CDTF">2017-02-01T16:53:00Z</dcterms:created>
  <dcterms:modified xsi:type="dcterms:W3CDTF">2017-02-01T16:53:00Z</dcterms:modified>
  <cp:category> </cp:category>
  <cp:contentStatus> </cp:contentStatus>
</cp:coreProperties>
</file>