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1877" w14:textId="77777777" w:rsidR="004B4EF1" w:rsidRDefault="004B4EF1" w:rsidP="004B4EF1">
      <w:pPr>
        <w:tabs>
          <w:tab w:val="left" w:pos="0"/>
        </w:tabs>
        <w:suppressAutoHyphens/>
        <w:rPr>
          <w:sz w:val="22"/>
          <w:szCs w:val="22"/>
        </w:rPr>
      </w:pPr>
      <w:bookmarkStart w:id="0" w:name="_GoBack"/>
      <w:bookmarkEnd w:id="0"/>
      <w:r>
        <w:rPr>
          <w:sz w:val="22"/>
          <w:szCs w:val="22"/>
        </w:rPr>
        <w:t>Dan J. Alpert, Esq.</w:t>
      </w:r>
    </w:p>
    <w:p w14:paraId="33F57468" w14:textId="77777777" w:rsidR="004B4EF1" w:rsidRDefault="004B4EF1" w:rsidP="004B4EF1">
      <w:pPr>
        <w:tabs>
          <w:tab w:val="left" w:pos="0"/>
        </w:tabs>
        <w:suppressAutoHyphens/>
        <w:rPr>
          <w:sz w:val="22"/>
          <w:szCs w:val="22"/>
        </w:rPr>
      </w:pPr>
      <w:r>
        <w:rPr>
          <w:sz w:val="22"/>
          <w:szCs w:val="22"/>
        </w:rPr>
        <w:t>The Law Office of Dan J. Alpert</w:t>
      </w:r>
    </w:p>
    <w:p w14:paraId="6A7F9830" w14:textId="77777777" w:rsidR="004B4EF1" w:rsidRDefault="004B4EF1" w:rsidP="004B4EF1">
      <w:pPr>
        <w:tabs>
          <w:tab w:val="left" w:pos="0"/>
        </w:tabs>
        <w:suppressAutoHyphens/>
        <w:rPr>
          <w:sz w:val="22"/>
          <w:szCs w:val="22"/>
        </w:rPr>
      </w:pPr>
      <w:r>
        <w:rPr>
          <w:sz w:val="22"/>
          <w:szCs w:val="22"/>
        </w:rPr>
        <w:t>2120 North 21</w:t>
      </w:r>
      <w:r w:rsidRPr="001B04FA">
        <w:rPr>
          <w:sz w:val="22"/>
          <w:szCs w:val="22"/>
          <w:vertAlign w:val="superscript"/>
        </w:rPr>
        <w:t>st</w:t>
      </w:r>
      <w:r>
        <w:rPr>
          <w:sz w:val="22"/>
          <w:szCs w:val="22"/>
        </w:rPr>
        <w:t xml:space="preserve"> Road</w:t>
      </w:r>
    </w:p>
    <w:p w14:paraId="3BFE648C" w14:textId="77777777" w:rsidR="00E0408F" w:rsidRPr="001A10E0" w:rsidRDefault="004B4EF1" w:rsidP="004B4EF1">
      <w:pPr>
        <w:tabs>
          <w:tab w:val="left" w:pos="0"/>
        </w:tabs>
        <w:suppressAutoHyphens/>
        <w:outlineLvl w:val="0"/>
        <w:rPr>
          <w:color w:val="000000"/>
          <w:sz w:val="22"/>
          <w:szCs w:val="22"/>
        </w:rPr>
      </w:pPr>
      <w:r>
        <w:rPr>
          <w:sz w:val="22"/>
          <w:szCs w:val="22"/>
        </w:rPr>
        <w:t>Arlington, VA 22201</w:t>
      </w:r>
    </w:p>
    <w:p w14:paraId="2964130C" w14:textId="77777777" w:rsidR="00E0408F" w:rsidRPr="001A10E0" w:rsidRDefault="00E0408F" w:rsidP="00C16377">
      <w:pPr>
        <w:ind w:left="5040" w:hanging="720"/>
        <w:jc w:val="both"/>
        <w:rPr>
          <w:sz w:val="22"/>
          <w:szCs w:val="22"/>
        </w:rPr>
      </w:pPr>
      <w:r w:rsidRPr="001A10E0">
        <w:rPr>
          <w:sz w:val="22"/>
          <w:szCs w:val="22"/>
        </w:rPr>
        <w:t>In re:</w:t>
      </w:r>
      <w:r w:rsidR="00C16377">
        <w:rPr>
          <w:sz w:val="22"/>
          <w:szCs w:val="22"/>
        </w:rPr>
        <w:tab/>
      </w:r>
      <w:r w:rsidRPr="001A10E0">
        <w:rPr>
          <w:sz w:val="22"/>
          <w:szCs w:val="22"/>
        </w:rPr>
        <w:t>NEW-LP, Fort Worth, TX</w:t>
      </w:r>
    </w:p>
    <w:p w14:paraId="7F3B7212" w14:textId="77777777" w:rsidR="00E0408F" w:rsidRPr="001A10E0" w:rsidRDefault="00E0408F">
      <w:pPr>
        <w:tabs>
          <w:tab w:val="left" w:pos="4680"/>
          <w:tab w:val="left" w:pos="5400"/>
        </w:tabs>
        <w:ind w:left="9720" w:hanging="4680"/>
        <w:rPr>
          <w:sz w:val="22"/>
          <w:szCs w:val="22"/>
        </w:rPr>
      </w:pPr>
      <w:r w:rsidRPr="001A10E0">
        <w:rPr>
          <w:sz w:val="22"/>
          <w:szCs w:val="22"/>
        </w:rPr>
        <w:t>Facility ID No. 193837</w:t>
      </w:r>
    </w:p>
    <w:p w14:paraId="26941E04" w14:textId="77777777" w:rsidR="00E0408F" w:rsidRPr="001A10E0" w:rsidRDefault="00E0408F">
      <w:pPr>
        <w:tabs>
          <w:tab w:val="left" w:pos="4680"/>
          <w:tab w:val="left" w:pos="5400"/>
        </w:tabs>
        <w:ind w:left="9720" w:hanging="4680"/>
        <w:rPr>
          <w:sz w:val="22"/>
          <w:szCs w:val="22"/>
        </w:rPr>
      </w:pPr>
      <w:r w:rsidRPr="001A10E0">
        <w:rPr>
          <w:sz w:val="22"/>
          <w:szCs w:val="22"/>
        </w:rPr>
        <w:t>Fort Worth Hispanic Community Church</w:t>
      </w:r>
    </w:p>
    <w:p w14:paraId="1B505480" w14:textId="77777777" w:rsidR="00E0408F" w:rsidRPr="001A10E0" w:rsidRDefault="00E0408F">
      <w:pPr>
        <w:ind w:left="4320" w:firstLine="720"/>
        <w:jc w:val="both"/>
        <w:rPr>
          <w:sz w:val="22"/>
          <w:szCs w:val="22"/>
        </w:rPr>
      </w:pPr>
      <w:r w:rsidRPr="001A10E0">
        <w:rPr>
          <w:sz w:val="22"/>
          <w:szCs w:val="22"/>
        </w:rPr>
        <w:t xml:space="preserve">File No. </w:t>
      </w:r>
      <w:r w:rsidR="00510B19">
        <w:rPr>
          <w:sz w:val="22"/>
          <w:szCs w:val="22"/>
        </w:rPr>
        <w:t xml:space="preserve"> </w:t>
      </w:r>
      <w:r w:rsidRPr="001A10E0">
        <w:rPr>
          <w:sz w:val="22"/>
          <w:szCs w:val="22"/>
        </w:rPr>
        <w:t>BNPL-20131112AFX</w:t>
      </w:r>
    </w:p>
    <w:p w14:paraId="73C66C31" w14:textId="77777777" w:rsidR="00E0408F" w:rsidRPr="001A10E0" w:rsidRDefault="00E0408F" w:rsidP="00430775">
      <w:pPr>
        <w:jc w:val="both"/>
        <w:rPr>
          <w:sz w:val="22"/>
          <w:szCs w:val="22"/>
        </w:rPr>
      </w:pPr>
    </w:p>
    <w:p w14:paraId="1E318EC3" w14:textId="77777777" w:rsidR="00E0408F" w:rsidRPr="001A10E0" w:rsidRDefault="00E0408F">
      <w:pPr>
        <w:tabs>
          <w:tab w:val="left" w:pos="4680"/>
          <w:tab w:val="left" w:pos="5400"/>
        </w:tabs>
        <w:ind w:left="5040"/>
        <w:rPr>
          <w:sz w:val="22"/>
          <w:szCs w:val="22"/>
        </w:rPr>
      </w:pPr>
      <w:r w:rsidRPr="001A10E0">
        <w:rPr>
          <w:sz w:val="22"/>
          <w:szCs w:val="22"/>
        </w:rPr>
        <w:t>NEW-LP, Wichita Falls, TX</w:t>
      </w:r>
    </w:p>
    <w:p w14:paraId="6E3E8529" w14:textId="77777777" w:rsidR="00E0408F" w:rsidRPr="00C567CE" w:rsidRDefault="00E0408F">
      <w:pPr>
        <w:tabs>
          <w:tab w:val="left" w:pos="4680"/>
          <w:tab w:val="left" w:pos="5400"/>
        </w:tabs>
        <w:ind w:left="9720" w:hanging="4680"/>
        <w:rPr>
          <w:sz w:val="22"/>
          <w:szCs w:val="22"/>
          <w:lang w:val="es-ES"/>
        </w:rPr>
      </w:pPr>
      <w:r w:rsidRPr="00C567CE">
        <w:rPr>
          <w:sz w:val="22"/>
          <w:szCs w:val="22"/>
          <w:lang w:val="es-ES"/>
        </w:rPr>
        <w:t>Facility ID No. 195685</w:t>
      </w:r>
    </w:p>
    <w:p w14:paraId="6F876A2E" w14:textId="77777777" w:rsidR="00E0408F" w:rsidRPr="00C567CE" w:rsidRDefault="00E0408F">
      <w:pPr>
        <w:tabs>
          <w:tab w:val="left" w:pos="4680"/>
          <w:tab w:val="left" w:pos="5400"/>
        </w:tabs>
        <w:ind w:left="9720" w:hanging="4680"/>
        <w:rPr>
          <w:sz w:val="22"/>
          <w:szCs w:val="22"/>
          <w:lang w:val="es-ES"/>
        </w:rPr>
      </w:pPr>
      <w:r w:rsidRPr="00C567CE">
        <w:rPr>
          <w:sz w:val="22"/>
          <w:szCs w:val="22"/>
          <w:lang w:val="es-ES"/>
        </w:rPr>
        <w:t>Casa Al Imigrante De Wichita Falls</w:t>
      </w:r>
    </w:p>
    <w:p w14:paraId="39016351" w14:textId="77777777" w:rsidR="00E0408F" w:rsidRPr="001A10E0" w:rsidRDefault="00E0408F" w:rsidP="00580A3C">
      <w:pPr>
        <w:ind w:left="4320" w:firstLine="720"/>
        <w:jc w:val="both"/>
        <w:rPr>
          <w:sz w:val="22"/>
          <w:szCs w:val="22"/>
        </w:rPr>
      </w:pPr>
      <w:r w:rsidRPr="001A10E0">
        <w:rPr>
          <w:sz w:val="22"/>
          <w:szCs w:val="22"/>
        </w:rPr>
        <w:t>File No.</w:t>
      </w:r>
      <w:r w:rsidR="00510B19">
        <w:rPr>
          <w:sz w:val="22"/>
          <w:szCs w:val="22"/>
        </w:rPr>
        <w:t xml:space="preserve"> </w:t>
      </w:r>
      <w:r w:rsidRPr="001A10E0">
        <w:rPr>
          <w:sz w:val="22"/>
          <w:szCs w:val="22"/>
        </w:rPr>
        <w:t xml:space="preserve"> BNPL-20131114APH</w:t>
      </w:r>
    </w:p>
    <w:p w14:paraId="054BF6F7" w14:textId="77777777" w:rsidR="00580A3C" w:rsidRPr="001A10E0" w:rsidRDefault="00E0408F">
      <w:pPr>
        <w:rPr>
          <w:sz w:val="22"/>
          <w:szCs w:val="22"/>
        </w:rPr>
      </w:pP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p>
    <w:p w14:paraId="4E4E21B8" w14:textId="77777777" w:rsidR="00E0408F" w:rsidRPr="001A10E0" w:rsidRDefault="00D65FD0" w:rsidP="00580A3C">
      <w:pPr>
        <w:ind w:left="4320" w:firstLine="720"/>
        <w:rPr>
          <w:b/>
          <w:sz w:val="22"/>
          <w:szCs w:val="22"/>
        </w:rPr>
      </w:pPr>
      <w:r w:rsidRPr="001A10E0">
        <w:rPr>
          <w:b/>
          <w:sz w:val="22"/>
          <w:szCs w:val="22"/>
        </w:rPr>
        <w:t>Petition for Reconsideration</w:t>
      </w:r>
      <w:r w:rsidR="00E0408F" w:rsidRPr="001A10E0">
        <w:rPr>
          <w:b/>
          <w:sz w:val="22"/>
          <w:szCs w:val="22"/>
        </w:rPr>
        <w:t xml:space="preserve"> </w:t>
      </w:r>
    </w:p>
    <w:p w14:paraId="26706E55" w14:textId="77777777" w:rsidR="00E0408F" w:rsidRPr="001A10E0" w:rsidRDefault="00E0408F">
      <w:pPr>
        <w:rPr>
          <w:sz w:val="22"/>
          <w:szCs w:val="22"/>
        </w:rPr>
      </w:pPr>
    </w:p>
    <w:p w14:paraId="4245683A" w14:textId="77777777" w:rsidR="00E0408F" w:rsidRPr="001A10E0" w:rsidRDefault="004B4EF1">
      <w:pPr>
        <w:rPr>
          <w:sz w:val="22"/>
          <w:szCs w:val="22"/>
        </w:rPr>
      </w:pPr>
      <w:r>
        <w:rPr>
          <w:sz w:val="22"/>
          <w:szCs w:val="22"/>
        </w:rPr>
        <w:t>Dear Counsel</w:t>
      </w:r>
      <w:r w:rsidR="00E0408F" w:rsidRPr="001A10E0">
        <w:rPr>
          <w:sz w:val="22"/>
          <w:szCs w:val="22"/>
        </w:rPr>
        <w:t>:</w:t>
      </w:r>
    </w:p>
    <w:p w14:paraId="7BBC5F7E" w14:textId="77777777" w:rsidR="00E0408F" w:rsidRPr="001A10E0" w:rsidRDefault="00E0408F">
      <w:pPr>
        <w:rPr>
          <w:sz w:val="22"/>
          <w:szCs w:val="22"/>
        </w:rPr>
      </w:pPr>
    </w:p>
    <w:p w14:paraId="04A87098" w14:textId="77777777" w:rsidR="00E0408F" w:rsidRPr="001A10E0" w:rsidRDefault="00E0408F" w:rsidP="00430775">
      <w:pPr>
        <w:widowControl/>
        <w:autoSpaceDE w:val="0"/>
        <w:autoSpaceDN w:val="0"/>
        <w:adjustRightInd w:val="0"/>
        <w:rPr>
          <w:snapToGrid/>
          <w:sz w:val="22"/>
          <w:szCs w:val="22"/>
        </w:rPr>
      </w:pPr>
      <w:r w:rsidRPr="001A10E0">
        <w:rPr>
          <w:sz w:val="22"/>
          <w:szCs w:val="22"/>
        </w:rPr>
        <w:tab/>
      </w:r>
      <w:r w:rsidR="00D65FD0" w:rsidRPr="001A10E0">
        <w:rPr>
          <w:sz w:val="22"/>
          <w:szCs w:val="22"/>
        </w:rPr>
        <w:t xml:space="preserve">We have </w:t>
      </w:r>
      <w:r w:rsidR="004B4EF1">
        <w:rPr>
          <w:sz w:val="22"/>
          <w:szCs w:val="22"/>
        </w:rPr>
        <w:t xml:space="preserve">before us a </w:t>
      </w:r>
      <w:r w:rsidR="00D65FD0" w:rsidRPr="001A10E0">
        <w:rPr>
          <w:sz w:val="22"/>
          <w:szCs w:val="22"/>
        </w:rPr>
        <w:t>Petition f</w:t>
      </w:r>
      <w:r w:rsidR="004B4EF1">
        <w:rPr>
          <w:sz w:val="22"/>
          <w:szCs w:val="22"/>
        </w:rPr>
        <w:t xml:space="preserve">or Reconsideration </w:t>
      </w:r>
      <w:r w:rsidR="00E10B2D" w:rsidRPr="001A10E0">
        <w:rPr>
          <w:snapToGrid/>
          <w:sz w:val="22"/>
          <w:szCs w:val="22"/>
        </w:rPr>
        <w:t xml:space="preserve">filed </w:t>
      </w:r>
      <w:r w:rsidR="004B4EF1">
        <w:rPr>
          <w:snapToGrid/>
          <w:sz w:val="22"/>
          <w:szCs w:val="22"/>
        </w:rPr>
        <w:t xml:space="preserve">jointly </w:t>
      </w:r>
      <w:r w:rsidR="00E10B2D" w:rsidRPr="001A10E0">
        <w:rPr>
          <w:snapToGrid/>
          <w:sz w:val="22"/>
          <w:szCs w:val="22"/>
        </w:rPr>
        <w:t xml:space="preserve">by </w:t>
      </w:r>
      <w:r w:rsidR="008D1680">
        <w:rPr>
          <w:snapToGrid/>
          <w:sz w:val="22"/>
          <w:szCs w:val="22"/>
        </w:rPr>
        <w:t xml:space="preserve">two Texas organizations, </w:t>
      </w:r>
      <w:r w:rsidR="00E10B2D" w:rsidRPr="001A10E0">
        <w:rPr>
          <w:snapToGrid/>
          <w:sz w:val="22"/>
          <w:szCs w:val="22"/>
        </w:rPr>
        <w:t>Fort Wo</w:t>
      </w:r>
      <w:r w:rsidR="00887FF5">
        <w:rPr>
          <w:snapToGrid/>
          <w:sz w:val="22"/>
          <w:szCs w:val="22"/>
        </w:rPr>
        <w:t>rth Hispa</w:t>
      </w:r>
      <w:r w:rsidR="009F73BC">
        <w:rPr>
          <w:snapToGrid/>
          <w:sz w:val="22"/>
          <w:szCs w:val="22"/>
        </w:rPr>
        <w:t>nic Community Church (FWHCC</w:t>
      </w:r>
      <w:r w:rsidR="00887FF5">
        <w:rPr>
          <w:snapToGrid/>
          <w:sz w:val="22"/>
          <w:szCs w:val="22"/>
        </w:rPr>
        <w:t xml:space="preserve">) </w:t>
      </w:r>
      <w:r w:rsidR="00580A3C" w:rsidRPr="001A10E0">
        <w:rPr>
          <w:snapToGrid/>
          <w:sz w:val="22"/>
          <w:szCs w:val="22"/>
        </w:rPr>
        <w:t xml:space="preserve">and </w:t>
      </w:r>
      <w:r w:rsidR="002F1385">
        <w:rPr>
          <w:snapToGrid/>
          <w:sz w:val="22"/>
          <w:szCs w:val="22"/>
        </w:rPr>
        <w:t>Casa al Imigrante d</w:t>
      </w:r>
      <w:r w:rsidR="00887FF5">
        <w:rPr>
          <w:snapToGrid/>
          <w:sz w:val="22"/>
          <w:szCs w:val="22"/>
        </w:rPr>
        <w:t>e Wichita Falls (Casa</w:t>
      </w:r>
      <w:r w:rsidR="00580A3C" w:rsidRPr="001A10E0">
        <w:rPr>
          <w:snapToGrid/>
          <w:sz w:val="22"/>
          <w:szCs w:val="22"/>
        </w:rPr>
        <w:t>)</w:t>
      </w:r>
      <w:r w:rsidR="00887FF5">
        <w:rPr>
          <w:snapToGrid/>
          <w:sz w:val="22"/>
          <w:szCs w:val="22"/>
        </w:rPr>
        <w:t xml:space="preserve"> (collectively, Applicants</w:t>
      </w:r>
      <w:r w:rsidR="00742039" w:rsidRPr="001A10E0">
        <w:rPr>
          <w:snapToGrid/>
          <w:sz w:val="22"/>
          <w:szCs w:val="22"/>
        </w:rPr>
        <w:t>)</w:t>
      </w:r>
      <w:r w:rsidR="004B4EF1">
        <w:rPr>
          <w:snapToGrid/>
          <w:sz w:val="22"/>
          <w:szCs w:val="22"/>
        </w:rPr>
        <w:t>.</w:t>
      </w:r>
      <w:r w:rsidR="004B4EF1">
        <w:rPr>
          <w:rStyle w:val="FootnoteReference"/>
          <w:snapToGrid/>
          <w:szCs w:val="22"/>
        </w:rPr>
        <w:footnoteReference w:id="1"/>
      </w:r>
      <w:r w:rsidR="00580A3C" w:rsidRPr="001A10E0">
        <w:rPr>
          <w:snapToGrid/>
          <w:sz w:val="22"/>
          <w:szCs w:val="22"/>
        </w:rPr>
        <w:t xml:space="preserve"> </w:t>
      </w:r>
      <w:r w:rsidR="008D1680">
        <w:rPr>
          <w:snapToGrid/>
          <w:sz w:val="22"/>
          <w:szCs w:val="22"/>
        </w:rPr>
        <w:t xml:space="preserve"> Each </w:t>
      </w:r>
      <w:r w:rsidR="00AD2C29">
        <w:rPr>
          <w:sz w:val="22"/>
          <w:szCs w:val="22"/>
        </w:rPr>
        <w:t>seek</w:t>
      </w:r>
      <w:r w:rsidR="008D1680">
        <w:rPr>
          <w:sz w:val="22"/>
          <w:szCs w:val="22"/>
        </w:rPr>
        <w:t>s</w:t>
      </w:r>
      <w:r w:rsidR="00B15606" w:rsidRPr="001A10E0">
        <w:rPr>
          <w:sz w:val="22"/>
          <w:szCs w:val="22"/>
        </w:rPr>
        <w:t xml:space="preserve"> re</w:t>
      </w:r>
      <w:r w:rsidR="00580A3C" w:rsidRPr="001A10E0">
        <w:rPr>
          <w:sz w:val="22"/>
          <w:szCs w:val="22"/>
        </w:rPr>
        <w:t>consideration</w:t>
      </w:r>
      <w:r w:rsidR="00082C65">
        <w:rPr>
          <w:sz w:val="22"/>
          <w:szCs w:val="22"/>
        </w:rPr>
        <w:t xml:space="preserve"> of the same</w:t>
      </w:r>
      <w:r w:rsidR="0007674E">
        <w:rPr>
          <w:sz w:val="22"/>
          <w:szCs w:val="22"/>
        </w:rPr>
        <w:t xml:space="preserve"> </w:t>
      </w:r>
      <w:r w:rsidR="00887FF5">
        <w:rPr>
          <w:sz w:val="22"/>
          <w:szCs w:val="22"/>
        </w:rPr>
        <w:t>Media Bureau (Bureau</w:t>
      </w:r>
      <w:r w:rsidR="00B15606" w:rsidRPr="001A10E0">
        <w:rPr>
          <w:sz w:val="22"/>
          <w:szCs w:val="22"/>
        </w:rPr>
        <w:t>)</w:t>
      </w:r>
      <w:r w:rsidR="00006929">
        <w:rPr>
          <w:sz w:val="22"/>
          <w:szCs w:val="22"/>
        </w:rPr>
        <w:t xml:space="preserve"> </w:t>
      </w:r>
      <w:r w:rsidR="00006929" w:rsidRPr="00006929">
        <w:rPr>
          <w:i/>
          <w:sz w:val="22"/>
          <w:szCs w:val="22"/>
        </w:rPr>
        <w:t>D</w:t>
      </w:r>
      <w:r w:rsidR="00887FF5" w:rsidRPr="00006929">
        <w:rPr>
          <w:i/>
          <w:sz w:val="22"/>
          <w:szCs w:val="22"/>
        </w:rPr>
        <w:t>ecision</w:t>
      </w:r>
      <w:r w:rsidR="00FD4A38">
        <w:rPr>
          <w:rStyle w:val="FootnoteReference"/>
          <w:szCs w:val="22"/>
        </w:rPr>
        <w:footnoteReference w:id="2"/>
      </w:r>
      <w:r w:rsidR="00887FF5">
        <w:rPr>
          <w:sz w:val="22"/>
          <w:szCs w:val="22"/>
        </w:rPr>
        <w:t xml:space="preserve"> that</w:t>
      </w:r>
      <w:r w:rsidR="00E10B2D" w:rsidRPr="001A10E0">
        <w:rPr>
          <w:sz w:val="22"/>
          <w:szCs w:val="22"/>
        </w:rPr>
        <w:t xml:space="preserve"> dismiss</w:t>
      </w:r>
      <w:r w:rsidR="00887FF5">
        <w:rPr>
          <w:sz w:val="22"/>
          <w:szCs w:val="22"/>
        </w:rPr>
        <w:t>ed</w:t>
      </w:r>
      <w:r w:rsidR="00E10B2D" w:rsidRPr="001A10E0">
        <w:rPr>
          <w:sz w:val="22"/>
          <w:szCs w:val="22"/>
        </w:rPr>
        <w:t xml:space="preserve"> </w:t>
      </w:r>
      <w:r w:rsidR="008D1680">
        <w:rPr>
          <w:sz w:val="22"/>
          <w:szCs w:val="22"/>
        </w:rPr>
        <w:t xml:space="preserve">its </w:t>
      </w:r>
      <w:r w:rsidR="008F626B">
        <w:rPr>
          <w:sz w:val="22"/>
          <w:szCs w:val="22"/>
        </w:rPr>
        <w:t xml:space="preserve">respective </w:t>
      </w:r>
      <w:r w:rsidR="008D1680">
        <w:rPr>
          <w:sz w:val="22"/>
          <w:szCs w:val="22"/>
        </w:rPr>
        <w:t>application</w:t>
      </w:r>
      <w:r w:rsidR="00FE0611">
        <w:rPr>
          <w:sz w:val="22"/>
          <w:szCs w:val="22"/>
        </w:rPr>
        <w:t xml:space="preserve"> </w:t>
      </w:r>
      <w:r w:rsidR="00AD2C29">
        <w:rPr>
          <w:sz w:val="22"/>
          <w:szCs w:val="22"/>
        </w:rPr>
        <w:t xml:space="preserve">for </w:t>
      </w:r>
      <w:r w:rsidR="008D1680">
        <w:rPr>
          <w:sz w:val="22"/>
          <w:szCs w:val="22"/>
        </w:rPr>
        <w:t>a permit</w:t>
      </w:r>
      <w:r w:rsidR="00AD2C29">
        <w:rPr>
          <w:sz w:val="22"/>
          <w:szCs w:val="22"/>
        </w:rPr>
        <w:t xml:space="preserve"> to construct</w:t>
      </w:r>
      <w:r w:rsidR="0004386A" w:rsidRPr="001A10E0">
        <w:rPr>
          <w:sz w:val="22"/>
          <w:szCs w:val="22"/>
        </w:rPr>
        <w:t xml:space="preserve"> </w:t>
      </w:r>
      <w:r w:rsidR="008D1680">
        <w:rPr>
          <w:sz w:val="22"/>
          <w:szCs w:val="22"/>
        </w:rPr>
        <w:t xml:space="preserve">a </w:t>
      </w:r>
      <w:r w:rsidR="0004386A" w:rsidRPr="001A10E0">
        <w:rPr>
          <w:sz w:val="22"/>
          <w:szCs w:val="22"/>
        </w:rPr>
        <w:t xml:space="preserve">new </w:t>
      </w:r>
      <w:r w:rsidR="00F14494">
        <w:rPr>
          <w:sz w:val="22"/>
          <w:szCs w:val="22"/>
        </w:rPr>
        <w:t>low power FM (</w:t>
      </w:r>
      <w:r w:rsidR="006A6584">
        <w:rPr>
          <w:sz w:val="22"/>
          <w:szCs w:val="22"/>
        </w:rPr>
        <w:t>LPFM</w:t>
      </w:r>
      <w:r w:rsidR="00F14494">
        <w:rPr>
          <w:sz w:val="22"/>
          <w:szCs w:val="22"/>
        </w:rPr>
        <w:t>)</w:t>
      </w:r>
      <w:r w:rsidR="008D1680">
        <w:rPr>
          <w:sz w:val="22"/>
          <w:szCs w:val="22"/>
        </w:rPr>
        <w:t xml:space="preserve"> station</w:t>
      </w:r>
      <w:r w:rsidR="00FE0611">
        <w:rPr>
          <w:sz w:val="22"/>
          <w:szCs w:val="22"/>
        </w:rPr>
        <w:t>.</w:t>
      </w:r>
      <w:r w:rsidR="006A6584">
        <w:rPr>
          <w:rStyle w:val="FootnoteReference"/>
          <w:szCs w:val="22"/>
        </w:rPr>
        <w:footnoteReference w:id="3"/>
      </w:r>
      <w:r w:rsidR="009F53BE">
        <w:rPr>
          <w:sz w:val="22"/>
          <w:szCs w:val="22"/>
        </w:rPr>
        <w:t xml:space="preserve">  </w:t>
      </w:r>
      <w:r w:rsidR="00FE0DED" w:rsidRPr="001A10E0">
        <w:rPr>
          <w:sz w:val="22"/>
          <w:szCs w:val="22"/>
        </w:rPr>
        <w:t xml:space="preserve">For the </w:t>
      </w:r>
      <w:r w:rsidR="002E249A" w:rsidRPr="001A10E0">
        <w:rPr>
          <w:sz w:val="22"/>
          <w:szCs w:val="22"/>
        </w:rPr>
        <w:t xml:space="preserve">reasons set forth below, </w:t>
      </w:r>
      <w:r w:rsidR="00B64205">
        <w:rPr>
          <w:sz w:val="22"/>
          <w:szCs w:val="22"/>
        </w:rPr>
        <w:t>we deny</w:t>
      </w:r>
      <w:r w:rsidR="0059439F">
        <w:rPr>
          <w:sz w:val="22"/>
          <w:szCs w:val="22"/>
        </w:rPr>
        <w:t xml:space="preserve"> </w:t>
      </w:r>
      <w:r w:rsidR="00FE0DED" w:rsidRPr="001A10E0">
        <w:rPr>
          <w:sz w:val="22"/>
          <w:szCs w:val="22"/>
        </w:rPr>
        <w:t xml:space="preserve">the Petition. </w:t>
      </w:r>
    </w:p>
    <w:p w14:paraId="4CF42899" w14:textId="77777777" w:rsidR="00E0408F" w:rsidRPr="001A10E0" w:rsidRDefault="00E0408F">
      <w:pPr>
        <w:tabs>
          <w:tab w:val="left" w:pos="0"/>
        </w:tabs>
        <w:suppressAutoHyphens/>
        <w:outlineLvl w:val="0"/>
        <w:rPr>
          <w:sz w:val="22"/>
          <w:szCs w:val="22"/>
        </w:rPr>
      </w:pPr>
    </w:p>
    <w:p w14:paraId="4DC643F5" w14:textId="4E8FEC37" w:rsidR="00F31044" w:rsidRDefault="00E0408F">
      <w:pPr>
        <w:tabs>
          <w:tab w:val="left" w:pos="0"/>
        </w:tabs>
        <w:suppressAutoHyphens/>
        <w:outlineLvl w:val="0"/>
        <w:rPr>
          <w:sz w:val="22"/>
          <w:szCs w:val="22"/>
        </w:rPr>
      </w:pPr>
      <w:r w:rsidRPr="001A10E0">
        <w:rPr>
          <w:b/>
          <w:sz w:val="22"/>
          <w:szCs w:val="22"/>
        </w:rPr>
        <w:tab/>
        <w:t>Background.</w:t>
      </w:r>
      <w:r w:rsidR="00EE5ED2" w:rsidRPr="001A10E0">
        <w:rPr>
          <w:b/>
          <w:sz w:val="22"/>
          <w:szCs w:val="22"/>
        </w:rPr>
        <w:t xml:space="preserve">  </w:t>
      </w:r>
      <w:r w:rsidR="0059439F">
        <w:rPr>
          <w:sz w:val="22"/>
          <w:szCs w:val="22"/>
        </w:rPr>
        <w:t>Each of t</w:t>
      </w:r>
      <w:r w:rsidR="0014580A">
        <w:rPr>
          <w:sz w:val="22"/>
          <w:szCs w:val="22"/>
        </w:rPr>
        <w:t xml:space="preserve">he Applicants </w:t>
      </w:r>
      <w:r w:rsidR="00722F9E">
        <w:rPr>
          <w:sz w:val="22"/>
          <w:szCs w:val="22"/>
        </w:rPr>
        <w:t xml:space="preserve">filed </w:t>
      </w:r>
      <w:r w:rsidR="00F74B92">
        <w:rPr>
          <w:sz w:val="22"/>
          <w:szCs w:val="22"/>
        </w:rPr>
        <w:t xml:space="preserve">its </w:t>
      </w:r>
      <w:r w:rsidR="00BD3579">
        <w:rPr>
          <w:sz w:val="22"/>
          <w:szCs w:val="22"/>
        </w:rPr>
        <w:t xml:space="preserve">application </w:t>
      </w:r>
      <w:r w:rsidR="00722F9E">
        <w:rPr>
          <w:sz w:val="22"/>
          <w:szCs w:val="22"/>
        </w:rPr>
        <w:t>during a</w:t>
      </w:r>
      <w:r w:rsidRPr="001A10E0">
        <w:rPr>
          <w:sz w:val="22"/>
          <w:szCs w:val="22"/>
        </w:rPr>
        <w:t xml:space="preserve"> </w:t>
      </w:r>
      <w:r w:rsidR="0059439F">
        <w:rPr>
          <w:sz w:val="22"/>
          <w:szCs w:val="22"/>
        </w:rPr>
        <w:t xml:space="preserve">2013 </w:t>
      </w:r>
      <w:r w:rsidR="00F74B92">
        <w:rPr>
          <w:sz w:val="22"/>
          <w:szCs w:val="22"/>
        </w:rPr>
        <w:t xml:space="preserve">LPFM </w:t>
      </w:r>
      <w:r w:rsidRPr="001A10E0">
        <w:rPr>
          <w:sz w:val="22"/>
          <w:szCs w:val="22"/>
        </w:rPr>
        <w:t>filing window</w:t>
      </w:r>
      <w:r w:rsidR="0014580A">
        <w:rPr>
          <w:sz w:val="22"/>
          <w:szCs w:val="22"/>
        </w:rPr>
        <w:t xml:space="preserve"> and</w:t>
      </w:r>
      <w:r w:rsidR="008F626B">
        <w:rPr>
          <w:sz w:val="22"/>
          <w:szCs w:val="22"/>
        </w:rPr>
        <w:t xml:space="preserve"> </w:t>
      </w:r>
      <w:r w:rsidR="0059439F">
        <w:rPr>
          <w:sz w:val="22"/>
          <w:szCs w:val="22"/>
        </w:rPr>
        <w:t xml:space="preserve">identified Antonio Cesar Guel (Guel) </w:t>
      </w:r>
      <w:r w:rsidR="000505FB">
        <w:rPr>
          <w:sz w:val="22"/>
          <w:szCs w:val="22"/>
        </w:rPr>
        <w:t xml:space="preserve">of Hispanic Christian Community Network, Inc. (HCCN), </w:t>
      </w:r>
      <w:r w:rsidR="0059439F">
        <w:rPr>
          <w:sz w:val="22"/>
          <w:szCs w:val="22"/>
        </w:rPr>
        <w:t xml:space="preserve">as its </w:t>
      </w:r>
      <w:r w:rsidR="001A5AAB">
        <w:rPr>
          <w:sz w:val="22"/>
          <w:szCs w:val="22"/>
        </w:rPr>
        <w:t xml:space="preserve">consultant and </w:t>
      </w:r>
      <w:r w:rsidR="0059439F">
        <w:rPr>
          <w:sz w:val="22"/>
          <w:szCs w:val="22"/>
        </w:rPr>
        <w:t>certifying engineer.</w:t>
      </w:r>
      <w:r w:rsidR="0059439F">
        <w:rPr>
          <w:rStyle w:val="FootnoteReference"/>
          <w:szCs w:val="22"/>
        </w:rPr>
        <w:footnoteReference w:id="4"/>
      </w:r>
      <w:r w:rsidR="0059439F">
        <w:rPr>
          <w:sz w:val="22"/>
          <w:szCs w:val="22"/>
        </w:rPr>
        <w:t xml:space="preserve">  The Bureau </w:t>
      </w:r>
      <w:r w:rsidR="00F56F8E">
        <w:rPr>
          <w:sz w:val="22"/>
          <w:szCs w:val="22"/>
        </w:rPr>
        <w:t xml:space="preserve">initiated an investigation </w:t>
      </w:r>
      <w:r w:rsidR="00DD38CC">
        <w:rPr>
          <w:sz w:val="22"/>
          <w:szCs w:val="22"/>
        </w:rPr>
        <w:t xml:space="preserve">in </w:t>
      </w:r>
      <w:r w:rsidR="00F56F8E">
        <w:rPr>
          <w:sz w:val="22"/>
          <w:szCs w:val="22"/>
        </w:rPr>
        <w:t>February 2014</w:t>
      </w:r>
      <w:r w:rsidR="00DD38CC">
        <w:rPr>
          <w:sz w:val="22"/>
          <w:szCs w:val="22"/>
        </w:rPr>
        <w:t>,</w:t>
      </w:r>
      <w:r w:rsidR="00F56F8E" w:rsidRPr="001A10E0">
        <w:rPr>
          <w:rStyle w:val="FootnoteReference"/>
          <w:sz w:val="22"/>
          <w:szCs w:val="22"/>
        </w:rPr>
        <w:footnoteReference w:id="5"/>
      </w:r>
      <w:r w:rsidR="00DD38CC">
        <w:rPr>
          <w:sz w:val="22"/>
          <w:szCs w:val="22"/>
        </w:rPr>
        <w:t xml:space="preserve"> because</w:t>
      </w:r>
      <w:r w:rsidR="0059439F">
        <w:rPr>
          <w:sz w:val="22"/>
          <w:szCs w:val="22"/>
        </w:rPr>
        <w:t xml:space="preserve"> </w:t>
      </w:r>
      <w:r w:rsidR="00C3655F">
        <w:rPr>
          <w:sz w:val="22"/>
          <w:szCs w:val="22"/>
        </w:rPr>
        <w:lastRenderedPageBreak/>
        <w:t xml:space="preserve">shared </w:t>
      </w:r>
      <w:r w:rsidR="0059439F">
        <w:rPr>
          <w:sz w:val="22"/>
          <w:szCs w:val="22"/>
        </w:rPr>
        <w:t>irregularities</w:t>
      </w:r>
      <w:r w:rsidR="00A42348">
        <w:rPr>
          <w:sz w:val="22"/>
          <w:szCs w:val="22"/>
        </w:rPr>
        <w:t xml:space="preserve"> </w:t>
      </w:r>
      <w:r w:rsidR="007F2082">
        <w:rPr>
          <w:sz w:val="22"/>
          <w:szCs w:val="22"/>
        </w:rPr>
        <w:t>in numerous</w:t>
      </w:r>
      <w:r w:rsidR="009E1EB0">
        <w:rPr>
          <w:sz w:val="22"/>
          <w:szCs w:val="22"/>
        </w:rPr>
        <w:t xml:space="preserve"> Guel-prepared </w:t>
      </w:r>
      <w:r w:rsidR="0059439F">
        <w:rPr>
          <w:sz w:val="22"/>
          <w:szCs w:val="22"/>
        </w:rPr>
        <w:t>applications</w:t>
      </w:r>
      <w:r w:rsidR="00F56F8E">
        <w:rPr>
          <w:sz w:val="22"/>
          <w:szCs w:val="22"/>
        </w:rPr>
        <w:t xml:space="preserve"> suggested potential violations and</w:t>
      </w:r>
      <w:r w:rsidR="006A0DAC">
        <w:rPr>
          <w:sz w:val="22"/>
          <w:szCs w:val="22"/>
        </w:rPr>
        <w:t>/or</w:t>
      </w:r>
      <w:r w:rsidR="00F56F8E">
        <w:rPr>
          <w:sz w:val="22"/>
          <w:szCs w:val="22"/>
        </w:rPr>
        <w:t xml:space="preserve"> misrepresentations.</w:t>
      </w:r>
      <w:r w:rsidR="00F56F8E" w:rsidRPr="001A10E0">
        <w:rPr>
          <w:rStyle w:val="FootnoteReference"/>
          <w:sz w:val="22"/>
          <w:szCs w:val="22"/>
        </w:rPr>
        <w:footnoteReference w:id="6"/>
      </w:r>
      <w:r w:rsidR="00F56F8E">
        <w:rPr>
          <w:sz w:val="22"/>
          <w:szCs w:val="22"/>
        </w:rPr>
        <w:t xml:space="preserve">  </w:t>
      </w:r>
      <w:r w:rsidR="0014580A">
        <w:rPr>
          <w:sz w:val="22"/>
          <w:szCs w:val="22"/>
        </w:rPr>
        <w:t>The LOI sought</w:t>
      </w:r>
      <w:r w:rsidR="00756230">
        <w:rPr>
          <w:sz w:val="22"/>
          <w:szCs w:val="22"/>
        </w:rPr>
        <w:t xml:space="preserve"> </w:t>
      </w:r>
      <w:r w:rsidR="00831031">
        <w:rPr>
          <w:sz w:val="22"/>
          <w:szCs w:val="22"/>
        </w:rPr>
        <w:t xml:space="preserve">detailed identifying </w:t>
      </w:r>
      <w:r w:rsidR="00114479">
        <w:rPr>
          <w:sz w:val="22"/>
          <w:szCs w:val="22"/>
        </w:rPr>
        <w:t xml:space="preserve">information </w:t>
      </w:r>
      <w:r w:rsidR="007F2082">
        <w:rPr>
          <w:sz w:val="22"/>
          <w:szCs w:val="22"/>
        </w:rPr>
        <w:t>from</w:t>
      </w:r>
      <w:r w:rsidR="00493F52">
        <w:rPr>
          <w:sz w:val="22"/>
          <w:szCs w:val="22"/>
        </w:rPr>
        <w:t xml:space="preserve"> </w:t>
      </w:r>
      <w:r w:rsidR="007F2082">
        <w:rPr>
          <w:sz w:val="22"/>
          <w:szCs w:val="22"/>
        </w:rPr>
        <w:t>many such applicants</w:t>
      </w:r>
      <w:r w:rsidR="00493F52">
        <w:rPr>
          <w:sz w:val="22"/>
          <w:szCs w:val="22"/>
        </w:rPr>
        <w:t xml:space="preserve">, </w:t>
      </w:r>
      <w:r w:rsidR="007F2082">
        <w:rPr>
          <w:sz w:val="22"/>
          <w:szCs w:val="22"/>
        </w:rPr>
        <w:t xml:space="preserve">including </w:t>
      </w:r>
      <w:r w:rsidR="00493F52">
        <w:rPr>
          <w:sz w:val="22"/>
          <w:szCs w:val="22"/>
        </w:rPr>
        <w:t>FWHCC and Casa,</w:t>
      </w:r>
      <w:r w:rsidR="006D22AF">
        <w:rPr>
          <w:sz w:val="22"/>
          <w:szCs w:val="22"/>
        </w:rPr>
        <w:t xml:space="preserve"> </w:t>
      </w:r>
      <w:r w:rsidR="00831031">
        <w:rPr>
          <w:sz w:val="22"/>
          <w:szCs w:val="22"/>
        </w:rPr>
        <w:t xml:space="preserve">in order to </w:t>
      </w:r>
      <w:r w:rsidR="00422B17">
        <w:rPr>
          <w:sz w:val="22"/>
          <w:szCs w:val="22"/>
        </w:rPr>
        <w:t>determine</w:t>
      </w:r>
      <w:r w:rsidR="0059439F">
        <w:rPr>
          <w:sz w:val="22"/>
          <w:szCs w:val="22"/>
        </w:rPr>
        <w:t xml:space="preserve"> the authenticity of the applicants and parties</w:t>
      </w:r>
      <w:r w:rsidR="00851133" w:rsidRPr="001A10E0">
        <w:rPr>
          <w:sz w:val="22"/>
          <w:szCs w:val="22"/>
        </w:rPr>
        <w:t>.</w:t>
      </w:r>
      <w:r w:rsidR="00851133" w:rsidRPr="001A10E0">
        <w:rPr>
          <w:rStyle w:val="FootnoteReference"/>
          <w:rFonts w:ascii="Times New Roman" w:hAnsi="Times New Roman"/>
          <w:sz w:val="22"/>
          <w:szCs w:val="22"/>
        </w:rPr>
        <w:footnoteReference w:id="7"/>
      </w:r>
      <w:r w:rsidR="002E249A" w:rsidRPr="001A10E0">
        <w:rPr>
          <w:sz w:val="22"/>
          <w:szCs w:val="22"/>
        </w:rPr>
        <w:t xml:space="preserve">  </w:t>
      </w:r>
      <w:r w:rsidR="004A3433">
        <w:rPr>
          <w:sz w:val="22"/>
          <w:szCs w:val="22"/>
        </w:rPr>
        <w:t>The LOI requested information for the board members of each applicant “as originally filed.”</w:t>
      </w:r>
      <w:r w:rsidR="004A3433">
        <w:rPr>
          <w:rStyle w:val="FootnoteReference"/>
          <w:szCs w:val="22"/>
        </w:rPr>
        <w:footnoteReference w:id="8"/>
      </w:r>
      <w:r w:rsidR="004A3433">
        <w:rPr>
          <w:sz w:val="22"/>
          <w:szCs w:val="22"/>
        </w:rPr>
        <w:t xml:space="preserve">  </w:t>
      </w:r>
      <w:r w:rsidR="00EB5FEE">
        <w:rPr>
          <w:sz w:val="22"/>
          <w:szCs w:val="22"/>
        </w:rPr>
        <w:t xml:space="preserve">In March 2014, </w:t>
      </w:r>
      <w:r w:rsidR="000412BC">
        <w:rPr>
          <w:sz w:val="22"/>
          <w:szCs w:val="22"/>
        </w:rPr>
        <w:t>shortly after issuance</w:t>
      </w:r>
      <w:r w:rsidR="00066A01">
        <w:rPr>
          <w:sz w:val="22"/>
          <w:szCs w:val="22"/>
        </w:rPr>
        <w:t xml:space="preserve"> of the LOI, </w:t>
      </w:r>
      <w:r w:rsidR="00493F52">
        <w:rPr>
          <w:sz w:val="22"/>
          <w:szCs w:val="22"/>
        </w:rPr>
        <w:t xml:space="preserve">FWHCC and Casa </w:t>
      </w:r>
      <w:r w:rsidR="00B329BA">
        <w:rPr>
          <w:sz w:val="22"/>
          <w:szCs w:val="22"/>
        </w:rPr>
        <w:t xml:space="preserve">each </w:t>
      </w:r>
      <w:r w:rsidR="00AF76A9">
        <w:rPr>
          <w:sz w:val="22"/>
          <w:szCs w:val="22"/>
        </w:rPr>
        <w:t>amended its</w:t>
      </w:r>
      <w:r w:rsidR="00272FFB">
        <w:rPr>
          <w:sz w:val="22"/>
          <w:szCs w:val="22"/>
        </w:rPr>
        <w:t xml:space="preserve"> application to </w:t>
      </w:r>
      <w:r w:rsidR="00AF76A9">
        <w:rPr>
          <w:sz w:val="22"/>
          <w:szCs w:val="22"/>
        </w:rPr>
        <w:t xml:space="preserve">reflect </w:t>
      </w:r>
      <w:r w:rsidR="00941652">
        <w:rPr>
          <w:sz w:val="22"/>
          <w:szCs w:val="22"/>
        </w:rPr>
        <w:t xml:space="preserve">a </w:t>
      </w:r>
      <w:r w:rsidR="00B329BA">
        <w:rPr>
          <w:sz w:val="22"/>
          <w:szCs w:val="22"/>
        </w:rPr>
        <w:t>new board</w:t>
      </w:r>
      <w:r w:rsidR="00941652">
        <w:rPr>
          <w:sz w:val="22"/>
          <w:szCs w:val="22"/>
        </w:rPr>
        <w:t xml:space="preserve"> composition</w:t>
      </w:r>
      <w:r w:rsidR="00B329BA">
        <w:rPr>
          <w:sz w:val="22"/>
          <w:szCs w:val="22"/>
        </w:rPr>
        <w:t xml:space="preserve"> which </w:t>
      </w:r>
      <w:r w:rsidR="001A7E1D">
        <w:rPr>
          <w:sz w:val="22"/>
          <w:szCs w:val="22"/>
        </w:rPr>
        <w:t>differ</w:t>
      </w:r>
      <w:r w:rsidR="00114479">
        <w:rPr>
          <w:sz w:val="22"/>
          <w:szCs w:val="22"/>
        </w:rPr>
        <w:t>ed</w:t>
      </w:r>
      <w:r w:rsidR="00B329BA">
        <w:rPr>
          <w:sz w:val="22"/>
          <w:szCs w:val="22"/>
        </w:rPr>
        <w:t xml:space="preserve"> </w:t>
      </w:r>
      <w:r w:rsidR="00F31044">
        <w:rPr>
          <w:sz w:val="22"/>
          <w:szCs w:val="22"/>
        </w:rPr>
        <w:t xml:space="preserve">substantially </w:t>
      </w:r>
      <w:r w:rsidR="00941652">
        <w:rPr>
          <w:sz w:val="22"/>
          <w:szCs w:val="22"/>
        </w:rPr>
        <w:t>from that</w:t>
      </w:r>
      <w:r w:rsidR="00B329BA">
        <w:rPr>
          <w:sz w:val="22"/>
          <w:szCs w:val="22"/>
        </w:rPr>
        <w:t xml:space="preserve"> originally reported.  </w:t>
      </w:r>
      <w:r w:rsidR="00216286">
        <w:rPr>
          <w:sz w:val="22"/>
          <w:szCs w:val="22"/>
        </w:rPr>
        <w:t>I</w:t>
      </w:r>
      <w:r w:rsidR="002F7799">
        <w:rPr>
          <w:sz w:val="22"/>
          <w:szCs w:val="22"/>
        </w:rPr>
        <w:t xml:space="preserve">n April 2014, each </w:t>
      </w:r>
      <w:r w:rsidR="00216286">
        <w:rPr>
          <w:sz w:val="22"/>
          <w:szCs w:val="22"/>
        </w:rPr>
        <w:t>filed a separate response to the LOI, supplying</w:t>
      </w:r>
      <w:r w:rsidR="00F31044" w:rsidRPr="00F31044">
        <w:rPr>
          <w:sz w:val="22"/>
          <w:szCs w:val="22"/>
        </w:rPr>
        <w:t xml:space="preserve"> </w:t>
      </w:r>
      <w:r w:rsidR="009D27C6">
        <w:rPr>
          <w:sz w:val="22"/>
          <w:szCs w:val="22"/>
        </w:rPr>
        <w:t xml:space="preserve">information </w:t>
      </w:r>
      <w:r w:rsidR="00406490">
        <w:rPr>
          <w:sz w:val="22"/>
          <w:szCs w:val="22"/>
        </w:rPr>
        <w:t>for</w:t>
      </w:r>
      <w:r w:rsidR="002F7799">
        <w:rPr>
          <w:sz w:val="22"/>
          <w:szCs w:val="22"/>
        </w:rPr>
        <w:t xml:space="preserve"> its new</w:t>
      </w:r>
      <w:r w:rsidR="00394557">
        <w:rPr>
          <w:sz w:val="22"/>
          <w:szCs w:val="22"/>
        </w:rPr>
        <w:t>ly amended</w:t>
      </w:r>
      <w:r w:rsidR="002F7799">
        <w:rPr>
          <w:sz w:val="22"/>
          <w:szCs w:val="22"/>
        </w:rPr>
        <w:t xml:space="preserve"> board, but not for </w:t>
      </w:r>
      <w:r w:rsidR="009D27C6">
        <w:rPr>
          <w:sz w:val="22"/>
          <w:szCs w:val="22"/>
        </w:rPr>
        <w:t>the</w:t>
      </w:r>
      <w:r w:rsidR="00F31044" w:rsidRPr="00F31044">
        <w:rPr>
          <w:sz w:val="22"/>
          <w:szCs w:val="22"/>
        </w:rPr>
        <w:t xml:space="preserve"> board </w:t>
      </w:r>
      <w:r w:rsidR="003963AB">
        <w:rPr>
          <w:sz w:val="22"/>
          <w:szCs w:val="22"/>
        </w:rPr>
        <w:t>as compri</w:t>
      </w:r>
      <w:r w:rsidR="002F7799">
        <w:rPr>
          <w:sz w:val="22"/>
          <w:szCs w:val="22"/>
        </w:rPr>
        <w:t xml:space="preserve">sed at the time of its </w:t>
      </w:r>
      <w:r w:rsidR="009D27C6">
        <w:rPr>
          <w:sz w:val="22"/>
          <w:szCs w:val="22"/>
        </w:rPr>
        <w:t>original application</w:t>
      </w:r>
      <w:r w:rsidR="002F7799">
        <w:rPr>
          <w:sz w:val="22"/>
          <w:szCs w:val="22"/>
        </w:rPr>
        <w:t>.</w:t>
      </w:r>
      <w:r w:rsidR="003A033C">
        <w:rPr>
          <w:sz w:val="22"/>
          <w:szCs w:val="22"/>
        </w:rPr>
        <w:t xml:space="preserve"> </w:t>
      </w:r>
      <w:r w:rsidR="009D27C6">
        <w:rPr>
          <w:sz w:val="22"/>
          <w:szCs w:val="22"/>
        </w:rPr>
        <w:t xml:space="preserve"> </w:t>
      </w:r>
      <w:r w:rsidR="00F660BF">
        <w:rPr>
          <w:sz w:val="22"/>
          <w:szCs w:val="22"/>
        </w:rPr>
        <w:t xml:space="preserve">Each </w:t>
      </w:r>
      <w:r w:rsidR="00306122">
        <w:rPr>
          <w:sz w:val="22"/>
          <w:szCs w:val="22"/>
        </w:rPr>
        <w:t xml:space="preserve">of the Applicants </w:t>
      </w:r>
      <w:r w:rsidR="00DE3C2B">
        <w:rPr>
          <w:sz w:val="22"/>
          <w:szCs w:val="22"/>
        </w:rPr>
        <w:t>sai</w:t>
      </w:r>
      <w:r w:rsidR="00F660BF">
        <w:rPr>
          <w:sz w:val="22"/>
          <w:szCs w:val="22"/>
        </w:rPr>
        <w:t>d that HCCN</w:t>
      </w:r>
      <w:r w:rsidR="00C42A6C">
        <w:rPr>
          <w:sz w:val="22"/>
          <w:szCs w:val="22"/>
        </w:rPr>
        <w:t xml:space="preserve"> </w:t>
      </w:r>
      <w:r w:rsidR="00E31CDD">
        <w:rPr>
          <w:sz w:val="22"/>
          <w:szCs w:val="22"/>
        </w:rPr>
        <w:t xml:space="preserve">had </w:t>
      </w:r>
      <w:r w:rsidR="00461197">
        <w:rPr>
          <w:sz w:val="22"/>
          <w:szCs w:val="22"/>
        </w:rPr>
        <w:t>provided wrong names and addresses in about half of HCCN-prepared application</w:t>
      </w:r>
      <w:r w:rsidR="00C42A6C">
        <w:rPr>
          <w:sz w:val="22"/>
          <w:szCs w:val="22"/>
        </w:rPr>
        <w:t>s, including its own,</w:t>
      </w:r>
      <w:r w:rsidR="005C5002">
        <w:rPr>
          <w:sz w:val="22"/>
          <w:szCs w:val="22"/>
        </w:rPr>
        <w:t xml:space="preserve"> because the small HCCN </w:t>
      </w:r>
      <w:r w:rsidR="00461197">
        <w:rPr>
          <w:sz w:val="22"/>
          <w:szCs w:val="22"/>
        </w:rPr>
        <w:t>staff, working</w:t>
      </w:r>
      <w:r w:rsidR="00AD06C0">
        <w:rPr>
          <w:sz w:val="22"/>
          <w:szCs w:val="22"/>
        </w:rPr>
        <w:t xml:space="preserve"> under pressure </w:t>
      </w:r>
      <w:r w:rsidR="001C251C">
        <w:rPr>
          <w:sz w:val="22"/>
          <w:szCs w:val="22"/>
        </w:rPr>
        <w:t>for large numbers of customer</w:t>
      </w:r>
      <w:r w:rsidR="0013568A">
        <w:rPr>
          <w:sz w:val="22"/>
          <w:szCs w:val="22"/>
        </w:rPr>
        <w:t>s</w:t>
      </w:r>
      <w:r w:rsidR="00461197">
        <w:rPr>
          <w:sz w:val="22"/>
          <w:szCs w:val="22"/>
        </w:rPr>
        <w:t xml:space="preserve">, </w:t>
      </w:r>
      <w:r w:rsidR="00C42A6C">
        <w:rPr>
          <w:sz w:val="22"/>
          <w:szCs w:val="22"/>
        </w:rPr>
        <w:t xml:space="preserve">confused </w:t>
      </w:r>
      <w:r w:rsidR="00461197">
        <w:rPr>
          <w:sz w:val="22"/>
          <w:szCs w:val="22"/>
        </w:rPr>
        <w:t>applicant information</w:t>
      </w:r>
      <w:r w:rsidR="00C42A6C">
        <w:rPr>
          <w:sz w:val="22"/>
          <w:szCs w:val="22"/>
        </w:rPr>
        <w:t xml:space="preserve"> while working from the same lists</w:t>
      </w:r>
      <w:r w:rsidR="00417881">
        <w:rPr>
          <w:sz w:val="22"/>
          <w:szCs w:val="22"/>
        </w:rPr>
        <w:t>.</w:t>
      </w:r>
      <w:r w:rsidR="00F660BF">
        <w:rPr>
          <w:rStyle w:val="FootnoteReference"/>
          <w:szCs w:val="22"/>
        </w:rPr>
        <w:footnoteReference w:id="9"/>
      </w:r>
      <w:r w:rsidR="00F660BF">
        <w:rPr>
          <w:sz w:val="22"/>
          <w:szCs w:val="22"/>
        </w:rPr>
        <w:t xml:space="preserve">  </w:t>
      </w:r>
      <w:r w:rsidR="00216286">
        <w:rPr>
          <w:sz w:val="22"/>
          <w:szCs w:val="22"/>
        </w:rPr>
        <w:t xml:space="preserve"> FWHCC </w:t>
      </w:r>
      <w:r w:rsidR="00394557">
        <w:rPr>
          <w:sz w:val="22"/>
          <w:szCs w:val="22"/>
        </w:rPr>
        <w:t>stated</w:t>
      </w:r>
      <w:r w:rsidR="009F73BC" w:rsidRPr="009F73BC">
        <w:rPr>
          <w:sz w:val="22"/>
          <w:szCs w:val="22"/>
        </w:rPr>
        <w:t xml:space="preserve"> </w:t>
      </w:r>
      <w:r w:rsidR="00394557">
        <w:rPr>
          <w:sz w:val="22"/>
          <w:szCs w:val="22"/>
        </w:rPr>
        <w:t xml:space="preserve">that </w:t>
      </w:r>
      <w:r w:rsidR="00446A48">
        <w:rPr>
          <w:sz w:val="22"/>
          <w:szCs w:val="22"/>
        </w:rPr>
        <w:t>it was amending its application to reflect the</w:t>
      </w:r>
      <w:r w:rsidR="004E43B7">
        <w:rPr>
          <w:sz w:val="22"/>
          <w:szCs w:val="22"/>
        </w:rPr>
        <w:t xml:space="preserve"> </w:t>
      </w:r>
      <w:r w:rsidR="00216286">
        <w:rPr>
          <w:sz w:val="22"/>
          <w:szCs w:val="22"/>
        </w:rPr>
        <w:t>replacement of one</w:t>
      </w:r>
      <w:r w:rsidR="00E37F27">
        <w:rPr>
          <w:sz w:val="22"/>
          <w:szCs w:val="22"/>
        </w:rPr>
        <w:t xml:space="preserve"> </w:t>
      </w:r>
      <w:r w:rsidR="0031272D">
        <w:rPr>
          <w:sz w:val="22"/>
          <w:szCs w:val="22"/>
        </w:rPr>
        <w:t xml:space="preserve">of its three </w:t>
      </w:r>
      <w:r w:rsidR="00216286">
        <w:rPr>
          <w:sz w:val="22"/>
          <w:szCs w:val="22"/>
        </w:rPr>
        <w:t>director</w:t>
      </w:r>
      <w:r w:rsidR="0031272D">
        <w:rPr>
          <w:sz w:val="22"/>
          <w:szCs w:val="22"/>
        </w:rPr>
        <w:t>s</w:t>
      </w:r>
      <w:r w:rsidR="00216286">
        <w:rPr>
          <w:sz w:val="22"/>
          <w:szCs w:val="22"/>
        </w:rPr>
        <w:t xml:space="preserve"> </w:t>
      </w:r>
      <w:r w:rsidR="008A25F4">
        <w:rPr>
          <w:sz w:val="22"/>
          <w:szCs w:val="22"/>
        </w:rPr>
        <w:t>and</w:t>
      </w:r>
      <w:r w:rsidR="00216286">
        <w:rPr>
          <w:sz w:val="22"/>
          <w:szCs w:val="22"/>
        </w:rPr>
        <w:t xml:space="preserve"> </w:t>
      </w:r>
      <w:r w:rsidR="00446A48">
        <w:rPr>
          <w:sz w:val="22"/>
          <w:szCs w:val="22"/>
        </w:rPr>
        <w:t xml:space="preserve">to make </w:t>
      </w:r>
      <w:r w:rsidR="00D807E1">
        <w:rPr>
          <w:sz w:val="22"/>
          <w:szCs w:val="22"/>
        </w:rPr>
        <w:t xml:space="preserve">“corrections” </w:t>
      </w:r>
      <w:r w:rsidR="00446A48">
        <w:rPr>
          <w:sz w:val="22"/>
          <w:szCs w:val="22"/>
        </w:rPr>
        <w:t xml:space="preserve">to </w:t>
      </w:r>
      <w:r w:rsidR="00DA3BB2">
        <w:rPr>
          <w:sz w:val="22"/>
          <w:szCs w:val="22"/>
        </w:rPr>
        <w:t>names and address information</w:t>
      </w:r>
      <w:r w:rsidR="00D7477B">
        <w:rPr>
          <w:sz w:val="22"/>
          <w:szCs w:val="22"/>
        </w:rPr>
        <w:t xml:space="preserve"> </w:t>
      </w:r>
      <w:r w:rsidR="004E43B7">
        <w:rPr>
          <w:sz w:val="22"/>
          <w:szCs w:val="22"/>
        </w:rPr>
        <w:t xml:space="preserve">in order to match that </w:t>
      </w:r>
      <w:r w:rsidR="00D7477B">
        <w:rPr>
          <w:sz w:val="22"/>
          <w:szCs w:val="22"/>
        </w:rPr>
        <w:t xml:space="preserve">on documents </w:t>
      </w:r>
      <w:r w:rsidR="00446A48">
        <w:rPr>
          <w:sz w:val="22"/>
          <w:szCs w:val="22"/>
        </w:rPr>
        <w:t>it was providing</w:t>
      </w:r>
      <w:r w:rsidR="00D7477B">
        <w:rPr>
          <w:sz w:val="22"/>
          <w:szCs w:val="22"/>
        </w:rPr>
        <w:t xml:space="preserve"> in response to the LOI.</w:t>
      </w:r>
      <w:r w:rsidR="00D7477B">
        <w:rPr>
          <w:rStyle w:val="FootnoteReference"/>
          <w:szCs w:val="22"/>
        </w:rPr>
        <w:footnoteReference w:id="10"/>
      </w:r>
      <w:r w:rsidR="00D7477B">
        <w:rPr>
          <w:sz w:val="22"/>
          <w:szCs w:val="22"/>
        </w:rPr>
        <w:t xml:space="preserve">  </w:t>
      </w:r>
      <w:r w:rsidR="00394557">
        <w:rPr>
          <w:sz w:val="22"/>
          <w:szCs w:val="22"/>
        </w:rPr>
        <w:t xml:space="preserve">Casa </w:t>
      </w:r>
      <w:r w:rsidR="00E37F27">
        <w:rPr>
          <w:sz w:val="22"/>
          <w:szCs w:val="22"/>
        </w:rPr>
        <w:t>similarly stated that it</w:t>
      </w:r>
      <w:r w:rsidR="007D15CC">
        <w:rPr>
          <w:sz w:val="22"/>
          <w:szCs w:val="22"/>
        </w:rPr>
        <w:t xml:space="preserve"> wa</w:t>
      </w:r>
      <w:r w:rsidR="00446A48">
        <w:rPr>
          <w:sz w:val="22"/>
          <w:szCs w:val="22"/>
        </w:rPr>
        <w:t>s</w:t>
      </w:r>
      <w:r w:rsidR="00E37F27">
        <w:rPr>
          <w:sz w:val="22"/>
          <w:szCs w:val="22"/>
        </w:rPr>
        <w:t xml:space="preserve"> </w:t>
      </w:r>
      <w:r w:rsidR="00446A48">
        <w:rPr>
          <w:sz w:val="22"/>
          <w:szCs w:val="22"/>
        </w:rPr>
        <w:t>a</w:t>
      </w:r>
      <w:r w:rsidR="007D15CC">
        <w:rPr>
          <w:sz w:val="22"/>
          <w:szCs w:val="22"/>
        </w:rPr>
        <w:t xml:space="preserve">mending </w:t>
      </w:r>
      <w:r w:rsidR="006E7DE2">
        <w:rPr>
          <w:sz w:val="22"/>
          <w:szCs w:val="22"/>
        </w:rPr>
        <w:t xml:space="preserve">its application </w:t>
      </w:r>
      <w:r w:rsidR="007D15CC">
        <w:rPr>
          <w:sz w:val="22"/>
          <w:szCs w:val="22"/>
        </w:rPr>
        <w:t>to</w:t>
      </w:r>
      <w:r w:rsidR="002C3777">
        <w:rPr>
          <w:sz w:val="22"/>
          <w:szCs w:val="22"/>
        </w:rPr>
        <w:t xml:space="preserve"> replace</w:t>
      </w:r>
      <w:r w:rsidR="00DE3C2B">
        <w:rPr>
          <w:sz w:val="22"/>
          <w:szCs w:val="22"/>
        </w:rPr>
        <w:t xml:space="preserve"> one </w:t>
      </w:r>
      <w:r w:rsidR="006045B1">
        <w:rPr>
          <w:sz w:val="22"/>
          <w:szCs w:val="22"/>
        </w:rPr>
        <w:t>director</w:t>
      </w:r>
      <w:r w:rsidR="00E37F27">
        <w:rPr>
          <w:sz w:val="22"/>
          <w:szCs w:val="22"/>
        </w:rPr>
        <w:t xml:space="preserve"> and </w:t>
      </w:r>
      <w:r w:rsidR="007D15CC">
        <w:rPr>
          <w:sz w:val="22"/>
          <w:szCs w:val="22"/>
        </w:rPr>
        <w:t>to mak</w:t>
      </w:r>
      <w:r w:rsidR="00E37F27">
        <w:rPr>
          <w:sz w:val="22"/>
          <w:szCs w:val="22"/>
        </w:rPr>
        <w:t xml:space="preserve">e “corrections” to the names and addresses of </w:t>
      </w:r>
      <w:r w:rsidR="00446A48">
        <w:rPr>
          <w:sz w:val="22"/>
          <w:szCs w:val="22"/>
        </w:rPr>
        <w:t>its</w:t>
      </w:r>
      <w:r w:rsidR="00E37F27">
        <w:rPr>
          <w:sz w:val="22"/>
          <w:szCs w:val="22"/>
        </w:rPr>
        <w:t xml:space="preserve"> other two directors.</w:t>
      </w:r>
      <w:r w:rsidR="00DE3C2B">
        <w:rPr>
          <w:rStyle w:val="FootnoteReference"/>
          <w:szCs w:val="22"/>
        </w:rPr>
        <w:footnoteReference w:id="11"/>
      </w:r>
      <w:r w:rsidR="00E37F27">
        <w:rPr>
          <w:sz w:val="22"/>
          <w:szCs w:val="22"/>
        </w:rPr>
        <w:t xml:space="preserve">  </w:t>
      </w:r>
      <w:r w:rsidR="002C3777">
        <w:rPr>
          <w:sz w:val="22"/>
          <w:szCs w:val="22"/>
        </w:rPr>
        <w:t xml:space="preserve">Casa </w:t>
      </w:r>
      <w:r w:rsidR="00446A48">
        <w:rPr>
          <w:sz w:val="22"/>
          <w:szCs w:val="22"/>
        </w:rPr>
        <w:t>further</w:t>
      </w:r>
      <w:r w:rsidR="002C3777">
        <w:rPr>
          <w:sz w:val="22"/>
          <w:szCs w:val="22"/>
        </w:rPr>
        <w:t xml:space="preserve"> stated</w:t>
      </w:r>
      <w:r w:rsidR="006045B1">
        <w:rPr>
          <w:sz w:val="22"/>
          <w:szCs w:val="22"/>
        </w:rPr>
        <w:t xml:space="preserve"> that its amendment removed </w:t>
      </w:r>
      <w:r w:rsidR="002C3777">
        <w:rPr>
          <w:sz w:val="22"/>
          <w:szCs w:val="22"/>
        </w:rPr>
        <w:t xml:space="preserve">Guel’s personal e-mail address and phone number </w:t>
      </w:r>
      <w:r w:rsidR="006045B1">
        <w:rPr>
          <w:sz w:val="22"/>
          <w:szCs w:val="22"/>
        </w:rPr>
        <w:t>from the Casa Appli</w:t>
      </w:r>
      <w:r w:rsidR="00480C74">
        <w:rPr>
          <w:sz w:val="22"/>
          <w:szCs w:val="22"/>
        </w:rPr>
        <w:t>cation</w:t>
      </w:r>
      <w:r w:rsidR="006045B1">
        <w:rPr>
          <w:sz w:val="22"/>
          <w:szCs w:val="22"/>
        </w:rPr>
        <w:t>.</w:t>
      </w:r>
    </w:p>
    <w:p w14:paraId="4A29E7B1" w14:textId="77777777" w:rsidR="00F31044" w:rsidRDefault="00F31044">
      <w:pPr>
        <w:tabs>
          <w:tab w:val="left" w:pos="0"/>
        </w:tabs>
        <w:suppressAutoHyphens/>
        <w:outlineLvl w:val="0"/>
        <w:rPr>
          <w:sz w:val="22"/>
          <w:szCs w:val="22"/>
        </w:rPr>
      </w:pPr>
    </w:p>
    <w:p w14:paraId="44AA5B66" w14:textId="571ACA0B" w:rsidR="006359D7" w:rsidRPr="001A10E0" w:rsidRDefault="00A967CF">
      <w:pPr>
        <w:tabs>
          <w:tab w:val="left" w:pos="0"/>
        </w:tabs>
        <w:suppressAutoHyphens/>
        <w:outlineLvl w:val="0"/>
        <w:rPr>
          <w:sz w:val="22"/>
          <w:szCs w:val="22"/>
        </w:rPr>
      </w:pPr>
      <w:r>
        <w:rPr>
          <w:sz w:val="22"/>
          <w:szCs w:val="22"/>
        </w:rPr>
        <w:lastRenderedPageBreak/>
        <w:tab/>
        <w:t xml:space="preserve">The Bureau determined that Casa and FWHCC’s </w:t>
      </w:r>
      <w:r w:rsidR="00F212E5">
        <w:rPr>
          <w:sz w:val="22"/>
          <w:szCs w:val="22"/>
        </w:rPr>
        <w:t xml:space="preserve">March 2014 amendments reflected </w:t>
      </w:r>
      <w:r w:rsidR="008C21EA">
        <w:rPr>
          <w:sz w:val="22"/>
          <w:szCs w:val="22"/>
        </w:rPr>
        <w:t>impermissible major change</w:t>
      </w:r>
      <w:r w:rsidR="00F212E5">
        <w:rPr>
          <w:sz w:val="22"/>
          <w:szCs w:val="22"/>
        </w:rPr>
        <w:t>s</w:t>
      </w:r>
      <w:r w:rsidR="008C21EA">
        <w:rPr>
          <w:sz w:val="22"/>
          <w:szCs w:val="22"/>
        </w:rPr>
        <w:t xml:space="preserve"> </w:t>
      </w:r>
      <w:r w:rsidR="00531678">
        <w:rPr>
          <w:sz w:val="22"/>
          <w:szCs w:val="22"/>
        </w:rPr>
        <w:t xml:space="preserve">because Commission rules </w:t>
      </w:r>
      <w:r w:rsidR="002D7B92">
        <w:rPr>
          <w:sz w:val="22"/>
          <w:szCs w:val="22"/>
        </w:rPr>
        <w:t xml:space="preserve">(Rules) </w:t>
      </w:r>
      <w:r w:rsidR="00531678">
        <w:rPr>
          <w:sz w:val="22"/>
          <w:szCs w:val="22"/>
        </w:rPr>
        <w:t xml:space="preserve">require an applicant’s </w:t>
      </w:r>
      <w:r w:rsidR="000275E0">
        <w:rPr>
          <w:sz w:val="22"/>
          <w:szCs w:val="22"/>
        </w:rPr>
        <w:t xml:space="preserve">original parties </w:t>
      </w:r>
      <w:r w:rsidR="00531678">
        <w:rPr>
          <w:sz w:val="22"/>
          <w:szCs w:val="22"/>
        </w:rPr>
        <w:t>to</w:t>
      </w:r>
      <w:r w:rsidR="000275E0">
        <w:rPr>
          <w:sz w:val="22"/>
          <w:szCs w:val="22"/>
        </w:rPr>
        <w:t xml:space="preserve"> retain more than </w:t>
      </w:r>
      <w:r w:rsidR="00422E20">
        <w:rPr>
          <w:sz w:val="22"/>
          <w:szCs w:val="22"/>
        </w:rPr>
        <w:t>a 50 percent ownership interest in the application</w:t>
      </w:r>
      <w:r w:rsidR="008C21EA">
        <w:rPr>
          <w:sz w:val="22"/>
          <w:szCs w:val="22"/>
        </w:rPr>
        <w:t>.</w:t>
      </w:r>
      <w:r w:rsidR="008C21EA" w:rsidRPr="00F31044">
        <w:rPr>
          <w:sz w:val="22"/>
          <w:szCs w:val="22"/>
          <w:vertAlign w:val="superscript"/>
        </w:rPr>
        <w:footnoteReference w:id="12"/>
      </w:r>
      <w:r w:rsidR="008C21EA">
        <w:rPr>
          <w:sz w:val="22"/>
          <w:szCs w:val="22"/>
        </w:rPr>
        <w:t xml:space="preserve">  </w:t>
      </w:r>
      <w:r w:rsidR="00886FAA">
        <w:rPr>
          <w:sz w:val="22"/>
          <w:szCs w:val="22"/>
        </w:rPr>
        <w:t xml:space="preserve">In particular, although each </w:t>
      </w:r>
      <w:r w:rsidR="0031272D">
        <w:rPr>
          <w:sz w:val="22"/>
          <w:szCs w:val="22"/>
        </w:rPr>
        <w:t xml:space="preserve">applicant </w:t>
      </w:r>
      <w:r w:rsidR="00886FAA">
        <w:rPr>
          <w:sz w:val="22"/>
          <w:szCs w:val="22"/>
        </w:rPr>
        <w:t xml:space="preserve">claimed to have replaced only one of its board members, the names of all of its board members </w:t>
      </w:r>
      <w:r w:rsidR="0031272D">
        <w:rPr>
          <w:sz w:val="22"/>
          <w:szCs w:val="22"/>
        </w:rPr>
        <w:t xml:space="preserve">were </w:t>
      </w:r>
      <w:r w:rsidR="00886FAA">
        <w:rPr>
          <w:sz w:val="22"/>
          <w:szCs w:val="22"/>
        </w:rPr>
        <w:t>changed</w:t>
      </w:r>
      <w:r w:rsidR="0031272D">
        <w:rPr>
          <w:sz w:val="22"/>
          <w:szCs w:val="22"/>
        </w:rPr>
        <w:t xml:space="preserve"> in the amendments</w:t>
      </w:r>
      <w:r w:rsidR="00886FAA">
        <w:rPr>
          <w:sz w:val="22"/>
          <w:szCs w:val="22"/>
        </w:rPr>
        <w:t xml:space="preserve">.  </w:t>
      </w:r>
      <w:r w:rsidR="001F2E82">
        <w:rPr>
          <w:sz w:val="22"/>
          <w:szCs w:val="22"/>
        </w:rPr>
        <w:t>T</w:t>
      </w:r>
      <w:r w:rsidR="00F31044" w:rsidRPr="00F31044">
        <w:rPr>
          <w:sz w:val="22"/>
          <w:szCs w:val="22"/>
        </w:rPr>
        <w:t>he Bureau</w:t>
      </w:r>
      <w:r w:rsidR="001F2E82">
        <w:rPr>
          <w:sz w:val="22"/>
          <w:szCs w:val="22"/>
        </w:rPr>
        <w:t>, therefore,</w:t>
      </w:r>
      <w:r w:rsidR="00F31044" w:rsidRPr="00F31044">
        <w:rPr>
          <w:sz w:val="22"/>
          <w:szCs w:val="22"/>
        </w:rPr>
        <w:t xml:space="preserve"> dismissed the Applications.</w:t>
      </w:r>
      <w:r w:rsidR="00F31044" w:rsidRPr="00F31044">
        <w:rPr>
          <w:sz w:val="22"/>
          <w:szCs w:val="22"/>
          <w:vertAlign w:val="superscript"/>
        </w:rPr>
        <w:footnoteReference w:id="13"/>
      </w:r>
      <w:r w:rsidR="00F31044" w:rsidRPr="00F31044">
        <w:rPr>
          <w:sz w:val="22"/>
          <w:szCs w:val="22"/>
        </w:rPr>
        <w:t xml:space="preserve">  </w:t>
      </w:r>
      <w:r w:rsidR="00695551">
        <w:rPr>
          <w:sz w:val="22"/>
          <w:szCs w:val="22"/>
        </w:rPr>
        <w:t xml:space="preserve">The Applicants now argue that the Bureau </w:t>
      </w:r>
      <w:r w:rsidR="001619CB">
        <w:rPr>
          <w:sz w:val="22"/>
          <w:szCs w:val="22"/>
        </w:rPr>
        <w:t xml:space="preserve">erred in </w:t>
      </w:r>
      <w:r w:rsidR="002B0480">
        <w:rPr>
          <w:sz w:val="22"/>
          <w:szCs w:val="22"/>
        </w:rPr>
        <w:t>rejecting</w:t>
      </w:r>
      <w:r w:rsidR="0035615E">
        <w:rPr>
          <w:sz w:val="22"/>
          <w:szCs w:val="22"/>
        </w:rPr>
        <w:t xml:space="preserve"> their </w:t>
      </w:r>
      <w:r w:rsidR="009C500C">
        <w:rPr>
          <w:sz w:val="22"/>
          <w:szCs w:val="22"/>
        </w:rPr>
        <w:t xml:space="preserve">respective major </w:t>
      </w:r>
      <w:r w:rsidR="001619CB">
        <w:rPr>
          <w:sz w:val="22"/>
          <w:szCs w:val="22"/>
        </w:rPr>
        <w:t xml:space="preserve">amendments </w:t>
      </w:r>
      <w:r w:rsidR="004617BB">
        <w:rPr>
          <w:sz w:val="22"/>
          <w:szCs w:val="22"/>
        </w:rPr>
        <w:t xml:space="preserve">and seek </w:t>
      </w:r>
      <w:r w:rsidR="00CB0FD1">
        <w:rPr>
          <w:sz w:val="22"/>
          <w:szCs w:val="22"/>
        </w:rPr>
        <w:t xml:space="preserve">reinstatement of their applications based on </w:t>
      </w:r>
      <w:r w:rsidR="004617BB">
        <w:rPr>
          <w:sz w:val="22"/>
          <w:szCs w:val="22"/>
        </w:rPr>
        <w:t xml:space="preserve">further amendments that </w:t>
      </w:r>
      <w:r w:rsidR="001619CB">
        <w:rPr>
          <w:sz w:val="22"/>
          <w:szCs w:val="22"/>
        </w:rPr>
        <w:t xml:space="preserve">they believe </w:t>
      </w:r>
      <w:r w:rsidR="0030512C">
        <w:rPr>
          <w:sz w:val="22"/>
          <w:szCs w:val="22"/>
        </w:rPr>
        <w:t>would cure the problem</w:t>
      </w:r>
      <w:r w:rsidR="009D4E78">
        <w:rPr>
          <w:sz w:val="22"/>
          <w:szCs w:val="22"/>
        </w:rPr>
        <w:t xml:space="preserve"> because “the applications are being prosecuted by persons who were original parties to the application</w:t>
      </w:r>
      <w:r w:rsidR="00695551">
        <w:rPr>
          <w:sz w:val="22"/>
          <w:szCs w:val="22"/>
        </w:rPr>
        <w:t>.</w:t>
      </w:r>
      <w:r w:rsidR="009D4E78">
        <w:rPr>
          <w:sz w:val="22"/>
          <w:szCs w:val="22"/>
        </w:rPr>
        <w:t>”</w:t>
      </w:r>
      <w:r w:rsidR="008D2B24">
        <w:rPr>
          <w:rStyle w:val="FootnoteReference"/>
          <w:szCs w:val="22"/>
        </w:rPr>
        <w:footnoteReference w:id="14"/>
      </w:r>
    </w:p>
    <w:p w14:paraId="568139AF" w14:textId="77777777" w:rsidR="00F1435E" w:rsidRDefault="00F1435E">
      <w:pPr>
        <w:tabs>
          <w:tab w:val="left" w:pos="0"/>
        </w:tabs>
        <w:suppressAutoHyphens/>
        <w:outlineLvl w:val="0"/>
        <w:rPr>
          <w:sz w:val="22"/>
          <w:szCs w:val="22"/>
        </w:rPr>
      </w:pPr>
    </w:p>
    <w:p w14:paraId="368EE26A" w14:textId="77777777" w:rsidR="00695551" w:rsidRPr="00695551" w:rsidRDefault="00394AE9" w:rsidP="00695551">
      <w:pPr>
        <w:tabs>
          <w:tab w:val="left" w:pos="0"/>
        </w:tabs>
        <w:suppressAutoHyphens/>
        <w:outlineLvl w:val="0"/>
        <w:rPr>
          <w:sz w:val="22"/>
          <w:szCs w:val="22"/>
        </w:rPr>
      </w:pPr>
      <w:r>
        <w:rPr>
          <w:sz w:val="22"/>
          <w:szCs w:val="22"/>
        </w:rPr>
        <w:tab/>
      </w:r>
      <w:r w:rsidR="00E0408F" w:rsidRPr="001A10E0">
        <w:rPr>
          <w:b/>
          <w:sz w:val="22"/>
          <w:szCs w:val="22"/>
        </w:rPr>
        <w:t>Discussion.</w:t>
      </w:r>
      <w:r w:rsidR="009A4037" w:rsidRPr="001A10E0">
        <w:rPr>
          <w:b/>
          <w:sz w:val="22"/>
          <w:szCs w:val="22"/>
        </w:rPr>
        <w:t xml:space="preserve">  </w:t>
      </w:r>
      <w:r w:rsidR="009B4AE7">
        <w:rPr>
          <w:sz w:val="22"/>
          <w:szCs w:val="22"/>
        </w:rPr>
        <w:t>Under Sections 1.106</w:t>
      </w:r>
      <w:r w:rsidR="009A4037" w:rsidRPr="001A10E0">
        <w:rPr>
          <w:sz w:val="22"/>
          <w:szCs w:val="22"/>
        </w:rPr>
        <w:t xml:space="preserve"> of the Rules, the Bureau will consider a petition for reconsideration only w</w:t>
      </w:r>
      <w:r w:rsidR="005D50C8">
        <w:rPr>
          <w:sz w:val="22"/>
          <w:szCs w:val="22"/>
        </w:rPr>
        <w:t xml:space="preserve">hen the petitioner shows </w:t>
      </w:r>
      <w:r w:rsidR="009A4037" w:rsidRPr="001A10E0">
        <w:rPr>
          <w:sz w:val="22"/>
          <w:szCs w:val="22"/>
        </w:rPr>
        <w:t>a mat</w:t>
      </w:r>
      <w:r w:rsidR="005D50C8">
        <w:rPr>
          <w:sz w:val="22"/>
          <w:szCs w:val="22"/>
        </w:rPr>
        <w:t xml:space="preserve">erial error in the </w:t>
      </w:r>
      <w:r w:rsidR="009A4037" w:rsidRPr="001A10E0">
        <w:rPr>
          <w:sz w:val="22"/>
          <w:szCs w:val="22"/>
        </w:rPr>
        <w:t>original order, or raises additional facts not known or existing at the time of the petitioner's last opportunity to present such matters.</w:t>
      </w:r>
      <w:r w:rsidR="009A4037" w:rsidRPr="001A10E0">
        <w:rPr>
          <w:sz w:val="22"/>
          <w:szCs w:val="22"/>
          <w:vertAlign w:val="superscript"/>
        </w:rPr>
        <w:footnoteReference w:id="15"/>
      </w:r>
      <w:r w:rsidR="00A9280D">
        <w:rPr>
          <w:sz w:val="22"/>
          <w:szCs w:val="22"/>
        </w:rPr>
        <w:t xml:space="preserve">  The Applicants </w:t>
      </w:r>
      <w:r w:rsidR="009B368F">
        <w:rPr>
          <w:sz w:val="22"/>
          <w:szCs w:val="22"/>
        </w:rPr>
        <w:t xml:space="preserve">allege </w:t>
      </w:r>
      <w:r w:rsidR="00E2037A">
        <w:rPr>
          <w:sz w:val="22"/>
          <w:szCs w:val="22"/>
        </w:rPr>
        <w:t xml:space="preserve">that the </w:t>
      </w:r>
      <w:r w:rsidR="001A5897">
        <w:rPr>
          <w:sz w:val="22"/>
          <w:szCs w:val="22"/>
        </w:rPr>
        <w:t>Bureau err</w:t>
      </w:r>
      <w:r w:rsidR="00E2037A">
        <w:rPr>
          <w:sz w:val="22"/>
          <w:szCs w:val="22"/>
        </w:rPr>
        <w:t>ed by dismissing</w:t>
      </w:r>
      <w:r w:rsidR="003B4327">
        <w:rPr>
          <w:sz w:val="22"/>
          <w:szCs w:val="22"/>
        </w:rPr>
        <w:t xml:space="preserve"> </w:t>
      </w:r>
      <w:r w:rsidR="00EC754E">
        <w:rPr>
          <w:sz w:val="22"/>
          <w:szCs w:val="22"/>
        </w:rPr>
        <w:t xml:space="preserve">their LPFM applications </w:t>
      </w:r>
      <w:r w:rsidR="00E2037A">
        <w:rPr>
          <w:sz w:val="22"/>
          <w:szCs w:val="22"/>
        </w:rPr>
        <w:t xml:space="preserve">pursuant to </w:t>
      </w:r>
      <w:r w:rsidR="0047673F">
        <w:rPr>
          <w:sz w:val="22"/>
          <w:szCs w:val="22"/>
        </w:rPr>
        <w:t>standard</w:t>
      </w:r>
      <w:r w:rsidR="0093683C">
        <w:rPr>
          <w:sz w:val="22"/>
          <w:szCs w:val="22"/>
        </w:rPr>
        <w:t>s whic</w:t>
      </w:r>
      <w:r w:rsidR="00CF767F">
        <w:rPr>
          <w:sz w:val="22"/>
          <w:szCs w:val="22"/>
        </w:rPr>
        <w:t xml:space="preserve">h pertain only to full power </w:t>
      </w:r>
      <w:r w:rsidR="0093683C">
        <w:rPr>
          <w:sz w:val="22"/>
          <w:szCs w:val="22"/>
        </w:rPr>
        <w:t>stations</w:t>
      </w:r>
      <w:r w:rsidR="00EC754E">
        <w:rPr>
          <w:sz w:val="22"/>
          <w:szCs w:val="22"/>
        </w:rPr>
        <w:t>.</w:t>
      </w:r>
      <w:r w:rsidR="005564DA">
        <w:rPr>
          <w:rStyle w:val="FootnoteReference"/>
          <w:szCs w:val="22"/>
        </w:rPr>
        <w:footnoteReference w:id="16"/>
      </w:r>
      <w:r w:rsidR="00EC754E">
        <w:rPr>
          <w:sz w:val="22"/>
          <w:szCs w:val="22"/>
        </w:rPr>
        <w:t xml:space="preserve">  Specifically</w:t>
      </w:r>
      <w:r w:rsidR="0093683C">
        <w:rPr>
          <w:sz w:val="22"/>
          <w:szCs w:val="22"/>
        </w:rPr>
        <w:t xml:space="preserve">, </w:t>
      </w:r>
      <w:r w:rsidR="00EC754E">
        <w:rPr>
          <w:sz w:val="22"/>
          <w:szCs w:val="22"/>
        </w:rPr>
        <w:t>they contend that the Bureau</w:t>
      </w:r>
      <w:r w:rsidR="00A66D6E">
        <w:rPr>
          <w:sz w:val="22"/>
          <w:szCs w:val="22"/>
        </w:rPr>
        <w:t xml:space="preserve"> </w:t>
      </w:r>
      <w:r w:rsidR="00AB51EC">
        <w:rPr>
          <w:sz w:val="22"/>
          <w:szCs w:val="22"/>
        </w:rPr>
        <w:t xml:space="preserve">improperly </w:t>
      </w:r>
      <w:r w:rsidR="00F72B03">
        <w:rPr>
          <w:sz w:val="22"/>
          <w:szCs w:val="22"/>
        </w:rPr>
        <w:t>reli</w:t>
      </w:r>
      <w:r w:rsidR="00EC754E">
        <w:rPr>
          <w:sz w:val="22"/>
          <w:szCs w:val="22"/>
        </w:rPr>
        <w:t>ed</w:t>
      </w:r>
      <w:r w:rsidR="0093683C">
        <w:rPr>
          <w:i/>
          <w:sz w:val="22"/>
          <w:szCs w:val="22"/>
        </w:rPr>
        <w:t xml:space="preserve"> </w:t>
      </w:r>
      <w:r w:rsidR="00F72B03">
        <w:rPr>
          <w:sz w:val="22"/>
          <w:szCs w:val="22"/>
        </w:rPr>
        <w:t xml:space="preserve">on </w:t>
      </w:r>
      <w:r w:rsidR="00580223">
        <w:rPr>
          <w:i/>
          <w:sz w:val="22"/>
          <w:szCs w:val="22"/>
        </w:rPr>
        <w:t>Fatima</w:t>
      </w:r>
      <w:r w:rsidR="000600AA">
        <w:rPr>
          <w:sz w:val="22"/>
          <w:szCs w:val="22"/>
        </w:rPr>
        <w:t>,</w:t>
      </w:r>
      <w:r w:rsidR="000600AA">
        <w:rPr>
          <w:rStyle w:val="FootnoteReference"/>
          <w:szCs w:val="22"/>
        </w:rPr>
        <w:footnoteReference w:id="17"/>
      </w:r>
      <w:r w:rsidR="000600AA">
        <w:rPr>
          <w:sz w:val="22"/>
          <w:szCs w:val="22"/>
        </w:rPr>
        <w:t xml:space="preserve"> a </w:t>
      </w:r>
      <w:r w:rsidR="003B4327">
        <w:rPr>
          <w:sz w:val="22"/>
          <w:szCs w:val="22"/>
        </w:rPr>
        <w:t>case</w:t>
      </w:r>
      <w:r w:rsidR="000600AA">
        <w:rPr>
          <w:sz w:val="22"/>
          <w:szCs w:val="22"/>
        </w:rPr>
        <w:t xml:space="preserve"> in </w:t>
      </w:r>
      <w:r w:rsidR="007E24A4">
        <w:rPr>
          <w:sz w:val="22"/>
          <w:szCs w:val="22"/>
        </w:rPr>
        <w:t>which</w:t>
      </w:r>
      <w:r w:rsidR="000600AA">
        <w:rPr>
          <w:sz w:val="22"/>
          <w:szCs w:val="22"/>
        </w:rPr>
        <w:t xml:space="preserve"> the Commission dismissed </w:t>
      </w:r>
      <w:r w:rsidR="00A96170">
        <w:rPr>
          <w:sz w:val="22"/>
          <w:szCs w:val="22"/>
        </w:rPr>
        <w:t>an NCE FM applica</w:t>
      </w:r>
      <w:r w:rsidR="000600AA">
        <w:rPr>
          <w:sz w:val="22"/>
          <w:szCs w:val="22"/>
        </w:rPr>
        <w:t xml:space="preserve">tion </w:t>
      </w:r>
      <w:r w:rsidR="001E03F2">
        <w:rPr>
          <w:sz w:val="22"/>
          <w:szCs w:val="22"/>
        </w:rPr>
        <w:t xml:space="preserve">pursuant to </w:t>
      </w:r>
      <w:r w:rsidR="00223E33">
        <w:rPr>
          <w:sz w:val="22"/>
          <w:szCs w:val="22"/>
        </w:rPr>
        <w:t>Section 73.3573</w:t>
      </w:r>
      <w:r w:rsidR="000600AA">
        <w:rPr>
          <w:sz w:val="22"/>
          <w:szCs w:val="22"/>
        </w:rPr>
        <w:t xml:space="preserve"> after a major governing board change</w:t>
      </w:r>
      <w:r w:rsidR="002473B4">
        <w:rPr>
          <w:sz w:val="22"/>
          <w:szCs w:val="22"/>
        </w:rPr>
        <w:t>.</w:t>
      </w:r>
      <w:r w:rsidR="00A66D6E">
        <w:rPr>
          <w:rStyle w:val="FootnoteReference"/>
          <w:szCs w:val="22"/>
        </w:rPr>
        <w:footnoteReference w:id="18"/>
      </w:r>
      <w:r w:rsidR="00A66D6E">
        <w:rPr>
          <w:sz w:val="22"/>
          <w:szCs w:val="22"/>
        </w:rPr>
        <w:t xml:space="preserve"> </w:t>
      </w:r>
      <w:r w:rsidR="002473B4">
        <w:rPr>
          <w:sz w:val="22"/>
          <w:szCs w:val="22"/>
        </w:rPr>
        <w:t xml:space="preserve"> The Applicants argue that </w:t>
      </w:r>
      <w:r w:rsidR="00EC754E">
        <w:rPr>
          <w:sz w:val="22"/>
          <w:szCs w:val="22"/>
        </w:rPr>
        <w:t xml:space="preserve">the </w:t>
      </w:r>
      <w:r w:rsidR="004A5E66">
        <w:rPr>
          <w:sz w:val="22"/>
          <w:szCs w:val="22"/>
        </w:rPr>
        <w:t xml:space="preserve">LPFM </w:t>
      </w:r>
      <w:r w:rsidR="00EC754E">
        <w:rPr>
          <w:sz w:val="22"/>
          <w:szCs w:val="22"/>
        </w:rPr>
        <w:t xml:space="preserve">processing </w:t>
      </w:r>
      <w:r w:rsidR="0038147F">
        <w:rPr>
          <w:sz w:val="22"/>
          <w:szCs w:val="22"/>
        </w:rPr>
        <w:t>rule, Section 73.871,</w:t>
      </w:r>
      <w:r w:rsidR="00310609">
        <w:rPr>
          <w:sz w:val="22"/>
          <w:szCs w:val="22"/>
        </w:rPr>
        <w:t xml:space="preserve"> </w:t>
      </w:r>
      <w:r w:rsidR="00EC754E">
        <w:rPr>
          <w:sz w:val="22"/>
          <w:szCs w:val="22"/>
        </w:rPr>
        <w:t>provides</w:t>
      </w:r>
      <w:r w:rsidR="00E1090C">
        <w:rPr>
          <w:sz w:val="22"/>
          <w:szCs w:val="22"/>
        </w:rPr>
        <w:t xml:space="preserve"> </w:t>
      </w:r>
      <w:r w:rsidR="00310609">
        <w:rPr>
          <w:sz w:val="22"/>
          <w:szCs w:val="22"/>
        </w:rPr>
        <w:t>merel</w:t>
      </w:r>
      <w:r w:rsidR="00820078">
        <w:rPr>
          <w:sz w:val="22"/>
          <w:szCs w:val="22"/>
        </w:rPr>
        <w:t>y</w:t>
      </w:r>
      <w:r w:rsidR="00EC754E">
        <w:rPr>
          <w:sz w:val="22"/>
          <w:szCs w:val="22"/>
        </w:rPr>
        <w:t xml:space="preserve"> for</w:t>
      </w:r>
      <w:r w:rsidR="00E1090C">
        <w:rPr>
          <w:sz w:val="22"/>
          <w:szCs w:val="22"/>
        </w:rPr>
        <w:t xml:space="preserve"> </w:t>
      </w:r>
      <w:r w:rsidR="00B94317">
        <w:rPr>
          <w:sz w:val="22"/>
          <w:szCs w:val="22"/>
        </w:rPr>
        <w:t>“</w:t>
      </w:r>
      <w:r w:rsidR="0040783D">
        <w:rPr>
          <w:sz w:val="22"/>
          <w:szCs w:val="22"/>
        </w:rPr>
        <w:t>return</w:t>
      </w:r>
      <w:r w:rsidR="00B94317">
        <w:rPr>
          <w:sz w:val="22"/>
          <w:szCs w:val="22"/>
        </w:rPr>
        <w:t>”</w:t>
      </w:r>
      <w:r w:rsidR="0040783D">
        <w:rPr>
          <w:sz w:val="22"/>
          <w:szCs w:val="22"/>
        </w:rPr>
        <w:t xml:space="preserve"> of </w:t>
      </w:r>
      <w:r w:rsidR="00BA193A">
        <w:rPr>
          <w:sz w:val="22"/>
          <w:szCs w:val="22"/>
        </w:rPr>
        <w:t xml:space="preserve">unauthorized </w:t>
      </w:r>
      <w:r w:rsidR="0038147F">
        <w:rPr>
          <w:sz w:val="22"/>
          <w:szCs w:val="22"/>
        </w:rPr>
        <w:t>amendment</w:t>
      </w:r>
      <w:r w:rsidR="00820078">
        <w:rPr>
          <w:sz w:val="22"/>
          <w:szCs w:val="22"/>
        </w:rPr>
        <w:t>s</w:t>
      </w:r>
      <w:r w:rsidR="0038147F">
        <w:rPr>
          <w:sz w:val="22"/>
          <w:szCs w:val="22"/>
        </w:rPr>
        <w:t xml:space="preserve"> without consideration</w:t>
      </w:r>
      <w:r w:rsidR="00D74771">
        <w:rPr>
          <w:sz w:val="22"/>
          <w:szCs w:val="22"/>
        </w:rPr>
        <w:t>.</w:t>
      </w:r>
      <w:r w:rsidR="00911C99" w:rsidRPr="00695551">
        <w:rPr>
          <w:sz w:val="22"/>
          <w:szCs w:val="22"/>
          <w:vertAlign w:val="superscript"/>
        </w:rPr>
        <w:footnoteReference w:id="19"/>
      </w:r>
      <w:r w:rsidR="0009009E">
        <w:rPr>
          <w:sz w:val="22"/>
          <w:szCs w:val="22"/>
          <w:vertAlign w:val="superscript"/>
        </w:rPr>
        <w:t xml:space="preserve"> </w:t>
      </w:r>
      <w:r w:rsidR="00CC56FF">
        <w:rPr>
          <w:sz w:val="22"/>
          <w:szCs w:val="22"/>
        </w:rPr>
        <w:t xml:space="preserve">  </w:t>
      </w:r>
      <w:r w:rsidR="0009009E">
        <w:rPr>
          <w:sz w:val="22"/>
          <w:szCs w:val="22"/>
        </w:rPr>
        <w:t xml:space="preserve">The Applicants </w:t>
      </w:r>
      <w:r w:rsidR="006B6615">
        <w:rPr>
          <w:sz w:val="22"/>
          <w:szCs w:val="22"/>
        </w:rPr>
        <w:t xml:space="preserve">equate </w:t>
      </w:r>
      <w:r w:rsidR="00282DFC">
        <w:rPr>
          <w:sz w:val="22"/>
          <w:szCs w:val="22"/>
        </w:rPr>
        <w:t>Section 73.871</w:t>
      </w:r>
      <w:r w:rsidR="00EC2666">
        <w:rPr>
          <w:sz w:val="22"/>
          <w:szCs w:val="22"/>
        </w:rPr>
        <w:t>’s language</w:t>
      </w:r>
      <w:r w:rsidR="00282DFC">
        <w:rPr>
          <w:sz w:val="22"/>
          <w:szCs w:val="22"/>
        </w:rPr>
        <w:t xml:space="preserve"> </w:t>
      </w:r>
      <w:r w:rsidR="006B6615">
        <w:rPr>
          <w:sz w:val="22"/>
          <w:szCs w:val="22"/>
        </w:rPr>
        <w:t>with</w:t>
      </w:r>
      <w:r w:rsidR="00820078">
        <w:rPr>
          <w:sz w:val="22"/>
          <w:szCs w:val="22"/>
        </w:rPr>
        <w:t xml:space="preserve"> </w:t>
      </w:r>
      <w:r w:rsidR="00EC2666">
        <w:rPr>
          <w:sz w:val="22"/>
          <w:szCs w:val="22"/>
        </w:rPr>
        <w:t xml:space="preserve">an NCE </w:t>
      </w:r>
      <w:r w:rsidR="0013750B">
        <w:rPr>
          <w:sz w:val="22"/>
          <w:szCs w:val="22"/>
        </w:rPr>
        <w:t xml:space="preserve">FM </w:t>
      </w:r>
      <w:r w:rsidR="00EC2666">
        <w:rPr>
          <w:sz w:val="22"/>
          <w:szCs w:val="22"/>
        </w:rPr>
        <w:t xml:space="preserve">policy </w:t>
      </w:r>
      <w:r w:rsidR="00A82693">
        <w:rPr>
          <w:sz w:val="22"/>
          <w:szCs w:val="22"/>
        </w:rPr>
        <w:t xml:space="preserve">followed </w:t>
      </w:r>
      <w:r w:rsidR="00EC2666">
        <w:rPr>
          <w:sz w:val="22"/>
          <w:szCs w:val="22"/>
        </w:rPr>
        <w:t xml:space="preserve">in </w:t>
      </w:r>
      <w:r w:rsidR="00B9149B">
        <w:rPr>
          <w:i/>
          <w:sz w:val="22"/>
          <w:szCs w:val="22"/>
        </w:rPr>
        <w:t>Golden Shores</w:t>
      </w:r>
      <w:r w:rsidR="00CC56FF">
        <w:rPr>
          <w:i/>
          <w:sz w:val="22"/>
          <w:szCs w:val="22"/>
        </w:rPr>
        <w:t>,</w:t>
      </w:r>
      <w:r w:rsidR="007339CE">
        <w:rPr>
          <w:rStyle w:val="FootnoteReference"/>
          <w:szCs w:val="22"/>
        </w:rPr>
        <w:footnoteReference w:id="20"/>
      </w:r>
      <w:r w:rsidR="007339CE">
        <w:rPr>
          <w:sz w:val="22"/>
          <w:szCs w:val="22"/>
        </w:rPr>
        <w:t xml:space="preserve"> </w:t>
      </w:r>
      <w:r w:rsidR="00EC2666">
        <w:rPr>
          <w:sz w:val="22"/>
          <w:szCs w:val="22"/>
        </w:rPr>
        <w:t>not</w:t>
      </w:r>
      <w:r w:rsidR="004E24D4">
        <w:rPr>
          <w:sz w:val="22"/>
          <w:szCs w:val="22"/>
        </w:rPr>
        <w:t xml:space="preserve"> to accept</w:t>
      </w:r>
      <w:r w:rsidR="006B6615">
        <w:rPr>
          <w:sz w:val="22"/>
          <w:szCs w:val="22"/>
        </w:rPr>
        <w:t xml:space="preserve"> </w:t>
      </w:r>
      <w:r w:rsidR="00B9149B">
        <w:rPr>
          <w:sz w:val="22"/>
          <w:szCs w:val="22"/>
        </w:rPr>
        <w:t xml:space="preserve">inadvertent </w:t>
      </w:r>
      <w:r w:rsidR="00A82693">
        <w:rPr>
          <w:sz w:val="22"/>
          <w:szCs w:val="22"/>
        </w:rPr>
        <w:t xml:space="preserve">major change amendments </w:t>
      </w:r>
      <w:r w:rsidR="00E2051A">
        <w:rPr>
          <w:sz w:val="22"/>
          <w:szCs w:val="22"/>
        </w:rPr>
        <w:t>t</w:t>
      </w:r>
      <w:r w:rsidR="006B6615">
        <w:rPr>
          <w:sz w:val="22"/>
          <w:szCs w:val="22"/>
        </w:rPr>
        <w:t xml:space="preserve">hat </w:t>
      </w:r>
      <w:r w:rsidR="002473B4">
        <w:rPr>
          <w:sz w:val="22"/>
          <w:szCs w:val="22"/>
        </w:rPr>
        <w:t xml:space="preserve">would </w:t>
      </w:r>
      <w:r w:rsidR="006B6615">
        <w:rPr>
          <w:sz w:val="22"/>
          <w:szCs w:val="22"/>
        </w:rPr>
        <w:t xml:space="preserve">result in </w:t>
      </w:r>
      <w:r w:rsidR="00E2051A">
        <w:rPr>
          <w:sz w:val="22"/>
          <w:szCs w:val="22"/>
        </w:rPr>
        <w:t>dismissal.</w:t>
      </w:r>
      <w:r w:rsidR="00BF6B0B">
        <w:rPr>
          <w:sz w:val="22"/>
          <w:szCs w:val="22"/>
        </w:rPr>
        <w:t xml:space="preserve"> </w:t>
      </w:r>
    </w:p>
    <w:p w14:paraId="2290CF4E" w14:textId="77777777" w:rsidR="00695551" w:rsidRDefault="00695551" w:rsidP="00E0587A">
      <w:pPr>
        <w:tabs>
          <w:tab w:val="left" w:pos="0"/>
        </w:tabs>
        <w:suppressAutoHyphens/>
        <w:outlineLvl w:val="0"/>
        <w:rPr>
          <w:sz w:val="22"/>
          <w:szCs w:val="22"/>
        </w:rPr>
      </w:pPr>
    </w:p>
    <w:p w14:paraId="286DB22A" w14:textId="77777777" w:rsidR="00F20F66" w:rsidRPr="003E4F35" w:rsidRDefault="00F20F66" w:rsidP="00822882">
      <w:pPr>
        <w:widowControl/>
        <w:rPr>
          <w:sz w:val="22"/>
          <w:szCs w:val="22"/>
        </w:rPr>
      </w:pPr>
      <w:r>
        <w:rPr>
          <w:sz w:val="22"/>
          <w:szCs w:val="22"/>
        </w:rPr>
        <w:tab/>
      </w:r>
      <w:r w:rsidR="003F304D" w:rsidRPr="00C16DC5">
        <w:rPr>
          <w:sz w:val="22"/>
          <w:szCs w:val="22"/>
        </w:rPr>
        <w:t xml:space="preserve">The Bureau did not, as the Applicants suggest, </w:t>
      </w:r>
      <w:r w:rsidR="003F304D">
        <w:rPr>
          <w:sz w:val="22"/>
          <w:szCs w:val="22"/>
        </w:rPr>
        <w:t xml:space="preserve">confuse </w:t>
      </w:r>
      <w:r w:rsidR="00A3323F">
        <w:rPr>
          <w:sz w:val="22"/>
          <w:szCs w:val="22"/>
        </w:rPr>
        <w:t xml:space="preserve">LPFM and full service NCE </w:t>
      </w:r>
      <w:r w:rsidR="006E1ADF">
        <w:rPr>
          <w:sz w:val="22"/>
          <w:szCs w:val="22"/>
        </w:rPr>
        <w:t xml:space="preserve">FM </w:t>
      </w:r>
      <w:r w:rsidR="00A3323F" w:rsidRPr="00C16DC5">
        <w:rPr>
          <w:sz w:val="22"/>
          <w:szCs w:val="22"/>
        </w:rPr>
        <w:t>application processing procedures</w:t>
      </w:r>
      <w:r w:rsidR="003F304D">
        <w:rPr>
          <w:sz w:val="22"/>
          <w:szCs w:val="22"/>
        </w:rPr>
        <w:t>, which</w:t>
      </w:r>
      <w:r w:rsidR="00A3323F">
        <w:rPr>
          <w:sz w:val="22"/>
          <w:szCs w:val="22"/>
        </w:rPr>
        <w:t xml:space="preserve"> are </w:t>
      </w:r>
      <w:r w:rsidR="0038125C">
        <w:rPr>
          <w:sz w:val="22"/>
          <w:szCs w:val="22"/>
        </w:rPr>
        <w:t>very</w:t>
      </w:r>
      <w:r w:rsidR="0082685A">
        <w:rPr>
          <w:sz w:val="22"/>
          <w:szCs w:val="22"/>
        </w:rPr>
        <w:t xml:space="preserve"> </w:t>
      </w:r>
      <w:r w:rsidR="003F304D">
        <w:rPr>
          <w:sz w:val="22"/>
          <w:szCs w:val="22"/>
        </w:rPr>
        <w:t xml:space="preserve">similar but </w:t>
      </w:r>
      <w:r w:rsidR="0082685A">
        <w:rPr>
          <w:sz w:val="22"/>
          <w:szCs w:val="22"/>
        </w:rPr>
        <w:t>not identical</w:t>
      </w:r>
      <w:r w:rsidR="00A3323F" w:rsidRPr="00C16DC5">
        <w:rPr>
          <w:sz w:val="22"/>
          <w:szCs w:val="22"/>
        </w:rPr>
        <w:t xml:space="preserve">.  </w:t>
      </w:r>
      <w:r w:rsidR="00A3323F">
        <w:rPr>
          <w:sz w:val="22"/>
          <w:szCs w:val="22"/>
        </w:rPr>
        <w:t>A</w:t>
      </w:r>
      <w:r w:rsidR="001E2DC4">
        <w:rPr>
          <w:sz w:val="22"/>
          <w:szCs w:val="22"/>
        </w:rPr>
        <w:t>n LPFM applicant</w:t>
      </w:r>
      <w:r w:rsidR="00552C86" w:rsidRPr="00C16DC5">
        <w:rPr>
          <w:sz w:val="22"/>
          <w:szCs w:val="22"/>
        </w:rPr>
        <w:t xml:space="preserve"> can make “minor” changes at any time, but a “major” change outside of a filing window will result in dismissal.</w:t>
      </w:r>
      <w:r w:rsidR="00552C86" w:rsidRPr="00C16DC5">
        <w:rPr>
          <w:rStyle w:val="FootnoteReference"/>
          <w:sz w:val="22"/>
          <w:szCs w:val="22"/>
        </w:rPr>
        <w:footnoteReference w:id="21"/>
      </w:r>
      <w:r w:rsidR="00552C86" w:rsidRPr="00C16DC5">
        <w:rPr>
          <w:sz w:val="22"/>
          <w:szCs w:val="22"/>
        </w:rPr>
        <w:t xml:space="preserve">  </w:t>
      </w:r>
      <w:r w:rsidR="00B3266A">
        <w:rPr>
          <w:sz w:val="22"/>
          <w:szCs w:val="22"/>
        </w:rPr>
        <w:t xml:space="preserve">As noted earlier, </w:t>
      </w:r>
      <w:r w:rsidR="006172F1">
        <w:rPr>
          <w:sz w:val="22"/>
          <w:szCs w:val="22"/>
        </w:rPr>
        <w:t>Section 73.871(c)(3) classifies</w:t>
      </w:r>
      <w:r w:rsidR="000B7FC7" w:rsidRPr="00C16DC5">
        <w:rPr>
          <w:sz w:val="22"/>
          <w:szCs w:val="22"/>
        </w:rPr>
        <w:t xml:space="preserve"> a</w:t>
      </w:r>
      <w:r w:rsidR="00552C86" w:rsidRPr="00C16DC5">
        <w:rPr>
          <w:sz w:val="22"/>
          <w:szCs w:val="22"/>
        </w:rPr>
        <w:t>n</w:t>
      </w:r>
      <w:r w:rsidR="006172F1">
        <w:rPr>
          <w:sz w:val="22"/>
          <w:szCs w:val="22"/>
        </w:rPr>
        <w:t xml:space="preserve"> LPFM ownership change as</w:t>
      </w:r>
      <w:r w:rsidR="00552C86" w:rsidRPr="00C16DC5">
        <w:rPr>
          <w:sz w:val="22"/>
          <w:szCs w:val="22"/>
        </w:rPr>
        <w:t xml:space="preserve"> “major” if the original parties to the application do not retain an ownership interest exceeding 50 percent.</w:t>
      </w:r>
      <w:r w:rsidR="00552C86" w:rsidRPr="00C16DC5">
        <w:rPr>
          <w:rStyle w:val="FootnoteReference"/>
          <w:sz w:val="22"/>
          <w:szCs w:val="22"/>
        </w:rPr>
        <w:footnoteReference w:id="22"/>
      </w:r>
      <w:r w:rsidR="00552C86" w:rsidRPr="00C16DC5">
        <w:rPr>
          <w:sz w:val="22"/>
          <w:szCs w:val="22"/>
        </w:rPr>
        <w:t xml:space="preserve">  </w:t>
      </w:r>
      <w:r w:rsidR="008477CB">
        <w:rPr>
          <w:sz w:val="22"/>
          <w:szCs w:val="22"/>
        </w:rPr>
        <w:t xml:space="preserve">The Bureau correctly cited </w:t>
      </w:r>
      <w:r w:rsidR="008477CB">
        <w:rPr>
          <w:i/>
          <w:sz w:val="22"/>
          <w:szCs w:val="22"/>
        </w:rPr>
        <w:t>Fatima</w:t>
      </w:r>
      <w:r w:rsidR="009D2F19">
        <w:rPr>
          <w:sz w:val="22"/>
          <w:szCs w:val="22"/>
        </w:rPr>
        <w:t>, an NCE FM case,</w:t>
      </w:r>
      <w:r w:rsidR="008477CB">
        <w:rPr>
          <w:i/>
          <w:sz w:val="22"/>
          <w:szCs w:val="22"/>
        </w:rPr>
        <w:t xml:space="preserve"> </w:t>
      </w:r>
      <w:r w:rsidR="008477CB">
        <w:rPr>
          <w:sz w:val="22"/>
          <w:szCs w:val="22"/>
        </w:rPr>
        <w:t xml:space="preserve">as </w:t>
      </w:r>
      <w:r w:rsidR="000A1973">
        <w:rPr>
          <w:sz w:val="22"/>
          <w:szCs w:val="22"/>
        </w:rPr>
        <w:t>additional</w:t>
      </w:r>
      <w:r w:rsidR="00982E56">
        <w:rPr>
          <w:sz w:val="22"/>
          <w:szCs w:val="22"/>
        </w:rPr>
        <w:t xml:space="preserve"> support for its</w:t>
      </w:r>
      <w:r w:rsidR="00B3266A">
        <w:rPr>
          <w:sz w:val="22"/>
          <w:szCs w:val="22"/>
        </w:rPr>
        <w:t xml:space="preserve"> practice of d</w:t>
      </w:r>
      <w:r w:rsidR="000A1973">
        <w:rPr>
          <w:sz w:val="22"/>
          <w:szCs w:val="22"/>
        </w:rPr>
        <w:t>is</w:t>
      </w:r>
      <w:r w:rsidR="00B3266A">
        <w:rPr>
          <w:sz w:val="22"/>
          <w:szCs w:val="22"/>
        </w:rPr>
        <w:t>missing</w:t>
      </w:r>
      <w:r w:rsidR="00165163">
        <w:rPr>
          <w:sz w:val="22"/>
          <w:szCs w:val="22"/>
        </w:rPr>
        <w:t xml:space="preserve"> </w:t>
      </w:r>
      <w:r w:rsidR="003F2A4D">
        <w:rPr>
          <w:sz w:val="22"/>
          <w:szCs w:val="22"/>
        </w:rPr>
        <w:t xml:space="preserve">broadcast </w:t>
      </w:r>
      <w:r w:rsidR="00165163">
        <w:rPr>
          <w:sz w:val="22"/>
          <w:szCs w:val="22"/>
        </w:rPr>
        <w:t xml:space="preserve">applications following </w:t>
      </w:r>
      <w:r w:rsidR="000A1973">
        <w:rPr>
          <w:sz w:val="22"/>
          <w:szCs w:val="22"/>
        </w:rPr>
        <w:t xml:space="preserve">major </w:t>
      </w:r>
      <w:r w:rsidR="00B3266A">
        <w:rPr>
          <w:sz w:val="22"/>
          <w:szCs w:val="22"/>
        </w:rPr>
        <w:t xml:space="preserve">ownership </w:t>
      </w:r>
      <w:r w:rsidR="000A1973">
        <w:rPr>
          <w:sz w:val="22"/>
          <w:szCs w:val="22"/>
        </w:rPr>
        <w:t>change</w:t>
      </w:r>
      <w:r w:rsidR="00351EAF">
        <w:rPr>
          <w:sz w:val="22"/>
          <w:szCs w:val="22"/>
        </w:rPr>
        <w:t>s</w:t>
      </w:r>
      <w:r w:rsidR="00D63242">
        <w:rPr>
          <w:sz w:val="22"/>
          <w:szCs w:val="22"/>
        </w:rPr>
        <w:t>.</w:t>
      </w:r>
      <w:r w:rsidR="008477CB">
        <w:rPr>
          <w:rStyle w:val="FootnoteReference"/>
          <w:szCs w:val="22"/>
        </w:rPr>
        <w:footnoteReference w:id="23"/>
      </w:r>
      <w:r w:rsidR="008477CB">
        <w:rPr>
          <w:sz w:val="22"/>
          <w:szCs w:val="22"/>
        </w:rPr>
        <w:t xml:space="preserve"> </w:t>
      </w:r>
      <w:r w:rsidR="00D63242">
        <w:rPr>
          <w:sz w:val="22"/>
          <w:szCs w:val="22"/>
        </w:rPr>
        <w:t xml:space="preserve"> </w:t>
      </w:r>
      <w:r w:rsidR="00010EC3">
        <w:rPr>
          <w:sz w:val="22"/>
          <w:szCs w:val="22"/>
        </w:rPr>
        <w:t xml:space="preserve">The </w:t>
      </w:r>
      <w:r w:rsidR="00BB31AE">
        <w:rPr>
          <w:sz w:val="22"/>
          <w:szCs w:val="22"/>
        </w:rPr>
        <w:t xml:space="preserve">Commission has affirmed the </w:t>
      </w:r>
      <w:r w:rsidR="001D53A0">
        <w:rPr>
          <w:sz w:val="22"/>
          <w:szCs w:val="22"/>
        </w:rPr>
        <w:t>Bureau</w:t>
      </w:r>
      <w:r w:rsidR="00BB31AE">
        <w:rPr>
          <w:sz w:val="22"/>
          <w:szCs w:val="22"/>
        </w:rPr>
        <w:t>’s</w:t>
      </w:r>
      <w:r w:rsidR="001D53A0">
        <w:rPr>
          <w:sz w:val="22"/>
          <w:szCs w:val="22"/>
        </w:rPr>
        <w:t xml:space="preserve"> </w:t>
      </w:r>
      <w:r w:rsidR="00D251D4">
        <w:rPr>
          <w:sz w:val="22"/>
          <w:szCs w:val="22"/>
        </w:rPr>
        <w:t xml:space="preserve">similar </w:t>
      </w:r>
      <w:r w:rsidR="00BB31AE">
        <w:rPr>
          <w:sz w:val="22"/>
          <w:szCs w:val="22"/>
        </w:rPr>
        <w:t xml:space="preserve">dismissal of </w:t>
      </w:r>
      <w:r w:rsidR="00351EAF">
        <w:rPr>
          <w:sz w:val="22"/>
          <w:szCs w:val="22"/>
        </w:rPr>
        <w:t>LPFM applications</w:t>
      </w:r>
      <w:r w:rsidR="00CB2C4F">
        <w:rPr>
          <w:sz w:val="22"/>
          <w:szCs w:val="22"/>
        </w:rPr>
        <w:t xml:space="preserve"> </w:t>
      </w:r>
      <w:r w:rsidR="00351EAF">
        <w:rPr>
          <w:sz w:val="22"/>
          <w:szCs w:val="22"/>
        </w:rPr>
        <w:t xml:space="preserve">pursuant to </w:t>
      </w:r>
      <w:r w:rsidR="00BB1DEE">
        <w:rPr>
          <w:sz w:val="22"/>
          <w:szCs w:val="22"/>
        </w:rPr>
        <w:t>Section 73.871</w:t>
      </w:r>
      <w:r w:rsidR="00D31A11">
        <w:rPr>
          <w:sz w:val="22"/>
          <w:szCs w:val="22"/>
        </w:rPr>
        <w:t xml:space="preserve"> </w:t>
      </w:r>
      <w:r w:rsidR="00306CD8">
        <w:rPr>
          <w:sz w:val="22"/>
          <w:szCs w:val="22"/>
        </w:rPr>
        <w:t xml:space="preserve">following </w:t>
      </w:r>
      <w:r w:rsidR="00D31A11">
        <w:rPr>
          <w:sz w:val="22"/>
          <w:szCs w:val="22"/>
        </w:rPr>
        <w:t>maj</w:t>
      </w:r>
      <w:r w:rsidR="007F099A">
        <w:rPr>
          <w:sz w:val="22"/>
          <w:szCs w:val="22"/>
        </w:rPr>
        <w:t>or ownership changes</w:t>
      </w:r>
      <w:r w:rsidR="00D31A11">
        <w:rPr>
          <w:sz w:val="22"/>
          <w:szCs w:val="22"/>
        </w:rPr>
        <w:t>.</w:t>
      </w:r>
      <w:r w:rsidR="00D31A11">
        <w:rPr>
          <w:rStyle w:val="FootnoteReference"/>
          <w:szCs w:val="22"/>
        </w:rPr>
        <w:footnoteReference w:id="24"/>
      </w:r>
      <w:r w:rsidR="00206A3A">
        <w:rPr>
          <w:sz w:val="22"/>
          <w:szCs w:val="22"/>
        </w:rPr>
        <w:t xml:space="preserve">  </w:t>
      </w:r>
      <w:r w:rsidR="00E47B1B">
        <w:rPr>
          <w:sz w:val="22"/>
          <w:szCs w:val="22"/>
        </w:rPr>
        <w:t xml:space="preserve">To the extent that the Applicants attempt to distinguish LPFM and NCE FM procedures based on </w:t>
      </w:r>
      <w:r w:rsidR="001E7A25">
        <w:rPr>
          <w:sz w:val="22"/>
          <w:szCs w:val="22"/>
        </w:rPr>
        <w:t xml:space="preserve">language in </w:t>
      </w:r>
      <w:r w:rsidR="00E47B1B">
        <w:rPr>
          <w:sz w:val="22"/>
          <w:szCs w:val="22"/>
        </w:rPr>
        <w:t>Section 73.871</w:t>
      </w:r>
      <w:r w:rsidR="004202EA">
        <w:rPr>
          <w:sz w:val="22"/>
          <w:szCs w:val="22"/>
        </w:rPr>
        <w:t>(d)</w:t>
      </w:r>
      <w:r w:rsidR="00E47B1B">
        <w:rPr>
          <w:sz w:val="22"/>
          <w:szCs w:val="22"/>
        </w:rPr>
        <w:t xml:space="preserve"> </w:t>
      </w:r>
      <w:r w:rsidR="00031429">
        <w:rPr>
          <w:sz w:val="22"/>
          <w:szCs w:val="22"/>
        </w:rPr>
        <w:t xml:space="preserve">that </w:t>
      </w:r>
      <w:r w:rsidR="00E47B1B">
        <w:rPr>
          <w:sz w:val="22"/>
          <w:szCs w:val="22"/>
        </w:rPr>
        <w:t xml:space="preserve">unauthorized LPFM amendments </w:t>
      </w:r>
      <w:r w:rsidR="00031429">
        <w:rPr>
          <w:sz w:val="22"/>
          <w:szCs w:val="22"/>
        </w:rPr>
        <w:t>“are subject to return</w:t>
      </w:r>
      <w:r w:rsidR="006C2E67">
        <w:rPr>
          <w:sz w:val="22"/>
          <w:szCs w:val="22"/>
        </w:rPr>
        <w:t>,</w:t>
      </w:r>
      <w:r w:rsidR="00031429">
        <w:rPr>
          <w:sz w:val="22"/>
          <w:szCs w:val="22"/>
        </w:rPr>
        <w:t>”</w:t>
      </w:r>
      <w:r w:rsidR="006C2E67">
        <w:rPr>
          <w:sz w:val="22"/>
          <w:szCs w:val="22"/>
        </w:rPr>
        <w:t xml:space="preserve"> </w:t>
      </w:r>
      <w:r w:rsidR="00E47B1B">
        <w:rPr>
          <w:sz w:val="22"/>
          <w:szCs w:val="22"/>
        </w:rPr>
        <w:t xml:space="preserve">identical language </w:t>
      </w:r>
      <w:r w:rsidR="001E7A25">
        <w:rPr>
          <w:sz w:val="22"/>
          <w:szCs w:val="22"/>
        </w:rPr>
        <w:t xml:space="preserve">appears in Section 73.3522(b) </w:t>
      </w:r>
      <w:r w:rsidR="00E47B1B">
        <w:rPr>
          <w:sz w:val="22"/>
          <w:szCs w:val="22"/>
        </w:rPr>
        <w:t>for NCE FM applications.</w:t>
      </w:r>
      <w:r w:rsidR="001E7A25">
        <w:rPr>
          <w:rStyle w:val="FootnoteReference"/>
          <w:szCs w:val="22"/>
        </w:rPr>
        <w:footnoteReference w:id="25"/>
      </w:r>
      <w:r w:rsidR="00E47B1B">
        <w:rPr>
          <w:sz w:val="22"/>
          <w:szCs w:val="22"/>
        </w:rPr>
        <w:t xml:space="preserve"> </w:t>
      </w:r>
      <w:r w:rsidR="004202EA">
        <w:rPr>
          <w:sz w:val="22"/>
          <w:szCs w:val="22"/>
        </w:rPr>
        <w:t xml:space="preserve"> The language does not, for either service, require the Commission to ignore fatal </w:t>
      </w:r>
      <w:r w:rsidR="004202EA" w:rsidRPr="001E7A25">
        <w:rPr>
          <w:sz w:val="22"/>
          <w:szCs w:val="22"/>
        </w:rPr>
        <w:t>major c</w:t>
      </w:r>
      <w:r w:rsidR="004202EA">
        <w:rPr>
          <w:sz w:val="22"/>
          <w:szCs w:val="22"/>
        </w:rPr>
        <w:t>hanges.</w:t>
      </w:r>
      <w:r w:rsidR="004202EA">
        <w:rPr>
          <w:rStyle w:val="FootnoteReference"/>
          <w:szCs w:val="22"/>
        </w:rPr>
        <w:footnoteReference w:id="26"/>
      </w:r>
      <w:r w:rsidR="004202EA">
        <w:rPr>
          <w:sz w:val="22"/>
          <w:szCs w:val="22"/>
        </w:rPr>
        <w:t xml:space="preserve">  </w:t>
      </w:r>
      <w:r w:rsidR="00822882">
        <w:rPr>
          <w:sz w:val="22"/>
          <w:szCs w:val="22"/>
        </w:rPr>
        <w:t xml:space="preserve">The Applicant’s belief otherwise relies on a practice, followed in </w:t>
      </w:r>
      <w:r w:rsidR="00206A3A">
        <w:rPr>
          <w:i/>
          <w:sz w:val="22"/>
          <w:szCs w:val="22"/>
        </w:rPr>
        <w:t>Golden Shores</w:t>
      </w:r>
      <w:r w:rsidR="002B0480">
        <w:rPr>
          <w:sz w:val="22"/>
          <w:szCs w:val="22"/>
        </w:rPr>
        <w:t>,</w:t>
      </w:r>
      <w:r w:rsidR="00100F81">
        <w:rPr>
          <w:i/>
          <w:sz w:val="22"/>
          <w:szCs w:val="22"/>
        </w:rPr>
        <w:t xml:space="preserve"> </w:t>
      </w:r>
      <w:r w:rsidR="00100F81">
        <w:rPr>
          <w:sz w:val="22"/>
          <w:szCs w:val="22"/>
        </w:rPr>
        <w:t xml:space="preserve">to </w:t>
      </w:r>
      <w:r w:rsidR="00915BE5">
        <w:rPr>
          <w:sz w:val="22"/>
          <w:szCs w:val="22"/>
        </w:rPr>
        <w:t>return</w:t>
      </w:r>
      <w:r w:rsidR="003C1FFE">
        <w:rPr>
          <w:sz w:val="22"/>
          <w:szCs w:val="22"/>
        </w:rPr>
        <w:t xml:space="preserve"> so</w:t>
      </w:r>
      <w:r w:rsidR="00346636">
        <w:rPr>
          <w:sz w:val="22"/>
          <w:szCs w:val="22"/>
        </w:rPr>
        <w:t>-called</w:t>
      </w:r>
      <w:r w:rsidR="003C1FFE">
        <w:rPr>
          <w:sz w:val="22"/>
          <w:szCs w:val="22"/>
        </w:rPr>
        <w:t xml:space="preserve"> </w:t>
      </w:r>
      <w:r w:rsidR="00CA5ECC">
        <w:rPr>
          <w:sz w:val="22"/>
          <w:szCs w:val="22"/>
        </w:rPr>
        <w:t>“suicide amendments</w:t>
      </w:r>
      <w:r w:rsidR="00100F81">
        <w:rPr>
          <w:sz w:val="22"/>
          <w:szCs w:val="22"/>
        </w:rPr>
        <w:t>.</w:t>
      </w:r>
      <w:r w:rsidR="00CA5ECC">
        <w:rPr>
          <w:sz w:val="22"/>
          <w:szCs w:val="22"/>
        </w:rPr>
        <w:t>”</w:t>
      </w:r>
      <w:r w:rsidR="00100F81">
        <w:rPr>
          <w:sz w:val="22"/>
          <w:szCs w:val="22"/>
        </w:rPr>
        <w:t xml:space="preserve">  That practice</w:t>
      </w:r>
      <w:r w:rsidR="00CA5ECC">
        <w:rPr>
          <w:sz w:val="22"/>
          <w:szCs w:val="22"/>
        </w:rPr>
        <w:t xml:space="preserve"> </w:t>
      </w:r>
      <w:r w:rsidR="001E217A">
        <w:rPr>
          <w:sz w:val="22"/>
          <w:szCs w:val="22"/>
        </w:rPr>
        <w:t>has never been applied in an LPFM context</w:t>
      </w:r>
      <w:r w:rsidR="00B038E3" w:rsidRPr="00B038E3">
        <w:rPr>
          <w:sz w:val="22"/>
          <w:szCs w:val="22"/>
          <w:vertAlign w:val="superscript"/>
        </w:rPr>
        <w:footnoteReference w:id="27"/>
      </w:r>
      <w:r w:rsidR="001E217A">
        <w:rPr>
          <w:sz w:val="22"/>
          <w:szCs w:val="22"/>
        </w:rPr>
        <w:t xml:space="preserve"> </w:t>
      </w:r>
      <w:r w:rsidR="006C2E67">
        <w:rPr>
          <w:sz w:val="22"/>
          <w:szCs w:val="22"/>
        </w:rPr>
        <w:t>but</w:t>
      </w:r>
      <w:r w:rsidR="001E217A">
        <w:rPr>
          <w:sz w:val="22"/>
          <w:szCs w:val="22"/>
        </w:rPr>
        <w:t xml:space="preserve">, rather, </w:t>
      </w:r>
      <w:r w:rsidR="002B37A5">
        <w:rPr>
          <w:sz w:val="22"/>
          <w:szCs w:val="22"/>
        </w:rPr>
        <w:t xml:space="preserve">was </w:t>
      </w:r>
      <w:r w:rsidR="00E40D86">
        <w:rPr>
          <w:sz w:val="22"/>
          <w:szCs w:val="22"/>
        </w:rPr>
        <w:t xml:space="preserve">associated with </w:t>
      </w:r>
      <w:r w:rsidR="002D0776">
        <w:rPr>
          <w:sz w:val="22"/>
          <w:szCs w:val="22"/>
        </w:rPr>
        <w:t>full service</w:t>
      </w:r>
      <w:r w:rsidR="002023FD">
        <w:rPr>
          <w:sz w:val="22"/>
          <w:szCs w:val="22"/>
        </w:rPr>
        <w:t xml:space="preserve"> </w:t>
      </w:r>
      <w:r w:rsidR="00E40D86">
        <w:rPr>
          <w:sz w:val="22"/>
          <w:szCs w:val="22"/>
        </w:rPr>
        <w:t>comparative hearing</w:t>
      </w:r>
      <w:r w:rsidR="00EE1DC8">
        <w:rPr>
          <w:sz w:val="22"/>
          <w:szCs w:val="22"/>
        </w:rPr>
        <w:t xml:space="preserve"> </w:t>
      </w:r>
      <w:r w:rsidR="00E40D86" w:rsidRPr="003E4F35">
        <w:rPr>
          <w:sz w:val="22"/>
          <w:szCs w:val="22"/>
        </w:rPr>
        <w:t>procedures that ended in the 1990’s</w:t>
      </w:r>
      <w:r w:rsidR="00987B1D" w:rsidRPr="003E4F35">
        <w:rPr>
          <w:sz w:val="22"/>
          <w:szCs w:val="22"/>
        </w:rPr>
        <w:t xml:space="preserve"> prior to creation of the LPFM service</w:t>
      </w:r>
      <w:r w:rsidR="009D2F19" w:rsidRPr="003E4F35">
        <w:rPr>
          <w:sz w:val="22"/>
          <w:szCs w:val="22"/>
        </w:rPr>
        <w:t>.</w:t>
      </w:r>
      <w:r w:rsidR="006C2E67" w:rsidRPr="003E4F35">
        <w:rPr>
          <w:rStyle w:val="FootnoteReference"/>
          <w:szCs w:val="22"/>
        </w:rPr>
        <w:footnoteReference w:id="28"/>
      </w:r>
      <w:r w:rsidR="00E7638A" w:rsidRPr="003E4F35">
        <w:rPr>
          <w:sz w:val="22"/>
          <w:szCs w:val="22"/>
        </w:rPr>
        <w:t xml:space="preserve">  </w:t>
      </w:r>
      <w:r w:rsidR="007D7F26" w:rsidRPr="003E4F35">
        <w:rPr>
          <w:sz w:val="22"/>
          <w:szCs w:val="22"/>
        </w:rPr>
        <w:t>Accordingly, dismissal of the Applications was consistent with current LPFM policy.</w:t>
      </w:r>
      <w:r w:rsidR="00E07AB9" w:rsidRPr="003E4F35">
        <w:rPr>
          <w:rStyle w:val="FootnoteReference"/>
          <w:szCs w:val="22"/>
        </w:rPr>
        <w:footnoteReference w:id="29"/>
      </w:r>
    </w:p>
    <w:p w14:paraId="1358AC09" w14:textId="77777777" w:rsidR="005018DE" w:rsidRDefault="005018DE">
      <w:pPr>
        <w:tabs>
          <w:tab w:val="left" w:pos="0"/>
        </w:tabs>
        <w:suppressAutoHyphens/>
        <w:outlineLvl w:val="0"/>
        <w:rPr>
          <w:i/>
          <w:sz w:val="22"/>
          <w:szCs w:val="22"/>
        </w:rPr>
      </w:pPr>
    </w:p>
    <w:p w14:paraId="4BCC8047" w14:textId="77777777" w:rsidR="00517823" w:rsidRPr="00AA7EF9" w:rsidRDefault="005018DE" w:rsidP="0024678D">
      <w:pPr>
        <w:tabs>
          <w:tab w:val="left" w:pos="-720"/>
        </w:tabs>
        <w:suppressAutoHyphens/>
        <w:rPr>
          <w:sz w:val="22"/>
          <w:szCs w:val="22"/>
        </w:rPr>
      </w:pPr>
      <w:r>
        <w:rPr>
          <w:i/>
          <w:sz w:val="22"/>
          <w:szCs w:val="22"/>
        </w:rPr>
        <w:tab/>
      </w:r>
      <w:r w:rsidR="00CC577E">
        <w:rPr>
          <w:sz w:val="22"/>
          <w:szCs w:val="22"/>
        </w:rPr>
        <w:t>W</w:t>
      </w:r>
      <w:r w:rsidR="001873D5">
        <w:rPr>
          <w:sz w:val="22"/>
          <w:szCs w:val="22"/>
        </w:rPr>
        <w:t xml:space="preserve">e </w:t>
      </w:r>
      <w:r w:rsidR="00CC577E">
        <w:rPr>
          <w:sz w:val="22"/>
          <w:szCs w:val="22"/>
        </w:rPr>
        <w:t xml:space="preserve">further </w:t>
      </w:r>
      <w:r w:rsidR="001873D5">
        <w:rPr>
          <w:sz w:val="22"/>
          <w:szCs w:val="22"/>
        </w:rPr>
        <w:t xml:space="preserve">reject the </w:t>
      </w:r>
      <w:r w:rsidR="00383587" w:rsidRPr="00695551">
        <w:rPr>
          <w:sz w:val="22"/>
          <w:szCs w:val="22"/>
        </w:rPr>
        <w:t>Applicants</w:t>
      </w:r>
      <w:r w:rsidR="001873D5">
        <w:rPr>
          <w:sz w:val="22"/>
          <w:szCs w:val="22"/>
        </w:rPr>
        <w:t>’</w:t>
      </w:r>
      <w:r w:rsidR="00383587" w:rsidRPr="00695551">
        <w:rPr>
          <w:sz w:val="22"/>
          <w:szCs w:val="22"/>
        </w:rPr>
        <w:t xml:space="preserve"> claim that</w:t>
      </w:r>
      <w:r w:rsidR="00CC577E">
        <w:rPr>
          <w:sz w:val="22"/>
          <w:szCs w:val="22"/>
        </w:rPr>
        <w:t xml:space="preserve"> </w:t>
      </w:r>
      <w:r w:rsidR="002678BC">
        <w:rPr>
          <w:sz w:val="22"/>
          <w:szCs w:val="22"/>
        </w:rPr>
        <w:t>we must reinstate the</w:t>
      </w:r>
      <w:r w:rsidR="008062A4">
        <w:rPr>
          <w:sz w:val="22"/>
          <w:szCs w:val="22"/>
        </w:rPr>
        <w:t>ir</w:t>
      </w:r>
      <w:r w:rsidR="002678BC">
        <w:rPr>
          <w:sz w:val="22"/>
          <w:szCs w:val="22"/>
        </w:rPr>
        <w:t xml:space="preserve"> Applications </w:t>
      </w:r>
      <w:r w:rsidR="002678BC">
        <w:rPr>
          <w:i/>
          <w:sz w:val="22"/>
          <w:szCs w:val="22"/>
        </w:rPr>
        <w:t xml:space="preserve">nunc pro tunc </w:t>
      </w:r>
      <w:r w:rsidR="00F30950">
        <w:rPr>
          <w:sz w:val="22"/>
          <w:szCs w:val="22"/>
        </w:rPr>
        <w:t xml:space="preserve">in view of </w:t>
      </w:r>
      <w:r w:rsidR="002678BC">
        <w:rPr>
          <w:sz w:val="22"/>
          <w:szCs w:val="22"/>
        </w:rPr>
        <w:t xml:space="preserve">further amendments </w:t>
      </w:r>
      <w:r w:rsidR="00F30950">
        <w:rPr>
          <w:sz w:val="22"/>
          <w:szCs w:val="22"/>
        </w:rPr>
        <w:t xml:space="preserve">filed </w:t>
      </w:r>
      <w:r w:rsidR="002038D0">
        <w:rPr>
          <w:sz w:val="22"/>
          <w:szCs w:val="22"/>
        </w:rPr>
        <w:t>in June 2014</w:t>
      </w:r>
      <w:r w:rsidR="008062A4">
        <w:rPr>
          <w:sz w:val="22"/>
          <w:szCs w:val="22"/>
        </w:rPr>
        <w:t>,</w:t>
      </w:r>
      <w:r w:rsidR="002678BC">
        <w:rPr>
          <w:sz w:val="22"/>
          <w:szCs w:val="22"/>
        </w:rPr>
        <w:t xml:space="preserve"> </w:t>
      </w:r>
      <w:r w:rsidR="008062A4">
        <w:rPr>
          <w:sz w:val="22"/>
          <w:szCs w:val="22"/>
        </w:rPr>
        <w:t>allegedly</w:t>
      </w:r>
      <w:r w:rsidR="00F30950">
        <w:rPr>
          <w:sz w:val="22"/>
          <w:szCs w:val="22"/>
        </w:rPr>
        <w:t xml:space="preserve"> </w:t>
      </w:r>
      <w:r w:rsidR="002678BC">
        <w:rPr>
          <w:sz w:val="22"/>
          <w:szCs w:val="22"/>
        </w:rPr>
        <w:t xml:space="preserve">“curing” the </w:t>
      </w:r>
      <w:r w:rsidR="006B25B2">
        <w:rPr>
          <w:sz w:val="22"/>
          <w:szCs w:val="22"/>
        </w:rPr>
        <w:t xml:space="preserve">ownership </w:t>
      </w:r>
      <w:r w:rsidR="002678BC">
        <w:rPr>
          <w:sz w:val="22"/>
          <w:szCs w:val="22"/>
        </w:rPr>
        <w:t>defect</w:t>
      </w:r>
      <w:r w:rsidR="008062A4">
        <w:rPr>
          <w:sz w:val="22"/>
          <w:szCs w:val="22"/>
        </w:rPr>
        <w:t>s</w:t>
      </w:r>
      <w:r w:rsidR="00A27AFA">
        <w:rPr>
          <w:sz w:val="22"/>
          <w:szCs w:val="22"/>
        </w:rPr>
        <w:t>.</w:t>
      </w:r>
      <w:r w:rsidR="005C18FA">
        <w:rPr>
          <w:rStyle w:val="FootnoteReference"/>
          <w:szCs w:val="22"/>
        </w:rPr>
        <w:footnoteReference w:id="30"/>
      </w:r>
      <w:r w:rsidR="00A27AFA">
        <w:rPr>
          <w:sz w:val="22"/>
          <w:szCs w:val="22"/>
        </w:rPr>
        <w:t xml:space="preserve">  The Applicants claim that such</w:t>
      </w:r>
      <w:r w:rsidR="005F1493">
        <w:rPr>
          <w:sz w:val="22"/>
          <w:szCs w:val="22"/>
        </w:rPr>
        <w:t xml:space="preserve"> amendments </w:t>
      </w:r>
      <w:r w:rsidR="00A27AFA">
        <w:rPr>
          <w:sz w:val="22"/>
          <w:szCs w:val="22"/>
        </w:rPr>
        <w:t xml:space="preserve">show that </w:t>
      </w:r>
      <w:r w:rsidR="003B1472">
        <w:rPr>
          <w:sz w:val="22"/>
          <w:szCs w:val="22"/>
        </w:rPr>
        <w:t>“the applications are being prosecuted by p</w:t>
      </w:r>
      <w:r w:rsidR="00DF105E">
        <w:rPr>
          <w:sz w:val="22"/>
          <w:szCs w:val="22"/>
        </w:rPr>
        <w:t>ersons</w:t>
      </w:r>
      <w:r w:rsidR="003B1472">
        <w:rPr>
          <w:sz w:val="22"/>
          <w:szCs w:val="22"/>
        </w:rPr>
        <w:t xml:space="preserve"> who were orig</w:t>
      </w:r>
      <w:r w:rsidR="00A012A2">
        <w:rPr>
          <w:sz w:val="22"/>
          <w:szCs w:val="22"/>
        </w:rPr>
        <w:t>inal parties to the application.</w:t>
      </w:r>
      <w:r w:rsidR="003B1472">
        <w:rPr>
          <w:sz w:val="22"/>
          <w:szCs w:val="22"/>
        </w:rPr>
        <w:t>”</w:t>
      </w:r>
      <w:r w:rsidR="003B1472" w:rsidRPr="00695551">
        <w:rPr>
          <w:sz w:val="22"/>
          <w:szCs w:val="22"/>
          <w:vertAlign w:val="superscript"/>
        </w:rPr>
        <w:footnoteReference w:id="31"/>
      </w:r>
      <w:r w:rsidR="002038D0">
        <w:rPr>
          <w:sz w:val="22"/>
          <w:szCs w:val="22"/>
        </w:rPr>
        <w:t xml:space="preserve"> </w:t>
      </w:r>
      <w:r w:rsidR="002318D7">
        <w:rPr>
          <w:sz w:val="22"/>
          <w:szCs w:val="22"/>
        </w:rPr>
        <w:t xml:space="preserve"> </w:t>
      </w:r>
      <w:r w:rsidR="001873D5" w:rsidRPr="002318D7">
        <w:rPr>
          <w:sz w:val="22"/>
          <w:szCs w:val="22"/>
        </w:rPr>
        <w:t xml:space="preserve">The Commission </w:t>
      </w:r>
      <w:r w:rsidR="00FC2529">
        <w:rPr>
          <w:sz w:val="22"/>
          <w:szCs w:val="22"/>
        </w:rPr>
        <w:t xml:space="preserve">generally </w:t>
      </w:r>
      <w:r w:rsidR="001873D5" w:rsidRPr="002318D7">
        <w:rPr>
          <w:sz w:val="22"/>
          <w:szCs w:val="22"/>
        </w:rPr>
        <w:t>allows timely curative amendments except where such a cure is precluded by a specific rule or by clearly established policy.</w:t>
      </w:r>
      <w:r w:rsidR="008A040A" w:rsidRPr="008A040A">
        <w:rPr>
          <w:rStyle w:val="FootnoteReference"/>
          <w:szCs w:val="22"/>
        </w:rPr>
        <w:t xml:space="preserve"> </w:t>
      </w:r>
      <w:r w:rsidR="008A040A">
        <w:rPr>
          <w:rStyle w:val="FootnoteReference"/>
          <w:szCs w:val="22"/>
        </w:rPr>
        <w:footnoteReference w:id="32"/>
      </w:r>
      <w:r w:rsidR="008A040A">
        <w:rPr>
          <w:sz w:val="22"/>
          <w:szCs w:val="22"/>
        </w:rPr>
        <w:t xml:space="preserve"> </w:t>
      </w:r>
      <w:r w:rsidR="008A040A">
        <w:rPr>
          <w:szCs w:val="22"/>
        </w:rPr>
        <w:t xml:space="preserve"> </w:t>
      </w:r>
      <w:r w:rsidR="00EE46E5">
        <w:rPr>
          <w:sz w:val="22"/>
          <w:szCs w:val="22"/>
        </w:rPr>
        <w:t xml:space="preserve">Section 73.871(a) </w:t>
      </w:r>
      <w:r w:rsidR="007454DB">
        <w:rPr>
          <w:sz w:val="22"/>
          <w:szCs w:val="22"/>
        </w:rPr>
        <w:t>establishes that only “minor”</w:t>
      </w:r>
      <w:r w:rsidR="00EE46E5">
        <w:rPr>
          <w:sz w:val="22"/>
          <w:szCs w:val="22"/>
        </w:rPr>
        <w:t xml:space="preserve"> amendments </w:t>
      </w:r>
      <w:r w:rsidR="007454DB">
        <w:rPr>
          <w:sz w:val="22"/>
          <w:szCs w:val="22"/>
        </w:rPr>
        <w:t xml:space="preserve">may be filed </w:t>
      </w:r>
      <w:r w:rsidR="00EE46E5">
        <w:rPr>
          <w:sz w:val="22"/>
          <w:szCs w:val="22"/>
        </w:rPr>
        <w:t>outside of LPFM filing windows</w:t>
      </w:r>
      <w:r w:rsidR="00517823">
        <w:rPr>
          <w:sz w:val="22"/>
          <w:szCs w:val="22"/>
        </w:rPr>
        <w:t>.</w:t>
      </w:r>
      <w:r w:rsidR="00517823">
        <w:rPr>
          <w:rStyle w:val="FootnoteReference"/>
          <w:szCs w:val="22"/>
        </w:rPr>
        <w:footnoteReference w:id="33"/>
      </w:r>
      <w:r w:rsidR="00D571F0">
        <w:rPr>
          <w:sz w:val="22"/>
          <w:szCs w:val="22"/>
        </w:rPr>
        <w:t xml:space="preserve">  The </w:t>
      </w:r>
      <w:r w:rsidR="00856512">
        <w:rPr>
          <w:sz w:val="22"/>
          <w:szCs w:val="22"/>
        </w:rPr>
        <w:t xml:space="preserve">Applicants’ </w:t>
      </w:r>
      <w:r w:rsidR="00DD4EA7">
        <w:rPr>
          <w:sz w:val="22"/>
          <w:szCs w:val="22"/>
        </w:rPr>
        <w:t>major</w:t>
      </w:r>
      <w:r w:rsidR="008B005E">
        <w:rPr>
          <w:sz w:val="22"/>
          <w:szCs w:val="22"/>
        </w:rPr>
        <w:t xml:space="preserve"> </w:t>
      </w:r>
      <w:r w:rsidR="00D571F0">
        <w:rPr>
          <w:sz w:val="22"/>
          <w:szCs w:val="22"/>
        </w:rPr>
        <w:t>amendments</w:t>
      </w:r>
      <w:r w:rsidR="008D3643">
        <w:rPr>
          <w:sz w:val="22"/>
          <w:szCs w:val="22"/>
        </w:rPr>
        <w:t>, filed</w:t>
      </w:r>
      <w:r w:rsidR="00DD4EA7">
        <w:rPr>
          <w:sz w:val="22"/>
          <w:szCs w:val="22"/>
        </w:rPr>
        <w:t xml:space="preserve"> </w:t>
      </w:r>
      <w:r w:rsidR="00570056">
        <w:rPr>
          <w:sz w:val="22"/>
          <w:szCs w:val="22"/>
        </w:rPr>
        <w:t>outside of a</w:t>
      </w:r>
      <w:r w:rsidR="008D3643">
        <w:rPr>
          <w:sz w:val="22"/>
          <w:szCs w:val="22"/>
        </w:rPr>
        <w:t>ny</w:t>
      </w:r>
      <w:r w:rsidR="00D571F0">
        <w:rPr>
          <w:sz w:val="22"/>
          <w:szCs w:val="22"/>
        </w:rPr>
        <w:t xml:space="preserve"> filing window</w:t>
      </w:r>
      <w:r w:rsidR="008D3643">
        <w:rPr>
          <w:sz w:val="22"/>
          <w:szCs w:val="22"/>
        </w:rPr>
        <w:t xml:space="preserve">, are </w:t>
      </w:r>
      <w:r w:rsidR="00D743F5">
        <w:rPr>
          <w:sz w:val="22"/>
          <w:szCs w:val="22"/>
        </w:rPr>
        <w:t xml:space="preserve">thus </w:t>
      </w:r>
      <w:r w:rsidR="008D3643">
        <w:rPr>
          <w:sz w:val="22"/>
          <w:szCs w:val="22"/>
        </w:rPr>
        <w:t>unacceptable</w:t>
      </w:r>
      <w:r w:rsidR="00D571F0">
        <w:rPr>
          <w:sz w:val="22"/>
          <w:szCs w:val="22"/>
        </w:rPr>
        <w:t>.</w:t>
      </w:r>
      <w:r w:rsidR="00B10F90">
        <w:rPr>
          <w:rStyle w:val="FootnoteReference"/>
          <w:szCs w:val="22"/>
        </w:rPr>
        <w:footnoteReference w:id="34"/>
      </w:r>
      <w:r w:rsidR="00D571F0">
        <w:rPr>
          <w:sz w:val="22"/>
          <w:szCs w:val="22"/>
        </w:rPr>
        <w:t xml:space="preserve">  </w:t>
      </w:r>
      <w:r w:rsidR="00D743F5">
        <w:rPr>
          <w:sz w:val="22"/>
          <w:szCs w:val="22"/>
        </w:rPr>
        <w:t xml:space="preserve">The </w:t>
      </w:r>
      <w:r w:rsidR="00A93577">
        <w:rPr>
          <w:sz w:val="22"/>
          <w:szCs w:val="22"/>
        </w:rPr>
        <w:t xml:space="preserve">curative amendments in the </w:t>
      </w:r>
      <w:r w:rsidR="00D743F5">
        <w:rPr>
          <w:sz w:val="22"/>
          <w:szCs w:val="22"/>
        </w:rPr>
        <w:t xml:space="preserve">cases upon which the Applicants rely </w:t>
      </w:r>
      <w:r w:rsidR="00A93577">
        <w:rPr>
          <w:sz w:val="22"/>
          <w:szCs w:val="22"/>
        </w:rPr>
        <w:t xml:space="preserve">were </w:t>
      </w:r>
      <w:r w:rsidR="00D743F5">
        <w:rPr>
          <w:sz w:val="22"/>
          <w:szCs w:val="22"/>
        </w:rPr>
        <w:t xml:space="preserve">all </w:t>
      </w:r>
      <w:r w:rsidR="00A93577">
        <w:rPr>
          <w:sz w:val="22"/>
          <w:szCs w:val="22"/>
        </w:rPr>
        <w:t>m</w:t>
      </w:r>
      <w:r w:rsidR="00D743F5">
        <w:rPr>
          <w:sz w:val="22"/>
          <w:szCs w:val="22"/>
        </w:rPr>
        <w:t>inor amendments and</w:t>
      </w:r>
      <w:r w:rsidR="00A93577">
        <w:rPr>
          <w:sz w:val="22"/>
          <w:szCs w:val="22"/>
        </w:rPr>
        <w:t xml:space="preserve"> those cases are, thus, </w:t>
      </w:r>
      <w:r w:rsidR="00D743F5">
        <w:rPr>
          <w:sz w:val="22"/>
          <w:szCs w:val="22"/>
        </w:rPr>
        <w:t>inapposite.</w:t>
      </w:r>
      <w:r w:rsidR="00D743F5" w:rsidRPr="00EA5754">
        <w:rPr>
          <w:sz w:val="22"/>
          <w:szCs w:val="22"/>
          <w:vertAlign w:val="superscript"/>
        </w:rPr>
        <w:t xml:space="preserve"> </w:t>
      </w:r>
      <w:r w:rsidR="00D743F5" w:rsidRPr="00695551">
        <w:rPr>
          <w:sz w:val="22"/>
          <w:szCs w:val="22"/>
          <w:vertAlign w:val="superscript"/>
        </w:rPr>
        <w:footnoteReference w:id="35"/>
      </w:r>
      <w:r w:rsidR="00D743F5">
        <w:rPr>
          <w:sz w:val="22"/>
          <w:szCs w:val="22"/>
        </w:rPr>
        <w:t xml:space="preserve">  </w:t>
      </w:r>
      <w:r w:rsidR="00EE6C7A">
        <w:rPr>
          <w:sz w:val="22"/>
          <w:szCs w:val="22"/>
        </w:rPr>
        <w:t>Moreover, the major changes</w:t>
      </w:r>
      <w:r w:rsidR="0024678D">
        <w:rPr>
          <w:sz w:val="22"/>
          <w:szCs w:val="22"/>
        </w:rPr>
        <w:t xml:space="preserve"> that the</w:t>
      </w:r>
      <w:r w:rsidR="00EE6C7A">
        <w:rPr>
          <w:sz w:val="22"/>
          <w:szCs w:val="22"/>
        </w:rPr>
        <w:t xml:space="preserve"> Applicants seek to correct do not involve</w:t>
      </w:r>
      <w:r w:rsidR="0024678D">
        <w:rPr>
          <w:sz w:val="22"/>
          <w:szCs w:val="22"/>
        </w:rPr>
        <w:t xml:space="preserve"> </w:t>
      </w:r>
      <w:r w:rsidR="00EE6C7A">
        <w:rPr>
          <w:sz w:val="22"/>
          <w:szCs w:val="22"/>
        </w:rPr>
        <w:t xml:space="preserve">matters </w:t>
      </w:r>
      <w:r w:rsidR="0024678D">
        <w:rPr>
          <w:sz w:val="22"/>
          <w:szCs w:val="22"/>
        </w:rPr>
        <w:t>predicted or proposed to occur in the future</w:t>
      </w:r>
      <w:r w:rsidR="00FA0063">
        <w:rPr>
          <w:sz w:val="22"/>
          <w:szCs w:val="22"/>
        </w:rPr>
        <w:t xml:space="preserve"> if the application is granted</w:t>
      </w:r>
      <w:r w:rsidR="0024678D">
        <w:rPr>
          <w:sz w:val="22"/>
          <w:szCs w:val="22"/>
        </w:rPr>
        <w:t xml:space="preserve"> but</w:t>
      </w:r>
      <w:r w:rsidR="00EE6C7A">
        <w:rPr>
          <w:sz w:val="22"/>
          <w:szCs w:val="22"/>
        </w:rPr>
        <w:t>, rather,</w:t>
      </w:r>
      <w:r w:rsidR="0024678D">
        <w:rPr>
          <w:sz w:val="22"/>
          <w:szCs w:val="22"/>
        </w:rPr>
        <w:t xml:space="preserve"> </w:t>
      </w:r>
      <w:r w:rsidR="00EE6C7A">
        <w:rPr>
          <w:sz w:val="22"/>
          <w:szCs w:val="22"/>
        </w:rPr>
        <w:t xml:space="preserve">reflect a major change </w:t>
      </w:r>
      <w:r w:rsidR="008662F4">
        <w:rPr>
          <w:sz w:val="22"/>
          <w:szCs w:val="22"/>
        </w:rPr>
        <w:t xml:space="preserve">in control of FWHCC and Casa </w:t>
      </w:r>
      <w:r w:rsidR="00EE6C7A">
        <w:rPr>
          <w:sz w:val="22"/>
          <w:szCs w:val="22"/>
        </w:rPr>
        <w:t xml:space="preserve">that </w:t>
      </w:r>
      <w:r w:rsidR="0024678D">
        <w:rPr>
          <w:sz w:val="22"/>
          <w:szCs w:val="22"/>
        </w:rPr>
        <w:t>has already occurred</w:t>
      </w:r>
      <w:r w:rsidR="00951981">
        <w:rPr>
          <w:sz w:val="22"/>
          <w:szCs w:val="22"/>
        </w:rPr>
        <w:t xml:space="preserve"> and the further amendments that the Applicants tendered are</w:t>
      </w:r>
      <w:r w:rsidR="00150669">
        <w:rPr>
          <w:sz w:val="22"/>
          <w:szCs w:val="22"/>
        </w:rPr>
        <w:t>,</w:t>
      </w:r>
      <w:r w:rsidR="00951981">
        <w:rPr>
          <w:sz w:val="22"/>
          <w:szCs w:val="22"/>
        </w:rPr>
        <w:t xml:space="preserve"> thus</w:t>
      </w:r>
      <w:r w:rsidR="00150669">
        <w:rPr>
          <w:sz w:val="22"/>
          <w:szCs w:val="22"/>
        </w:rPr>
        <w:t>,</w:t>
      </w:r>
      <w:r w:rsidR="00951981">
        <w:rPr>
          <w:sz w:val="22"/>
          <w:szCs w:val="22"/>
        </w:rPr>
        <w:t xml:space="preserve"> additional major amendments</w:t>
      </w:r>
      <w:r w:rsidR="0056150C">
        <w:rPr>
          <w:sz w:val="22"/>
          <w:szCs w:val="22"/>
        </w:rPr>
        <w:t>.</w:t>
      </w:r>
      <w:r w:rsidR="00EE6C7A">
        <w:rPr>
          <w:rStyle w:val="FootnoteReference"/>
          <w:szCs w:val="22"/>
        </w:rPr>
        <w:footnoteReference w:id="36"/>
      </w:r>
    </w:p>
    <w:p w14:paraId="7F6207AB" w14:textId="77777777" w:rsidR="006C2E67" w:rsidRPr="001873D5" w:rsidRDefault="006C2E67" w:rsidP="00517823">
      <w:pPr>
        <w:tabs>
          <w:tab w:val="left" w:pos="0"/>
        </w:tabs>
        <w:suppressAutoHyphens/>
        <w:outlineLvl w:val="0"/>
        <w:rPr>
          <w:sz w:val="22"/>
          <w:szCs w:val="22"/>
        </w:rPr>
      </w:pPr>
    </w:p>
    <w:p w14:paraId="6ECD3031" w14:textId="77777777" w:rsidR="00E0408F" w:rsidRPr="001A10E0" w:rsidRDefault="00BC02CC" w:rsidP="004A3433">
      <w:pPr>
        <w:tabs>
          <w:tab w:val="left" w:pos="0"/>
        </w:tabs>
        <w:suppressAutoHyphens/>
        <w:outlineLvl w:val="0"/>
        <w:rPr>
          <w:snapToGrid/>
          <w:sz w:val="22"/>
          <w:szCs w:val="22"/>
        </w:rPr>
      </w:pPr>
      <w:r>
        <w:rPr>
          <w:sz w:val="22"/>
          <w:szCs w:val="22"/>
        </w:rPr>
        <w:tab/>
      </w:r>
      <w:r w:rsidR="00E0408F" w:rsidRPr="001A10E0">
        <w:rPr>
          <w:b/>
          <w:sz w:val="22"/>
          <w:szCs w:val="22"/>
        </w:rPr>
        <w:t>Conclusion/Action.</w:t>
      </w:r>
      <w:r w:rsidR="009A4037" w:rsidRPr="001A10E0">
        <w:rPr>
          <w:b/>
          <w:sz w:val="22"/>
          <w:szCs w:val="22"/>
        </w:rPr>
        <w:t xml:space="preserve">  </w:t>
      </w:r>
      <w:r w:rsidR="009A4037" w:rsidRPr="001A10E0">
        <w:rPr>
          <w:sz w:val="22"/>
          <w:szCs w:val="22"/>
        </w:rPr>
        <w:t xml:space="preserve">Accordingly, the Petition for Reconsideration filed </w:t>
      </w:r>
      <w:r>
        <w:rPr>
          <w:sz w:val="22"/>
          <w:szCs w:val="22"/>
        </w:rPr>
        <w:t xml:space="preserve">jointly </w:t>
      </w:r>
      <w:r w:rsidR="009A4037" w:rsidRPr="001A10E0">
        <w:rPr>
          <w:sz w:val="22"/>
          <w:szCs w:val="22"/>
        </w:rPr>
        <w:t>by</w:t>
      </w:r>
      <w:r w:rsidR="00480EA9">
        <w:rPr>
          <w:sz w:val="22"/>
          <w:szCs w:val="22"/>
        </w:rPr>
        <w:t xml:space="preserve"> Fort Worth Hispanic Community Church (File No. </w:t>
      </w:r>
      <w:r w:rsidR="00480EA9" w:rsidRPr="00887FF5">
        <w:rPr>
          <w:sz w:val="22"/>
          <w:szCs w:val="22"/>
          <w:lang w:val="es-ES"/>
        </w:rPr>
        <w:t>BNPL-20131112AFX)</w:t>
      </w:r>
      <w:r w:rsidR="002E249A" w:rsidRPr="00887FF5">
        <w:rPr>
          <w:snapToGrid/>
          <w:sz w:val="22"/>
          <w:szCs w:val="22"/>
          <w:lang w:val="es-ES"/>
        </w:rPr>
        <w:t xml:space="preserve"> and Casa Al Imigrante De Wichita Falls</w:t>
      </w:r>
      <w:r w:rsidR="00480EA9" w:rsidRPr="00887FF5">
        <w:rPr>
          <w:snapToGrid/>
          <w:sz w:val="22"/>
          <w:szCs w:val="22"/>
          <w:lang w:val="es-ES"/>
        </w:rPr>
        <w:t xml:space="preserve"> (File No. </w:t>
      </w:r>
      <w:r w:rsidR="00480EA9">
        <w:rPr>
          <w:snapToGrid/>
          <w:sz w:val="22"/>
          <w:szCs w:val="22"/>
        </w:rPr>
        <w:t>BNPL 20131112ATV)</w:t>
      </w:r>
      <w:r w:rsidR="002E249A" w:rsidRPr="001A10E0">
        <w:rPr>
          <w:snapToGrid/>
          <w:sz w:val="22"/>
          <w:szCs w:val="22"/>
        </w:rPr>
        <w:t xml:space="preserve"> on June 16, 2014,</w:t>
      </w:r>
      <w:r w:rsidR="002E249A" w:rsidRPr="001A10E0">
        <w:rPr>
          <w:sz w:val="22"/>
          <w:szCs w:val="22"/>
        </w:rPr>
        <w:t xml:space="preserve"> </w:t>
      </w:r>
      <w:r w:rsidR="00887FF5">
        <w:rPr>
          <w:sz w:val="22"/>
          <w:szCs w:val="22"/>
        </w:rPr>
        <w:t>IS</w:t>
      </w:r>
      <w:r w:rsidR="009A4037" w:rsidRPr="001A10E0">
        <w:rPr>
          <w:sz w:val="22"/>
          <w:szCs w:val="22"/>
        </w:rPr>
        <w:t xml:space="preserve"> D</w:t>
      </w:r>
      <w:r w:rsidR="00CC2BFE">
        <w:rPr>
          <w:sz w:val="22"/>
          <w:szCs w:val="22"/>
        </w:rPr>
        <w:t>ENI</w:t>
      </w:r>
      <w:r w:rsidR="002E249A" w:rsidRPr="001A10E0">
        <w:rPr>
          <w:sz w:val="22"/>
          <w:szCs w:val="22"/>
        </w:rPr>
        <w:t>ED</w:t>
      </w:r>
      <w:r w:rsidR="009A4037" w:rsidRPr="001A10E0">
        <w:rPr>
          <w:sz w:val="22"/>
          <w:szCs w:val="22"/>
        </w:rPr>
        <w:t>.</w:t>
      </w:r>
    </w:p>
    <w:p w14:paraId="50BEB86B" w14:textId="77777777" w:rsidR="00E0408F" w:rsidRPr="001A10E0" w:rsidRDefault="00E0408F">
      <w:pPr>
        <w:tabs>
          <w:tab w:val="left" w:pos="0"/>
        </w:tabs>
        <w:suppressAutoHyphens/>
        <w:outlineLvl w:val="0"/>
        <w:rPr>
          <w:sz w:val="22"/>
          <w:szCs w:val="22"/>
        </w:rPr>
      </w:pPr>
    </w:p>
    <w:p w14:paraId="3FB5BB03" w14:textId="77777777" w:rsidR="00E0408F" w:rsidRPr="001A10E0" w:rsidRDefault="00E0408F">
      <w:pPr>
        <w:tabs>
          <w:tab w:val="left" w:pos="0"/>
        </w:tabs>
        <w:suppressAutoHyphens/>
        <w:outlineLvl w:val="0"/>
        <w:rPr>
          <w:sz w:val="22"/>
          <w:szCs w:val="22"/>
        </w:rPr>
      </w:pPr>
    </w:p>
    <w:p w14:paraId="39D42946" w14:textId="77777777" w:rsidR="00E0408F" w:rsidRPr="001A10E0" w:rsidRDefault="00E0408F">
      <w:pPr>
        <w:tabs>
          <w:tab w:val="left" w:pos="0"/>
        </w:tabs>
        <w:suppressAutoHyphens/>
        <w:outlineLvl w:val="0"/>
        <w:rPr>
          <w:b/>
          <w:sz w:val="22"/>
          <w:szCs w:val="22"/>
        </w:rPr>
      </w:pPr>
      <w:r w:rsidRPr="001A10E0">
        <w:rPr>
          <w:b/>
          <w:sz w:val="22"/>
          <w:szCs w:val="22"/>
        </w:rPr>
        <w:tab/>
      </w:r>
      <w:r w:rsidRPr="001A10E0">
        <w:rPr>
          <w:b/>
          <w:sz w:val="22"/>
          <w:szCs w:val="22"/>
        </w:rPr>
        <w:tab/>
      </w:r>
      <w:r w:rsidRPr="001A10E0">
        <w:rPr>
          <w:b/>
          <w:sz w:val="22"/>
          <w:szCs w:val="22"/>
        </w:rPr>
        <w:tab/>
      </w:r>
      <w:r w:rsidRPr="001A10E0">
        <w:rPr>
          <w:b/>
          <w:sz w:val="22"/>
          <w:szCs w:val="22"/>
        </w:rPr>
        <w:tab/>
      </w:r>
      <w:r w:rsidRPr="001A10E0">
        <w:rPr>
          <w:b/>
          <w:sz w:val="22"/>
          <w:szCs w:val="22"/>
        </w:rPr>
        <w:tab/>
      </w:r>
      <w:r w:rsidRPr="001A10E0">
        <w:rPr>
          <w:b/>
          <w:sz w:val="22"/>
          <w:szCs w:val="22"/>
        </w:rPr>
        <w:tab/>
      </w:r>
      <w:r w:rsidRPr="001A10E0">
        <w:rPr>
          <w:b/>
          <w:sz w:val="22"/>
          <w:szCs w:val="22"/>
        </w:rPr>
        <w:tab/>
      </w:r>
      <w:r w:rsidRPr="001A10E0">
        <w:rPr>
          <w:sz w:val="22"/>
          <w:szCs w:val="22"/>
        </w:rPr>
        <w:t>Sincerely,</w:t>
      </w:r>
    </w:p>
    <w:p w14:paraId="1B402B56" w14:textId="77777777" w:rsidR="00E0408F" w:rsidRPr="001A10E0" w:rsidRDefault="00E0408F">
      <w:pPr>
        <w:pStyle w:val="BodyText"/>
        <w:rPr>
          <w:szCs w:val="22"/>
        </w:rPr>
      </w:pPr>
    </w:p>
    <w:p w14:paraId="07CB51F8" w14:textId="77777777" w:rsidR="00E0408F" w:rsidRPr="001A10E0" w:rsidRDefault="00E0408F">
      <w:pPr>
        <w:pStyle w:val="BodyText"/>
        <w:rPr>
          <w:szCs w:val="22"/>
        </w:rPr>
      </w:pPr>
    </w:p>
    <w:p w14:paraId="1E1454C3" w14:textId="77777777" w:rsidR="00E0408F" w:rsidRPr="001A10E0" w:rsidRDefault="00E0408F">
      <w:pPr>
        <w:pStyle w:val="BodyText"/>
        <w:rPr>
          <w:szCs w:val="22"/>
        </w:rPr>
      </w:pPr>
    </w:p>
    <w:p w14:paraId="0D048320" w14:textId="77777777" w:rsidR="00E0408F" w:rsidRPr="001A10E0" w:rsidRDefault="00E0408F">
      <w:pPr>
        <w:pStyle w:val="BodyText"/>
        <w:rPr>
          <w:szCs w:val="22"/>
        </w:rPr>
      </w:pPr>
    </w:p>
    <w:p w14:paraId="012724A4" w14:textId="77777777" w:rsidR="00E0408F" w:rsidRPr="001A10E0" w:rsidRDefault="00E0408F">
      <w:pPr>
        <w:pStyle w:val="BodyText"/>
        <w:rPr>
          <w:szCs w:val="22"/>
        </w:rPr>
      </w:pPr>
      <w:r w:rsidRPr="001A10E0">
        <w:rPr>
          <w:szCs w:val="22"/>
        </w:rPr>
        <w:tab/>
      </w:r>
      <w:r w:rsidRPr="001A10E0">
        <w:rPr>
          <w:szCs w:val="22"/>
        </w:rPr>
        <w:tab/>
      </w:r>
      <w:r w:rsidRPr="001A10E0">
        <w:rPr>
          <w:szCs w:val="22"/>
        </w:rPr>
        <w:tab/>
      </w:r>
      <w:r w:rsidRPr="001A10E0">
        <w:rPr>
          <w:szCs w:val="22"/>
        </w:rPr>
        <w:tab/>
      </w:r>
      <w:r w:rsidRPr="001A10E0">
        <w:rPr>
          <w:szCs w:val="22"/>
        </w:rPr>
        <w:tab/>
      </w:r>
      <w:r w:rsidRPr="001A10E0">
        <w:rPr>
          <w:szCs w:val="22"/>
        </w:rPr>
        <w:tab/>
      </w:r>
      <w:r w:rsidRPr="001A10E0">
        <w:rPr>
          <w:szCs w:val="22"/>
        </w:rPr>
        <w:tab/>
        <w:t>Peter H. Doyle</w:t>
      </w:r>
    </w:p>
    <w:p w14:paraId="55B55C07" w14:textId="77777777" w:rsidR="00E0408F" w:rsidRPr="001A10E0" w:rsidRDefault="00E0408F">
      <w:pPr>
        <w:rPr>
          <w:sz w:val="22"/>
          <w:szCs w:val="22"/>
        </w:rPr>
      </w:pP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t xml:space="preserve">Chief, Audio Division       </w:t>
      </w:r>
    </w:p>
    <w:p w14:paraId="29985814" w14:textId="77777777" w:rsidR="00E0408F" w:rsidRPr="00C567CE" w:rsidRDefault="00E0408F">
      <w:pPr>
        <w:rPr>
          <w:sz w:val="22"/>
          <w:szCs w:val="22"/>
          <w:lang w:val="es-ES"/>
        </w:rPr>
      </w:pP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1A10E0">
        <w:rPr>
          <w:sz w:val="22"/>
          <w:szCs w:val="22"/>
        </w:rPr>
        <w:tab/>
      </w:r>
      <w:r w:rsidRPr="00C567CE">
        <w:rPr>
          <w:sz w:val="22"/>
          <w:szCs w:val="22"/>
          <w:lang w:val="es-ES"/>
        </w:rPr>
        <w:t>Media Bureau</w:t>
      </w:r>
    </w:p>
    <w:p w14:paraId="5477CCE8" w14:textId="77777777" w:rsidR="00E0408F" w:rsidRPr="00C567CE" w:rsidRDefault="00E0408F">
      <w:pPr>
        <w:tabs>
          <w:tab w:val="left" w:pos="-720"/>
        </w:tabs>
        <w:suppressAutoHyphens/>
        <w:rPr>
          <w:sz w:val="22"/>
          <w:szCs w:val="22"/>
          <w:lang w:val="es-ES"/>
        </w:rPr>
      </w:pPr>
      <w:r w:rsidRPr="00C567CE">
        <w:rPr>
          <w:sz w:val="22"/>
          <w:szCs w:val="22"/>
          <w:lang w:val="es-ES"/>
        </w:rPr>
        <w:t xml:space="preserve"> </w:t>
      </w:r>
    </w:p>
    <w:p w14:paraId="12FCD1BA" w14:textId="77777777" w:rsidR="00E0408F" w:rsidRPr="00C567CE" w:rsidRDefault="00E0408F">
      <w:pPr>
        <w:tabs>
          <w:tab w:val="left" w:pos="-720"/>
        </w:tabs>
        <w:suppressAutoHyphens/>
        <w:rPr>
          <w:sz w:val="22"/>
          <w:szCs w:val="22"/>
          <w:lang w:val="es-ES"/>
        </w:rPr>
      </w:pPr>
    </w:p>
    <w:p w14:paraId="08068033" w14:textId="77777777" w:rsidR="00A02226" w:rsidRDefault="00852194" w:rsidP="00A02226">
      <w:pPr>
        <w:tabs>
          <w:tab w:val="left" w:pos="-720"/>
        </w:tabs>
        <w:suppressAutoHyphens/>
        <w:rPr>
          <w:sz w:val="22"/>
          <w:szCs w:val="22"/>
          <w:lang w:val="es-ES"/>
        </w:rPr>
      </w:pPr>
      <w:r>
        <w:rPr>
          <w:sz w:val="22"/>
          <w:szCs w:val="22"/>
          <w:lang w:val="es-ES"/>
        </w:rPr>
        <w:t>cc</w:t>
      </w:r>
      <w:r w:rsidR="00E0408F" w:rsidRPr="00C567CE">
        <w:rPr>
          <w:sz w:val="22"/>
          <w:szCs w:val="22"/>
          <w:lang w:val="es-ES"/>
        </w:rPr>
        <w:t xml:space="preserve">: </w:t>
      </w:r>
      <w:r>
        <w:rPr>
          <w:sz w:val="22"/>
          <w:szCs w:val="22"/>
          <w:lang w:val="es-ES"/>
        </w:rPr>
        <w:t>Antonio Cesar G</w:t>
      </w:r>
      <w:r w:rsidR="00A02226">
        <w:rPr>
          <w:sz w:val="22"/>
          <w:szCs w:val="22"/>
          <w:lang w:val="es-ES"/>
        </w:rPr>
        <w:t>uel</w:t>
      </w:r>
    </w:p>
    <w:sectPr w:rsidR="00A0222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45A67" w14:textId="77777777" w:rsidR="006F3DCE" w:rsidRDefault="006F3DCE">
      <w:r>
        <w:separator/>
      </w:r>
    </w:p>
  </w:endnote>
  <w:endnote w:type="continuationSeparator" w:id="0">
    <w:p w14:paraId="71BD40D7" w14:textId="77777777" w:rsidR="006F3DCE" w:rsidRDefault="006F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E0A5" w14:textId="77777777" w:rsidR="001873D5" w:rsidRDefault="0018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2EEA57" w14:textId="77777777" w:rsidR="001873D5" w:rsidRDefault="00187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7EAE" w14:textId="0578A2F4" w:rsidR="001873D5" w:rsidRDefault="001873D5">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57B5A">
      <w:rPr>
        <w:rStyle w:val="PageNumber"/>
        <w:noProof/>
        <w:sz w:val="22"/>
        <w:szCs w:val="22"/>
      </w:rPr>
      <w:t>2</w:t>
    </w:r>
    <w:r>
      <w:rPr>
        <w:rStyle w:val="PageNumber"/>
        <w:sz w:val="22"/>
        <w:szCs w:val="22"/>
      </w:rPr>
      <w:fldChar w:fldCharType="end"/>
    </w:r>
  </w:p>
  <w:p w14:paraId="5AD4C4F5" w14:textId="77777777" w:rsidR="001873D5" w:rsidRDefault="001873D5">
    <w:pPr>
      <w:spacing w:before="140" w:line="100" w:lineRule="exact"/>
      <w:rPr>
        <w:sz w:val="10"/>
      </w:rPr>
    </w:pPr>
  </w:p>
  <w:p w14:paraId="2F94CCA3" w14:textId="77777777" w:rsidR="001873D5" w:rsidRDefault="001873D5">
    <w:pPr>
      <w:suppressAutoHyphens/>
      <w:spacing w:line="227" w:lineRule="auto"/>
      <w:jc w:val="both"/>
    </w:pPr>
  </w:p>
  <w:p w14:paraId="7A7B56B0" w14:textId="77777777" w:rsidR="001873D5" w:rsidRDefault="001873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CD66" w14:textId="77777777" w:rsidR="002C2E62" w:rsidRDefault="002C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DED42" w14:textId="77777777" w:rsidR="006F3DCE" w:rsidRDefault="006F3DCE">
      <w:r>
        <w:separator/>
      </w:r>
    </w:p>
  </w:footnote>
  <w:footnote w:type="continuationSeparator" w:id="0">
    <w:p w14:paraId="5566C8B6" w14:textId="77777777" w:rsidR="006F3DCE" w:rsidRDefault="006F3DCE">
      <w:r>
        <w:continuationSeparator/>
      </w:r>
    </w:p>
  </w:footnote>
  <w:footnote w:id="1">
    <w:p w14:paraId="00AF746D" w14:textId="77777777" w:rsidR="001873D5" w:rsidRDefault="001873D5">
      <w:pPr>
        <w:pStyle w:val="FootnoteText"/>
      </w:pPr>
      <w:r>
        <w:rPr>
          <w:rStyle w:val="FootnoteReference"/>
        </w:rPr>
        <w:footnoteRef/>
      </w:r>
      <w:r>
        <w:t xml:space="preserve"> FWHCC and Casa Petition for Reconsideration (filed June 16, 2014) (Petition).  The Petition was originally filed jointly by eleven applica</w:t>
      </w:r>
      <w:r w:rsidR="00577903">
        <w:t>n</w:t>
      </w:r>
      <w:r>
        <w:t>ts</w:t>
      </w:r>
      <w:r w:rsidR="002437B7">
        <w:t>,</w:t>
      </w:r>
      <w:r>
        <w:t xml:space="preserve"> </w:t>
      </w:r>
      <w:r w:rsidR="00577903">
        <w:t>of which</w:t>
      </w:r>
      <w:r>
        <w:t xml:space="preserve"> only FWHCC and Casa remain.</w:t>
      </w:r>
    </w:p>
  </w:footnote>
  <w:footnote w:id="2">
    <w:p w14:paraId="66122A99" w14:textId="77777777" w:rsidR="001873D5" w:rsidRPr="00AA7EF9" w:rsidRDefault="001873D5">
      <w:pPr>
        <w:pStyle w:val="FootnoteText"/>
        <w:rPr>
          <w:lang w:val="es-ES"/>
        </w:rPr>
      </w:pPr>
      <w:r>
        <w:rPr>
          <w:rStyle w:val="FootnoteReference"/>
        </w:rPr>
        <w:footnoteRef/>
      </w:r>
      <w:r w:rsidRPr="00AA7EF9">
        <w:rPr>
          <w:lang w:val="es-ES"/>
        </w:rPr>
        <w:t xml:space="preserve"> </w:t>
      </w:r>
      <w:r w:rsidRPr="00AA7EF9">
        <w:rPr>
          <w:i/>
          <w:lang w:val="es-ES"/>
        </w:rPr>
        <w:t>Antonio Cesar Guel</w:t>
      </w:r>
      <w:r w:rsidRPr="00AA7EF9">
        <w:rPr>
          <w:lang w:val="es-ES"/>
        </w:rPr>
        <w:t>, Letter, 29 FCC</w:t>
      </w:r>
      <w:r w:rsidR="00346F36" w:rsidRPr="00AA7EF9">
        <w:rPr>
          <w:lang w:val="es-ES"/>
        </w:rPr>
        <w:t xml:space="preserve"> Rcd 5264 </w:t>
      </w:r>
      <w:r w:rsidRPr="00AA7EF9">
        <w:rPr>
          <w:lang w:val="es-ES"/>
        </w:rPr>
        <w:t>(MB 2014) (</w:t>
      </w:r>
      <w:r w:rsidRPr="00AA7EF9">
        <w:rPr>
          <w:i/>
          <w:lang w:val="es-ES"/>
        </w:rPr>
        <w:t>Decision</w:t>
      </w:r>
      <w:r w:rsidRPr="00AA7EF9">
        <w:rPr>
          <w:lang w:val="es-ES"/>
        </w:rPr>
        <w:t xml:space="preserve">).  </w:t>
      </w:r>
    </w:p>
  </w:footnote>
  <w:footnote w:id="3">
    <w:p w14:paraId="61F927D7" w14:textId="77777777" w:rsidR="001873D5" w:rsidRDefault="001873D5">
      <w:pPr>
        <w:pStyle w:val="FootnoteText"/>
      </w:pPr>
      <w:r w:rsidRPr="00AD2C29">
        <w:rPr>
          <w:rStyle w:val="FootnoteReference"/>
        </w:rPr>
        <w:footnoteRef/>
      </w:r>
      <w:r w:rsidRPr="00AD2C29">
        <w:t xml:space="preserve"> </w:t>
      </w:r>
      <w:r w:rsidR="00E96523">
        <w:t xml:space="preserve">FWHCC and Casa, respectively, sought to serve the communities of </w:t>
      </w:r>
      <w:r w:rsidR="00E96523" w:rsidRPr="008D1680">
        <w:t>Fort Worth and Wichita Falls</w:t>
      </w:r>
      <w:r w:rsidR="00E96523">
        <w:t>.</w:t>
      </w:r>
      <w:r w:rsidR="00CA7810">
        <w:t xml:space="preserve"> </w:t>
      </w:r>
      <w:r w:rsidR="00E96523">
        <w:t xml:space="preserve"> </w:t>
      </w:r>
      <w:r>
        <w:rPr>
          <w:i/>
        </w:rPr>
        <w:t xml:space="preserve">See </w:t>
      </w:r>
      <w:r w:rsidRPr="00AD2C29">
        <w:t>File No. BNPL-20131112AFX (filed Nov. 12, 2013)</w:t>
      </w:r>
      <w:r>
        <w:t xml:space="preserve"> </w:t>
      </w:r>
      <w:r w:rsidRPr="0007674E">
        <w:t>(</w:t>
      </w:r>
      <w:r>
        <w:t>FWHCC</w:t>
      </w:r>
      <w:r w:rsidRPr="0007674E">
        <w:t xml:space="preserve"> Application)</w:t>
      </w:r>
      <w:r>
        <w:t xml:space="preserve">; </w:t>
      </w:r>
      <w:r w:rsidRPr="00AD2C29">
        <w:t>File No. BNPL-20131114APH</w:t>
      </w:r>
      <w:r>
        <w:t xml:space="preserve"> (filed Nov. 14, 2013) </w:t>
      </w:r>
      <w:r w:rsidRPr="0007674E">
        <w:t>(Casa Application)</w:t>
      </w:r>
      <w:r>
        <w:t xml:space="preserve"> (collectively, Applications).  </w:t>
      </w:r>
    </w:p>
  </w:footnote>
  <w:footnote w:id="4">
    <w:p w14:paraId="2E7A5CDE" w14:textId="77777777" w:rsidR="001873D5" w:rsidRPr="0075139B" w:rsidRDefault="001873D5" w:rsidP="0059439F">
      <w:pPr>
        <w:pStyle w:val="FootnoteText"/>
      </w:pPr>
      <w:r w:rsidRPr="0075139B">
        <w:rPr>
          <w:rStyle w:val="FootnoteReference"/>
          <w:rFonts w:ascii="Times New Roman" w:hAnsi="Times New Roman"/>
        </w:rPr>
        <w:footnoteRef/>
      </w:r>
      <w:r w:rsidRPr="0075139B">
        <w:t xml:space="preserve"> </w:t>
      </w:r>
      <w:r>
        <w:rPr>
          <w:i/>
        </w:rPr>
        <w:t xml:space="preserve">See </w:t>
      </w:r>
      <w:r w:rsidRPr="0075139B">
        <w:t>Applications at Section VI, Preparer’s Certification.</w:t>
      </w:r>
      <w:r>
        <w:t xml:space="preserve">  </w:t>
      </w:r>
      <w:r w:rsidR="00DA6A2F">
        <w:t xml:space="preserve">Each applicant is a non-stock corporation whose control lies with its board of directors.  </w:t>
      </w:r>
      <w:r w:rsidR="00DA6A2F" w:rsidRPr="00345039">
        <w:t xml:space="preserve">Each of the Applications was a “singleton,” </w:t>
      </w:r>
      <w:r w:rsidR="00DA6A2F" w:rsidRPr="00345039">
        <w:rPr>
          <w:i/>
        </w:rPr>
        <w:t xml:space="preserve">i.e., </w:t>
      </w:r>
      <w:r w:rsidR="00DA6A2F" w:rsidRPr="00345039">
        <w:t xml:space="preserve">was not in technical conflict with any other application.  </w:t>
      </w:r>
    </w:p>
  </w:footnote>
  <w:footnote w:id="5">
    <w:p w14:paraId="27496A7F" w14:textId="77777777" w:rsidR="001873D5" w:rsidRPr="00750B46" w:rsidRDefault="001873D5" w:rsidP="00F56F8E">
      <w:pPr>
        <w:pStyle w:val="FootnoteText"/>
      </w:pPr>
      <w:r w:rsidRPr="00750B46">
        <w:rPr>
          <w:rStyle w:val="FootnoteReference"/>
          <w:rFonts w:ascii="Times New Roman" w:hAnsi="Times New Roman"/>
        </w:rPr>
        <w:footnoteRef/>
      </w:r>
      <w:r>
        <w:t xml:space="preserve"> </w:t>
      </w:r>
      <w:r w:rsidR="005172B5">
        <w:rPr>
          <w:i/>
        </w:rPr>
        <w:t>See</w:t>
      </w:r>
      <w:r w:rsidR="005172B5">
        <w:t xml:space="preserve"> </w:t>
      </w:r>
      <w:r>
        <w:t xml:space="preserve">Letter of Inquiry to </w:t>
      </w:r>
      <w:r w:rsidRPr="00750B46">
        <w:t>Guel from Peter H. Doyle, Chief, Audio Division, Media Bureau (</w:t>
      </w:r>
      <w:r>
        <w:t xml:space="preserve">MB </w:t>
      </w:r>
      <w:r w:rsidRPr="00750B46">
        <w:t>Feb. 21, 2014)</w:t>
      </w:r>
      <w:r>
        <w:t xml:space="preserve"> (LOI).</w:t>
      </w:r>
    </w:p>
  </w:footnote>
  <w:footnote w:id="6">
    <w:p w14:paraId="4687464E" w14:textId="77777777" w:rsidR="001873D5" w:rsidRPr="00077517" w:rsidRDefault="001873D5" w:rsidP="00F56F8E">
      <w:pPr>
        <w:pStyle w:val="FootnoteText"/>
      </w:pPr>
      <w:r w:rsidRPr="00750B46">
        <w:rPr>
          <w:rStyle w:val="FootnoteReference"/>
          <w:rFonts w:ascii="Times New Roman" w:hAnsi="Times New Roman"/>
        </w:rPr>
        <w:footnoteRef/>
      </w:r>
      <w:r>
        <w:t xml:space="preserve"> For example, </w:t>
      </w:r>
      <w:r w:rsidR="00045A74">
        <w:t xml:space="preserve">the </w:t>
      </w:r>
      <w:r>
        <w:t xml:space="preserve">staff determined </w:t>
      </w:r>
      <w:r w:rsidR="009E1EB0">
        <w:t xml:space="preserve">that </w:t>
      </w:r>
      <w:r w:rsidR="004F24C1">
        <w:t>many</w:t>
      </w:r>
      <w:r w:rsidR="006D22AF">
        <w:t xml:space="preserve"> </w:t>
      </w:r>
      <w:r w:rsidR="009E1EB0">
        <w:t xml:space="preserve">applicants listed </w:t>
      </w:r>
      <w:r w:rsidR="009E1EB0" w:rsidRPr="00750B46">
        <w:t>address</w:t>
      </w:r>
      <w:r w:rsidR="009E1EB0">
        <w:t xml:space="preserve">es with which they were </w:t>
      </w:r>
      <w:r>
        <w:t xml:space="preserve">not associated and </w:t>
      </w:r>
      <w:r w:rsidR="009E1EB0">
        <w:t xml:space="preserve">that </w:t>
      </w:r>
      <w:r>
        <w:t>distinct organization</w:t>
      </w:r>
      <w:r w:rsidRPr="00750B46">
        <w:t>s li</w:t>
      </w:r>
      <w:r>
        <w:t>sted the same telephone numbers</w:t>
      </w:r>
      <w:r w:rsidRPr="00750B46">
        <w:t xml:space="preserve">.  </w:t>
      </w:r>
      <w:r w:rsidRPr="00750B46">
        <w:rPr>
          <w:i/>
        </w:rPr>
        <w:t xml:space="preserve">See </w:t>
      </w:r>
      <w:r>
        <w:t>LOI at 2-3</w:t>
      </w:r>
      <w:r>
        <w:rPr>
          <w:i/>
        </w:rPr>
        <w:t>.</w:t>
      </w:r>
      <w:r>
        <w:t xml:space="preserve">  Casa’s mailing address, that of its main studio, and address listed for each of its original principals, 1402 N. Beverly Dr., Wichita Falls, was that of the Boys and Girls Clubs of Wichita Falls.  FWHCC’s mailing address, that of its main studio, and address listed for each of its original principals, 3755 South Freeway, Fort Worth, was that of Iglesia Pentecostes Cristo Vive.  The telephone number listed for FWHCC was that of Guel.</w:t>
      </w:r>
    </w:p>
  </w:footnote>
  <w:footnote w:id="7">
    <w:p w14:paraId="4EA0F2B4" w14:textId="77777777" w:rsidR="001873D5" w:rsidRPr="000B78E8" w:rsidRDefault="001873D5" w:rsidP="00851133">
      <w:pPr>
        <w:pStyle w:val="FootnoteText"/>
        <w:rPr>
          <w:i/>
        </w:rPr>
      </w:pPr>
      <w:r w:rsidRPr="00750B46">
        <w:rPr>
          <w:rStyle w:val="FootnoteReference"/>
          <w:rFonts w:ascii="Times New Roman" w:hAnsi="Times New Roman"/>
        </w:rPr>
        <w:footnoteRef/>
      </w:r>
      <w:r>
        <w:t xml:space="preserve"> LOI at 5</w:t>
      </w:r>
      <w:r w:rsidRPr="00750B46">
        <w:t>.</w:t>
      </w:r>
      <w:r w:rsidR="000B78E8">
        <w:t xml:space="preserve">  T</w:t>
      </w:r>
      <w:r w:rsidR="000B78E8" w:rsidRPr="000B78E8">
        <w:t xml:space="preserve">he </w:t>
      </w:r>
      <w:r w:rsidR="000B78E8">
        <w:t xml:space="preserve">information requested was also relevant to determining </w:t>
      </w:r>
      <w:r w:rsidR="004D7755">
        <w:t xml:space="preserve">the </w:t>
      </w:r>
      <w:r w:rsidR="000B78E8" w:rsidRPr="000B78E8">
        <w:t xml:space="preserve">validity of </w:t>
      </w:r>
      <w:r w:rsidR="000B78E8">
        <w:t>each applic</w:t>
      </w:r>
      <w:r w:rsidR="0031700B">
        <w:t>a</w:t>
      </w:r>
      <w:r w:rsidR="004D7755">
        <w:t xml:space="preserve">nt’s </w:t>
      </w:r>
      <w:r w:rsidR="000B78E8" w:rsidRPr="000B78E8">
        <w:t>certifications</w:t>
      </w:r>
      <w:r w:rsidR="000B78E8">
        <w:t xml:space="preserve">, and </w:t>
      </w:r>
      <w:r w:rsidR="004D7755">
        <w:t xml:space="preserve">its </w:t>
      </w:r>
      <w:r w:rsidR="000B78E8" w:rsidRPr="000B78E8">
        <w:t>compliance with LPFM ownership and application limits</w:t>
      </w:r>
      <w:r w:rsidR="000B78E8">
        <w:t xml:space="preserve">.  </w:t>
      </w:r>
      <w:r w:rsidR="000B78E8">
        <w:rPr>
          <w:i/>
        </w:rPr>
        <w:t>Id.</w:t>
      </w:r>
    </w:p>
  </w:footnote>
  <w:footnote w:id="8">
    <w:p w14:paraId="0F8BD177" w14:textId="77777777" w:rsidR="004A3433" w:rsidRDefault="004A3433" w:rsidP="004A3433">
      <w:pPr>
        <w:pStyle w:val="FootnoteText"/>
      </w:pPr>
      <w:r>
        <w:rPr>
          <w:rStyle w:val="FootnoteReference"/>
        </w:rPr>
        <w:footnoteRef/>
      </w:r>
      <w:r>
        <w:t xml:space="preserve"> LOI at 2-3.  The LOI requested</w:t>
      </w:r>
      <w:r w:rsidRPr="005D7F51">
        <w:t xml:space="preserve"> that the Applicants “</w:t>
      </w:r>
      <w:r>
        <w:t>p</w:t>
      </w:r>
      <w:r w:rsidR="005C630F">
        <w:t xml:space="preserve">rovide answers that address the … </w:t>
      </w:r>
      <w:r>
        <w:t>Applications as originally filed, even if the questions use the present tense rather than the past tense</w:t>
      </w:r>
      <w:r w:rsidR="00A15CC1">
        <w:t>.</w:t>
      </w:r>
      <w:r>
        <w:t xml:space="preserve">”  </w:t>
      </w:r>
      <w:r>
        <w:rPr>
          <w:i/>
        </w:rPr>
        <w:t xml:space="preserve">Id.  </w:t>
      </w:r>
      <w:r>
        <w:t xml:space="preserve">Applicants were, for example, to </w:t>
      </w:r>
      <w:r w:rsidR="008C2BBD">
        <w:t>“</w:t>
      </w:r>
      <w:r w:rsidRPr="005D7F51">
        <w:t>[p]rovide a signed and dated affidavit or sworn declaration from each board member listed in the Application (1) affirming his or her membership and positional interest in the Applicant, and (2) providing his or her identity, as shown in a copy of that board member’s driver’s license or other state-issued form of identification attached to such affidavit or declaration, and his or her current personal telephone number.</w:t>
      </w:r>
      <w:r>
        <w:t xml:space="preserve">”  LOI at 5.  The LOI further </w:t>
      </w:r>
      <w:r w:rsidRPr="004A3433">
        <w:t>stated that “failure to respond within the time period specified may result in the dismissal of the subject application for failure to respond to official correspondence pursuant to Section 73.3568 of the Rules.</w:t>
      </w:r>
      <w:r>
        <w:t xml:space="preserve">”  </w:t>
      </w:r>
      <w:r>
        <w:rPr>
          <w:i/>
        </w:rPr>
        <w:t>Id.</w:t>
      </w:r>
      <w:r>
        <w:t xml:space="preserve"> at 9.</w:t>
      </w:r>
      <w:r w:rsidR="0099390B">
        <w:t xml:space="preserve">  The Bureau could have dismissed the Applications on that basis as well because the Applicants never submitted information for the original </w:t>
      </w:r>
      <w:r w:rsidR="002437B7">
        <w:t>parties to the Applications</w:t>
      </w:r>
      <w:r w:rsidR="0099390B">
        <w:t>.</w:t>
      </w:r>
    </w:p>
  </w:footnote>
  <w:footnote w:id="9">
    <w:p w14:paraId="01EF6F31" w14:textId="77777777" w:rsidR="001873D5" w:rsidRDefault="001873D5" w:rsidP="00F660BF">
      <w:pPr>
        <w:pStyle w:val="FootnoteText"/>
      </w:pPr>
      <w:r>
        <w:rPr>
          <w:rStyle w:val="FootnoteReference"/>
        </w:rPr>
        <w:footnoteRef/>
      </w:r>
      <w:r>
        <w:t xml:space="preserve"> FWHCC and Casa Responses (filed Apr. 3, 2014) at Quest. 9(a).</w:t>
      </w:r>
    </w:p>
  </w:footnote>
  <w:footnote w:id="10">
    <w:p w14:paraId="59895DAD" w14:textId="77777777" w:rsidR="001873D5" w:rsidRDefault="001873D5">
      <w:pPr>
        <w:pStyle w:val="FootnoteText"/>
      </w:pPr>
      <w:r>
        <w:rPr>
          <w:rStyle w:val="FootnoteReference"/>
        </w:rPr>
        <w:footnoteRef/>
      </w:r>
      <w:r>
        <w:t xml:space="preserve"> </w:t>
      </w:r>
      <w:r w:rsidRPr="00D7477B">
        <w:rPr>
          <w:i/>
          <w:iCs/>
        </w:rPr>
        <w:t>See</w:t>
      </w:r>
      <w:r>
        <w:t> FWHCC Response at Quest.</w:t>
      </w:r>
      <w:r w:rsidRPr="00D7477B">
        <w:t xml:space="preserve"> 9(b).</w:t>
      </w:r>
      <w:r w:rsidR="00A15CC1">
        <w:t xml:space="preserve"> </w:t>
      </w:r>
      <w:r w:rsidR="002437B7">
        <w:t xml:space="preserve"> </w:t>
      </w:r>
      <w:r w:rsidR="00A15CC1">
        <w:t>The principals listed in the FWHCC Application and initial corporate filings</w:t>
      </w:r>
      <w:r w:rsidR="00A15CC1" w:rsidRPr="00034C97">
        <w:t xml:space="preserve"> </w:t>
      </w:r>
      <w:r w:rsidR="00A15CC1">
        <w:t>with the state were Zeus</w:t>
      </w:r>
      <w:r w:rsidR="00A15CC1" w:rsidRPr="00034C97">
        <w:t xml:space="preserve"> Alvarez, Pedro Fuentes, and Marisa Vasquez.  </w:t>
      </w:r>
      <w:r w:rsidR="00A15CC1">
        <w:t>FWHCC Application at Section II, Quest. 3.a</w:t>
      </w:r>
      <w:r w:rsidR="00163173">
        <w:t xml:space="preserve"> (as filed Nov. 12, 2013 and amended Jan. 20, 2014)</w:t>
      </w:r>
      <w:r w:rsidR="00A15CC1">
        <w:t>; FWHCC Certificate of Formation Nonprofit Corporation, Texas File No. 801856790, Article 3 (filed with Texas Sec</w:t>
      </w:r>
      <w:r w:rsidR="002437B7">
        <w:t>’</w:t>
      </w:r>
      <w:r w:rsidR="00A15CC1">
        <w:t xml:space="preserve">y of State, Nov. 26, 2013 and included with the FWHCC Application).  </w:t>
      </w:r>
      <w:r w:rsidR="00A15CC1" w:rsidRPr="00AA7EF9">
        <w:rPr>
          <w:lang w:val="es-ES"/>
        </w:rPr>
        <w:t>FWHCC’s revised principals were Carlos Alvarez, Arturo V</w:t>
      </w:r>
      <w:r w:rsidR="00CE73C8" w:rsidRPr="00AA7EF9">
        <w:rPr>
          <w:lang w:val="es-ES"/>
        </w:rPr>
        <w:t>elaz</w:t>
      </w:r>
      <w:r w:rsidR="00A15CC1" w:rsidRPr="00AA7EF9">
        <w:rPr>
          <w:lang w:val="es-ES"/>
        </w:rPr>
        <w:t xml:space="preserve">quez, and Paula Pfister Velazquez.  </w:t>
      </w:r>
      <w:r w:rsidR="00697DF7">
        <w:t>FWHCC Application at Section II, Quest. 3.a (as amended Mar. 11, 2014</w:t>
      </w:r>
      <w:r w:rsidR="00A15CC1">
        <w:t xml:space="preserve">).  </w:t>
      </w:r>
      <w:r w:rsidR="002437B7">
        <w:t>Zeus Alvarez</w:t>
      </w:r>
      <w:r w:rsidR="00F90770">
        <w:t xml:space="preserve"> certified to</w:t>
      </w:r>
      <w:r w:rsidR="005B3360">
        <w:t xml:space="preserve"> the truth of the statements in the original </w:t>
      </w:r>
      <w:r w:rsidR="00455024">
        <w:t>FWHCC</w:t>
      </w:r>
      <w:r w:rsidR="005B3360">
        <w:t xml:space="preserve"> Application</w:t>
      </w:r>
      <w:r w:rsidR="002437B7">
        <w:t xml:space="preserve"> and</w:t>
      </w:r>
      <w:r w:rsidR="00F90770">
        <w:t xml:space="preserve"> FWHCC’s January 2014 amendment</w:t>
      </w:r>
      <w:r w:rsidR="002437B7">
        <w:t xml:space="preserve">.  </w:t>
      </w:r>
      <w:r w:rsidR="00F90770">
        <w:t xml:space="preserve">Carlos Alvarez </w:t>
      </w:r>
      <w:r w:rsidR="002437B7">
        <w:t>certified FWHCC’s</w:t>
      </w:r>
      <w:r w:rsidR="00F90770">
        <w:t xml:space="preserve"> March 2014 amendment.</w:t>
      </w:r>
      <w:r w:rsidR="00733511">
        <w:t xml:space="preserve">  </w:t>
      </w:r>
    </w:p>
  </w:footnote>
  <w:footnote w:id="11">
    <w:p w14:paraId="05DB9C81" w14:textId="496AF2B8" w:rsidR="001873D5" w:rsidRDefault="001873D5" w:rsidP="00DE3C2B">
      <w:pPr>
        <w:pStyle w:val="FootnoteText"/>
      </w:pPr>
      <w:r>
        <w:rPr>
          <w:rStyle w:val="FootnoteReference"/>
        </w:rPr>
        <w:footnoteRef/>
      </w:r>
      <w:r>
        <w:t xml:space="preserve"> </w:t>
      </w:r>
      <w:r w:rsidRPr="00D7477B">
        <w:rPr>
          <w:i/>
          <w:iCs/>
        </w:rPr>
        <w:t>See</w:t>
      </w:r>
      <w:r>
        <w:t> Casa Response at Quest.</w:t>
      </w:r>
      <w:r w:rsidRPr="00D7477B">
        <w:t xml:space="preserve"> 9(b).</w:t>
      </w:r>
      <w:r w:rsidR="00557D8F">
        <w:t xml:space="preserve">  The principals listed in the </w:t>
      </w:r>
      <w:r w:rsidR="00557D8F" w:rsidRPr="00DC69CE">
        <w:t>Casa</w:t>
      </w:r>
      <w:r w:rsidR="00557D8F">
        <w:t xml:space="preserve"> App</w:t>
      </w:r>
      <w:r w:rsidR="006048D5">
        <w:t xml:space="preserve">lication and Casa’s initial </w:t>
      </w:r>
      <w:r w:rsidR="00557D8F">
        <w:t>corporate filings</w:t>
      </w:r>
      <w:r w:rsidR="00557D8F" w:rsidRPr="00034C97">
        <w:t xml:space="preserve"> </w:t>
      </w:r>
      <w:r w:rsidR="005B3360">
        <w:t xml:space="preserve">with the state </w:t>
      </w:r>
      <w:r w:rsidR="00557D8F">
        <w:t>were</w:t>
      </w:r>
      <w:r w:rsidR="00557D8F" w:rsidRPr="00DC69CE">
        <w:t xml:space="preserve"> Rosa Gonzales, Joe Gonzales, and Jose Gonzales</w:t>
      </w:r>
      <w:r w:rsidR="00557D8F">
        <w:t>.  Casa Application at Section II, Quest. 3.a.; Casa Certificate of Formation Nonprofit Corporation, Texas File No. 801875282, Article 3 (filed with Texas Sec</w:t>
      </w:r>
      <w:r w:rsidR="005C3FA3">
        <w:t>’</w:t>
      </w:r>
      <w:r w:rsidR="00557D8F">
        <w:t xml:space="preserve">y of State, Oct. 31, 2013 and included with the Casa Application).  </w:t>
      </w:r>
      <w:r w:rsidR="00557D8F" w:rsidRPr="00AA7EF9">
        <w:rPr>
          <w:lang w:val="es-ES"/>
        </w:rPr>
        <w:t xml:space="preserve">Casa’s amended principals were Delia Gonzales, Pilar Gonzales, and Nicolasa Coronado Torres.  </w:t>
      </w:r>
      <w:r w:rsidR="00557D8F">
        <w:t>Rosa Gonzales certified to the truth of the statements in the original Casa Application.  Delia Gonzales replaced her as certifying principal.  Casa Application</w:t>
      </w:r>
      <w:r w:rsidR="00557D8F">
        <w:rPr>
          <w:i/>
        </w:rPr>
        <w:t xml:space="preserve"> </w:t>
      </w:r>
      <w:r w:rsidR="00557D8F">
        <w:t xml:space="preserve">at Section IV.    </w:t>
      </w:r>
    </w:p>
  </w:footnote>
  <w:footnote w:id="12">
    <w:p w14:paraId="550FC57F" w14:textId="77777777" w:rsidR="001873D5" w:rsidRPr="00DF7982" w:rsidRDefault="001873D5" w:rsidP="008C21EA">
      <w:pPr>
        <w:pStyle w:val="FootnoteText"/>
      </w:pPr>
      <w:r w:rsidRPr="00750B46">
        <w:rPr>
          <w:rStyle w:val="FootnoteReference"/>
          <w:rFonts w:ascii="Times New Roman" w:hAnsi="Times New Roman"/>
        </w:rPr>
        <w:footnoteRef/>
      </w:r>
      <w:r>
        <w:rPr>
          <w:i/>
        </w:rPr>
        <w:t xml:space="preserve"> See </w:t>
      </w:r>
      <w:r>
        <w:t>47 CFR § 73.871(c)(3)</w:t>
      </w:r>
      <w:r w:rsidR="00531678">
        <w:t>.</w:t>
      </w:r>
      <w:r>
        <w:t xml:space="preserve"> </w:t>
      </w:r>
    </w:p>
  </w:footnote>
  <w:footnote w:id="13">
    <w:p w14:paraId="591881A9" w14:textId="77777777" w:rsidR="001873D5" w:rsidRPr="00DF7982" w:rsidRDefault="001873D5" w:rsidP="00F31044">
      <w:pPr>
        <w:pStyle w:val="FootnoteText"/>
      </w:pPr>
      <w:r w:rsidRPr="00750B46">
        <w:rPr>
          <w:rStyle w:val="FootnoteReference"/>
          <w:rFonts w:ascii="Times New Roman" w:hAnsi="Times New Roman"/>
        </w:rPr>
        <w:footnoteRef/>
      </w:r>
      <w:r w:rsidRPr="00750B46">
        <w:t xml:space="preserve"> </w:t>
      </w:r>
      <w:r w:rsidRPr="00750B46">
        <w:rPr>
          <w:i/>
        </w:rPr>
        <w:t>Decision</w:t>
      </w:r>
      <w:r w:rsidR="00783D60">
        <w:t>, 29 FCC Rcd at 5273</w:t>
      </w:r>
      <w:r w:rsidR="006D1F20">
        <w:t xml:space="preserve">.  </w:t>
      </w:r>
      <w:r w:rsidRPr="008D2B24">
        <w:t xml:space="preserve">The Bureau also noted an additional basis for dismissal, </w:t>
      </w:r>
      <w:r w:rsidRPr="008D2B24">
        <w:rPr>
          <w:i/>
        </w:rPr>
        <w:t xml:space="preserve">i.e., </w:t>
      </w:r>
      <w:r w:rsidRPr="008D2B24">
        <w:t xml:space="preserve">that </w:t>
      </w:r>
      <w:r>
        <w:t>FWHCC</w:t>
      </w:r>
      <w:r w:rsidRPr="008D2B24">
        <w:t xml:space="preserve"> and Casa did not have reasonable assurance of the availability of their proposed transmitter sites at the time o</w:t>
      </w:r>
      <w:r>
        <w:t xml:space="preserve">f application.   </w:t>
      </w:r>
      <w:r w:rsidR="00783D60">
        <w:rPr>
          <w:i/>
        </w:rPr>
        <w:t>Id</w:t>
      </w:r>
      <w:r w:rsidR="006E0D01">
        <w:rPr>
          <w:i/>
        </w:rPr>
        <w:t xml:space="preserve">. </w:t>
      </w:r>
      <w:r w:rsidRPr="00750B46">
        <w:t>at</w:t>
      </w:r>
      <w:r w:rsidR="00783D60">
        <w:t xml:space="preserve"> 5268-69 (FWHCC), 5271-72 (Casa)</w:t>
      </w:r>
      <w:r w:rsidR="00470C1E">
        <w:t xml:space="preserve">.  The </w:t>
      </w:r>
      <w:r w:rsidR="00795599">
        <w:t xml:space="preserve">Petition disputes </w:t>
      </w:r>
      <w:r w:rsidR="007A179A">
        <w:t>those</w:t>
      </w:r>
      <w:r w:rsidR="00124F4F">
        <w:t xml:space="preserve"> </w:t>
      </w:r>
      <w:r w:rsidR="0087218B">
        <w:t>finding</w:t>
      </w:r>
      <w:r w:rsidR="007A179A">
        <w:t>s</w:t>
      </w:r>
      <w:r w:rsidR="000943AF">
        <w:t xml:space="preserve">.  </w:t>
      </w:r>
      <w:r w:rsidR="0087218B">
        <w:rPr>
          <w:i/>
        </w:rPr>
        <w:t xml:space="preserve">See </w:t>
      </w:r>
      <w:r w:rsidR="0087218B">
        <w:t xml:space="preserve">Petition at 5-14, Attach. 1.  </w:t>
      </w:r>
      <w:r w:rsidR="005A5BAE">
        <w:t>We need not reach that matter given our affirmation of the dismissals based on major ownership changes.</w:t>
      </w:r>
      <w:r w:rsidR="005A5BAE" w:rsidRPr="0087218B">
        <w:t xml:space="preserve"> </w:t>
      </w:r>
      <w:r w:rsidR="005A5BAE">
        <w:t xml:space="preserve"> </w:t>
      </w:r>
    </w:p>
  </w:footnote>
  <w:footnote w:id="14">
    <w:p w14:paraId="1C331926" w14:textId="3B9941F7" w:rsidR="001873D5" w:rsidRPr="00F14FE4" w:rsidRDefault="001873D5">
      <w:pPr>
        <w:pStyle w:val="FootnoteText"/>
      </w:pPr>
      <w:r>
        <w:rPr>
          <w:rStyle w:val="FootnoteReference"/>
        </w:rPr>
        <w:footnoteRef/>
      </w:r>
      <w:r>
        <w:t xml:space="preserve"> </w:t>
      </w:r>
      <w:r w:rsidR="001A0D9F">
        <w:rPr>
          <w:i/>
        </w:rPr>
        <w:t xml:space="preserve">See </w:t>
      </w:r>
      <w:r w:rsidR="001A0D9F">
        <w:t xml:space="preserve">Petition at 16.  </w:t>
      </w:r>
      <w:r>
        <w:t xml:space="preserve">FWHCC’s further amendment reflects that </w:t>
      </w:r>
      <w:r w:rsidR="005200C2">
        <w:t>“</w:t>
      </w:r>
      <w:r>
        <w:t>Carlos</w:t>
      </w:r>
      <w:r w:rsidR="005200C2">
        <w:t xml:space="preserve"> (‘Zeus’)</w:t>
      </w:r>
      <w:r w:rsidR="00745453">
        <w:t xml:space="preserve"> </w:t>
      </w:r>
      <w:r w:rsidR="00B94317">
        <w:t>Alvarez,</w:t>
      </w:r>
      <w:r w:rsidR="00E161F7">
        <w:t>”</w:t>
      </w:r>
      <w:r w:rsidR="00B94317">
        <w:t xml:space="preserve"> </w:t>
      </w:r>
      <w:r w:rsidR="00765AFD">
        <w:t>who</w:t>
      </w:r>
      <w:r w:rsidR="00745453">
        <w:t xml:space="preserve"> it claims is an original party, </w:t>
      </w:r>
      <w:r w:rsidR="00B94317">
        <w:t xml:space="preserve">has become FWHCC’s </w:t>
      </w:r>
      <w:r>
        <w:t xml:space="preserve">sole director with 100% voting control.  </w:t>
      </w:r>
      <w:r w:rsidR="00313E42">
        <w:rPr>
          <w:i/>
        </w:rPr>
        <w:t xml:space="preserve">See </w:t>
      </w:r>
      <w:r w:rsidR="00313E42">
        <w:t xml:space="preserve">FWHCC Application at Section II, Quest. 3.a, Ex. 1 (as amended Jun. </w:t>
      </w:r>
      <w:r w:rsidR="00CB210B">
        <w:t>23</w:t>
      </w:r>
      <w:r w:rsidR="00313E42">
        <w:t xml:space="preserve">, 2014).  </w:t>
      </w:r>
      <w:r w:rsidR="000069D9">
        <w:t>As for Casa, its</w:t>
      </w:r>
      <w:r>
        <w:t xml:space="preserve"> further amendment states that “an original member of the organization now controls 100% of the voting rights.”  </w:t>
      </w:r>
      <w:r w:rsidR="00052049">
        <w:rPr>
          <w:i/>
        </w:rPr>
        <w:t xml:space="preserve">See </w:t>
      </w:r>
      <w:r w:rsidR="00E14A81">
        <w:t>Casa</w:t>
      </w:r>
      <w:r w:rsidR="00052049">
        <w:t xml:space="preserve"> Application at Ex. 1 (as amended Jun</w:t>
      </w:r>
      <w:r w:rsidR="000069D9">
        <w:t>e</w:t>
      </w:r>
      <w:r w:rsidR="00052049">
        <w:t xml:space="preserve"> </w:t>
      </w:r>
      <w:r w:rsidR="007B28DE">
        <w:t>23</w:t>
      </w:r>
      <w:r w:rsidR="00052049">
        <w:t xml:space="preserve">, 2014).  </w:t>
      </w:r>
      <w:r w:rsidR="00B94317">
        <w:t xml:space="preserve">Casa does not identify that member.  We note that Casa’s </w:t>
      </w:r>
      <w:r w:rsidR="00917114">
        <w:t xml:space="preserve">further </w:t>
      </w:r>
      <w:r>
        <w:t>amendment</w:t>
      </w:r>
      <w:r w:rsidR="008C2BBD">
        <w:t xml:space="preserve"> inconsistently discloses</w:t>
      </w:r>
      <w:r>
        <w:t xml:space="preserve"> that parties whose names did not appear on the original application, Delia Gonzales and Pilar Gonzales, each </w:t>
      </w:r>
      <w:r w:rsidR="00271609">
        <w:t>have</w:t>
      </w:r>
      <w:r>
        <w:t xml:space="preserve"> a 50% voting interest.</w:t>
      </w:r>
      <w:r w:rsidR="00F14FE4">
        <w:t xml:space="preserve">  </w:t>
      </w:r>
      <w:r w:rsidR="00F14FE4">
        <w:rPr>
          <w:i/>
        </w:rPr>
        <w:t xml:space="preserve">Id. </w:t>
      </w:r>
      <w:r w:rsidR="00F14FE4">
        <w:t>at Section II, Quest. 3.a.</w:t>
      </w:r>
    </w:p>
  </w:footnote>
  <w:footnote w:id="15">
    <w:p w14:paraId="6F5877BB" w14:textId="77777777" w:rsidR="001873D5" w:rsidRDefault="001873D5" w:rsidP="009A4037">
      <w:pPr>
        <w:pStyle w:val="FootnoteText"/>
      </w:pPr>
      <w:r>
        <w:rPr>
          <w:rStyle w:val="FootnoteReference"/>
        </w:rPr>
        <w:footnoteRef/>
      </w:r>
      <w:r>
        <w:t xml:space="preserve"> </w:t>
      </w:r>
      <w:r w:rsidR="00A65A91">
        <w:t xml:space="preserve">47 CFR § 1.106(c), (d).  </w:t>
      </w:r>
      <w:r>
        <w:rPr>
          <w:i/>
          <w:iCs/>
        </w:rPr>
        <w:t>See</w:t>
      </w:r>
      <w:r>
        <w:t xml:space="preserve"> </w:t>
      </w:r>
      <w:r>
        <w:rPr>
          <w:i/>
          <w:iCs/>
        </w:rPr>
        <w:t>WWIZ, Inc.</w:t>
      </w:r>
      <w:r w:rsidRPr="00EF17AC">
        <w:rPr>
          <w:iCs/>
        </w:rPr>
        <w:t>,</w:t>
      </w:r>
      <w:r>
        <w:t xml:space="preserve"> Memorandum Opinion and </w:t>
      </w:r>
      <w:r w:rsidR="008678E6">
        <w:t>Order, 37 FCC 685, 686, para. 2</w:t>
      </w:r>
      <w:r>
        <w:t xml:space="preserve"> (1964), </w:t>
      </w:r>
      <w:r>
        <w:rPr>
          <w:i/>
          <w:iCs/>
        </w:rPr>
        <w:t>aff'd sub nom. Lorain Journal Co. v. FCC</w:t>
      </w:r>
      <w:r>
        <w:t xml:space="preserve">, 351 F. 2d 824 (D.C. Cir. 1965), </w:t>
      </w:r>
      <w:r>
        <w:rPr>
          <w:i/>
          <w:iCs/>
        </w:rPr>
        <w:t>cert. denied</w:t>
      </w:r>
      <w:r>
        <w:t>, 387 U.S. 967 (1966).</w:t>
      </w:r>
    </w:p>
  </w:footnote>
  <w:footnote w:id="16">
    <w:p w14:paraId="2FF6323A" w14:textId="77777777" w:rsidR="005564DA" w:rsidRPr="005564DA" w:rsidRDefault="005564DA">
      <w:pPr>
        <w:pStyle w:val="FootnoteText"/>
      </w:pPr>
      <w:r>
        <w:rPr>
          <w:rStyle w:val="FootnoteReference"/>
        </w:rPr>
        <w:footnoteRef/>
      </w:r>
      <w:r>
        <w:t xml:space="preserve"> </w:t>
      </w:r>
      <w:r>
        <w:rPr>
          <w:i/>
        </w:rPr>
        <w:t xml:space="preserve">See </w:t>
      </w:r>
      <w:r w:rsidR="00F72298">
        <w:t>Petition at 14-15</w:t>
      </w:r>
      <w:r>
        <w:t>.</w:t>
      </w:r>
    </w:p>
  </w:footnote>
  <w:footnote w:id="17">
    <w:p w14:paraId="12F1A720" w14:textId="77777777" w:rsidR="000600AA" w:rsidRDefault="000600AA" w:rsidP="000600AA">
      <w:pPr>
        <w:pStyle w:val="FootnoteText"/>
      </w:pPr>
      <w:r>
        <w:rPr>
          <w:rStyle w:val="FootnoteReference"/>
        </w:rPr>
        <w:footnoteRef/>
      </w:r>
      <w:r>
        <w:t xml:space="preserve"> </w:t>
      </w:r>
      <w:r>
        <w:rPr>
          <w:i/>
        </w:rPr>
        <w:t>See</w:t>
      </w:r>
      <w:r w:rsidRPr="00750B46">
        <w:t xml:space="preserve"> </w:t>
      </w:r>
      <w:r w:rsidRPr="00750B46">
        <w:rPr>
          <w:i/>
        </w:rPr>
        <w:t>Fatima Response, Inc.</w:t>
      </w:r>
      <w:r w:rsidRPr="00750B46">
        <w:t xml:space="preserve">, Letter, 21 FCC Rcd 11711 (MB 2006), </w:t>
      </w:r>
      <w:r w:rsidRPr="00750B46">
        <w:rPr>
          <w:i/>
        </w:rPr>
        <w:t>recon. denied</w:t>
      </w:r>
      <w:r w:rsidRPr="00750B46">
        <w:t>, 22 FCC Rcd 8402 (MB 2007)</w:t>
      </w:r>
      <w:r>
        <w:t xml:space="preserve"> (</w:t>
      </w:r>
      <w:r>
        <w:rPr>
          <w:i/>
        </w:rPr>
        <w:t>Fatima</w:t>
      </w:r>
      <w:r>
        <w:t xml:space="preserve">). </w:t>
      </w:r>
    </w:p>
  </w:footnote>
  <w:footnote w:id="18">
    <w:p w14:paraId="5BA5381C" w14:textId="77777777" w:rsidR="00A66D6E" w:rsidRDefault="00A66D6E" w:rsidP="00A66D6E">
      <w:pPr>
        <w:pStyle w:val="FootnoteText"/>
      </w:pPr>
      <w:r>
        <w:rPr>
          <w:rStyle w:val="FootnoteReference"/>
        </w:rPr>
        <w:footnoteRef/>
      </w:r>
      <w:r w:rsidR="001E03F2">
        <w:t xml:space="preserve"> </w:t>
      </w:r>
      <w:r w:rsidR="00F72298">
        <w:rPr>
          <w:i/>
        </w:rPr>
        <w:t xml:space="preserve">See </w:t>
      </w:r>
      <w:r w:rsidR="00AF30F8">
        <w:t>Petition at 14-15; 47 CFR</w:t>
      </w:r>
      <w:r w:rsidR="00AF30F8">
        <w:rPr>
          <w:i/>
        </w:rPr>
        <w:t xml:space="preserve"> </w:t>
      </w:r>
      <w:r w:rsidR="00AF30F8">
        <w:t xml:space="preserve">§ 73.3573(b)(3).  </w:t>
      </w:r>
      <w:r w:rsidR="00A938A3">
        <w:t xml:space="preserve">Section 73.3573 provides that </w:t>
      </w:r>
      <w:r w:rsidR="001E03F2">
        <w:t xml:space="preserve">NCE </w:t>
      </w:r>
      <w:r>
        <w:t>applications on the reserved FM</w:t>
      </w:r>
      <w:r w:rsidR="004F48B7">
        <w:t xml:space="preserve"> band are renumbered following</w:t>
      </w:r>
      <w:r>
        <w:t xml:space="preserve"> major change</w:t>
      </w:r>
      <w:r w:rsidR="004F48B7">
        <w:t>s</w:t>
      </w:r>
      <w:r>
        <w:t xml:space="preserve">.  </w:t>
      </w:r>
      <w:r w:rsidR="007677E9">
        <w:t xml:space="preserve">For window-filed </w:t>
      </w:r>
      <w:r w:rsidR="002348C9">
        <w:t xml:space="preserve">NCE FM </w:t>
      </w:r>
      <w:r w:rsidR="007677E9">
        <w:t>applications, r</w:t>
      </w:r>
      <w:r w:rsidR="001E03F2">
        <w:t>enumbering</w:t>
      </w:r>
      <w:r w:rsidRPr="005E4372">
        <w:t xml:space="preserve"> </w:t>
      </w:r>
      <w:r w:rsidR="001E03F2">
        <w:t>results in</w:t>
      </w:r>
      <w:r w:rsidRPr="005E4372">
        <w:t xml:space="preserve"> </w:t>
      </w:r>
      <w:r w:rsidR="00A26B1D">
        <w:t xml:space="preserve">dismissal because </w:t>
      </w:r>
      <w:r w:rsidR="009F449C">
        <w:t>it re</w:t>
      </w:r>
      <w:r w:rsidR="00A26B1D">
        <w:t>flect</w:t>
      </w:r>
      <w:r w:rsidR="009F449C">
        <w:t>s</w:t>
      </w:r>
      <w:r w:rsidR="00A26B1D">
        <w:t xml:space="preserve"> a later filing date </w:t>
      </w:r>
      <w:r w:rsidR="009F449C">
        <w:t>outside of</w:t>
      </w:r>
      <w:r>
        <w:t xml:space="preserve"> the window</w:t>
      </w:r>
      <w:r w:rsidRPr="005E4372">
        <w:t>. </w:t>
      </w:r>
      <w:r>
        <w:t xml:space="preserve"> The Applicants correctly observe </w:t>
      </w:r>
      <w:r w:rsidR="00AF30F8">
        <w:t>that there is no corresponding renumbering</w:t>
      </w:r>
      <w:r>
        <w:t xml:space="preserve"> language for LPFM applications.  </w:t>
      </w:r>
      <w:r>
        <w:rPr>
          <w:i/>
        </w:rPr>
        <w:t xml:space="preserve">See </w:t>
      </w:r>
      <w:r>
        <w:t>Petition at 14-15.</w:t>
      </w:r>
    </w:p>
  </w:footnote>
  <w:footnote w:id="19">
    <w:p w14:paraId="6C6680EE" w14:textId="77777777" w:rsidR="001873D5" w:rsidRDefault="001873D5" w:rsidP="00911C99">
      <w:pPr>
        <w:pStyle w:val="FootnoteText"/>
      </w:pPr>
      <w:r>
        <w:rPr>
          <w:rStyle w:val="FootnoteReference"/>
        </w:rPr>
        <w:footnoteRef/>
      </w:r>
      <w:r>
        <w:t xml:space="preserve"> Petition at 15</w:t>
      </w:r>
      <w:r>
        <w:rPr>
          <w:i/>
        </w:rPr>
        <w:t xml:space="preserve">, </w:t>
      </w:r>
      <w:r w:rsidR="00C36123">
        <w:t>citing 47 CFR §</w:t>
      </w:r>
      <w:r>
        <w:t xml:space="preserve"> 73.871(d) (“Unauthorized or untimely amendments are subject to return by the FCC’s staff without consideration”).</w:t>
      </w:r>
    </w:p>
  </w:footnote>
  <w:footnote w:id="20">
    <w:p w14:paraId="336D26D8" w14:textId="77777777" w:rsidR="007339CE" w:rsidRPr="00552B96" w:rsidRDefault="007339CE" w:rsidP="007339CE">
      <w:pPr>
        <w:pStyle w:val="FootnoteText"/>
      </w:pPr>
      <w:r>
        <w:rPr>
          <w:rStyle w:val="FootnoteReference"/>
        </w:rPr>
        <w:footnoteRef/>
      </w:r>
      <w:r>
        <w:t xml:space="preserve"> </w:t>
      </w:r>
      <w:r>
        <w:rPr>
          <w:i/>
        </w:rPr>
        <w:t>See Golden Shores Broad., Inc.,</w:t>
      </w:r>
      <w:r>
        <w:t xml:space="preserve"> Memorandum Opinion and Order, 2 FCC Rcd 4743, 4744, para.</w:t>
      </w:r>
      <w:r w:rsidR="003F236C">
        <w:t xml:space="preserve"> </w:t>
      </w:r>
      <w:r>
        <w:t>8 (1987)</w:t>
      </w:r>
      <w:r w:rsidR="00B3529E">
        <w:t xml:space="preserve"> </w:t>
      </w:r>
      <w:r w:rsidR="0013750B">
        <w:t>(</w:t>
      </w:r>
      <w:r w:rsidR="0013750B">
        <w:rPr>
          <w:i/>
        </w:rPr>
        <w:t>Golden Shores</w:t>
      </w:r>
      <w:r w:rsidR="0013750B">
        <w:t>)</w:t>
      </w:r>
      <w:r>
        <w:t>.</w:t>
      </w:r>
    </w:p>
  </w:footnote>
  <w:footnote w:id="21">
    <w:p w14:paraId="7D77F406" w14:textId="77777777" w:rsidR="001873D5" w:rsidRPr="00870C7D" w:rsidRDefault="001873D5" w:rsidP="00552C86">
      <w:pPr>
        <w:pStyle w:val="FootnoteText"/>
      </w:pPr>
      <w:r>
        <w:rPr>
          <w:rStyle w:val="FootnoteReference"/>
        </w:rPr>
        <w:footnoteRef/>
      </w:r>
      <w:r>
        <w:t xml:space="preserve"> </w:t>
      </w:r>
      <w:r>
        <w:rPr>
          <w:i/>
        </w:rPr>
        <w:t xml:space="preserve">See </w:t>
      </w:r>
      <w:r>
        <w:t xml:space="preserve">47 CFR § 73.871(a), (c).  </w:t>
      </w:r>
      <w:r>
        <w:rPr>
          <w:i/>
        </w:rPr>
        <w:t xml:space="preserve">See, e.g., Cocoa Minority Educ. Media Ass’n, </w:t>
      </w:r>
      <w:r>
        <w:t xml:space="preserve">Memorandum Opinion and Order, 30 FCC Rcd 14889, 14890, </w:t>
      </w:r>
      <w:r w:rsidR="00BD6786">
        <w:t>para. 3, n.12 (2015) (</w:t>
      </w:r>
      <w:r w:rsidR="006428E6">
        <w:rPr>
          <w:i/>
        </w:rPr>
        <w:t>Cocoa</w:t>
      </w:r>
      <w:r w:rsidR="006428E6">
        <w:t>).</w:t>
      </w:r>
      <w:r>
        <w:t xml:space="preserve"> </w:t>
      </w:r>
    </w:p>
  </w:footnote>
  <w:footnote w:id="22">
    <w:p w14:paraId="7DD975EC" w14:textId="77777777" w:rsidR="001873D5" w:rsidRDefault="001873D5" w:rsidP="00552C86">
      <w:pPr>
        <w:pStyle w:val="FootnoteText"/>
      </w:pPr>
      <w:r>
        <w:rPr>
          <w:rStyle w:val="FootnoteReference"/>
        </w:rPr>
        <w:footnoteRef/>
      </w:r>
      <w:r w:rsidR="00536D7C">
        <w:t xml:space="preserve"> 47 CFR §</w:t>
      </w:r>
      <w:r w:rsidR="006E1ADF">
        <w:t xml:space="preserve"> 73.871(c)(3).</w:t>
      </w:r>
    </w:p>
  </w:footnote>
  <w:footnote w:id="23">
    <w:p w14:paraId="1A8DE6BB" w14:textId="0C233382" w:rsidR="001873D5" w:rsidRPr="003A10A1" w:rsidRDefault="001873D5" w:rsidP="008477CB">
      <w:pPr>
        <w:pStyle w:val="FootnoteText"/>
      </w:pPr>
      <w:r>
        <w:rPr>
          <w:rStyle w:val="FootnoteReference"/>
        </w:rPr>
        <w:footnoteRef/>
      </w:r>
      <w:r>
        <w:t xml:space="preserve"> </w:t>
      </w:r>
      <w:r w:rsidR="00E31F42">
        <w:rPr>
          <w:i/>
        </w:rPr>
        <w:t>Decision</w:t>
      </w:r>
      <w:r w:rsidR="003842CD">
        <w:t>, 29 FCC Rcd at</w:t>
      </w:r>
      <w:r w:rsidR="00B85452">
        <w:t xml:space="preserve"> 5267,</w:t>
      </w:r>
      <w:r>
        <w:t xml:space="preserve"> n.13.</w:t>
      </w:r>
      <w:r w:rsidR="00982E56">
        <w:t xml:space="preserve">  The </w:t>
      </w:r>
      <w:r w:rsidR="003E4F35">
        <w:t xml:space="preserve">Applicant’s </w:t>
      </w:r>
      <w:r w:rsidR="008E6DCF">
        <w:t xml:space="preserve">suggestion that </w:t>
      </w:r>
      <w:r w:rsidR="002B0480">
        <w:t xml:space="preserve">the </w:t>
      </w:r>
      <w:r w:rsidR="008E6DCF">
        <w:t>Bureau c</w:t>
      </w:r>
      <w:r w:rsidR="00BB23B9">
        <w:t xml:space="preserve">onfused NCE FM and LPFM requirements </w:t>
      </w:r>
      <w:r w:rsidR="008E6DCF">
        <w:t xml:space="preserve">is misplaced given that the </w:t>
      </w:r>
      <w:r w:rsidR="00B914AB">
        <w:rPr>
          <w:i/>
        </w:rPr>
        <w:t xml:space="preserve">Decision </w:t>
      </w:r>
      <w:r w:rsidR="00BB23B9">
        <w:t xml:space="preserve">specifically </w:t>
      </w:r>
      <w:r w:rsidR="008E6DCF">
        <w:t>acknowledged</w:t>
      </w:r>
      <w:r w:rsidR="00982E56" w:rsidRPr="00982E56">
        <w:t xml:space="preserve"> t</w:t>
      </w:r>
      <w:r w:rsidR="008E6DCF">
        <w:t xml:space="preserve">hat </w:t>
      </w:r>
      <w:r w:rsidR="008E6DCF">
        <w:rPr>
          <w:i/>
        </w:rPr>
        <w:t xml:space="preserve">Fatima </w:t>
      </w:r>
      <w:r w:rsidR="008E6DCF">
        <w:t xml:space="preserve">involved </w:t>
      </w:r>
      <w:r w:rsidR="00982E56" w:rsidRPr="00982E56">
        <w:t>an NCE FM application</w:t>
      </w:r>
      <w:r w:rsidR="00BB23B9">
        <w:t xml:space="preserve">, </w:t>
      </w:r>
      <w:r w:rsidR="000C5328">
        <w:t xml:space="preserve">cited </w:t>
      </w:r>
      <w:r w:rsidR="00BB23B9">
        <w:t xml:space="preserve">LPFM rules </w:t>
      </w:r>
      <w:r w:rsidR="000C5328">
        <w:t xml:space="preserve">numerous times, and did not cite any rule </w:t>
      </w:r>
      <w:r w:rsidR="008E4259">
        <w:t>pertai</w:t>
      </w:r>
      <w:r w:rsidR="00401A86">
        <w:t>ning only to the NCE FM service</w:t>
      </w:r>
      <w:r w:rsidR="008E6DCF">
        <w:t>.</w:t>
      </w:r>
      <w:r w:rsidR="00BB23B9">
        <w:t xml:space="preserve">  </w:t>
      </w:r>
      <w:r w:rsidR="00BB23B9">
        <w:rPr>
          <w:i/>
        </w:rPr>
        <w:t>Id.</w:t>
      </w:r>
      <w:r w:rsidR="003A10A1">
        <w:t xml:space="preserve"> at nn. 12, 13, 21, 28, 35, 48, 55.</w:t>
      </w:r>
    </w:p>
  </w:footnote>
  <w:footnote w:id="24">
    <w:p w14:paraId="50D9617C" w14:textId="3024492A" w:rsidR="001873D5" w:rsidRPr="0026612D" w:rsidRDefault="001873D5">
      <w:pPr>
        <w:pStyle w:val="FootnoteText"/>
        <w:rPr>
          <w:i/>
        </w:rPr>
      </w:pPr>
      <w:r>
        <w:rPr>
          <w:rStyle w:val="FootnoteReference"/>
        </w:rPr>
        <w:footnoteRef/>
      </w:r>
      <w:r>
        <w:t xml:space="preserve"> </w:t>
      </w:r>
      <w:r>
        <w:rPr>
          <w:i/>
        </w:rPr>
        <w:t>See</w:t>
      </w:r>
      <w:r w:rsidR="00307D4E">
        <w:rPr>
          <w:i/>
        </w:rPr>
        <w:t>, e.g.,</w:t>
      </w:r>
      <w:r>
        <w:rPr>
          <w:i/>
        </w:rPr>
        <w:t xml:space="preserve"> US Pro Descubierta, </w:t>
      </w:r>
      <w:r>
        <w:t>Memorandum Opinion and Order, 31 FCC Rcd 4304, 4305, para. 2 (2016)</w:t>
      </w:r>
      <w:r w:rsidR="00040A91">
        <w:t xml:space="preserve"> </w:t>
      </w:r>
      <w:r w:rsidR="002B30AA">
        <w:t>(</w:t>
      </w:r>
      <w:r w:rsidR="002B30AA">
        <w:rPr>
          <w:i/>
        </w:rPr>
        <w:t>USPD</w:t>
      </w:r>
      <w:r w:rsidR="002B30AA">
        <w:t xml:space="preserve">) </w:t>
      </w:r>
      <w:r w:rsidR="00040A91">
        <w:t>(</w:t>
      </w:r>
      <w:r w:rsidR="00040A91" w:rsidRPr="00040A91">
        <w:t>absent a waiver of </w:t>
      </w:r>
      <w:hyperlink r:id="rId1" w:anchor="co_pp_b1b5000051ac5" w:history="1">
        <w:r w:rsidR="00040A91" w:rsidRPr="00040A91">
          <w:rPr>
            <w:rStyle w:val="Hyperlink"/>
            <w:color w:val="auto"/>
            <w:u w:val="none"/>
          </w:rPr>
          <w:t>47 CFR § 73.871(c)(3)</w:t>
        </w:r>
      </w:hyperlink>
      <w:r w:rsidR="00040A91" w:rsidRPr="00040A91">
        <w:t xml:space="preserve">, a major change in an LPFM applicant's board </w:t>
      </w:r>
      <w:r w:rsidR="007D7F26">
        <w:t>of directors is fatal</w:t>
      </w:r>
      <w:r w:rsidR="00040A91">
        <w:t>)</w:t>
      </w:r>
      <w:r>
        <w:t>;</w:t>
      </w:r>
      <w:r>
        <w:rPr>
          <w:i/>
        </w:rPr>
        <w:t xml:space="preserve"> La Casa Dominicana de Hazleton, </w:t>
      </w:r>
      <w:r>
        <w:t>Memorandum Opinion and Order,</w:t>
      </w:r>
      <w:r w:rsidR="00E36AB9">
        <w:t xml:space="preserve"> 31 FCC Rcd 4236, 4238, para. 6 </w:t>
      </w:r>
      <w:r>
        <w:t>(2016) (</w:t>
      </w:r>
      <w:r>
        <w:rPr>
          <w:i/>
        </w:rPr>
        <w:t>LCDH</w:t>
      </w:r>
      <w:r>
        <w:t>)</w:t>
      </w:r>
      <w:r w:rsidR="003A465A">
        <w:t xml:space="preserve"> (</w:t>
      </w:r>
      <w:r w:rsidR="000436E9">
        <w:t>LPFM applicant’s amendment reflecting a 79 perc</w:t>
      </w:r>
      <w:r w:rsidR="007D7F26">
        <w:t xml:space="preserve">ent change in board </w:t>
      </w:r>
      <w:r w:rsidR="000436E9">
        <w:t>was a fatal defect</w:t>
      </w:r>
      <w:r w:rsidR="00307D4E">
        <w:t>)</w:t>
      </w:r>
      <w:r>
        <w:t xml:space="preserve">; </w:t>
      </w:r>
      <w:r>
        <w:rPr>
          <w:i/>
        </w:rPr>
        <w:t>Cocoa</w:t>
      </w:r>
      <w:r w:rsidR="002D6B4E">
        <w:rPr>
          <w:i/>
        </w:rPr>
        <w:t>,</w:t>
      </w:r>
      <w:r>
        <w:rPr>
          <w:i/>
        </w:rPr>
        <w:t xml:space="preserve"> </w:t>
      </w:r>
      <w:r>
        <w:t xml:space="preserve">30 FCC Rcd </w:t>
      </w:r>
      <w:r w:rsidR="002D6B4E">
        <w:t>at 14890, para. 3</w:t>
      </w:r>
      <w:r w:rsidR="0039634C">
        <w:t xml:space="preserve"> (</w:t>
      </w:r>
      <w:r w:rsidR="003A465A">
        <w:t xml:space="preserve">LPFM applicant that disclosed </w:t>
      </w:r>
      <w:r w:rsidR="002B0480">
        <w:t xml:space="preserve">the </w:t>
      </w:r>
      <w:r w:rsidR="003A465A">
        <w:t xml:space="preserve">identity of only one of several board members </w:t>
      </w:r>
      <w:r w:rsidR="002D6B4E">
        <w:t xml:space="preserve">would undergo </w:t>
      </w:r>
      <w:r w:rsidR="0039634C">
        <w:t>prohibited major change if it attempted to correct the</w:t>
      </w:r>
      <w:r w:rsidR="003A465A">
        <w:t xml:space="preserve"> problem</w:t>
      </w:r>
      <w:r w:rsidR="00307D4E">
        <w:t>)</w:t>
      </w:r>
      <w:r w:rsidRPr="00AE5425">
        <w:t>.</w:t>
      </w:r>
      <w:r w:rsidR="00FC4D73">
        <w:t xml:space="preserve">  </w:t>
      </w:r>
      <w:r w:rsidR="0026612D">
        <w:t xml:space="preserve">  </w:t>
      </w:r>
    </w:p>
  </w:footnote>
  <w:footnote w:id="25">
    <w:p w14:paraId="3E7DABD0" w14:textId="77777777" w:rsidR="001E7A25" w:rsidRPr="001E7A25" w:rsidRDefault="001E7A25">
      <w:pPr>
        <w:pStyle w:val="FootnoteText"/>
      </w:pPr>
      <w:r>
        <w:rPr>
          <w:rStyle w:val="FootnoteReference"/>
        </w:rPr>
        <w:footnoteRef/>
      </w:r>
      <w:r>
        <w:t xml:space="preserve"> </w:t>
      </w:r>
      <w:r>
        <w:rPr>
          <w:i/>
        </w:rPr>
        <w:t xml:space="preserve">See </w:t>
      </w:r>
      <w:r>
        <w:t xml:space="preserve">47 CFR </w:t>
      </w:r>
      <w:r w:rsidRPr="001E7A25">
        <w:t xml:space="preserve">§ </w:t>
      </w:r>
      <w:r>
        <w:t>73.3522(b).</w:t>
      </w:r>
    </w:p>
  </w:footnote>
  <w:footnote w:id="26">
    <w:p w14:paraId="76351543" w14:textId="49015D8B" w:rsidR="004202EA" w:rsidRPr="005053DB" w:rsidRDefault="004202EA" w:rsidP="004202EA">
      <w:pPr>
        <w:pStyle w:val="FootnoteText"/>
      </w:pPr>
      <w:r>
        <w:rPr>
          <w:rStyle w:val="FootnoteReference"/>
        </w:rPr>
        <w:footnoteRef/>
      </w:r>
      <w:r>
        <w:t xml:space="preserve"> </w:t>
      </w:r>
      <w:r>
        <w:rPr>
          <w:i/>
        </w:rPr>
        <w:t xml:space="preserve">See supra, </w:t>
      </w:r>
      <w:r w:rsidR="002436EB">
        <w:t>note 24</w:t>
      </w:r>
      <w:r>
        <w:t>.</w:t>
      </w:r>
      <w:r w:rsidR="00AB51EC">
        <w:t xml:space="preserve">  </w:t>
      </w:r>
      <w:r w:rsidR="00604EB5">
        <w:t>The c</w:t>
      </w:r>
      <w:r w:rsidR="0022525D">
        <w:t>ircumstances that might lead to</w:t>
      </w:r>
      <w:r w:rsidR="005F07E0">
        <w:t xml:space="preserve"> </w:t>
      </w:r>
      <w:r w:rsidR="00AB51EC" w:rsidRPr="00AB51EC">
        <w:t xml:space="preserve">return </w:t>
      </w:r>
      <w:r w:rsidR="0022525D">
        <w:t xml:space="preserve">of </w:t>
      </w:r>
      <w:r w:rsidR="009B14CA">
        <w:t xml:space="preserve">a </w:t>
      </w:r>
      <w:r w:rsidR="005F07E0">
        <w:t>faulty LPFM amendment</w:t>
      </w:r>
      <w:r w:rsidR="003903DC">
        <w:t>, without dismissal</w:t>
      </w:r>
      <w:r w:rsidR="0022525D">
        <w:t xml:space="preserve"> of the underlying application</w:t>
      </w:r>
      <w:r w:rsidR="003903DC">
        <w:t>,</w:t>
      </w:r>
      <w:r w:rsidR="00AB51EC" w:rsidRPr="00AB51EC">
        <w:t xml:space="preserve"> </w:t>
      </w:r>
      <w:r w:rsidR="009B14CA">
        <w:t xml:space="preserve">are </w:t>
      </w:r>
      <w:r w:rsidR="00AB51EC" w:rsidRPr="00AB51EC">
        <w:t>significantl</w:t>
      </w:r>
      <w:r w:rsidR="009B14CA">
        <w:t>y different</w:t>
      </w:r>
      <w:r w:rsidR="00E35FDE">
        <w:t xml:space="preserve"> than </w:t>
      </w:r>
      <w:r w:rsidR="00E61FFB">
        <w:t xml:space="preserve">the changes </w:t>
      </w:r>
      <w:r w:rsidR="00DF71F8">
        <w:t xml:space="preserve">made </w:t>
      </w:r>
      <w:r w:rsidR="00E61FFB">
        <w:t xml:space="preserve">in </w:t>
      </w:r>
      <w:r w:rsidR="00DF71F8">
        <w:t>Applicants’ amendments</w:t>
      </w:r>
      <w:r w:rsidR="009B14CA">
        <w:t xml:space="preserve">.  </w:t>
      </w:r>
      <w:r w:rsidR="00AB51EC" w:rsidRPr="00AB51EC">
        <w:rPr>
          <w:i/>
        </w:rPr>
        <w:t>See</w:t>
      </w:r>
      <w:r w:rsidR="009B14CA">
        <w:rPr>
          <w:i/>
        </w:rPr>
        <w:t>, e.g.,</w:t>
      </w:r>
      <w:r w:rsidR="00AB51EC" w:rsidRPr="00AB51EC">
        <w:rPr>
          <w:i/>
        </w:rPr>
        <w:t xml:space="preserve"> Media Bureau Provides Further Guidance on the Processing of Form 318 Applications Filed in the LPFM Window, </w:t>
      </w:r>
      <w:r w:rsidR="00AB51EC" w:rsidRPr="00AB51EC">
        <w:t>Public Notice, 28 FCC Rcd 16366, 16368 (MB 2013)</w:t>
      </w:r>
      <w:r w:rsidR="009B14CA">
        <w:t xml:space="preserve"> (Commission would </w:t>
      </w:r>
      <w:r w:rsidR="008C79CF">
        <w:t>accept cer</w:t>
      </w:r>
      <w:r w:rsidR="006A1018">
        <w:t xml:space="preserve">tain </w:t>
      </w:r>
      <w:r w:rsidR="008855EB">
        <w:t xml:space="preserve">LPFM </w:t>
      </w:r>
      <w:r w:rsidR="006A1018">
        <w:t xml:space="preserve">major amendments in </w:t>
      </w:r>
      <w:r w:rsidR="008C79CF">
        <w:t xml:space="preserve">window </w:t>
      </w:r>
      <w:r w:rsidR="006A1018">
        <w:t xml:space="preserve">opened </w:t>
      </w:r>
      <w:r w:rsidR="008C79CF">
        <w:t xml:space="preserve">for that purpose but would </w:t>
      </w:r>
      <w:r w:rsidR="009B14CA">
        <w:t xml:space="preserve">return </w:t>
      </w:r>
      <w:r w:rsidR="00C21CE0">
        <w:t xml:space="preserve">any </w:t>
      </w:r>
      <w:r w:rsidR="00104D00">
        <w:t xml:space="preserve">such </w:t>
      </w:r>
      <w:r w:rsidR="00C21CE0">
        <w:t xml:space="preserve">amendment </w:t>
      </w:r>
      <w:r w:rsidR="008855EB">
        <w:t>that would create a new conflict rather than, as intended</w:t>
      </w:r>
      <w:r w:rsidR="00114500">
        <w:t>,</w:t>
      </w:r>
      <w:r w:rsidR="008855EB">
        <w:t xml:space="preserve"> to resolve </w:t>
      </w:r>
      <w:r w:rsidR="00104D00">
        <w:t xml:space="preserve">a </w:t>
      </w:r>
      <w:r w:rsidR="008855EB">
        <w:t>mutually exclusive group</w:t>
      </w:r>
      <w:r w:rsidR="009B14CA">
        <w:t>).</w:t>
      </w:r>
    </w:p>
  </w:footnote>
  <w:footnote w:id="27">
    <w:p w14:paraId="6D7DAF36" w14:textId="77777777" w:rsidR="00B038E3" w:rsidRDefault="00B038E3" w:rsidP="00B038E3">
      <w:pPr>
        <w:pStyle w:val="FootnoteText"/>
      </w:pPr>
      <w:r>
        <w:rPr>
          <w:rStyle w:val="FootnoteReference"/>
        </w:rPr>
        <w:footnoteRef/>
      </w:r>
      <w:r>
        <w:t xml:space="preserve"> </w:t>
      </w:r>
      <w:r>
        <w:rPr>
          <w:i/>
        </w:rPr>
        <w:t xml:space="preserve">See Iglesia Jesucristo Es Mi Refugio, Inc., </w:t>
      </w:r>
      <w:r>
        <w:t xml:space="preserve">Memorandum Opinion and Order and Notice of Apparent Liability, </w:t>
      </w:r>
      <w:r w:rsidRPr="00920A64">
        <w:t>25 FCC Rcd. 16310</w:t>
      </w:r>
      <w:r>
        <w:t>, 16315, para</w:t>
      </w:r>
      <w:r w:rsidR="000F6306">
        <w:t>s</w:t>
      </w:r>
      <w:r>
        <w:t>. 14-15</w:t>
      </w:r>
      <w:r w:rsidRPr="00920A64">
        <w:t xml:space="preserve"> (MB 2010)</w:t>
      </w:r>
      <w:r>
        <w:t xml:space="preserve"> (rejecting argument that had NCE FM applicant filed </w:t>
      </w:r>
      <w:r w:rsidR="00796E42">
        <w:t>an amendment</w:t>
      </w:r>
      <w:r>
        <w:t xml:space="preserve"> to disclose major ownership change, the Bureau would have </w:t>
      </w:r>
      <w:r w:rsidR="00796E42">
        <w:t>returned it</w:t>
      </w:r>
      <w:r>
        <w:t xml:space="preserve"> as </w:t>
      </w:r>
      <w:r w:rsidR="00796E42">
        <w:t>a “suicide amendment</w:t>
      </w:r>
      <w:r>
        <w:t>,” with an opportunity to correct</w:t>
      </w:r>
      <w:r>
        <w:rPr>
          <w:bCs/>
        </w:rPr>
        <w:t>);</w:t>
      </w:r>
      <w:r>
        <w:rPr>
          <w:i/>
        </w:rPr>
        <w:t xml:space="preserve"> </w:t>
      </w:r>
      <w:r w:rsidRPr="00C8193F">
        <w:rPr>
          <w:bCs/>
          <w:i/>
        </w:rPr>
        <w:t>Moody Bible of Chicago</w:t>
      </w:r>
      <w:r w:rsidRPr="00425A71">
        <w:rPr>
          <w:bCs/>
        </w:rPr>
        <w:t>, Letter, 22 FCC Rcd 11116</w:t>
      </w:r>
      <w:r>
        <w:rPr>
          <w:bCs/>
        </w:rPr>
        <w:t>, 11117-18</w:t>
      </w:r>
      <w:r w:rsidRPr="00425A71">
        <w:rPr>
          <w:bCs/>
        </w:rPr>
        <w:t xml:space="preserve"> (MB 2007)</w:t>
      </w:r>
      <w:r>
        <w:rPr>
          <w:bCs/>
        </w:rPr>
        <w:t xml:space="preserve"> (declining to consider whether disclosure of major ownership change in NCE FM applicant would have been a “suicide amendment” where Commission had directed the Bureau to waive the major change prohibition for certain pre-2007 NCE applican</w:t>
      </w:r>
      <w:r w:rsidR="00BB4725">
        <w:rPr>
          <w:bCs/>
        </w:rPr>
        <w:t>ts, and applicant which</w:t>
      </w:r>
      <w:r>
        <w:rPr>
          <w:bCs/>
        </w:rPr>
        <w:t xml:space="preserve"> had experienced gradual changes </w:t>
      </w:r>
      <w:r w:rsidR="00BB4725">
        <w:rPr>
          <w:bCs/>
        </w:rPr>
        <w:t xml:space="preserve">over 16 years met the </w:t>
      </w:r>
      <w:r>
        <w:rPr>
          <w:bCs/>
        </w:rPr>
        <w:t>waiver criteria).</w:t>
      </w:r>
    </w:p>
  </w:footnote>
  <w:footnote w:id="28">
    <w:p w14:paraId="09B79ED6" w14:textId="53EA7BDD" w:rsidR="006C2E67" w:rsidRDefault="006C2E67" w:rsidP="006C2E67">
      <w:pPr>
        <w:pStyle w:val="FootnoteText"/>
      </w:pPr>
      <w:r>
        <w:rPr>
          <w:rStyle w:val="FootnoteReference"/>
        </w:rPr>
        <w:footnoteRef/>
      </w:r>
      <w:r>
        <w:t xml:space="preserve"> The main impact of the </w:t>
      </w:r>
      <w:r>
        <w:rPr>
          <w:i/>
        </w:rPr>
        <w:t xml:space="preserve">Golden Shores </w:t>
      </w:r>
      <w:r>
        <w:t>policy against “suicide amendments” was to provide</w:t>
      </w:r>
      <w:r w:rsidRPr="00DF2C85">
        <w:t xml:space="preserve"> for pre</w:t>
      </w:r>
      <w:r>
        <w:t>-</w:t>
      </w:r>
      <w:r w:rsidRPr="00DF2C85">
        <w:t xml:space="preserve">designation return of </w:t>
      </w:r>
      <w:r>
        <w:t xml:space="preserve">fatal </w:t>
      </w:r>
      <w:r w:rsidRPr="00DF2C85">
        <w:t xml:space="preserve">amendments </w:t>
      </w:r>
      <w:r>
        <w:t>to NCE FM applica</w:t>
      </w:r>
      <w:r w:rsidR="00B3499D">
        <w:t>tions so that the applications c</w:t>
      </w:r>
      <w:r>
        <w:t xml:space="preserve">ould proceed to </w:t>
      </w:r>
      <w:r w:rsidR="00195C03">
        <w:t xml:space="preserve">a traditional </w:t>
      </w:r>
      <w:r>
        <w:t>hearing</w:t>
      </w:r>
      <w:r w:rsidR="000C3165">
        <w:t xml:space="preserve"> in </w:t>
      </w:r>
      <w:r w:rsidR="000069D9">
        <w:t>their</w:t>
      </w:r>
      <w:r w:rsidR="000C3165">
        <w:t xml:space="preserve"> pre-amendment form</w:t>
      </w:r>
      <w:r>
        <w:t xml:space="preserve">. </w:t>
      </w:r>
      <w:r w:rsidR="002B0480">
        <w:t xml:space="preserve"> </w:t>
      </w:r>
      <w:r>
        <w:rPr>
          <w:i/>
        </w:rPr>
        <w:t xml:space="preserve">See </w:t>
      </w:r>
      <w:r w:rsidRPr="00585579">
        <w:rPr>
          <w:i/>
        </w:rPr>
        <w:t>Benny L. Bee, Jr.,</w:t>
      </w:r>
      <w:r w:rsidRPr="00DF2C85">
        <w:t xml:space="preserve"> Hearing Designation Order, 5 FCC Rcd. 1280</w:t>
      </w:r>
      <w:r w:rsidR="00B7287F">
        <w:t>, 1281, para. 5</w:t>
      </w:r>
      <w:r w:rsidRPr="00DF2C85">
        <w:t xml:space="preserve"> (1990)</w:t>
      </w:r>
      <w:r>
        <w:t xml:space="preserve">.  </w:t>
      </w:r>
      <w:r w:rsidR="00195C03">
        <w:t>T</w:t>
      </w:r>
      <w:r>
        <w:t xml:space="preserve">he provision was invoked most frequently for fatal technical amendments, </w:t>
      </w:r>
      <w:r w:rsidR="00195C03">
        <w:t xml:space="preserve">but also followed </w:t>
      </w:r>
      <w:r>
        <w:t xml:space="preserve">for major ownership changes.  </w:t>
      </w:r>
      <w:r>
        <w:rPr>
          <w:i/>
        </w:rPr>
        <w:t xml:space="preserve">See, e.g., </w:t>
      </w:r>
      <w:r w:rsidRPr="00DF2C85">
        <w:rPr>
          <w:i/>
        </w:rPr>
        <w:t>St. Croix Wireless Co</w:t>
      </w:r>
      <w:r w:rsidRPr="00DF2C85">
        <w:t>., Heari</w:t>
      </w:r>
      <w:r>
        <w:t>ng Designation Order, 2 FCC Rcd</w:t>
      </w:r>
      <w:r w:rsidRPr="00DF2C85">
        <w:t xml:space="preserve"> 4447 (MB 1987) (</w:t>
      </w:r>
      <w:r>
        <w:t xml:space="preserve">return of amendment </w:t>
      </w:r>
      <w:r w:rsidRPr="00DF2C85">
        <w:t>report</w:t>
      </w:r>
      <w:r>
        <w:t>ing that 50-percent</w:t>
      </w:r>
      <w:r w:rsidRPr="00DF2C85">
        <w:t xml:space="preserve"> General Partner</w:t>
      </w:r>
      <w:r>
        <w:t xml:space="preserve"> of NCE FM applicant</w:t>
      </w:r>
      <w:r w:rsidR="00F720F3">
        <w:t xml:space="preserve"> was no longer a party</w:t>
      </w:r>
      <w:r>
        <w:t>);</w:t>
      </w:r>
      <w:r w:rsidR="00EA0BF2">
        <w:t xml:space="preserve"> </w:t>
      </w:r>
      <w:r w:rsidRPr="008647FA">
        <w:rPr>
          <w:i/>
        </w:rPr>
        <w:t>Yu-Hay Kong</w:t>
      </w:r>
      <w:r w:rsidRPr="008647FA">
        <w:t xml:space="preserve">, </w:t>
      </w:r>
      <w:r w:rsidR="002D0776">
        <w:t xml:space="preserve">Hearing Designation Order, </w:t>
      </w:r>
      <w:r>
        <w:t>5 FCC Rcd 312 (</w:t>
      </w:r>
      <w:r w:rsidR="002D0776">
        <w:t xml:space="preserve">MB </w:t>
      </w:r>
      <w:r>
        <w:t xml:space="preserve">1990) (return of amendment where principal would not retain </w:t>
      </w:r>
      <w:r w:rsidRPr="008647FA">
        <w:t>more than 50% ownership</w:t>
      </w:r>
      <w:r>
        <w:t>).</w:t>
      </w:r>
      <w:r w:rsidRPr="008647FA">
        <w:t> </w:t>
      </w:r>
      <w:r>
        <w:t xml:space="preserve"> </w:t>
      </w:r>
      <w:r w:rsidRPr="00987B1D">
        <w:t>The practice was replaced</w:t>
      </w:r>
      <w:r w:rsidR="002D0776">
        <w:t>, for NCE FM applications,</w:t>
      </w:r>
      <w:r w:rsidRPr="00987B1D">
        <w:t xml:space="preserve"> by the “renumbering” provisions of Section 73.3573(b)(3)</w:t>
      </w:r>
      <w:r>
        <w:t xml:space="preserve"> which, as the Applicants note, are </w:t>
      </w:r>
      <w:r w:rsidRPr="00987B1D">
        <w:t xml:space="preserve">not applicable to LPFM </w:t>
      </w:r>
      <w:r w:rsidR="002B0480">
        <w:t>applications</w:t>
      </w:r>
      <w:r>
        <w:t xml:space="preserve">.  47 CFR § </w:t>
      </w:r>
      <w:r w:rsidRPr="00BF126B">
        <w:t>73.3573(b)(3)</w:t>
      </w:r>
      <w:r>
        <w:t xml:space="preserve">.  </w:t>
      </w:r>
      <w:r>
        <w:rPr>
          <w:i/>
        </w:rPr>
        <w:t xml:space="preserve">See supra, </w:t>
      </w:r>
      <w:r w:rsidR="00AD6F6A">
        <w:t>note 18</w:t>
      </w:r>
      <w:r>
        <w:t>.</w:t>
      </w:r>
    </w:p>
  </w:footnote>
  <w:footnote w:id="29">
    <w:p w14:paraId="645520BA" w14:textId="66299851" w:rsidR="00E07AB9" w:rsidRPr="00CF4878" w:rsidRDefault="00E07AB9" w:rsidP="00E07AB9">
      <w:pPr>
        <w:pStyle w:val="FootnoteText"/>
      </w:pPr>
      <w:r>
        <w:rPr>
          <w:rStyle w:val="FootnoteReference"/>
        </w:rPr>
        <w:footnoteRef/>
      </w:r>
      <w:r>
        <w:t xml:space="preserve"> We note that</w:t>
      </w:r>
      <w:r w:rsidR="002B0480">
        <w:t xml:space="preserve"> several</w:t>
      </w:r>
      <w:r>
        <w:t xml:space="preserve"> of the current Commissioners </w:t>
      </w:r>
      <w:r w:rsidR="002B0480">
        <w:t>have</w:t>
      </w:r>
      <w:r>
        <w:t xml:space="preserve"> questioned whether major but “routine” board changes in nonprofit organizations should continue to require the dismissal of window-filed applications.  </w:t>
      </w:r>
      <w:r>
        <w:rPr>
          <w:i/>
        </w:rPr>
        <w:t xml:space="preserve">See, e.g., LCDH, </w:t>
      </w:r>
      <w:r>
        <w:t xml:space="preserve">31 FCC Rcd at 4239-40 (Separate Statements of Commissioners Clyburn and Pai); </w:t>
      </w:r>
      <w:r>
        <w:rPr>
          <w:i/>
        </w:rPr>
        <w:t>KBOO</w:t>
      </w:r>
      <w:r w:rsidR="009B14CA">
        <w:rPr>
          <w:i/>
        </w:rPr>
        <w:t xml:space="preserve"> Found.</w:t>
      </w:r>
      <w:r>
        <w:rPr>
          <w:i/>
        </w:rPr>
        <w:t xml:space="preserve">, </w:t>
      </w:r>
      <w:r w:rsidR="009B14CA">
        <w:t xml:space="preserve">Memorandum Opinion and Order, </w:t>
      </w:r>
      <w:r>
        <w:t xml:space="preserve">31 FCC Rcd </w:t>
      </w:r>
      <w:r w:rsidR="002D0776">
        <w:t>1358, 1</w:t>
      </w:r>
      <w:r>
        <w:t xml:space="preserve">362-63 (Separate Statements of Commissioners Pai and O’Rielly).  However, </w:t>
      </w:r>
      <w:r w:rsidR="00F558EB">
        <w:t>no Commission</w:t>
      </w:r>
      <w:r w:rsidR="00BE783A">
        <w:t>er</w:t>
      </w:r>
      <w:r w:rsidR="00F558EB">
        <w:t xml:space="preserve"> has questioned </w:t>
      </w:r>
      <w:r w:rsidR="000A4BA0">
        <w:t xml:space="preserve">continued use of the current Rules in </w:t>
      </w:r>
      <w:r>
        <w:t xml:space="preserve">non-routine situations, such as when board changes are tied to a “hostile takeover,” a dramatic change in an organization’s mission or character, or otherwise constitute a non-routine break in continuity of control.  </w:t>
      </w:r>
      <w:r>
        <w:rPr>
          <w:i/>
        </w:rPr>
        <w:t xml:space="preserve">See LCDH, </w:t>
      </w:r>
      <w:r>
        <w:t xml:space="preserve">31 FCC Rcd at 4240 (Statement of Commissioner Pai) (ownership change to LPFM applicant following “battle for control”).  The Bureau </w:t>
      </w:r>
      <w:r w:rsidR="000A4BA0">
        <w:t>classifies th</w:t>
      </w:r>
      <w:r>
        <w:t xml:space="preserve">e </w:t>
      </w:r>
      <w:r w:rsidR="000A4BA0">
        <w:t xml:space="preserve">Applicants’ ownership changes as </w:t>
      </w:r>
      <w:r>
        <w:t>“</w:t>
      </w:r>
      <w:r w:rsidR="000A4BA0">
        <w:t xml:space="preserve">non-routine.”  The Applicants made </w:t>
      </w:r>
      <w:r w:rsidRPr="00F02B52">
        <w:t>major changes</w:t>
      </w:r>
      <w:r w:rsidR="000A4BA0">
        <w:t xml:space="preserve"> suddenly</w:t>
      </w:r>
      <w:r>
        <w:t xml:space="preserve">, only a few months after </w:t>
      </w:r>
      <w:r w:rsidR="000A4BA0">
        <w:t xml:space="preserve">their original filings, </w:t>
      </w:r>
      <w:r>
        <w:t xml:space="preserve">in </w:t>
      </w:r>
      <w:r w:rsidR="000A4BA0">
        <w:t xml:space="preserve">direct </w:t>
      </w:r>
      <w:r>
        <w:t>response to an investigation into</w:t>
      </w:r>
      <w:r w:rsidRPr="00F02B52">
        <w:t xml:space="preserve"> the potential non-existence of originally-named p</w:t>
      </w:r>
      <w:r>
        <w:t>arties</w:t>
      </w:r>
      <w:r w:rsidR="00C73E42" w:rsidRPr="00C73E42">
        <w:t>.</w:t>
      </w:r>
      <w:r w:rsidR="00C73E42">
        <w:t xml:space="preserve">  </w:t>
      </w:r>
      <w:r w:rsidR="002B0480">
        <w:t xml:space="preserve">Even if the “corrections” were attempts to </w:t>
      </w:r>
      <w:r w:rsidR="00271609">
        <w:t>redress</w:t>
      </w:r>
      <w:r w:rsidR="002B0480">
        <w:t xml:space="preserve"> significant errors by a consultant that were not corrected by the certifying principals</w:t>
      </w:r>
      <w:r w:rsidR="008662F4">
        <w:t>,</w:t>
      </w:r>
      <w:r w:rsidR="00F81368">
        <w:t xml:space="preserve"> </w:t>
      </w:r>
      <w:r w:rsidR="004109CC">
        <w:t xml:space="preserve">the Commission </w:t>
      </w:r>
      <w:r w:rsidR="003E4F35">
        <w:t xml:space="preserve">has </w:t>
      </w:r>
      <w:r w:rsidR="00CF4878">
        <w:t>not</w:t>
      </w:r>
      <w:r w:rsidR="004109CC">
        <w:t xml:space="preserve"> </w:t>
      </w:r>
      <w:r w:rsidR="00CF4878">
        <w:t>excuse</w:t>
      </w:r>
      <w:r w:rsidR="003E4F35">
        <w:t>d</w:t>
      </w:r>
      <w:r w:rsidR="008662F4">
        <w:t xml:space="preserve"> such</w:t>
      </w:r>
      <w:r w:rsidR="00CF4878">
        <w:t xml:space="preserve"> </w:t>
      </w:r>
      <w:r w:rsidR="004109CC">
        <w:t>errors.</w:t>
      </w:r>
      <w:r w:rsidR="00CF4878">
        <w:t xml:space="preserve">  </w:t>
      </w:r>
      <w:r w:rsidR="00CF4878">
        <w:rPr>
          <w:i/>
        </w:rPr>
        <w:t xml:space="preserve">See Belo Broad. Corp., </w:t>
      </w:r>
      <w:r w:rsidR="00CF4878">
        <w:t xml:space="preserve">Decision, 68 FCC 2d 1479, 1486, para. 21 (1978) (applicant that </w:t>
      </w:r>
      <w:r w:rsidR="004A6A4A">
        <w:t>submitted</w:t>
      </w:r>
      <w:r w:rsidR="00CF4878">
        <w:t xml:space="preserve"> erroneous information cannot escape consequences by blaming attorney).</w:t>
      </w:r>
    </w:p>
  </w:footnote>
  <w:footnote w:id="30">
    <w:p w14:paraId="30D5671F" w14:textId="77777777" w:rsidR="005C18FA" w:rsidRPr="005C18FA" w:rsidRDefault="005C18FA" w:rsidP="005C18FA">
      <w:pPr>
        <w:pStyle w:val="FootnoteText"/>
      </w:pPr>
      <w:r>
        <w:rPr>
          <w:rStyle w:val="FootnoteReference"/>
        </w:rPr>
        <w:footnoteRef/>
      </w:r>
      <w:r>
        <w:t xml:space="preserve"> </w:t>
      </w:r>
      <w:r>
        <w:rPr>
          <w:i/>
        </w:rPr>
        <w:t xml:space="preserve">See </w:t>
      </w:r>
      <w:r w:rsidRPr="00DC6D85">
        <w:t>Petition at 2, 14-16</w:t>
      </w:r>
      <w:r>
        <w:t>.</w:t>
      </w:r>
    </w:p>
  </w:footnote>
  <w:footnote w:id="31">
    <w:p w14:paraId="05E1EB27" w14:textId="2CAFDCC3" w:rsidR="003B1472" w:rsidRPr="007454DB" w:rsidRDefault="003B1472" w:rsidP="003B1472">
      <w:pPr>
        <w:pStyle w:val="FootnoteText"/>
      </w:pPr>
      <w:r w:rsidRPr="00B932D7">
        <w:rPr>
          <w:rStyle w:val="FootnoteReference"/>
          <w:rFonts w:ascii="Times New Roman" w:hAnsi="Times New Roman"/>
        </w:rPr>
        <w:footnoteRef/>
      </w:r>
      <w:r w:rsidRPr="00B932D7">
        <w:t xml:space="preserve"> </w:t>
      </w:r>
      <w:r w:rsidR="003A5939">
        <w:t xml:space="preserve">Petition </w:t>
      </w:r>
      <w:r w:rsidR="00EA5754">
        <w:t xml:space="preserve">at </w:t>
      </w:r>
      <w:r w:rsidR="00694561">
        <w:t>16</w:t>
      </w:r>
      <w:r w:rsidRPr="00B932D7">
        <w:t>.</w:t>
      </w:r>
      <w:r w:rsidR="00103375">
        <w:t xml:space="preserve">  Casa does not explain how </w:t>
      </w:r>
      <w:r w:rsidR="007454DB">
        <w:t xml:space="preserve">control </w:t>
      </w:r>
      <w:r w:rsidR="00103375">
        <w:t xml:space="preserve">is with </w:t>
      </w:r>
      <w:r w:rsidR="008046ED">
        <w:t>the original parties.   N</w:t>
      </w:r>
      <w:r w:rsidR="007454DB">
        <w:t xml:space="preserve">either party to </w:t>
      </w:r>
      <w:r w:rsidR="00FF227D">
        <w:t xml:space="preserve">Casa’s </w:t>
      </w:r>
      <w:r w:rsidR="007454DB">
        <w:t>amended ownership section was listed as a party to the original application.</w:t>
      </w:r>
      <w:r w:rsidR="00143D26">
        <w:t xml:space="preserve">  </w:t>
      </w:r>
      <w:r w:rsidR="00EA1E55">
        <w:rPr>
          <w:i/>
        </w:rPr>
        <w:t xml:space="preserve">See supra, </w:t>
      </w:r>
      <w:r w:rsidR="005541C6">
        <w:t>note 14</w:t>
      </w:r>
      <w:r w:rsidR="00EA1E55">
        <w:t xml:space="preserve">.  </w:t>
      </w:r>
      <w:r w:rsidR="00143D26">
        <w:t xml:space="preserve">If Casa is suggesting that </w:t>
      </w:r>
      <w:r w:rsidR="00143D26" w:rsidRPr="00DC69CE">
        <w:t xml:space="preserve">Rosa </w:t>
      </w:r>
      <w:r w:rsidR="00143D26">
        <w:t>and Jo</w:t>
      </w:r>
      <w:r w:rsidR="008731DA">
        <w:t>se</w:t>
      </w:r>
      <w:r w:rsidR="00143D26">
        <w:t xml:space="preserve"> </w:t>
      </w:r>
      <w:r w:rsidR="00143D26" w:rsidRPr="00DC69CE">
        <w:t xml:space="preserve">Gonzales </w:t>
      </w:r>
      <w:r w:rsidR="00143D26">
        <w:t xml:space="preserve">are the same as Delia and </w:t>
      </w:r>
      <w:r w:rsidR="00143D26" w:rsidRPr="00DC69CE">
        <w:t>Pilar Gonzales,</w:t>
      </w:r>
      <w:r w:rsidR="00912BB8">
        <w:t xml:space="preserve"> it</w:t>
      </w:r>
      <w:r w:rsidR="00B37E3C">
        <w:t xml:space="preserve"> has</w:t>
      </w:r>
      <w:r w:rsidR="00143D26">
        <w:t xml:space="preserve"> not shown so, especially given that Rosa Gonzalez certified to the accuracy of the original application which included her name</w:t>
      </w:r>
      <w:r w:rsidR="009B49F6">
        <w:t xml:space="preserve">.  </w:t>
      </w:r>
      <w:r w:rsidR="009839FD">
        <w:t>T</w:t>
      </w:r>
      <w:r w:rsidR="009B49F6">
        <w:t xml:space="preserve">he allegedly </w:t>
      </w:r>
      <w:r w:rsidR="009B49F6">
        <w:rPr>
          <w:i/>
        </w:rPr>
        <w:t xml:space="preserve">corrected </w:t>
      </w:r>
      <w:r w:rsidR="009B49F6">
        <w:t>name</w:t>
      </w:r>
      <w:r w:rsidR="009B49F6">
        <w:rPr>
          <w:i/>
        </w:rPr>
        <w:t xml:space="preserve"> </w:t>
      </w:r>
      <w:r w:rsidR="009B49F6">
        <w:t xml:space="preserve">of Pilar Gonzalez </w:t>
      </w:r>
      <w:r w:rsidR="007B121E">
        <w:t>may</w:t>
      </w:r>
      <w:r w:rsidR="009B49F6">
        <w:t xml:space="preserve"> also </w:t>
      </w:r>
      <w:r w:rsidR="007B121E">
        <w:t xml:space="preserve">be </w:t>
      </w:r>
      <w:r w:rsidR="009B49F6">
        <w:t xml:space="preserve">incorrect, as this individual signs his name </w:t>
      </w:r>
      <w:r w:rsidR="009839FD">
        <w:t xml:space="preserve">as </w:t>
      </w:r>
      <w:r w:rsidR="009B49F6">
        <w:t xml:space="preserve">Gonzales Pilar, Jr., </w:t>
      </w:r>
      <w:r w:rsidR="009B49F6">
        <w:rPr>
          <w:i/>
        </w:rPr>
        <w:t xml:space="preserve">i.e., </w:t>
      </w:r>
      <w:r w:rsidR="008E33C5">
        <w:t>with Gonzales as a first name</w:t>
      </w:r>
      <w:r w:rsidR="008E6257">
        <w:t>, rather than Pilar (a feminine name) as a first name</w:t>
      </w:r>
      <w:r w:rsidR="00143D26">
        <w:t>.</w:t>
      </w:r>
      <w:r w:rsidR="00A428C9">
        <w:t xml:space="preserve">  </w:t>
      </w:r>
      <w:r w:rsidR="009839FD">
        <w:rPr>
          <w:i/>
        </w:rPr>
        <w:t xml:space="preserve">See </w:t>
      </w:r>
      <w:r w:rsidR="009839FD">
        <w:t xml:space="preserve">FWHCC Response, Declaration, General Contract for Services, </w:t>
      </w:r>
      <w:r w:rsidR="00D1355A">
        <w:t xml:space="preserve">Texas Driver License.  </w:t>
      </w:r>
      <w:r w:rsidR="009839FD">
        <w:t xml:space="preserve"> </w:t>
      </w:r>
      <w:r w:rsidR="00A43642">
        <w:t xml:space="preserve">Similarly, evidence is lacking for </w:t>
      </w:r>
      <w:r w:rsidR="00211481">
        <w:t>FWHCC’s</w:t>
      </w:r>
      <w:r w:rsidR="00A43642">
        <w:t xml:space="preserve"> suggestion that </w:t>
      </w:r>
      <w:r w:rsidR="000063E0">
        <w:t xml:space="preserve">original director </w:t>
      </w:r>
      <w:r w:rsidR="00A43642">
        <w:t>Zeu</w:t>
      </w:r>
      <w:r w:rsidR="00002153">
        <w:t>s Al</w:t>
      </w:r>
      <w:r w:rsidR="00FF5E35">
        <w:t xml:space="preserve">varez and </w:t>
      </w:r>
      <w:r w:rsidR="000063E0">
        <w:t xml:space="preserve">current director </w:t>
      </w:r>
      <w:r w:rsidR="00FF5E35">
        <w:t>Carlos Alvarez ar</w:t>
      </w:r>
      <w:r w:rsidR="00002153">
        <w:t>e</w:t>
      </w:r>
      <w:r w:rsidR="00A43642">
        <w:t xml:space="preserve"> the same person</w:t>
      </w:r>
      <w:r w:rsidR="00675539">
        <w:t xml:space="preserve"> </w:t>
      </w:r>
      <w:r w:rsidR="007C56C2">
        <w:t>and</w:t>
      </w:r>
      <w:r w:rsidR="00C90A40">
        <w:t xml:space="preserve"> </w:t>
      </w:r>
      <w:r w:rsidR="0094032F">
        <w:t xml:space="preserve">known as </w:t>
      </w:r>
      <w:r w:rsidR="00675539">
        <w:t>Carlos “Zeus” Alvarez</w:t>
      </w:r>
      <w:r w:rsidR="00A43642">
        <w:t>.</w:t>
      </w:r>
      <w:r w:rsidR="00002153">
        <w:t xml:space="preserve">  Zeus Alvarez, 801 W. Kellis St</w:t>
      </w:r>
      <w:r w:rsidR="008662F4">
        <w:t>.</w:t>
      </w:r>
      <w:r w:rsidR="00002153">
        <w:t xml:space="preserve">, Fort Worth, TX certified to the accuracy of FWHCC’s </w:t>
      </w:r>
      <w:r w:rsidR="008662F4">
        <w:t xml:space="preserve">original Application and </w:t>
      </w:r>
      <w:r w:rsidR="00002153">
        <w:t>January 2014 amendment.  Carlos Alvarez, 320 Sierra Way, Cedar Hill, TX certified to the accuracy of FWHCC’</w:t>
      </w:r>
      <w:r w:rsidR="000063E0">
        <w:t>s March</w:t>
      </w:r>
      <w:r w:rsidR="00002153">
        <w:t xml:space="preserve"> 2014 amendment.  FWHCC submits a driver’s license and utility bill for Carlos Alvarez at the Sierra Way address but </w:t>
      </w:r>
      <w:r w:rsidR="00F53A0E">
        <w:t>no supporting documentati</w:t>
      </w:r>
      <w:r w:rsidR="008C2BBD">
        <w:t>on</w:t>
      </w:r>
      <w:r w:rsidR="00002153">
        <w:t xml:space="preserve"> for Zeus Alvarez.  </w:t>
      </w:r>
      <w:r w:rsidR="007F6862">
        <w:t>The Bureau’</w:t>
      </w:r>
      <w:r w:rsidR="006815EC">
        <w:t>s search of public records</w:t>
      </w:r>
      <w:r w:rsidR="007F6862">
        <w:t xml:space="preserve"> </w:t>
      </w:r>
      <w:r w:rsidR="008046ED">
        <w:t>indicate</w:t>
      </w:r>
      <w:r w:rsidR="00B37E3C">
        <w:t xml:space="preserve">s that Carlos </w:t>
      </w:r>
      <w:r w:rsidR="00B63039">
        <w:t>Alvarez has been</w:t>
      </w:r>
      <w:r w:rsidR="005541C6">
        <w:t xml:space="preserve"> associated with the Sierra Way address</w:t>
      </w:r>
      <w:r w:rsidR="00EA2656">
        <w:t xml:space="preserve"> for at least ten years</w:t>
      </w:r>
      <w:r w:rsidR="005541C6">
        <w:t>, but not that he has ever been associated with the W. Kellis St. address or used the name “Zeus.”</w:t>
      </w:r>
      <w:r w:rsidR="00002153">
        <w:t xml:space="preserve"> </w:t>
      </w:r>
      <w:r w:rsidR="008662F4">
        <w:t xml:space="preserve"> </w:t>
      </w:r>
      <w:r w:rsidR="003777B2">
        <w:t xml:space="preserve">Information elsewhere in FWHCC’s submissions reflects that the W. Kellis St. location is </w:t>
      </w:r>
      <w:r w:rsidR="004D67E2">
        <w:t>the house of a church member</w:t>
      </w:r>
      <w:r w:rsidR="003777B2">
        <w:t xml:space="preserve">, </w:t>
      </w:r>
      <w:r w:rsidR="00CF69ED">
        <w:t>Segundo Flores, and</w:t>
      </w:r>
      <w:r w:rsidR="003777B2">
        <w:t xml:space="preserve"> would serve as FWHCC’s broadcast studio</w:t>
      </w:r>
      <w:r w:rsidR="00FF42B4">
        <w:t xml:space="preserve">.  FWHCC </w:t>
      </w:r>
      <w:r w:rsidR="003777B2">
        <w:t>Response, Q</w:t>
      </w:r>
      <w:r w:rsidR="00FF42B4">
        <w:t>uest</w:t>
      </w:r>
      <w:r w:rsidR="003777B2">
        <w:t>. 4(f)</w:t>
      </w:r>
      <w:r w:rsidR="00422FC4">
        <w:t xml:space="preserve">, </w:t>
      </w:r>
      <w:r w:rsidR="009670C3">
        <w:t>8(a), Attachments</w:t>
      </w:r>
      <w:r w:rsidR="003777B2">
        <w:t>.</w:t>
      </w:r>
      <w:r w:rsidR="00B37E3C">
        <w:t xml:space="preserve">  FWHCC further </w:t>
      </w:r>
      <w:r w:rsidR="004D67E2">
        <w:t>contend</w:t>
      </w:r>
      <w:r w:rsidR="002B0FEE">
        <w:t>s that a current director</w:t>
      </w:r>
      <w:r w:rsidR="008662F4">
        <w:t>,</w:t>
      </w:r>
      <w:r w:rsidR="002B0FEE">
        <w:t xml:space="preserve"> Paula Pfister </w:t>
      </w:r>
      <w:r w:rsidR="007445E4">
        <w:t>Ve</w:t>
      </w:r>
      <w:r w:rsidR="004D67E2">
        <w:t xml:space="preserve">lazquez, </w:t>
      </w:r>
      <w:r w:rsidR="002B0FEE">
        <w:t xml:space="preserve">also at </w:t>
      </w:r>
      <w:r w:rsidR="004D67E2">
        <w:t xml:space="preserve">the </w:t>
      </w:r>
      <w:r w:rsidR="002B0FEE" w:rsidRPr="001728D2">
        <w:t>Sierra Way</w:t>
      </w:r>
      <w:r w:rsidR="004D67E2" w:rsidRPr="001728D2">
        <w:t xml:space="preserve"> address</w:t>
      </w:r>
      <w:r w:rsidR="00985DB2">
        <w:t>,</w:t>
      </w:r>
      <w:r w:rsidR="008662F4">
        <w:t xml:space="preserve"> </w:t>
      </w:r>
      <w:r w:rsidR="002B0FEE">
        <w:t>has been involved with FWHCC since its beginnings.  FWHCC Response, Attachments.</w:t>
      </w:r>
      <w:r w:rsidR="00FC06CA">
        <w:t xml:space="preserve">  If FWHCC is </w:t>
      </w:r>
      <w:r w:rsidR="007445E4">
        <w:t>suggesting that Paula Pfister Ve</w:t>
      </w:r>
      <w:r w:rsidR="00FC06CA">
        <w:t xml:space="preserve">lazquez </w:t>
      </w:r>
      <w:r w:rsidR="00C35F9D">
        <w:t>(who</w:t>
      </w:r>
      <w:r w:rsidR="000B6715">
        <w:t>se</w:t>
      </w:r>
      <w:r w:rsidR="00C35F9D">
        <w:t xml:space="preserve"> name it sometimes spells as Velasquez) </w:t>
      </w:r>
      <w:r w:rsidR="00FC06CA">
        <w:t xml:space="preserve">is the same person as </w:t>
      </w:r>
      <w:r w:rsidR="00FC06CA" w:rsidRPr="00034C97">
        <w:t>Marisa Vasquez</w:t>
      </w:r>
      <w:r w:rsidR="00A75DF7">
        <w:t>, 309 E. Fogg St., Fort Worth,</w:t>
      </w:r>
      <w:r w:rsidR="00B37E3C">
        <w:t xml:space="preserve"> listed on its</w:t>
      </w:r>
      <w:r w:rsidR="00A75DF7">
        <w:t xml:space="preserve"> earlier</w:t>
      </w:r>
      <w:r w:rsidR="004D67E2">
        <w:t xml:space="preserve"> application</w:t>
      </w:r>
      <w:r w:rsidR="00FC06CA">
        <w:t>, it has provided no supporting evidence</w:t>
      </w:r>
      <w:r w:rsidR="008662F4">
        <w:t xml:space="preserve"> such as documentation of a legal name change</w:t>
      </w:r>
      <w:r w:rsidR="00FC06CA">
        <w:t>.</w:t>
      </w:r>
      <w:r w:rsidR="00C52221">
        <w:t xml:space="preserve">  </w:t>
      </w:r>
    </w:p>
  </w:footnote>
  <w:footnote w:id="32">
    <w:p w14:paraId="4706F74E" w14:textId="0A8B05B2" w:rsidR="008A040A" w:rsidRPr="005C18FA" w:rsidRDefault="008A040A" w:rsidP="008A040A">
      <w:pPr>
        <w:pStyle w:val="FootnoteText"/>
      </w:pPr>
      <w:r>
        <w:rPr>
          <w:rStyle w:val="FootnoteReference"/>
        </w:rPr>
        <w:footnoteRef/>
      </w:r>
      <w:r>
        <w:t xml:space="preserve"> </w:t>
      </w:r>
      <w:r w:rsidRPr="00FC2529">
        <w:rPr>
          <w:i/>
          <w:iCs/>
        </w:rPr>
        <w:t xml:space="preserve">See Los Angeles Social Justice Project, </w:t>
      </w:r>
      <w:r w:rsidRPr="00FC2529">
        <w:rPr>
          <w:iCs/>
        </w:rPr>
        <w:t>Memorandum Opinion and Order, 31 FCC Rcd 7506, 7509, para. 7, n.27 (2016) (accepting LPFM amendment filed within announced period for settlements and amendments), citing</w:t>
      </w:r>
      <w:r w:rsidRPr="00DC6D85">
        <w:rPr>
          <w:color w:val="252525"/>
        </w:rPr>
        <w:t xml:space="preserve"> </w:t>
      </w:r>
      <w:r w:rsidRPr="00DC6D85">
        <w:rPr>
          <w:rStyle w:val="Emphasis"/>
          <w:color w:val="212121"/>
        </w:rPr>
        <w:t>Commission States Future Policy on Incomplete and Patently Defective AM and FM Construction Permit Applications</w:t>
      </w:r>
      <w:r w:rsidRPr="00DC6D85">
        <w:rPr>
          <w:color w:val="212121"/>
        </w:rPr>
        <w:t>, Public Notice,</w:t>
      </w:r>
      <w:r w:rsidRPr="00DC6D85">
        <w:rPr>
          <w:rStyle w:val="apple-converted-space"/>
          <w:color w:val="212121"/>
        </w:rPr>
        <w:t> </w:t>
      </w:r>
      <w:hyperlink r:id="rId2" w:history="1">
        <w:r w:rsidRPr="00DF013E">
          <w:rPr>
            <w:rStyle w:val="Hyperlink"/>
            <w:color w:val="auto"/>
            <w:u w:val="none"/>
          </w:rPr>
          <w:t>56 RR2d 776 (1984)</w:t>
        </w:r>
      </w:hyperlink>
      <w:r w:rsidRPr="00DF013E">
        <w:rPr>
          <w:rStyle w:val="apple-converted-space"/>
        </w:rPr>
        <w:t> </w:t>
      </w:r>
      <w:r w:rsidRPr="00DF013E">
        <w:t>(as subsequently published in the Federal Register,</w:t>
      </w:r>
      <w:r w:rsidRPr="00DF013E">
        <w:rPr>
          <w:rStyle w:val="apple-converted-space"/>
        </w:rPr>
        <w:t> </w:t>
      </w:r>
      <w:hyperlink r:id="rId3" w:anchor="co_pp_sp_1037_47331" w:history="1">
        <w:r w:rsidRPr="00DF013E">
          <w:rPr>
            <w:rStyle w:val="Hyperlink"/>
            <w:color w:val="auto"/>
            <w:u w:val="none"/>
          </w:rPr>
          <w:t>49 Fed. Reg. 47331, 47332 (Dec. 3, 1984)</w:t>
        </w:r>
      </w:hyperlink>
      <w:r w:rsidRPr="00DF013E">
        <w:t>)</w:t>
      </w:r>
      <w:r>
        <w:t xml:space="preserve">; </w:t>
      </w:r>
      <w:r w:rsidRPr="00DF013E">
        <w:rPr>
          <w:i/>
          <w:color w:val="212121"/>
        </w:rPr>
        <w:t>Gary S. Smithwick, Esq</w:t>
      </w:r>
      <w:r w:rsidRPr="00DC6D85">
        <w:rPr>
          <w:color w:val="212121"/>
        </w:rPr>
        <w:t xml:space="preserve">., Public Notice, </w:t>
      </w:r>
      <w:r w:rsidRPr="00DC6D85">
        <w:rPr>
          <w:color w:val="252525"/>
        </w:rPr>
        <w:t>28 FCC Rcd 15494 (MB 2013)</w:t>
      </w:r>
      <w:r>
        <w:rPr>
          <w:color w:val="252525"/>
        </w:rPr>
        <w:t xml:space="preserve"> (</w:t>
      </w:r>
      <w:r w:rsidRPr="00DC6D85">
        <w:rPr>
          <w:color w:val="212121"/>
        </w:rPr>
        <w:t xml:space="preserve">reconsideration </w:t>
      </w:r>
      <w:r w:rsidR="008662F4">
        <w:rPr>
          <w:color w:val="212121"/>
        </w:rPr>
        <w:t xml:space="preserve">granted </w:t>
      </w:r>
      <w:r w:rsidRPr="00DC6D85">
        <w:rPr>
          <w:color w:val="212121"/>
        </w:rPr>
        <w:t>when the applicant submits “a relatively minor</w:t>
      </w:r>
      <w:r w:rsidRPr="00DC6D85">
        <w:rPr>
          <w:rStyle w:val="apple-converted-space"/>
          <w:color w:val="212121"/>
        </w:rPr>
        <w:t> </w:t>
      </w:r>
      <w:r w:rsidRPr="00DC6D85">
        <w:rPr>
          <w:rStyle w:val="cosearchterm"/>
          <w:color w:val="252525"/>
        </w:rPr>
        <w:t>curative</w:t>
      </w:r>
      <w:r w:rsidRPr="00DC6D85">
        <w:rPr>
          <w:rStyle w:val="apple-converted-space"/>
          <w:color w:val="212121"/>
        </w:rPr>
        <w:t> </w:t>
      </w:r>
      <w:r w:rsidRPr="00DC6D85">
        <w:rPr>
          <w:color w:val="212121"/>
        </w:rPr>
        <w:t>amendment” within 30 days</w:t>
      </w:r>
      <w:r>
        <w:rPr>
          <w:color w:val="212121"/>
        </w:rPr>
        <w:t>)</w:t>
      </w:r>
      <w:r w:rsidRPr="00DC6D85">
        <w:rPr>
          <w:color w:val="212121"/>
        </w:rPr>
        <w:t>.</w:t>
      </w:r>
    </w:p>
  </w:footnote>
  <w:footnote w:id="33">
    <w:p w14:paraId="714A57C1" w14:textId="77777777" w:rsidR="00517823" w:rsidRDefault="00517823">
      <w:pPr>
        <w:pStyle w:val="FootnoteText"/>
      </w:pPr>
      <w:r>
        <w:rPr>
          <w:rStyle w:val="FootnoteReference"/>
        </w:rPr>
        <w:footnoteRef/>
      </w:r>
      <w:r w:rsidR="00EE46E5" w:rsidRPr="00EE46E5">
        <w:rPr>
          <w:i/>
        </w:rPr>
        <w:t xml:space="preserve"> </w:t>
      </w:r>
      <w:r w:rsidR="00EE46E5">
        <w:rPr>
          <w:i/>
        </w:rPr>
        <w:t xml:space="preserve">See </w:t>
      </w:r>
      <w:r w:rsidR="00193462">
        <w:t>47 CFR §</w:t>
      </w:r>
      <w:r w:rsidR="00EE46E5">
        <w:t xml:space="preserve"> 73.871(a).</w:t>
      </w:r>
    </w:p>
  </w:footnote>
  <w:footnote w:id="34">
    <w:p w14:paraId="4C1580F2" w14:textId="27EAA182" w:rsidR="00B10F90" w:rsidRPr="00B10F90" w:rsidRDefault="00B10F90">
      <w:pPr>
        <w:pStyle w:val="FootnoteText"/>
      </w:pPr>
      <w:r>
        <w:rPr>
          <w:rStyle w:val="FootnoteReference"/>
        </w:rPr>
        <w:footnoteRef/>
      </w:r>
      <w:r>
        <w:t xml:space="preserve"> </w:t>
      </w:r>
      <w:r w:rsidRPr="00B10F90">
        <w:rPr>
          <w:i/>
          <w:color w:val="212121"/>
        </w:rPr>
        <w:t xml:space="preserve">See </w:t>
      </w:r>
      <w:hyperlink r:id="rId4" w:history="1">
        <w:r w:rsidRPr="00B10F90">
          <w:rPr>
            <w:rStyle w:val="Hyperlink"/>
            <w:i/>
            <w:color w:val="auto"/>
            <w:u w:val="none"/>
          </w:rPr>
          <w:t>USPD</w:t>
        </w:r>
        <w:r w:rsidRPr="00B10F90">
          <w:rPr>
            <w:rStyle w:val="Hyperlink"/>
            <w:color w:val="auto"/>
            <w:u w:val="none"/>
          </w:rPr>
          <w:t>, 31 FCC Rcd at 4304-05, para. 2</w:t>
        </w:r>
      </w:hyperlink>
      <w:r w:rsidRPr="00B10F90">
        <w:rPr>
          <w:rStyle w:val="Hyperlink"/>
          <w:color w:val="auto"/>
          <w:u w:val="none"/>
        </w:rPr>
        <w:t xml:space="preserve"> </w:t>
      </w:r>
      <w:r w:rsidRPr="00B10F90">
        <w:t>(absent a waiver of </w:t>
      </w:r>
      <w:hyperlink r:id="rId5" w:anchor="co_pp_b1b5000051ac5" w:history="1">
        <w:r w:rsidRPr="00B10F90">
          <w:rPr>
            <w:rStyle w:val="Hyperlink"/>
            <w:color w:val="auto"/>
            <w:u w:val="none"/>
          </w:rPr>
          <w:t>47 CFR § 73.871(c)(3)</w:t>
        </w:r>
      </w:hyperlink>
      <w:r w:rsidRPr="00B10F90">
        <w:t>, a major change in an LPFM applicant's board of directors is a fatal defect).</w:t>
      </w:r>
    </w:p>
  </w:footnote>
  <w:footnote w:id="35">
    <w:p w14:paraId="7000AB3D" w14:textId="77777777" w:rsidR="00D743F5" w:rsidRPr="0033032C" w:rsidRDefault="00D743F5" w:rsidP="00D743F5">
      <w:pPr>
        <w:pStyle w:val="FootnoteText"/>
      </w:pPr>
      <w:r w:rsidRPr="00B932D7">
        <w:rPr>
          <w:rStyle w:val="FootnoteReference"/>
          <w:rFonts w:ascii="Times New Roman" w:hAnsi="Times New Roman"/>
        </w:rPr>
        <w:footnoteRef/>
      </w:r>
      <w:r w:rsidRPr="00B932D7">
        <w:t xml:space="preserve"> Petition at </w:t>
      </w:r>
      <w:r>
        <w:t>15</w:t>
      </w:r>
      <w:r w:rsidRPr="00B932D7">
        <w:t xml:space="preserve">-16, citing </w:t>
      </w:r>
      <w:r>
        <w:rPr>
          <w:i/>
        </w:rPr>
        <w:t xml:space="preserve">Harry C. Martin, Esq., </w:t>
      </w:r>
      <w:r>
        <w:t xml:space="preserve">Letter, 20 FCC Rcd 12357, 12360 (MB 2005) (curative minor amendment to LPFM application permitted); </w:t>
      </w:r>
      <w:r>
        <w:rPr>
          <w:i/>
        </w:rPr>
        <w:t xml:space="preserve">James River Broad. v. FCC, </w:t>
      </w:r>
      <w:r>
        <w:t>399 F.2d 581 (</w:t>
      </w:r>
      <w:r>
        <w:rPr>
          <w:i/>
        </w:rPr>
        <w:t xml:space="preserve">per curiam, </w:t>
      </w:r>
      <w:r>
        <w:t xml:space="preserve">D.C. Cir. 1968) (correction of “minor infraction” in AM application permitted before hearing designation); </w:t>
      </w:r>
      <w:r>
        <w:rPr>
          <w:i/>
        </w:rPr>
        <w:t xml:space="preserve">Donald E. Martin, Esq., </w:t>
      </w:r>
      <w:r>
        <w:t xml:space="preserve">Letter, 27 FCC Rcd 12149, 12125, n.23 (MB 2012) (amendment to NCE FM application permitted pursuant to 47 CFR § 73.3522(b)(2), which specifies that amendments must be minor); </w:t>
      </w:r>
      <w:r>
        <w:rPr>
          <w:i/>
        </w:rPr>
        <w:t xml:space="preserve">Geoffrey Bentley, Esq., </w:t>
      </w:r>
      <w:r>
        <w:t>Letter,</w:t>
      </w:r>
      <w:r>
        <w:rPr>
          <w:i/>
        </w:rPr>
        <w:t xml:space="preserve"> </w:t>
      </w:r>
      <w:r>
        <w:t>27 FCC Rcd 13377, 13379 (MB 2012) (amendment to NCE FM application was minor where it reflected that original party with a minority interest acquired a majority interest)</w:t>
      </w:r>
      <w:r w:rsidRPr="00B932D7">
        <w:t xml:space="preserve">.  </w:t>
      </w:r>
      <w:r>
        <w:rPr>
          <w:i/>
        </w:rPr>
        <w:t>Compare Urbanmedia One,</w:t>
      </w:r>
      <w:r w:rsidR="00BB3D24">
        <w:t xml:space="preserve"> Order on Recon., 32 FCC Rcd 5264, </w:t>
      </w:r>
      <w:r w:rsidR="00DF0336">
        <w:t>526</w:t>
      </w:r>
      <w:r w:rsidR="002F4058">
        <w:t xml:space="preserve">6, </w:t>
      </w:r>
      <w:r w:rsidR="00BB3D24">
        <w:t>para. 3 (</w:t>
      </w:r>
      <w:r>
        <w:t xml:space="preserve">2017) (LPFM major site change amendment permitted during settlement window could not be undone by major change outside of window seeking to return to original site).  </w:t>
      </w:r>
    </w:p>
  </w:footnote>
  <w:footnote w:id="36">
    <w:p w14:paraId="64B62F81" w14:textId="79459F84" w:rsidR="00EE6C7A" w:rsidRPr="00AA7EF9" w:rsidRDefault="00EE6C7A" w:rsidP="00EE6C7A">
      <w:pPr>
        <w:pStyle w:val="FootnoteText"/>
      </w:pPr>
      <w:r>
        <w:rPr>
          <w:rStyle w:val="FootnoteReference"/>
        </w:rPr>
        <w:footnoteRef/>
      </w:r>
      <w:r>
        <w:t xml:space="preserve"> </w:t>
      </w:r>
      <w:r>
        <w:rPr>
          <w:i/>
        </w:rPr>
        <w:t xml:space="preserve">See </w:t>
      </w:r>
      <w:r w:rsidRPr="00AA7EF9">
        <w:rPr>
          <w:i/>
        </w:rPr>
        <w:t>Big Wyoming Broad. Corp</w:t>
      </w:r>
      <w:r w:rsidRPr="00AA7EF9">
        <w:t xml:space="preserve">., </w:t>
      </w:r>
      <w:r w:rsidRPr="000069D9">
        <w:t>Memorandum</w:t>
      </w:r>
      <w:r w:rsidRPr="00AA7EF9">
        <w:t xml:space="preserve"> </w:t>
      </w:r>
      <w:r w:rsidRPr="000069D9">
        <w:t>Opinion</w:t>
      </w:r>
      <w:r w:rsidRPr="00AA7EF9">
        <w:t xml:space="preserve"> and </w:t>
      </w:r>
      <w:r w:rsidRPr="000069D9">
        <w:t>Order</w:t>
      </w:r>
      <w:r w:rsidRPr="00AA7EF9">
        <w:t xml:space="preserve">, 2 FCC Rcd 3493, 3493, para.6 (1987) (amendment </w:t>
      </w:r>
      <w:r w:rsidRPr="000069D9">
        <w:t>cannot</w:t>
      </w:r>
      <w:r w:rsidRPr="00AA7EF9">
        <w:t xml:space="preserve"> cure </w:t>
      </w:r>
      <w:r w:rsidRPr="000069D9">
        <w:t>violation</w:t>
      </w:r>
      <w:r w:rsidRPr="00AA7EF9">
        <w:t xml:space="preserve"> </w:t>
      </w:r>
      <w:r w:rsidRPr="000069D9">
        <w:t>which</w:t>
      </w:r>
      <w:r w:rsidRPr="00AA7EF9">
        <w:t xml:space="preserve"> has </w:t>
      </w:r>
      <w:r w:rsidRPr="000069D9">
        <w:t>already</w:t>
      </w:r>
      <w:r w:rsidRPr="00AA7EF9">
        <w:t xml:space="preserve"> </w:t>
      </w:r>
      <w:r w:rsidRPr="000069D9">
        <w:t>occurred</w:t>
      </w:r>
      <w:r w:rsidRPr="00AA7E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A463" w14:textId="77777777" w:rsidR="002C2E62" w:rsidRDefault="002C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63A4" w14:textId="77777777" w:rsidR="001873D5" w:rsidRDefault="001873D5">
    <w:pPr>
      <w:tabs>
        <w:tab w:val="center" w:pos="4680"/>
        <w:tab w:val="right" w:pos="9360"/>
      </w:tabs>
      <w:suppressAutoHyphens/>
      <w:spacing w:line="227" w:lineRule="auto"/>
      <w:jc w:val="both"/>
      <w:rPr>
        <w:rFonts w:ascii="Calisto MT" w:hAnsi="Calisto MT"/>
        <w:spacing w:val="-2"/>
      </w:rPr>
    </w:pPr>
  </w:p>
  <w:p w14:paraId="65B07101" w14:textId="77777777" w:rsidR="001873D5" w:rsidRDefault="001873D5">
    <w:pPr>
      <w:tabs>
        <w:tab w:val="left" w:pos="-720"/>
      </w:tabs>
      <w:suppressAutoHyphens/>
      <w:spacing w:line="19" w:lineRule="exact"/>
      <w:jc w:val="both"/>
      <w:rPr>
        <w:sz w:val="10"/>
      </w:rPr>
    </w:pPr>
  </w:p>
  <w:p w14:paraId="3CEC18D1" w14:textId="77777777" w:rsidR="001873D5" w:rsidRDefault="001873D5">
    <w:pPr>
      <w:tabs>
        <w:tab w:val="left" w:pos="-720"/>
      </w:tabs>
      <w:suppressAutoHyphens/>
      <w:spacing w:line="19" w:lineRule="exact"/>
      <w:jc w:val="both"/>
      <w:rPr>
        <w:sz w:val="10"/>
      </w:rPr>
    </w:pPr>
  </w:p>
  <w:p w14:paraId="4880E184" w14:textId="77777777" w:rsidR="001873D5" w:rsidRDefault="001873D5">
    <w:pPr>
      <w:tabs>
        <w:tab w:val="left" w:pos="-720"/>
      </w:tabs>
      <w:suppressAutoHyphens/>
      <w:spacing w:line="19" w:lineRule="exact"/>
      <w:jc w:val="both"/>
      <w:rPr>
        <w:sz w:val="10"/>
      </w:rPr>
    </w:pPr>
  </w:p>
  <w:p w14:paraId="13586BC2" w14:textId="77777777" w:rsidR="001873D5" w:rsidRDefault="001873D5">
    <w:pPr>
      <w:tabs>
        <w:tab w:val="left" w:pos="-720"/>
      </w:tabs>
      <w:suppressAutoHyphens/>
      <w:spacing w:line="19" w:lineRule="exact"/>
      <w:jc w:val="both"/>
      <w:rPr>
        <w:sz w:val="10"/>
      </w:rPr>
    </w:pPr>
  </w:p>
  <w:p w14:paraId="422AAD0B" w14:textId="77777777" w:rsidR="001873D5" w:rsidRDefault="001873D5">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8FC" w14:textId="77777777" w:rsidR="001873D5" w:rsidRDefault="00683739">
    <w:pPr>
      <w:pStyle w:val="Heading2"/>
      <w:spacing w:line="240" w:lineRule="auto"/>
      <w:rPr>
        <w:rFonts w:ascii="CG Times" w:hAnsi="CG Times"/>
        <w:color w:val="000000"/>
      </w:rPr>
    </w:pPr>
    <w:r>
      <w:rPr>
        <w:noProof/>
      </w:rPr>
      <w:drawing>
        <wp:anchor distT="0" distB="0" distL="114300" distR="114300" simplePos="0" relativeHeight="251657728" behindDoc="1" locked="0" layoutInCell="0" allowOverlap="1" wp14:anchorId="0695EB86" wp14:editId="6B68A2AB">
          <wp:simplePos x="0" y="0"/>
          <wp:positionH relativeFrom="column">
            <wp:posOffset>-361950</wp:posOffset>
          </wp:positionH>
          <wp:positionV relativeFrom="paragraph">
            <wp:posOffset>0</wp:posOffset>
          </wp:positionV>
          <wp:extent cx="865505"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1873D5">
      <w:rPr>
        <w:rFonts w:ascii="CG Times" w:hAnsi="CG Times"/>
        <w:color w:val="000000"/>
      </w:rPr>
      <w:t>Federal Communications Commission</w:t>
    </w:r>
  </w:p>
  <w:p w14:paraId="4C56494A" w14:textId="77777777" w:rsidR="001873D5" w:rsidRDefault="001873D5">
    <w:pPr>
      <w:jc w:val="center"/>
      <w:rPr>
        <w:rFonts w:ascii="CG Times" w:hAnsi="CG Times"/>
        <w:color w:val="000000"/>
        <w:spacing w:val="-2"/>
      </w:rPr>
    </w:pPr>
    <w:r>
      <w:rPr>
        <w:rFonts w:ascii="CG Times" w:hAnsi="CG Times"/>
        <w:color w:val="000000"/>
        <w:spacing w:val="-2"/>
      </w:rPr>
      <w:t>Washington, D.C. 20554</w:t>
    </w:r>
  </w:p>
  <w:p w14:paraId="25466923" w14:textId="77777777" w:rsidR="001873D5" w:rsidRDefault="001873D5">
    <w:pPr>
      <w:jc w:val="center"/>
      <w:rPr>
        <w:rFonts w:ascii="CG Times" w:hAnsi="CG Times"/>
        <w:color w:val="000000"/>
        <w:spacing w:val="-2"/>
      </w:rPr>
    </w:pPr>
  </w:p>
  <w:p w14:paraId="193C219C" w14:textId="267775C4" w:rsidR="001873D5" w:rsidRDefault="00CB6755">
    <w:pPr>
      <w:jc w:val="center"/>
      <w:rPr>
        <w:color w:val="000000"/>
        <w:spacing w:val="-2"/>
        <w:sz w:val="22"/>
      </w:rPr>
    </w:pPr>
    <w:r>
      <w:rPr>
        <w:color w:val="000000"/>
        <w:spacing w:val="-2"/>
        <w:sz w:val="22"/>
      </w:rPr>
      <w:t>Dec</w:t>
    </w:r>
    <w:r w:rsidR="00630C11">
      <w:rPr>
        <w:color w:val="000000"/>
        <w:spacing w:val="-2"/>
        <w:sz w:val="22"/>
      </w:rPr>
      <w:t>ember</w:t>
    </w:r>
    <w:r w:rsidR="001873D5">
      <w:rPr>
        <w:color w:val="000000"/>
        <w:spacing w:val="-2"/>
        <w:sz w:val="22"/>
      </w:rPr>
      <w:t xml:space="preserve"> </w:t>
    </w:r>
    <w:r w:rsidR="00AA7EF9">
      <w:rPr>
        <w:color w:val="000000"/>
        <w:spacing w:val="-2"/>
        <w:sz w:val="22"/>
      </w:rPr>
      <w:t>6</w:t>
    </w:r>
    <w:r w:rsidR="001873D5">
      <w:rPr>
        <w:color w:val="000000"/>
        <w:spacing w:val="-2"/>
        <w:sz w:val="22"/>
      </w:rPr>
      <w:t>, 2017</w:t>
    </w:r>
  </w:p>
  <w:p w14:paraId="32E2127F" w14:textId="77777777" w:rsidR="001873D5" w:rsidRDefault="001873D5" w:rsidP="005F51DA">
    <w:pPr>
      <w:tabs>
        <w:tab w:val="left" w:pos="4320"/>
        <w:tab w:val="center" w:pos="4680"/>
      </w:tabs>
      <w:rPr>
        <w:spacing w:val="-2"/>
        <w:sz w:val="20"/>
      </w:rPr>
    </w:pPr>
  </w:p>
  <w:p w14:paraId="2A337D33" w14:textId="77777777" w:rsidR="00870F3E" w:rsidRDefault="001873D5">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1206D41" w14:textId="77777777" w:rsidR="00E84CFF" w:rsidRDefault="00AD33E7" w:rsidP="00870F3E">
    <w:pPr>
      <w:ind w:left="5760" w:firstLine="720"/>
      <w:rPr>
        <w:b/>
        <w:sz w:val="20"/>
      </w:rPr>
    </w:pPr>
    <w:r>
      <w:rPr>
        <w:b/>
        <w:sz w:val="20"/>
      </w:rPr>
      <w:t xml:space="preserve">DA </w:t>
    </w:r>
    <w:r w:rsidR="00E84CFF" w:rsidRPr="00E84CFF">
      <w:rPr>
        <w:b/>
        <w:sz w:val="20"/>
      </w:rPr>
      <w:t xml:space="preserve">17-1176 </w:t>
    </w:r>
  </w:p>
  <w:p w14:paraId="25EC6E27" w14:textId="12898783" w:rsidR="001873D5" w:rsidRPr="00D65FD0" w:rsidRDefault="001873D5" w:rsidP="00870F3E">
    <w:pPr>
      <w:ind w:left="5760" w:firstLine="720"/>
      <w:rPr>
        <w:sz w:val="20"/>
      </w:rPr>
    </w:pPr>
    <w:r>
      <w:rPr>
        <w:i/>
        <w:sz w:val="20"/>
      </w:rPr>
      <w:t>In Reply Refer to:</w:t>
    </w:r>
  </w:p>
  <w:p w14:paraId="7A4A83BD" w14:textId="4CF2A736" w:rsidR="001873D5" w:rsidRDefault="001873D5">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1800B3-IB</w:t>
    </w:r>
  </w:p>
  <w:p w14:paraId="0F1FC42C" w14:textId="4FEDAAAE" w:rsidR="00CB6755" w:rsidRPr="00CB6755" w:rsidRDefault="00CB6755" w:rsidP="00CB6755">
    <w:pPr>
      <w:rPr>
        <w:sz w:val="20"/>
      </w:rPr>
    </w:pPr>
    <w:r w:rsidRPr="00CB6755">
      <w:rPr>
        <w:sz w:val="20"/>
      </w:rPr>
      <w:tab/>
    </w:r>
    <w:r w:rsidRPr="00CB6755">
      <w:rPr>
        <w:sz w:val="20"/>
      </w:rPr>
      <w:tab/>
    </w:r>
    <w:r w:rsidRPr="00CB6755">
      <w:rPr>
        <w:sz w:val="20"/>
      </w:rPr>
      <w:tab/>
    </w:r>
    <w:r w:rsidRPr="00CB6755">
      <w:rPr>
        <w:sz w:val="20"/>
      </w:rPr>
      <w:tab/>
    </w:r>
    <w:r w:rsidRPr="00CB6755">
      <w:rPr>
        <w:sz w:val="20"/>
      </w:rPr>
      <w:tab/>
    </w:r>
    <w:r w:rsidRPr="00CB6755">
      <w:rPr>
        <w:sz w:val="20"/>
      </w:rPr>
      <w:tab/>
    </w:r>
    <w:r w:rsidRPr="00CB6755">
      <w:rPr>
        <w:sz w:val="20"/>
      </w:rPr>
      <w:tab/>
    </w:r>
    <w:r w:rsidRPr="00CB6755">
      <w:rPr>
        <w:sz w:val="20"/>
      </w:rPr>
      <w:tab/>
    </w:r>
    <w:r w:rsidRPr="00CB6755">
      <w:rPr>
        <w:sz w:val="20"/>
      </w:rPr>
      <w:tab/>
      <w:t>Released:</w:t>
    </w:r>
    <w:r w:rsidR="00AA7EF9">
      <w:rPr>
        <w:sz w:val="20"/>
      </w:rPr>
      <w:t xml:space="preserve"> December 6, 2017</w:t>
    </w:r>
  </w:p>
  <w:p w14:paraId="1405A06E" w14:textId="77777777" w:rsidR="00CB6755" w:rsidRDefault="00CB6755">
    <w:pPr>
      <w:rPr>
        <w:sz w:val="20"/>
      </w:rPr>
    </w:pPr>
  </w:p>
  <w:p w14:paraId="17ACE4FF" w14:textId="77777777" w:rsidR="001873D5" w:rsidRDefault="001873D5">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1CD"/>
    <w:multiLevelType w:val="singleLevel"/>
    <w:tmpl w:val="D478B562"/>
    <w:lvl w:ilvl="0">
      <w:start w:val="1"/>
      <w:numFmt w:val="decimal"/>
      <w:lvlText w:val="%1."/>
      <w:lvlJc w:val="left"/>
      <w:pPr>
        <w:tabs>
          <w:tab w:val="num" w:pos="1080"/>
        </w:tabs>
        <w:ind w:left="1080" w:hanging="360"/>
      </w:pPr>
    </w:lvl>
  </w:abstractNum>
  <w:abstractNum w:abstractNumId="1">
    <w:nsid w:val="14A6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BD532B"/>
    <w:multiLevelType w:val="hybridMultilevel"/>
    <w:tmpl w:val="473C1960"/>
    <w:lvl w:ilvl="0" w:tplc="2E06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11D4D"/>
    <w:multiLevelType w:val="hybridMultilevel"/>
    <w:tmpl w:val="94309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75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77303F"/>
    <w:multiLevelType w:val="hybridMultilevel"/>
    <w:tmpl w:val="52D2B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9B2E55"/>
    <w:multiLevelType w:val="hybridMultilevel"/>
    <w:tmpl w:val="715C31F2"/>
    <w:lvl w:ilvl="0" w:tplc="BA82BDEA">
      <w:start w:val="1"/>
      <w:numFmt w:val="lowerLetter"/>
      <w:lvlText w:val="(%1)"/>
      <w:lvlJc w:val="left"/>
      <w:pPr>
        <w:tabs>
          <w:tab w:val="num" w:pos="1815"/>
        </w:tabs>
        <w:ind w:left="1815" w:hanging="37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47C33E15"/>
    <w:multiLevelType w:val="hybridMultilevel"/>
    <w:tmpl w:val="AF889508"/>
    <w:lvl w:ilvl="0" w:tplc="BEDEF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72610C"/>
    <w:multiLevelType w:val="multilevel"/>
    <w:tmpl w:val="BE2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60585"/>
    <w:multiLevelType w:val="hybridMultilevel"/>
    <w:tmpl w:val="52F625F6"/>
    <w:lvl w:ilvl="0" w:tplc="F7841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8D66A8D"/>
    <w:multiLevelType w:val="singleLevel"/>
    <w:tmpl w:val="D478B562"/>
    <w:lvl w:ilvl="0">
      <w:start w:val="1"/>
      <w:numFmt w:val="decimal"/>
      <w:lvlText w:val="%1."/>
      <w:lvlJc w:val="left"/>
      <w:pPr>
        <w:tabs>
          <w:tab w:val="num" w:pos="1080"/>
        </w:tabs>
        <w:ind w:left="1080" w:hanging="360"/>
      </w:pPr>
    </w:lvl>
  </w:abstractNum>
  <w:num w:numId="1">
    <w:abstractNumId w:val="2"/>
  </w:num>
  <w:num w:numId="2">
    <w:abstractNumId w:val="11"/>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 w:ilvl="0">
        <w:start w:val="1"/>
        <w:numFmt w:val="lowerLetter"/>
        <w:lvlText w:val="%1)"/>
        <w:lvlJc w:val="left"/>
        <w:pPr>
          <w:ind w:left="360" w:hanging="360"/>
        </w:pPr>
        <w:rPr>
          <w:rFonts w:hint="default"/>
        </w:rPr>
      </w:lvl>
    </w:lvlOverride>
  </w:num>
  <w:num w:numId="6">
    <w:abstractNumId w:val="0"/>
  </w:num>
  <w:num w:numId="7">
    <w:abstractNumId w:val="1"/>
  </w:num>
  <w:num w:numId="8">
    <w:abstractNumId w:val="7"/>
  </w:num>
  <w:num w:numId="9">
    <w:abstractNumId w:val="1"/>
  </w:num>
  <w:num w:numId="10">
    <w:abstractNumId w:val="4"/>
  </w:num>
  <w:num w:numId="11">
    <w:abstractNumId w:val="3"/>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1"/>
  <w:activeWritingStyle w:appName="MSWord" w:lang="en-US" w:vendorID="64" w:dllVersion="6" w:nlCheck="1" w:checkStyle="1"/>
  <w:activeWritingStyle w:appName="MSWord" w:lang="es-E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0"/>
    <w:rsid w:val="00002153"/>
    <w:rsid w:val="000040BB"/>
    <w:rsid w:val="000063E0"/>
    <w:rsid w:val="00006929"/>
    <w:rsid w:val="000069D9"/>
    <w:rsid w:val="00010200"/>
    <w:rsid w:val="00010EC3"/>
    <w:rsid w:val="00013654"/>
    <w:rsid w:val="00024B1F"/>
    <w:rsid w:val="00024FFA"/>
    <w:rsid w:val="000275E0"/>
    <w:rsid w:val="00031429"/>
    <w:rsid w:val="00032AF5"/>
    <w:rsid w:val="00034C97"/>
    <w:rsid w:val="000352F1"/>
    <w:rsid w:val="00040A91"/>
    <w:rsid w:val="000412BC"/>
    <w:rsid w:val="000436E9"/>
    <w:rsid w:val="0004386A"/>
    <w:rsid w:val="00044B23"/>
    <w:rsid w:val="00045A74"/>
    <w:rsid w:val="00050443"/>
    <w:rsid w:val="000505FB"/>
    <w:rsid w:val="00052049"/>
    <w:rsid w:val="00054C8D"/>
    <w:rsid w:val="000600AA"/>
    <w:rsid w:val="0006409C"/>
    <w:rsid w:val="00064371"/>
    <w:rsid w:val="0006518A"/>
    <w:rsid w:val="00065363"/>
    <w:rsid w:val="00066A01"/>
    <w:rsid w:val="00067B56"/>
    <w:rsid w:val="000710E3"/>
    <w:rsid w:val="00072318"/>
    <w:rsid w:val="0007674E"/>
    <w:rsid w:val="00077517"/>
    <w:rsid w:val="000806EF"/>
    <w:rsid w:val="00082C65"/>
    <w:rsid w:val="0008429F"/>
    <w:rsid w:val="00087579"/>
    <w:rsid w:val="0009009E"/>
    <w:rsid w:val="000933F2"/>
    <w:rsid w:val="000943AF"/>
    <w:rsid w:val="00094633"/>
    <w:rsid w:val="000A1973"/>
    <w:rsid w:val="000A4BA0"/>
    <w:rsid w:val="000A5AE2"/>
    <w:rsid w:val="000A5B2B"/>
    <w:rsid w:val="000B16B7"/>
    <w:rsid w:val="000B6715"/>
    <w:rsid w:val="000B742C"/>
    <w:rsid w:val="000B78E8"/>
    <w:rsid w:val="000B7FC7"/>
    <w:rsid w:val="000C3165"/>
    <w:rsid w:val="000C5328"/>
    <w:rsid w:val="000D1082"/>
    <w:rsid w:val="000D14D2"/>
    <w:rsid w:val="000D3A20"/>
    <w:rsid w:val="000D5513"/>
    <w:rsid w:val="000D63E6"/>
    <w:rsid w:val="000D6A84"/>
    <w:rsid w:val="000E1235"/>
    <w:rsid w:val="000E27D7"/>
    <w:rsid w:val="000E5B46"/>
    <w:rsid w:val="000E6B58"/>
    <w:rsid w:val="000E7565"/>
    <w:rsid w:val="000F05A4"/>
    <w:rsid w:val="000F6306"/>
    <w:rsid w:val="00100D8E"/>
    <w:rsid w:val="00100F81"/>
    <w:rsid w:val="00103375"/>
    <w:rsid w:val="001037D8"/>
    <w:rsid w:val="00104D00"/>
    <w:rsid w:val="00104D08"/>
    <w:rsid w:val="00105380"/>
    <w:rsid w:val="00106701"/>
    <w:rsid w:val="001068A4"/>
    <w:rsid w:val="00110647"/>
    <w:rsid w:val="00113BF3"/>
    <w:rsid w:val="0011434F"/>
    <w:rsid w:val="00114479"/>
    <w:rsid w:val="00114500"/>
    <w:rsid w:val="00114894"/>
    <w:rsid w:val="00117154"/>
    <w:rsid w:val="00122764"/>
    <w:rsid w:val="00123319"/>
    <w:rsid w:val="00123DDF"/>
    <w:rsid w:val="00124F4F"/>
    <w:rsid w:val="00130E7B"/>
    <w:rsid w:val="00133D8C"/>
    <w:rsid w:val="0013568A"/>
    <w:rsid w:val="0013750B"/>
    <w:rsid w:val="00143D26"/>
    <w:rsid w:val="0014580A"/>
    <w:rsid w:val="0014626B"/>
    <w:rsid w:val="00150669"/>
    <w:rsid w:val="00154236"/>
    <w:rsid w:val="00155BA1"/>
    <w:rsid w:val="001619CB"/>
    <w:rsid w:val="00162BDD"/>
    <w:rsid w:val="00163173"/>
    <w:rsid w:val="00163760"/>
    <w:rsid w:val="00165163"/>
    <w:rsid w:val="001668C2"/>
    <w:rsid w:val="001676C1"/>
    <w:rsid w:val="001728D2"/>
    <w:rsid w:val="0017308A"/>
    <w:rsid w:val="00175B5D"/>
    <w:rsid w:val="00185B74"/>
    <w:rsid w:val="001873D5"/>
    <w:rsid w:val="0018759C"/>
    <w:rsid w:val="00192D37"/>
    <w:rsid w:val="00193462"/>
    <w:rsid w:val="00195C03"/>
    <w:rsid w:val="001971B1"/>
    <w:rsid w:val="00197587"/>
    <w:rsid w:val="001A0D9F"/>
    <w:rsid w:val="001A10E0"/>
    <w:rsid w:val="001A5897"/>
    <w:rsid w:val="001A58EC"/>
    <w:rsid w:val="001A5AAB"/>
    <w:rsid w:val="001A63AF"/>
    <w:rsid w:val="001A65E0"/>
    <w:rsid w:val="001A7E1D"/>
    <w:rsid w:val="001B1BF8"/>
    <w:rsid w:val="001B33A4"/>
    <w:rsid w:val="001B43D6"/>
    <w:rsid w:val="001B56D4"/>
    <w:rsid w:val="001C251C"/>
    <w:rsid w:val="001C5B0B"/>
    <w:rsid w:val="001C5E53"/>
    <w:rsid w:val="001C6771"/>
    <w:rsid w:val="001D1BC5"/>
    <w:rsid w:val="001D53A0"/>
    <w:rsid w:val="001E03F2"/>
    <w:rsid w:val="001E217A"/>
    <w:rsid w:val="001E2DC4"/>
    <w:rsid w:val="001E3E0B"/>
    <w:rsid w:val="001E7A25"/>
    <w:rsid w:val="001E7C50"/>
    <w:rsid w:val="001E7DD9"/>
    <w:rsid w:val="001F1CA2"/>
    <w:rsid w:val="001F20E2"/>
    <w:rsid w:val="001F2E82"/>
    <w:rsid w:val="001F4179"/>
    <w:rsid w:val="0020093A"/>
    <w:rsid w:val="0020213F"/>
    <w:rsid w:val="002023FD"/>
    <w:rsid w:val="0020240E"/>
    <w:rsid w:val="002038D0"/>
    <w:rsid w:val="00206026"/>
    <w:rsid w:val="00206A3A"/>
    <w:rsid w:val="00210AEF"/>
    <w:rsid w:val="00211481"/>
    <w:rsid w:val="002135A7"/>
    <w:rsid w:val="00216286"/>
    <w:rsid w:val="00223E33"/>
    <w:rsid w:val="0022525D"/>
    <w:rsid w:val="00225FAE"/>
    <w:rsid w:val="002318D7"/>
    <w:rsid w:val="002323BC"/>
    <w:rsid w:val="002348C9"/>
    <w:rsid w:val="002436D7"/>
    <w:rsid w:val="002436EB"/>
    <w:rsid w:val="002437B7"/>
    <w:rsid w:val="00245419"/>
    <w:rsid w:val="0024678D"/>
    <w:rsid w:val="00246C75"/>
    <w:rsid w:val="002473B4"/>
    <w:rsid w:val="00247755"/>
    <w:rsid w:val="002517E1"/>
    <w:rsid w:val="00255810"/>
    <w:rsid w:val="00257A5B"/>
    <w:rsid w:val="00260BE0"/>
    <w:rsid w:val="0026612D"/>
    <w:rsid w:val="002678BC"/>
    <w:rsid w:val="00270476"/>
    <w:rsid w:val="00271609"/>
    <w:rsid w:val="00272FFB"/>
    <w:rsid w:val="00277E42"/>
    <w:rsid w:val="00282DFC"/>
    <w:rsid w:val="002854F9"/>
    <w:rsid w:val="002859ED"/>
    <w:rsid w:val="002A2C13"/>
    <w:rsid w:val="002A300A"/>
    <w:rsid w:val="002A48CA"/>
    <w:rsid w:val="002A7DE2"/>
    <w:rsid w:val="002B0480"/>
    <w:rsid w:val="002B0FEE"/>
    <w:rsid w:val="002B1978"/>
    <w:rsid w:val="002B30AA"/>
    <w:rsid w:val="002B361E"/>
    <w:rsid w:val="002B37A5"/>
    <w:rsid w:val="002B67C8"/>
    <w:rsid w:val="002C2E62"/>
    <w:rsid w:val="002C3777"/>
    <w:rsid w:val="002C4492"/>
    <w:rsid w:val="002D0776"/>
    <w:rsid w:val="002D23C3"/>
    <w:rsid w:val="002D3461"/>
    <w:rsid w:val="002D3E91"/>
    <w:rsid w:val="002D6B4E"/>
    <w:rsid w:val="002D7B92"/>
    <w:rsid w:val="002E249A"/>
    <w:rsid w:val="002E2626"/>
    <w:rsid w:val="002E6FC8"/>
    <w:rsid w:val="002F1385"/>
    <w:rsid w:val="002F195A"/>
    <w:rsid w:val="002F4058"/>
    <w:rsid w:val="002F7799"/>
    <w:rsid w:val="0030512C"/>
    <w:rsid w:val="00306122"/>
    <w:rsid w:val="00306CD8"/>
    <w:rsid w:val="00307D4E"/>
    <w:rsid w:val="0031001D"/>
    <w:rsid w:val="00310609"/>
    <w:rsid w:val="0031272D"/>
    <w:rsid w:val="00313E42"/>
    <w:rsid w:val="0031700B"/>
    <w:rsid w:val="003263A3"/>
    <w:rsid w:val="0032666F"/>
    <w:rsid w:val="0033032C"/>
    <w:rsid w:val="00331254"/>
    <w:rsid w:val="00334B2D"/>
    <w:rsid w:val="0033760D"/>
    <w:rsid w:val="003420BF"/>
    <w:rsid w:val="003420FE"/>
    <w:rsid w:val="00344376"/>
    <w:rsid w:val="00345828"/>
    <w:rsid w:val="00346636"/>
    <w:rsid w:val="00346F36"/>
    <w:rsid w:val="00351EAF"/>
    <w:rsid w:val="003535AD"/>
    <w:rsid w:val="0035615E"/>
    <w:rsid w:val="0035738B"/>
    <w:rsid w:val="003604B0"/>
    <w:rsid w:val="003616D1"/>
    <w:rsid w:val="003645A2"/>
    <w:rsid w:val="00372BEB"/>
    <w:rsid w:val="00372E2B"/>
    <w:rsid w:val="00373118"/>
    <w:rsid w:val="003759F8"/>
    <w:rsid w:val="003777B2"/>
    <w:rsid w:val="00380FAC"/>
    <w:rsid w:val="0038125C"/>
    <w:rsid w:val="0038147F"/>
    <w:rsid w:val="0038261A"/>
    <w:rsid w:val="00383587"/>
    <w:rsid w:val="003842CD"/>
    <w:rsid w:val="0038665D"/>
    <w:rsid w:val="003903DC"/>
    <w:rsid w:val="003933C1"/>
    <w:rsid w:val="003941DC"/>
    <w:rsid w:val="00394557"/>
    <w:rsid w:val="00394AE9"/>
    <w:rsid w:val="0039634C"/>
    <w:rsid w:val="003963AB"/>
    <w:rsid w:val="003A033C"/>
    <w:rsid w:val="003A10A1"/>
    <w:rsid w:val="003A465A"/>
    <w:rsid w:val="003A4A8B"/>
    <w:rsid w:val="003A5939"/>
    <w:rsid w:val="003B1472"/>
    <w:rsid w:val="003B2073"/>
    <w:rsid w:val="003B3B92"/>
    <w:rsid w:val="003B4327"/>
    <w:rsid w:val="003B6C32"/>
    <w:rsid w:val="003C1577"/>
    <w:rsid w:val="003C1FFE"/>
    <w:rsid w:val="003C24CF"/>
    <w:rsid w:val="003C5AF9"/>
    <w:rsid w:val="003C5B02"/>
    <w:rsid w:val="003C7F17"/>
    <w:rsid w:val="003D4264"/>
    <w:rsid w:val="003E3B30"/>
    <w:rsid w:val="003E4F35"/>
    <w:rsid w:val="003E735F"/>
    <w:rsid w:val="003E7B59"/>
    <w:rsid w:val="003F236C"/>
    <w:rsid w:val="003F2A4D"/>
    <w:rsid w:val="003F304D"/>
    <w:rsid w:val="003F5DBC"/>
    <w:rsid w:val="004007E2"/>
    <w:rsid w:val="00401A86"/>
    <w:rsid w:val="00402FCE"/>
    <w:rsid w:val="00405B64"/>
    <w:rsid w:val="00406490"/>
    <w:rsid w:val="00406952"/>
    <w:rsid w:val="0040783D"/>
    <w:rsid w:val="00407A72"/>
    <w:rsid w:val="00410603"/>
    <w:rsid w:val="0041085D"/>
    <w:rsid w:val="004109CC"/>
    <w:rsid w:val="004115ED"/>
    <w:rsid w:val="004124D1"/>
    <w:rsid w:val="00413B21"/>
    <w:rsid w:val="00417881"/>
    <w:rsid w:val="004202EA"/>
    <w:rsid w:val="00422B17"/>
    <w:rsid w:val="00422E20"/>
    <w:rsid w:val="00422FC4"/>
    <w:rsid w:val="0042414B"/>
    <w:rsid w:val="00425A71"/>
    <w:rsid w:val="00430775"/>
    <w:rsid w:val="004371B1"/>
    <w:rsid w:val="004371E4"/>
    <w:rsid w:val="00440DAF"/>
    <w:rsid w:val="00443029"/>
    <w:rsid w:val="00446A48"/>
    <w:rsid w:val="00454B0D"/>
    <w:rsid w:val="00455024"/>
    <w:rsid w:val="00456E36"/>
    <w:rsid w:val="0046003A"/>
    <w:rsid w:val="00461197"/>
    <w:rsid w:val="004617BB"/>
    <w:rsid w:val="00461D82"/>
    <w:rsid w:val="00470C1E"/>
    <w:rsid w:val="00470EC7"/>
    <w:rsid w:val="0047673F"/>
    <w:rsid w:val="00480673"/>
    <w:rsid w:val="00480C74"/>
    <w:rsid w:val="00480EA9"/>
    <w:rsid w:val="00485887"/>
    <w:rsid w:val="004917D5"/>
    <w:rsid w:val="00493F52"/>
    <w:rsid w:val="0049660D"/>
    <w:rsid w:val="004A0F4D"/>
    <w:rsid w:val="004A25BD"/>
    <w:rsid w:val="004A2D57"/>
    <w:rsid w:val="004A3433"/>
    <w:rsid w:val="004A51E0"/>
    <w:rsid w:val="004A5E66"/>
    <w:rsid w:val="004A6A4A"/>
    <w:rsid w:val="004B2664"/>
    <w:rsid w:val="004B498B"/>
    <w:rsid w:val="004B4EF1"/>
    <w:rsid w:val="004B710A"/>
    <w:rsid w:val="004C350E"/>
    <w:rsid w:val="004C5514"/>
    <w:rsid w:val="004C7396"/>
    <w:rsid w:val="004D1C05"/>
    <w:rsid w:val="004D381B"/>
    <w:rsid w:val="004D5CF3"/>
    <w:rsid w:val="004D67E2"/>
    <w:rsid w:val="004D7755"/>
    <w:rsid w:val="004E24D4"/>
    <w:rsid w:val="004E2D7E"/>
    <w:rsid w:val="004E43B7"/>
    <w:rsid w:val="004E4CD2"/>
    <w:rsid w:val="004F0F4C"/>
    <w:rsid w:val="004F24C1"/>
    <w:rsid w:val="004F48B7"/>
    <w:rsid w:val="004F5821"/>
    <w:rsid w:val="0050089A"/>
    <w:rsid w:val="005018DE"/>
    <w:rsid w:val="00502651"/>
    <w:rsid w:val="005053DB"/>
    <w:rsid w:val="0050709A"/>
    <w:rsid w:val="00510B19"/>
    <w:rsid w:val="005130F4"/>
    <w:rsid w:val="0051447A"/>
    <w:rsid w:val="005172B5"/>
    <w:rsid w:val="00517823"/>
    <w:rsid w:val="005200C2"/>
    <w:rsid w:val="00520CF0"/>
    <w:rsid w:val="0052165C"/>
    <w:rsid w:val="00530D4F"/>
    <w:rsid w:val="00531678"/>
    <w:rsid w:val="00533177"/>
    <w:rsid w:val="00533611"/>
    <w:rsid w:val="00535F67"/>
    <w:rsid w:val="00536D7C"/>
    <w:rsid w:val="00540373"/>
    <w:rsid w:val="00540733"/>
    <w:rsid w:val="00541D2B"/>
    <w:rsid w:val="005421CF"/>
    <w:rsid w:val="005449B1"/>
    <w:rsid w:val="00547C34"/>
    <w:rsid w:val="00552B96"/>
    <w:rsid w:val="00552C86"/>
    <w:rsid w:val="005541C6"/>
    <w:rsid w:val="005564DA"/>
    <w:rsid w:val="0055786D"/>
    <w:rsid w:val="00557D8F"/>
    <w:rsid w:val="00560D42"/>
    <w:rsid w:val="00560DB9"/>
    <w:rsid w:val="0056150C"/>
    <w:rsid w:val="005616CD"/>
    <w:rsid w:val="00565165"/>
    <w:rsid w:val="00570056"/>
    <w:rsid w:val="00570CE3"/>
    <w:rsid w:val="00571E67"/>
    <w:rsid w:val="00572315"/>
    <w:rsid w:val="005724E2"/>
    <w:rsid w:val="00573B00"/>
    <w:rsid w:val="00575867"/>
    <w:rsid w:val="0057707D"/>
    <w:rsid w:val="00577903"/>
    <w:rsid w:val="00580223"/>
    <w:rsid w:val="00580A3C"/>
    <w:rsid w:val="00585579"/>
    <w:rsid w:val="0059130E"/>
    <w:rsid w:val="0059439F"/>
    <w:rsid w:val="005971F6"/>
    <w:rsid w:val="00597901"/>
    <w:rsid w:val="005A1BD0"/>
    <w:rsid w:val="005A38EF"/>
    <w:rsid w:val="005A5BAE"/>
    <w:rsid w:val="005B10BC"/>
    <w:rsid w:val="005B166F"/>
    <w:rsid w:val="005B2525"/>
    <w:rsid w:val="005B3360"/>
    <w:rsid w:val="005B583F"/>
    <w:rsid w:val="005C18FA"/>
    <w:rsid w:val="005C3FA3"/>
    <w:rsid w:val="005C5002"/>
    <w:rsid w:val="005C630F"/>
    <w:rsid w:val="005D1754"/>
    <w:rsid w:val="005D4825"/>
    <w:rsid w:val="005D50C8"/>
    <w:rsid w:val="005D559F"/>
    <w:rsid w:val="005D72A4"/>
    <w:rsid w:val="005D7F51"/>
    <w:rsid w:val="005E0F42"/>
    <w:rsid w:val="005E1751"/>
    <w:rsid w:val="005E17AA"/>
    <w:rsid w:val="005E1F7D"/>
    <w:rsid w:val="005E6076"/>
    <w:rsid w:val="005F07E0"/>
    <w:rsid w:val="005F0ACD"/>
    <w:rsid w:val="005F1493"/>
    <w:rsid w:val="005F51DA"/>
    <w:rsid w:val="005F5924"/>
    <w:rsid w:val="0060173F"/>
    <w:rsid w:val="006045B1"/>
    <w:rsid w:val="00604675"/>
    <w:rsid w:val="006048D5"/>
    <w:rsid w:val="00604EB5"/>
    <w:rsid w:val="00610FCD"/>
    <w:rsid w:val="00611093"/>
    <w:rsid w:val="006121DB"/>
    <w:rsid w:val="006122CA"/>
    <w:rsid w:val="006128DA"/>
    <w:rsid w:val="006128FC"/>
    <w:rsid w:val="006172F1"/>
    <w:rsid w:val="00621816"/>
    <w:rsid w:val="00621D70"/>
    <w:rsid w:val="00623AC7"/>
    <w:rsid w:val="00625B54"/>
    <w:rsid w:val="0063086D"/>
    <w:rsid w:val="00630C11"/>
    <w:rsid w:val="006325BA"/>
    <w:rsid w:val="006339FB"/>
    <w:rsid w:val="006359D7"/>
    <w:rsid w:val="00635AE0"/>
    <w:rsid w:val="00636B75"/>
    <w:rsid w:val="006428E6"/>
    <w:rsid w:val="00646580"/>
    <w:rsid w:val="00654747"/>
    <w:rsid w:val="006614CF"/>
    <w:rsid w:val="0066595C"/>
    <w:rsid w:val="00675539"/>
    <w:rsid w:val="006771A9"/>
    <w:rsid w:val="006815EC"/>
    <w:rsid w:val="00683739"/>
    <w:rsid w:val="00685434"/>
    <w:rsid w:val="006867C5"/>
    <w:rsid w:val="00687058"/>
    <w:rsid w:val="00687D0D"/>
    <w:rsid w:val="006905FB"/>
    <w:rsid w:val="006930E4"/>
    <w:rsid w:val="00694561"/>
    <w:rsid w:val="00695551"/>
    <w:rsid w:val="00697DF7"/>
    <w:rsid w:val="006A0DAC"/>
    <w:rsid w:val="006A0FB5"/>
    <w:rsid w:val="006A1018"/>
    <w:rsid w:val="006A26E6"/>
    <w:rsid w:val="006A6584"/>
    <w:rsid w:val="006B2271"/>
    <w:rsid w:val="006B25B2"/>
    <w:rsid w:val="006B6615"/>
    <w:rsid w:val="006B7D13"/>
    <w:rsid w:val="006C0B28"/>
    <w:rsid w:val="006C1418"/>
    <w:rsid w:val="006C2E67"/>
    <w:rsid w:val="006C3196"/>
    <w:rsid w:val="006C3922"/>
    <w:rsid w:val="006C3C69"/>
    <w:rsid w:val="006D1F20"/>
    <w:rsid w:val="006D22AF"/>
    <w:rsid w:val="006D255E"/>
    <w:rsid w:val="006E0D01"/>
    <w:rsid w:val="006E1ADF"/>
    <w:rsid w:val="006E24FA"/>
    <w:rsid w:val="006E7CDB"/>
    <w:rsid w:val="006E7DE2"/>
    <w:rsid w:val="006F03ED"/>
    <w:rsid w:val="006F11D6"/>
    <w:rsid w:val="006F3DCE"/>
    <w:rsid w:val="006F61B7"/>
    <w:rsid w:val="00704C82"/>
    <w:rsid w:val="00712E53"/>
    <w:rsid w:val="007208D1"/>
    <w:rsid w:val="00721F90"/>
    <w:rsid w:val="00722F9E"/>
    <w:rsid w:val="007242A2"/>
    <w:rsid w:val="0072616B"/>
    <w:rsid w:val="00733511"/>
    <w:rsid w:val="007339CE"/>
    <w:rsid w:val="00734111"/>
    <w:rsid w:val="0074054B"/>
    <w:rsid w:val="0074178C"/>
    <w:rsid w:val="00742039"/>
    <w:rsid w:val="0074288D"/>
    <w:rsid w:val="007445E4"/>
    <w:rsid w:val="00745453"/>
    <w:rsid w:val="007454DB"/>
    <w:rsid w:val="00746F07"/>
    <w:rsid w:val="007501FD"/>
    <w:rsid w:val="00750B46"/>
    <w:rsid w:val="007510E8"/>
    <w:rsid w:val="00754BD5"/>
    <w:rsid w:val="00756230"/>
    <w:rsid w:val="00756980"/>
    <w:rsid w:val="00761E47"/>
    <w:rsid w:val="0076296A"/>
    <w:rsid w:val="00763186"/>
    <w:rsid w:val="00765AFD"/>
    <w:rsid w:val="007677E9"/>
    <w:rsid w:val="00783D60"/>
    <w:rsid w:val="00793FC9"/>
    <w:rsid w:val="00794B46"/>
    <w:rsid w:val="00794D14"/>
    <w:rsid w:val="00795599"/>
    <w:rsid w:val="00796AD2"/>
    <w:rsid w:val="00796E42"/>
    <w:rsid w:val="007A179A"/>
    <w:rsid w:val="007A1EEB"/>
    <w:rsid w:val="007A391A"/>
    <w:rsid w:val="007A5329"/>
    <w:rsid w:val="007B121E"/>
    <w:rsid w:val="007B28DE"/>
    <w:rsid w:val="007B2FB2"/>
    <w:rsid w:val="007B747D"/>
    <w:rsid w:val="007C1C5B"/>
    <w:rsid w:val="007C3586"/>
    <w:rsid w:val="007C363D"/>
    <w:rsid w:val="007C56C2"/>
    <w:rsid w:val="007D15CC"/>
    <w:rsid w:val="007D2A2D"/>
    <w:rsid w:val="007D3697"/>
    <w:rsid w:val="007D7F26"/>
    <w:rsid w:val="007E002A"/>
    <w:rsid w:val="007E24A4"/>
    <w:rsid w:val="007F099A"/>
    <w:rsid w:val="007F2082"/>
    <w:rsid w:val="007F2758"/>
    <w:rsid w:val="007F5D5C"/>
    <w:rsid w:val="007F6862"/>
    <w:rsid w:val="0080460F"/>
    <w:rsid w:val="008046ED"/>
    <w:rsid w:val="00805CD6"/>
    <w:rsid w:val="008062A4"/>
    <w:rsid w:val="00812C5D"/>
    <w:rsid w:val="0081361D"/>
    <w:rsid w:val="00815208"/>
    <w:rsid w:val="0081570B"/>
    <w:rsid w:val="00820078"/>
    <w:rsid w:val="00822882"/>
    <w:rsid w:val="0082389C"/>
    <w:rsid w:val="00823C1E"/>
    <w:rsid w:val="0082685A"/>
    <w:rsid w:val="00826A7A"/>
    <w:rsid w:val="00831031"/>
    <w:rsid w:val="0083377B"/>
    <w:rsid w:val="00841448"/>
    <w:rsid w:val="008449E5"/>
    <w:rsid w:val="00845935"/>
    <w:rsid w:val="008477CB"/>
    <w:rsid w:val="00851133"/>
    <w:rsid w:val="00851CC7"/>
    <w:rsid w:val="00852194"/>
    <w:rsid w:val="00852528"/>
    <w:rsid w:val="00855B6F"/>
    <w:rsid w:val="00856512"/>
    <w:rsid w:val="00856F3A"/>
    <w:rsid w:val="00863D27"/>
    <w:rsid w:val="00863E83"/>
    <w:rsid w:val="00864182"/>
    <w:rsid w:val="008647FA"/>
    <w:rsid w:val="008662F4"/>
    <w:rsid w:val="008678E6"/>
    <w:rsid w:val="00870F3E"/>
    <w:rsid w:val="0087218B"/>
    <w:rsid w:val="008731DA"/>
    <w:rsid w:val="00873F7C"/>
    <w:rsid w:val="008773C4"/>
    <w:rsid w:val="00877B00"/>
    <w:rsid w:val="00877EA7"/>
    <w:rsid w:val="008809D8"/>
    <w:rsid w:val="008855EB"/>
    <w:rsid w:val="00885D36"/>
    <w:rsid w:val="00886EE9"/>
    <w:rsid w:val="00886FAA"/>
    <w:rsid w:val="00887FF5"/>
    <w:rsid w:val="00893E77"/>
    <w:rsid w:val="00896C60"/>
    <w:rsid w:val="00897FB0"/>
    <w:rsid w:val="008A040A"/>
    <w:rsid w:val="008A25F4"/>
    <w:rsid w:val="008A7C06"/>
    <w:rsid w:val="008B005E"/>
    <w:rsid w:val="008B0B99"/>
    <w:rsid w:val="008B3FC9"/>
    <w:rsid w:val="008C21EA"/>
    <w:rsid w:val="008C2BBD"/>
    <w:rsid w:val="008C3ED9"/>
    <w:rsid w:val="008C4473"/>
    <w:rsid w:val="008C79CF"/>
    <w:rsid w:val="008D1680"/>
    <w:rsid w:val="008D26F9"/>
    <w:rsid w:val="008D2B24"/>
    <w:rsid w:val="008D3643"/>
    <w:rsid w:val="008E33C5"/>
    <w:rsid w:val="008E4259"/>
    <w:rsid w:val="008E6257"/>
    <w:rsid w:val="008E6DCF"/>
    <w:rsid w:val="008F0F40"/>
    <w:rsid w:val="008F26B2"/>
    <w:rsid w:val="008F2E97"/>
    <w:rsid w:val="008F626B"/>
    <w:rsid w:val="0090236A"/>
    <w:rsid w:val="00904A8A"/>
    <w:rsid w:val="00906B08"/>
    <w:rsid w:val="00911C99"/>
    <w:rsid w:val="00912BB8"/>
    <w:rsid w:val="00913057"/>
    <w:rsid w:val="00915BE5"/>
    <w:rsid w:val="00917114"/>
    <w:rsid w:val="00920A64"/>
    <w:rsid w:val="009303F4"/>
    <w:rsid w:val="00932B49"/>
    <w:rsid w:val="00935C31"/>
    <w:rsid w:val="0093683C"/>
    <w:rsid w:val="00936A9E"/>
    <w:rsid w:val="0094032F"/>
    <w:rsid w:val="009407EC"/>
    <w:rsid w:val="009408F2"/>
    <w:rsid w:val="00940CE1"/>
    <w:rsid w:val="00940DDF"/>
    <w:rsid w:val="00941652"/>
    <w:rsid w:val="009464F5"/>
    <w:rsid w:val="00951981"/>
    <w:rsid w:val="00951CF5"/>
    <w:rsid w:val="009637C2"/>
    <w:rsid w:val="009670C3"/>
    <w:rsid w:val="00972B7C"/>
    <w:rsid w:val="009748F4"/>
    <w:rsid w:val="009758EA"/>
    <w:rsid w:val="009759A4"/>
    <w:rsid w:val="00980C2C"/>
    <w:rsid w:val="00982E56"/>
    <w:rsid w:val="009839FD"/>
    <w:rsid w:val="00984206"/>
    <w:rsid w:val="00985218"/>
    <w:rsid w:val="00985DB2"/>
    <w:rsid w:val="00987B1D"/>
    <w:rsid w:val="00991BAE"/>
    <w:rsid w:val="00991FF6"/>
    <w:rsid w:val="0099390B"/>
    <w:rsid w:val="00993E3A"/>
    <w:rsid w:val="009956DF"/>
    <w:rsid w:val="009A0F20"/>
    <w:rsid w:val="009A1A80"/>
    <w:rsid w:val="009A1F53"/>
    <w:rsid w:val="009A2264"/>
    <w:rsid w:val="009A4037"/>
    <w:rsid w:val="009A4CF6"/>
    <w:rsid w:val="009A50C3"/>
    <w:rsid w:val="009A72BC"/>
    <w:rsid w:val="009B14CA"/>
    <w:rsid w:val="009B368F"/>
    <w:rsid w:val="009B49F6"/>
    <w:rsid w:val="009B4AE7"/>
    <w:rsid w:val="009B4BC6"/>
    <w:rsid w:val="009B51D8"/>
    <w:rsid w:val="009B7A3F"/>
    <w:rsid w:val="009C0697"/>
    <w:rsid w:val="009C282D"/>
    <w:rsid w:val="009C500C"/>
    <w:rsid w:val="009C5DFA"/>
    <w:rsid w:val="009C644F"/>
    <w:rsid w:val="009C6A0F"/>
    <w:rsid w:val="009C7425"/>
    <w:rsid w:val="009D0F44"/>
    <w:rsid w:val="009D27C6"/>
    <w:rsid w:val="009D287F"/>
    <w:rsid w:val="009D2D23"/>
    <w:rsid w:val="009D2F19"/>
    <w:rsid w:val="009D300E"/>
    <w:rsid w:val="009D4E78"/>
    <w:rsid w:val="009D70C5"/>
    <w:rsid w:val="009E1EB0"/>
    <w:rsid w:val="009E3A4F"/>
    <w:rsid w:val="009E5023"/>
    <w:rsid w:val="009E6E5B"/>
    <w:rsid w:val="009E75B6"/>
    <w:rsid w:val="009F449C"/>
    <w:rsid w:val="009F53BE"/>
    <w:rsid w:val="009F547B"/>
    <w:rsid w:val="009F5DAF"/>
    <w:rsid w:val="009F73BC"/>
    <w:rsid w:val="00A00348"/>
    <w:rsid w:val="00A0102E"/>
    <w:rsid w:val="00A012A2"/>
    <w:rsid w:val="00A02226"/>
    <w:rsid w:val="00A03FC9"/>
    <w:rsid w:val="00A06573"/>
    <w:rsid w:val="00A07C32"/>
    <w:rsid w:val="00A15CC1"/>
    <w:rsid w:val="00A1701F"/>
    <w:rsid w:val="00A20843"/>
    <w:rsid w:val="00A21B8F"/>
    <w:rsid w:val="00A22F13"/>
    <w:rsid w:val="00A24472"/>
    <w:rsid w:val="00A26642"/>
    <w:rsid w:val="00A26B1D"/>
    <w:rsid w:val="00A27964"/>
    <w:rsid w:val="00A27AFA"/>
    <w:rsid w:val="00A329CA"/>
    <w:rsid w:val="00A3323F"/>
    <w:rsid w:val="00A348C7"/>
    <w:rsid w:val="00A42348"/>
    <w:rsid w:val="00A428C9"/>
    <w:rsid w:val="00A42D28"/>
    <w:rsid w:val="00A43642"/>
    <w:rsid w:val="00A505FE"/>
    <w:rsid w:val="00A55514"/>
    <w:rsid w:val="00A56535"/>
    <w:rsid w:val="00A63F9C"/>
    <w:rsid w:val="00A64089"/>
    <w:rsid w:val="00A65A91"/>
    <w:rsid w:val="00A66D6E"/>
    <w:rsid w:val="00A73332"/>
    <w:rsid w:val="00A74F3C"/>
    <w:rsid w:val="00A75DF7"/>
    <w:rsid w:val="00A82693"/>
    <w:rsid w:val="00A83831"/>
    <w:rsid w:val="00A83B28"/>
    <w:rsid w:val="00A85889"/>
    <w:rsid w:val="00A8702C"/>
    <w:rsid w:val="00A9280D"/>
    <w:rsid w:val="00A93577"/>
    <w:rsid w:val="00A938A3"/>
    <w:rsid w:val="00A93C5B"/>
    <w:rsid w:val="00A94AB5"/>
    <w:rsid w:val="00A95D3A"/>
    <w:rsid w:val="00A96170"/>
    <w:rsid w:val="00A967CF"/>
    <w:rsid w:val="00A96A76"/>
    <w:rsid w:val="00AA2C93"/>
    <w:rsid w:val="00AA306B"/>
    <w:rsid w:val="00AA452D"/>
    <w:rsid w:val="00AA49ED"/>
    <w:rsid w:val="00AA4E17"/>
    <w:rsid w:val="00AA7EF9"/>
    <w:rsid w:val="00AB3794"/>
    <w:rsid w:val="00AB51EC"/>
    <w:rsid w:val="00AB5A30"/>
    <w:rsid w:val="00AB7D5E"/>
    <w:rsid w:val="00AC2CB3"/>
    <w:rsid w:val="00AD06C0"/>
    <w:rsid w:val="00AD2C29"/>
    <w:rsid w:val="00AD33E7"/>
    <w:rsid w:val="00AD5965"/>
    <w:rsid w:val="00AD6A7D"/>
    <w:rsid w:val="00AD6F6A"/>
    <w:rsid w:val="00AD7B0F"/>
    <w:rsid w:val="00AD7D1A"/>
    <w:rsid w:val="00AE5425"/>
    <w:rsid w:val="00AE7560"/>
    <w:rsid w:val="00AF0490"/>
    <w:rsid w:val="00AF2430"/>
    <w:rsid w:val="00AF30F8"/>
    <w:rsid w:val="00AF407A"/>
    <w:rsid w:val="00AF4350"/>
    <w:rsid w:val="00AF4750"/>
    <w:rsid w:val="00AF60EC"/>
    <w:rsid w:val="00AF76A9"/>
    <w:rsid w:val="00AF7BB6"/>
    <w:rsid w:val="00B038E3"/>
    <w:rsid w:val="00B03B53"/>
    <w:rsid w:val="00B07C94"/>
    <w:rsid w:val="00B10633"/>
    <w:rsid w:val="00B10F90"/>
    <w:rsid w:val="00B15606"/>
    <w:rsid w:val="00B15D6A"/>
    <w:rsid w:val="00B31741"/>
    <w:rsid w:val="00B3266A"/>
    <w:rsid w:val="00B329BA"/>
    <w:rsid w:val="00B34949"/>
    <w:rsid w:val="00B3499D"/>
    <w:rsid w:val="00B3529E"/>
    <w:rsid w:val="00B36B08"/>
    <w:rsid w:val="00B37E3C"/>
    <w:rsid w:val="00B4290F"/>
    <w:rsid w:val="00B43FA4"/>
    <w:rsid w:val="00B46702"/>
    <w:rsid w:val="00B478E4"/>
    <w:rsid w:val="00B52501"/>
    <w:rsid w:val="00B525C2"/>
    <w:rsid w:val="00B5521F"/>
    <w:rsid w:val="00B60CE3"/>
    <w:rsid w:val="00B63039"/>
    <w:rsid w:val="00B63C8F"/>
    <w:rsid w:val="00B64205"/>
    <w:rsid w:val="00B7055E"/>
    <w:rsid w:val="00B7287F"/>
    <w:rsid w:val="00B82BDA"/>
    <w:rsid w:val="00B836EF"/>
    <w:rsid w:val="00B85452"/>
    <w:rsid w:val="00B87566"/>
    <w:rsid w:val="00B9149B"/>
    <w:rsid w:val="00B914AB"/>
    <w:rsid w:val="00B932D7"/>
    <w:rsid w:val="00B941E4"/>
    <w:rsid w:val="00B94317"/>
    <w:rsid w:val="00BA07B4"/>
    <w:rsid w:val="00BA124B"/>
    <w:rsid w:val="00BA16DE"/>
    <w:rsid w:val="00BA193A"/>
    <w:rsid w:val="00BA27D5"/>
    <w:rsid w:val="00BA300C"/>
    <w:rsid w:val="00BA40B8"/>
    <w:rsid w:val="00BA7BA0"/>
    <w:rsid w:val="00BB0B31"/>
    <w:rsid w:val="00BB1DEE"/>
    <w:rsid w:val="00BB23B9"/>
    <w:rsid w:val="00BB31AE"/>
    <w:rsid w:val="00BB3D24"/>
    <w:rsid w:val="00BB4725"/>
    <w:rsid w:val="00BB58A1"/>
    <w:rsid w:val="00BC02CC"/>
    <w:rsid w:val="00BD3579"/>
    <w:rsid w:val="00BD56D6"/>
    <w:rsid w:val="00BD5CFF"/>
    <w:rsid w:val="00BD6786"/>
    <w:rsid w:val="00BD6E19"/>
    <w:rsid w:val="00BE17B3"/>
    <w:rsid w:val="00BE1F1A"/>
    <w:rsid w:val="00BE783A"/>
    <w:rsid w:val="00BF126B"/>
    <w:rsid w:val="00BF1A3C"/>
    <w:rsid w:val="00BF4B80"/>
    <w:rsid w:val="00BF4F02"/>
    <w:rsid w:val="00BF6B0B"/>
    <w:rsid w:val="00BF6C2F"/>
    <w:rsid w:val="00C00B5B"/>
    <w:rsid w:val="00C04228"/>
    <w:rsid w:val="00C076E8"/>
    <w:rsid w:val="00C07921"/>
    <w:rsid w:val="00C10380"/>
    <w:rsid w:val="00C10B9E"/>
    <w:rsid w:val="00C10FC7"/>
    <w:rsid w:val="00C16377"/>
    <w:rsid w:val="00C16DC5"/>
    <w:rsid w:val="00C21CE0"/>
    <w:rsid w:val="00C32D4B"/>
    <w:rsid w:val="00C34F07"/>
    <w:rsid w:val="00C35A08"/>
    <w:rsid w:val="00C35F9D"/>
    <w:rsid w:val="00C36123"/>
    <w:rsid w:val="00C3655F"/>
    <w:rsid w:val="00C40D8E"/>
    <w:rsid w:val="00C42A6C"/>
    <w:rsid w:val="00C42CE0"/>
    <w:rsid w:val="00C44494"/>
    <w:rsid w:val="00C456BA"/>
    <w:rsid w:val="00C470E6"/>
    <w:rsid w:val="00C47C31"/>
    <w:rsid w:val="00C52221"/>
    <w:rsid w:val="00C567CE"/>
    <w:rsid w:val="00C57E8E"/>
    <w:rsid w:val="00C63178"/>
    <w:rsid w:val="00C6501A"/>
    <w:rsid w:val="00C664B3"/>
    <w:rsid w:val="00C72404"/>
    <w:rsid w:val="00C73E42"/>
    <w:rsid w:val="00C75990"/>
    <w:rsid w:val="00C75BAA"/>
    <w:rsid w:val="00C76D51"/>
    <w:rsid w:val="00C770DB"/>
    <w:rsid w:val="00C8193F"/>
    <w:rsid w:val="00C9042B"/>
    <w:rsid w:val="00C90A40"/>
    <w:rsid w:val="00C90C58"/>
    <w:rsid w:val="00C95FA7"/>
    <w:rsid w:val="00CA12DE"/>
    <w:rsid w:val="00CA24D2"/>
    <w:rsid w:val="00CA5794"/>
    <w:rsid w:val="00CA5ECC"/>
    <w:rsid w:val="00CA72AE"/>
    <w:rsid w:val="00CA7810"/>
    <w:rsid w:val="00CB0FD1"/>
    <w:rsid w:val="00CB210B"/>
    <w:rsid w:val="00CB2C4F"/>
    <w:rsid w:val="00CB489F"/>
    <w:rsid w:val="00CB51DE"/>
    <w:rsid w:val="00CB6755"/>
    <w:rsid w:val="00CC0C34"/>
    <w:rsid w:val="00CC2BFE"/>
    <w:rsid w:val="00CC56FF"/>
    <w:rsid w:val="00CC577E"/>
    <w:rsid w:val="00CD1B30"/>
    <w:rsid w:val="00CD1C9F"/>
    <w:rsid w:val="00CD4D8E"/>
    <w:rsid w:val="00CE49F1"/>
    <w:rsid w:val="00CE6F93"/>
    <w:rsid w:val="00CE73C8"/>
    <w:rsid w:val="00CE74FF"/>
    <w:rsid w:val="00CF1827"/>
    <w:rsid w:val="00CF35AC"/>
    <w:rsid w:val="00CF4878"/>
    <w:rsid w:val="00CF502B"/>
    <w:rsid w:val="00CF5B7D"/>
    <w:rsid w:val="00CF6657"/>
    <w:rsid w:val="00CF6874"/>
    <w:rsid w:val="00CF69ED"/>
    <w:rsid w:val="00CF767F"/>
    <w:rsid w:val="00CF76DA"/>
    <w:rsid w:val="00CF7733"/>
    <w:rsid w:val="00D1355A"/>
    <w:rsid w:val="00D15371"/>
    <w:rsid w:val="00D17AF5"/>
    <w:rsid w:val="00D214CE"/>
    <w:rsid w:val="00D24ABA"/>
    <w:rsid w:val="00D251D4"/>
    <w:rsid w:val="00D3084A"/>
    <w:rsid w:val="00D31A11"/>
    <w:rsid w:val="00D345FA"/>
    <w:rsid w:val="00D451D7"/>
    <w:rsid w:val="00D4655F"/>
    <w:rsid w:val="00D503D2"/>
    <w:rsid w:val="00D51994"/>
    <w:rsid w:val="00D571F0"/>
    <w:rsid w:val="00D57B5A"/>
    <w:rsid w:val="00D60EAC"/>
    <w:rsid w:val="00D63242"/>
    <w:rsid w:val="00D65FD0"/>
    <w:rsid w:val="00D7031E"/>
    <w:rsid w:val="00D70CD6"/>
    <w:rsid w:val="00D743F5"/>
    <w:rsid w:val="00D74771"/>
    <w:rsid w:val="00D7477B"/>
    <w:rsid w:val="00D75F29"/>
    <w:rsid w:val="00D807E1"/>
    <w:rsid w:val="00D90DAC"/>
    <w:rsid w:val="00DA03B7"/>
    <w:rsid w:val="00DA1297"/>
    <w:rsid w:val="00DA247A"/>
    <w:rsid w:val="00DA3BB2"/>
    <w:rsid w:val="00DA43EF"/>
    <w:rsid w:val="00DA6A2F"/>
    <w:rsid w:val="00DA7001"/>
    <w:rsid w:val="00DA70EC"/>
    <w:rsid w:val="00DB0E97"/>
    <w:rsid w:val="00DB7460"/>
    <w:rsid w:val="00DC1E12"/>
    <w:rsid w:val="00DC46F6"/>
    <w:rsid w:val="00DC69CE"/>
    <w:rsid w:val="00DC6D85"/>
    <w:rsid w:val="00DD09F3"/>
    <w:rsid w:val="00DD38CC"/>
    <w:rsid w:val="00DD4EA7"/>
    <w:rsid w:val="00DE0D54"/>
    <w:rsid w:val="00DE3C2B"/>
    <w:rsid w:val="00DE52DB"/>
    <w:rsid w:val="00DF013E"/>
    <w:rsid w:val="00DF0336"/>
    <w:rsid w:val="00DF105E"/>
    <w:rsid w:val="00DF174A"/>
    <w:rsid w:val="00DF1ABB"/>
    <w:rsid w:val="00DF1E79"/>
    <w:rsid w:val="00DF2129"/>
    <w:rsid w:val="00DF2C85"/>
    <w:rsid w:val="00DF71F8"/>
    <w:rsid w:val="00DF76B8"/>
    <w:rsid w:val="00DF7982"/>
    <w:rsid w:val="00E01AC4"/>
    <w:rsid w:val="00E0408F"/>
    <w:rsid w:val="00E0587A"/>
    <w:rsid w:val="00E06DE3"/>
    <w:rsid w:val="00E072D9"/>
    <w:rsid w:val="00E07AB9"/>
    <w:rsid w:val="00E07E03"/>
    <w:rsid w:val="00E1090C"/>
    <w:rsid w:val="00E10B2D"/>
    <w:rsid w:val="00E1228D"/>
    <w:rsid w:val="00E126EB"/>
    <w:rsid w:val="00E14306"/>
    <w:rsid w:val="00E14A81"/>
    <w:rsid w:val="00E161F7"/>
    <w:rsid w:val="00E2037A"/>
    <w:rsid w:val="00E203A7"/>
    <w:rsid w:val="00E2051A"/>
    <w:rsid w:val="00E20FD1"/>
    <w:rsid w:val="00E2324F"/>
    <w:rsid w:val="00E262C9"/>
    <w:rsid w:val="00E31CDD"/>
    <w:rsid w:val="00E31F42"/>
    <w:rsid w:val="00E331A9"/>
    <w:rsid w:val="00E35FDE"/>
    <w:rsid w:val="00E36AB9"/>
    <w:rsid w:val="00E37F27"/>
    <w:rsid w:val="00E40D86"/>
    <w:rsid w:val="00E418C4"/>
    <w:rsid w:val="00E42068"/>
    <w:rsid w:val="00E4410F"/>
    <w:rsid w:val="00E4552F"/>
    <w:rsid w:val="00E46490"/>
    <w:rsid w:val="00E47B1B"/>
    <w:rsid w:val="00E50D04"/>
    <w:rsid w:val="00E54978"/>
    <w:rsid w:val="00E55FB8"/>
    <w:rsid w:val="00E60308"/>
    <w:rsid w:val="00E61FFB"/>
    <w:rsid w:val="00E62604"/>
    <w:rsid w:val="00E642A3"/>
    <w:rsid w:val="00E707DB"/>
    <w:rsid w:val="00E712BE"/>
    <w:rsid w:val="00E71529"/>
    <w:rsid w:val="00E7249B"/>
    <w:rsid w:val="00E73A86"/>
    <w:rsid w:val="00E7638A"/>
    <w:rsid w:val="00E84CFF"/>
    <w:rsid w:val="00E84E17"/>
    <w:rsid w:val="00E9323B"/>
    <w:rsid w:val="00E95E56"/>
    <w:rsid w:val="00E96523"/>
    <w:rsid w:val="00EA0BF2"/>
    <w:rsid w:val="00EA1D98"/>
    <w:rsid w:val="00EA1E55"/>
    <w:rsid w:val="00EA2656"/>
    <w:rsid w:val="00EA3FDD"/>
    <w:rsid w:val="00EA5754"/>
    <w:rsid w:val="00EB18AD"/>
    <w:rsid w:val="00EB4CD0"/>
    <w:rsid w:val="00EB571C"/>
    <w:rsid w:val="00EB5FEE"/>
    <w:rsid w:val="00EB6689"/>
    <w:rsid w:val="00EB6DCF"/>
    <w:rsid w:val="00EC1E22"/>
    <w:rsid w:val="00EC2666"/>
    <w:rsid w:val="00EC2E7A"/>
    <w:rsid w:val="00EC3F8E"/>
    <w:rsid w:val="00EC5AE0"/>
    <w:rsid w:val="00EC6387"/>
    <w:rsid w:val="00EC676B"/>
    <w:rsid w:val="00EC6BB1"/>
    <w:rsid w:val="00EC754E"/>
    <w:rsid w:val="00ED10E7"/>
    <w:rsid w:val="00ED6102"/>
    <w:rsid w:val="00ED65A3"/>
    <w:rsid w:val="00ED77BD"/>
    <w:rsid w:val="00EE0397"/>
    <w:rsid w:val="00EE10EF"/>
    <w:rsid w:val="00EE1DC8"/>
    <w:rsid w:val="00EE46E5"/>
    <w:rsid w:val="00EE5212"/>
    <w:rsid w:val="00EE5B1E"/>
    <w:rsid w:val="00EE5ED2"/>
    <w:rsid w:val="00EE6C7A"/>
    <w:rsid w:val="00EE79EB"/>
    <w:rsid w:val="00EF0F3B"/>
    <w:rsid w:val="00EF1B30"/>
    <w:rsid w:val="00EF4C02"/>
    <w:rsid w:val="00EF64A6"/>
    <w:rsid w:val="00F022C8"/>
    <w:rsid w:val="00F02B52"/>
    <w:rsid w:val="00F06431"/>
    <w:rsid w:val="00F064C7"/>
    <w:rsid w:val="00F06C57"/>
    <w:rsid w:val="00F13CC5"/>
    <w:rsid w:val="00F1435E"/>
    <w:rsid w:val="00F14494"/>
    <w:rsid w:val="00F14795"/>
    <w:rsid w:val="00F14FE4"/>
    <w:rsid w:val="00F15007"/>
    <w:rsid w:val="00F15C03"/>
    <w:rsid w:val="00F20F66"/>
    <w:rsid w:val="00F212E5"/>
    <w:rsid w:val="00F22EDC"/>
    <w:rsid w:val="00F30950"/>
    <w:rsid w:val="00F30FBC"/>
    <w:rsid w:val="00F31044"/>
    <w:rsid w:val="00F34B64"/>
    <w:rsid w:val="00F42043"/>
    <w:rsid w:val="00F44D03"/>
    <w:rsid w:val="00F5314E"/>
    <w:rsid w:val="00F531AF"/>
    <w:rsid w:val="00F53A0E"/>
    <w:rsid w:val="00F558EB"/>
    <w:rsid w:val="00F56F8E"/>
    <w:rsid w:val="00F60964"/>
    <w:rsid w:val="00F61A64"/>
    <w:rsid w:val="00F622E8"/>
    <w:rsid w:val="00F660BF"/>
    <w:rsid w:val="00F720F3"/>
    <w:rsid w:val="00F72298"/>
    <w:rsid w:val="00F72B03"/>
    <w:rsid w:val="00F72E64"/>
    <w:rsid w:val="00F74B92"/>
    <w:rsid w:val="00F76A4E"/>
    <w:rsid w:val="00F81368"/>
    <w:rsid w:val="00F81C21"/>
    <w:rsid w:val="00F821A7"/>
    <w:rsid w:val="00F87F1F"/>
    <w:rsid w:val="00F90770"/>
    <w:rsid w:val="00F90B8F"/>
    <w:rsid w:val="00F9479B"/>
    <w:rsid w:val="00FA0063"/>
    <w:rsid w:val="00FA30B0"/>
    <w:rsid w:val="00FB0CD6"/>
    <w:rsid w:val="00FB1AF6"/>
    <w:rsid w:val="00FB5AD2"/>
    <w:rsid w:val="00FB7B73"/>
    <w:rsid w:val="00FC06CA"/>
    <w:rsid w:val="00FC2529"/>
    <w:rsid w:val="00FC4D73"/>
    <w:rsid w:val="00FD1D57"/>
    <w:rsid w:val="00FD4A38"/>
    <w:rsid w:val="00FD53C9"/>
    <w:rsid w:val="00FD6AB9"/>
    <w:rsid w:val="00FE0611"/>
    <w:rsid w:val="00FE0822"/>
    <w:rsid w:val="00FE0DED"/>
    <w:rsid w:val="00FE227A"/>
    <w:rsid w:val="00FE4AE6"/>
    <w:rsid w:val="00FF06CC"/>
    <w:rsid w:val="00FF1DAF"/>
    <w:rsid w:val="00FF227D"/>
    <w:rsid w:val="00FF42B4"/>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E1430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suppressAutoHyphens/>
      <w:spacing w:before="240" w:line="228" w:lineRule="auto"/>
      <w:jc w:val="center"/>
      <w:outlineLvl w:val="1"/>
    </w:pPr>
    <w:rPr>
      <w:spacing w:val="-2"/>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f"/>
    <w:basedOn w:val="Normal"/>
    <w:link w:val="FootnoteTextChar3"/>
    <w:pPr>
      <w:widowControl/>
      <w:spacing w:after="120"/>
    </w:pPr>
    <w:rPr>
      <w:sz w:val="20"/>
    </w:rPr>
  </w:style>
  <w:style w:type="character" w:styleId="FootnoteReference">
    <w:name w:val="footnote reference"/>
    <w:aliases w:val="Style 12,(NECG) Footnote Reference,Appel note de bas de p,Style 124,Style 13,o,fr,Style 3,FR,Style 17,Style 4,Footnote Reference/,Style 6"/>
    <w:rPr>
      <w:rFonts w:ascii="CG Times" w:hAnsi="CG Times"/>
      <w:sz w:val="20"/>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jc w:val="both"/>
    </w:pPr>
    <w:rPr>
      <w:snapToGrid/>
      <w:sz w:val="22"/>
    </w:rPr>
  </w:style>
  <w:style w:type="paragraph" w:styleId="BodyText3">
    <w:name w:val="Body Text 3"/>
    <w:basedOn w:val="Normal"/>
    <w:pPr>
      <w:widowControl/>
      <w:jc w:val="both"/>
    </w:pPr>
    <w:rPr>
      <w:snapToGrid/>
    </w:rPr>
  </w:style>
  <w:style w:type="paragraph" w:styleId="Header">
    <w:name w:val="header"/>
    <w:basedOn w:val="Normal"/>
    <w:pPr>
      <w:tabs>
        <w:tab w:val="center" w:pos="4320"/>
        <w:tab w:val="right" w:pos="8640"/>
      </w:tabs>
    </w:p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ar"/>
    <w:link w:val="FootnoteText"/>
    <w:rPr>
      <w:snapToGrid w:val="0"/>
      <w:lang w:val="en-US" w:eastAsia="en-US" w:bidi="ar-SA"/>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widowControl/>
      <w:autoSpaceDE w:val="0"/>
      <w:autoSpaceDN w:val="0"/>
      <w:adjustRightInd w:val="0"/>
      <w:spacing w:before="100" w:after="100"/>
      <w:ind w:left="360" w:right="360"/>
    </w:pPr>
    <w:rPr>
      <w:snapToGrid/>
      <w:szCs w:val="24"/>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3Char">
    <w:name w:val="Heading 3 Char"/>
    <w:link w:val="Heading3"/>
    <w:rPr>
      <w:rFonts w:ascii="Cambria" w:eastAsia="Times New Roman" w:hAnsi="Cambria" w:cs="Times New Roman"/>
      <w:b/>
      <w:bCs/>
      <w:snapToGrid w:val="0"/>
      <w:sz w:val="26"/>
      <w:szCs w:val="26"/>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character" w:customStyle="1" w:styleId="searchterm">
    <w:name w:val="searchterm"/>
  </w:style>
  <w:style w:type="character" w:customStyle="1" w:styleId="FooterChar">
    <w:name w:val="Footer Char"/>
    <w:link w:val="Footer"/>
    <w:rsid w:val="00C16377"/>
    <w:rPr>
      <w:snapToGrid w:val="0"/>
      <w:sz w:val="24"/>
    </w:rPr>
  </w:style>
  <w:style w:type="character" w:customStyle="1" w:styleId="BodyTextChar">
    <w:name w:val="Body Text Char"/>
    <w:link w:val="BodyText"/>
    <w:rsid w:val="00C16377"/>
    <w:rPr>
      <w:sz w:val="22"/>
    </w:rPr>
  </w:style>
  <w:style w:type="character" w:customStyle="1" w:styleId="costarpage">
    <w:name w:val="co_starpage"/>
    <w:rsid w:val="00575867"/>
  </w:style>
  <w:style w:type="character" w:customStyle="1" w:styleId="apple-converted-space">
    <w:name w:val="apple-converted-space"/>
    <w:rsid w:val="00575867"/>
  </w:style>
  <w:style w:type="character" w:customStyle="1" w:styleId="cosearchterm">
    <w:name w:val="co_searchterm"/>
    <w:rsid w:val="00575867"/>
  </w:style>
  <w:style w:type="character" w:styleId="Emphasis">
    <w:name w:val="Emphasis"/>
    <w:uiPriority w:val="20"/>
    <w:qFormat/>
    <w:rsid w:val="00DA70EC"/>
    <w:rPr>
      <w:i/>
      <w:iCs/>
    </w:rPr>
  </w:style>
  <w:style w:type="character" w:customStyle="1" w:styleId="Heading1Char">
    <w:name w:val="Heading 1 Char"/>
    <w:link w:val="Heading1"/>
    <w:rsid w:val="00E14306"/>
    <w:rPr>
      <w:rFonts w:ascii="Calibri Light" w:eastAsia="Times New Roman" w:hAnsi="Calibri Light" w:cs="Times New Roman"/>
      <w:b/>
      <w:bCs/>
      <w:snapToGrid w:val="0"/>
      <w:kern w:val="32"/>
      <w:sz w:val="32"/>
      <w:szCs w:val="32"/>
    </w:rPr>
  </w:style>
  <w:style w:type="paragraph" w:customStyle="1" w:styleId="ParaNum">
    <w:name w:val="ParaNum"/>
    <w:basedOn w:val="Normal"/>
    <w:link w:val="ParaNumChar1"/>
    <w:rsid w:val="006E7CDB"/>
    <w:pPr>
      <w:numPr>
        <w:numId w:val="14"/>
      </w:numPr>
      <w:tabs>
        <w:tab w:val="clear" w:pos="1080"/>
        <w:tab w:val="num" w:pos="1440"/>
      </w:tabs>
      <w:spacing w:after="120"/>
    </w:pPr>
    <w:rPr>
      <w:kern w:val="28"/>
      <w:sz w:val="22"/>
    </w:rPr>
  </w:style>
  <w:style w:type="character" w:customStyle="1" w:styleId="ParaNumChar1">
    <w:name w:val="ParaNum Char1"/>
    <w:link w:val="ParaNum"/>
    <w:rsid w:val="006E7CDB"/>
    <w:rPr>
      <w:snapToGrid w:val="0"/>
      <w:kern w:val="28"/>
      <w:sz w:val="22"/>
    </w:rPr>
  </w:style>
  <w:style w:type="character" w:customStyle="1" w:styleId="Mention1">
    <w:name w:val="Mention1"/>
    <w:uiPriority w:val="99"/>
    <w:semiHidden/>
    <w:unhideWhenUsed/>
    <w:rsid w:val="00456E3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E1430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suppressAutoHyphens/>
      <w:spacing w:before="240" w:line="228" w:lineRule="auto"/>
      <w:jc w:val="center"/>
      <w:outlineLvl w:val="1"/>
    </w:pPr>
    <w:rPr>
      <w:spacing w:val="-2"/>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f"/>
    <w:basedOn w:val="Normal"/>
    <w:link w:val="FootnoteTextChar3"/>
    <w:pPr>
      <w:widowControl/>
      <w:spacing w:after="120"/>
    </w:pPr>
    <w:rPr>
      <w:sz w:val="20"/>
    </w:rPr>
  </w:style>
  <w:style w:type="character" w:styleId="FootnoteReference">
    <w:name w:val="footnote reference"/>
    <w:aliases w:val="Style 12,(NECG) Footnote Reference,Appel note de bas de p,Style 124,Style 13,o,fr,Style 3,FR,Style 17,Style 4,Footnote Reference/,Style 6"/>
    <w:rPr>
      <w:rFonts w:ascii="CG Times" w:hAnsi="CG Times"/>
      <w:sz w:val="20"/>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jc w:val="both"/>
    </w:pPr>
    <w:rPr>
      <w:snapToGrid/>
      <w:sz w:val="22"/>
    </w:rPr>
  </w:style>
  <w:style w:type="paragraph" w:styleId="BodyText3">
    <w:name w:val="Body Text 3"/>
    <w:basedOn w:val="Normal"/>
    <w:pPr>
      <w:widowControl/>
      <w:jc w:val="both"/>
    </w:pPr>
    <w:rPr>
      <w:snapToGrid/>
    </w:rPr>
  </w:style>
  <w:style w:type="paragraph" w:styleId="Header">
    <w:name w:val="header"/>
    <w:basedOn w:val="Normal"/>
    <w:pPr>
      <w:tabs>
        <w:tab w:val="center" w:pos="4320"/>
        <w:tab w:val="right" w:pos="8640"/>
      </w:tabs>
    </w:p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ar"/>
    <w:link w:val="FootnoteText"/>
    <w:rPr>
      <w:snapToGrid w:val="0"/>
      <w:lang w:val="en-US" w:eastAsia="en-US" w:bidi="ar-SA"/>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widowControl/>
      <w:autoSpaceDE w:val="0"/>
      <w:autoSpaceDN w:val="0"/>
      <w:adjustRightInd w:val="0"/>
      <w:spacing w:before="100" w:after="100"/>
      <w:ind w:left="360" w:right="360"/>
    </w:pPr>
    <w:rPr>
      <w:snapToGrid/>
      <w:szCs w:val="24"/>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3Char">
    <w:name w:val="Heading 3 Char"/>
    <w:link w:val="Heading3"/>
    <w:rPr>
      <w:rFonts w:ascii="Cambria" w:eastAsia="Times New Roman" w:hAnsi="Cambria" w:cs="Times New Roman"/>
      <w:b/>
      <w:bCs/>
      <w:snapToGrid w:val="0"/>
      <w:sz w:val="26"/>
      <w:szCs w:val="26"/>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rPr>
  </w:style>
  <w:style w:type="character" w:customStyle="1" w:styleId="searchterm">
    <w:name w:val="searchterm"/>
  </w:style>
  <w:style w:type="character" w:customStyle="1" w:styleId="FooterChar">
    <w:name w:val="Footer Char"/>
    <w:link w:val="Footer"/>
    <w:rsid w:val="00C16377"/>
    <w:rPr>
      <w:snapToGrid w:val="0"/>
      <w:sz w:val="24"/>
    </w:rPr>
  </w:style>
  <w:style w:type="character" w:customStyle="1" w:styleId="BodyTextChar">
    <w:name w:val="Body Text Char"/>
    <w:link w:val="BodyText"/>
    <w:rsid w:val="00C16377"/>
    <w:rPr>
      <w:sz w:val="22"/>
    </w:rPr>
  </w:style>
  <w:style w:type="character" w:customStyle="1" w:styleId="costarpage">
    <w:name w:val="co_starpage"/>
    <w:rsid w:val="00575867"/>
  </w:style>
  <w:style w:type="character" w:customStyle="1" w:styleId="apple-converted-space">
    <w:name w:val="apple-converted-space"/>
    <w:rsid w:val="00575867"/>
  </w:style>
  <w:style w:type="character" w:customStyle="1" w:styleId="cosearchterm">
    <w:name w:val="co_searchterm"/>
    <w:rsid w:val="00575867"/>
  </w:style>
  <w:style w:type="character" w:styleId="Emphasis">
    <w:name w:val="Emphasis"/>
    <w:uiPriority w:val="20"/>
    <w:qFormat/>
    <w:rsid w:val="00DA70EC"/>
    <w:rPr>
      <w:i/>
      <w:iCs/>
    </w:rPr>
  </w:style>
  <w:style w:type="character" w:customStyle="1" w:styleId="Heading1Char">
    <w:name w:val="Heading 1 Char"/>
    <w:link w:val="Heading1"/>
    <w:rsid w:val="00E14306"/>
    <w:rPr>
      <w:rFonts w:ascii="Calibri Light" w:eastAsia="Times New Roman" w:hAnsi="Calibri Light" w:cs="Times New Roman"/>
      <w:b/>
      <w:bCs/>
      <w:snapToGrid w:val="0"/>
      <w:kern w:val="32"/>
      <w:sz w:val="32"/>
      <w:szCs w:val="32"/>
    </w:rPr>
  </w:style>
  <w:style w:type="paragraph" w:customStyle="1" w:styleId="ParaNum">
    <w:name w:val="ParaNum"/>
    <w:basedOn w:val="Normal"/>
    <w:link w:val="ParaNumChar1"/>
    <w:rsid w:val="006E7CDB"/>
    <w:pPr>
      <w:numPr>
        <w:numId w:val="14"/>
      </w:numPr>
      <w:tabs>
        <w:tab w:val="clear" w:pos="1080"/>
        <w:tab w:val="num" w:pos="1440"/>
      </w:tabs>
      <w:spacing w:after="120"/>
    </w:pPr>
    <w:rPr>
      <w:kern w:val="28"/>
      <w:sz w:val="22"/>
    </w:rPr>
  </w:style>
  <w:style w:type="character" w:customStyle="1" w:styleId="ParaNumChar1">
    <w:name w:val="ParaNum Char1"/>
    <w:link w:val="ParaNum"/>
    <w:rsid w:val="006E7CDB"/>
    <w:rPr>
      <w:snapToGrid w:val="0"/>
      <w:kern w:val="28"/>
      <w:sz w:val="22"/>
    </w:rPr>
  </w:style>
  <w:style w:type="character" w:customStyle="1" w:styleId="Mention1">
    <w:name w:val="Mention1"/>
    <w:uiPriority w:val="99"/>
    <w:semiHidden/>
    <w:unhideWhenUsed/>
    <w:rsid w:val="00456E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0523">
      <w:bodyDiv w:val="1"/>
      <w:marLeft w:val="0"/>
      <w:marRight w:val="0"/>
      <w:marTop w:val="0"/>
      <w:marBottom w:val="0"/>
      <w:divBdr>
        <w:top w:val="none" w:sz="0" w:space="0" w:color="auto"/>
        <w:left w:val="none" w:sz="0" w:space="0" w:color="auto"/>
        <w:bottom w:val="none" w:sz="0" w:space="0" w:color="auto"/>
        <w:right w:val="none" w:sz="0" w:space="0" w:color="auto"/>
      </w:divBdr>
    </w:div>
    <w:div w:id="159932228">
      <w:bodyDiv w:val="1"/>
      <w:marLeft w:val="0"/>
      <w:marRight w:val="0"/>
      <w:marTop w:val="0"/>
      <w:marBottom w:val="0"/>
      <w:divBdr>
        <w:top w:val="none" w:sz="0" w:space="0" w:color="auto"/>
        <w:left w:val="none" w:sz="0" w:space="0" w:color="auto"/>
        <w:bottom w:val="none" w:sz="0" w:space="0" w:color="auto"/>
        <w:right w:val="none" w:sz="0" w:space="0" w:color="auto"/>
      </w:divBdr>
      <w:divsChild>
        <w:div w:id="739518994">
          <w:marLeft w:val="1275"/>
          <w:marRight w:val="0"/>
          <w:marTop w:val="0"/>
          <w:marBottom w:val="0"/>
          <w:divBdr>
            <w:top w:val="none" w:sz="0" w:space="0" w:color="auto"/>
            <w:left w:val="none" w:sz="0" w:space="0" w:color="auto"/>
            <w:bottom w:val="none" w:sz="0" w:space="0" w:color="auto"/>
            <w:right w:val="none" w:sz="0" w:space="0" w:color="auto"/>
          </w:divBdr>
          <w:divsChild>
            <w:div w:id="1740440884">
              <w:marLeft w:val="0"/>
              <w:marRight w:val="0"/>
              <w:marTop w:val="0"/>
              <w:marBottom w:val="0"/>
              <w:divBdr>
                <w:top w:val="none" w:sz="0" w:space="0" w:color="auto"/>
                <w:left w:val="none" w:sz="0" w:space="0" w:color="auto"/>
                <w:bottom w:val="none" w:sz="0" w:space="0" w:color="auto"/>
                <w:right w:val="none" w:sz="0" w:space="0" w:color="auto"/>
              </w:divBdr>
              <w:divsChild>
                <w:div w:id="173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1047">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9">
          <w:marLeft w:val="0"/>
          <w:marRight w:val="0"/>
          <w:marTop w:val="240"/>
          <w:marBottom w:val="0"/>
          <w:divBdr>
            <w:top w:val="none" w:sz="0" w:space="0" w:color="auto"/>
            <w:left w:val="none" w:sz="0" w:space="0" w:color="auto"/>
            <w:bottom w:val="none" w:sz="0" w:space="0" w:color="auto"/>
            <w:right w:val="none" w:sz="0" w:space="0" w:color="auto"/>
          </w:divBdr>
          <w:divsChild>
            <w:div w:id="778451968">
              <w:marLeft w:val="0"/>
              <w:marRight w:val="0"/>
              <w:marTop w:val="0"/>
              <w:marBottom w:val="0"/>
              <w:divBdr>
                <w:top w:val="none" w:sz="0" w:space="0" w:color="auto"/>
                <w:left w:val="none" w:sz="0" w:space="0" w:color="auto"/>
                <w:bottom w:val="none" w:sz="0" w:space="0" w:color="auto"/>
                <w:right w:val="none" w:sz="0" w:space="0" w:color="auto"/>
              </w:divBdr>
            </w:div>
          </w:divsChild>
        </w:div>
        <w:div w:id="1905406232">
          <w:marLeft w:val="0"/>
          <w:marRight w:val="0"/>
          <w:marTop w:val="240"/>
          <w:marBottom w:val="240"/>
          <w:divBdr>
            <w:top w:val="none" w:sz="0" w:space="0" w:color="auto"/>
            <w:left w:val="none" w:sz="0" w:space="0" w:color="auto"/>
            <w:bottom w:val="none" w:sz="0" w:space="0" w:color="auto"/>
            <w:right w:val="none" w:sz="0" w:space="0" w:color="auto"/>
          </w:divBdr>
          <w:divsChild>
            <w:div w:id="947463949">
              <w:marLeft w:val="0"/>
              <w:marRight w:val="0"/>
              <w:marTop w:val="0"/>
              <w:marBottom w:val="0"/>
              <w:divBdr>
                <w:top w:val="none" w:sz="0" w:space="0" w:color="auto"/>
                <w:left w:val="none" w:sz="0" w:space="0" w:color="auto"/>
                <w:bottom w:val="none" w:sz="0" w:space="0" w:color="auto"/>
                <w:right w:val="none" w:sz="0" w:space="0" w:color="auto"/>
              </w:divBdr>
            </w:div>
            <w:div w:id="839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4470">
      <w:bodyDiv w:val="1"/>
      <w:marLeft w:val="0"/>
      <w:marRight w:val="0"/>
      <w:marTop w:val="0"/>
      <w:marBottom w:val="0"/>
      <w:divBdr>
        <w:top w:val="none" w:sz="0" w:space="0" w:color="auto"/>
        <w:left w:val="none" w:sz="0" w:space="0" w:color="auto"/>
        <w:bottom w:val="none" w:sz="0" w:space="0" w:color="auto"/>
        <w:right w:val="none" w:sz="0" w:space="0" w:color="auto"/>
      </w:divBdr>
    </w:div>
    <w:div w:id="375353364">
      <w:bodyDiv w:val="1"/>
      <w:marLeft w:val="0"/>
      <w:marRight w:val="0"/>
      <w:marTop w:val="0"/>
      <w:marBottom w:val="0"/>
      <w:divBdr>
        <w:top w:val="none" w:sz="0" w:space="0" w:color="auto"/>
        <w:left w:val="none" w:sz="0" w:space="0" w:color="auto"/>
        <w:bottom w:val="none" w:sz="0" w:space="0" w:color="auto"/>
        <w:right w:val="none" w:sz="0" w:space="0" w:color="auto"/>
      </w:divBdr>
      <w:divsChild>
        <w:div w:id="496387845">
          <w:marLeft w:val="0"/>
          <w:marRight w:val="0"/>
          <w:marTop w:val="240"/>
          <w:marBottom w:val="0"/>
          <w:divBdr>
            <w:top w:val="none" w:sz="0" w:space="0" w:color="auto"/>
            <w:left w:val="none" w:sz="0" w:space="0" w:color="auto"/>
            <w:bottom w:val="none" w:sz="0" w:space="0" w:color="auto"/>
            <w:right w:val="none" w:sz="0" w:space="0" w:color="auto"/>
          </w:divBdr>
          <w:divsChild>
            <w:div w:id="268396328">
              <w:marLeft w:val="0"/>
              <w:marRight w:val="0"/>
              <w:marTop w:val="0"/>
              <w:marBottom w:val="0"/>
              <w:divBdr>
                <w:top w:val="none" w:sz="0" w:space="0" w:color="auto"/>
                <w:left w:val="none" w:sz="0" w:space="0" w:color="auto"/>
                <w:bottom w:val="none" w:sz="0" w:space="0" w:color="auto"/>
                <w:right w:val="none" w:sz="0" w:space="0" w:color="auto"/>
              </w:divBdr>
            </w:div>
          </w:divsChild>
        </w:div>
        <w:div w:id="1315989845">
          <w:marLeft w:val="0"/>
          <w:marRight w:val="0"/>
          <w:marTop w:val="240"/>
          <w:marBottom w:val="240"/>
          <w:divBdr>
            <w:top w:val="none" w:sz="0" w:space="0" w:color="auto"/>
            <w:left w:val="none" w:sz="0" w:space="0" w:color="auto"/>
            <w:bottom w:val="none" w:sz="0" w:space="0" w:color="auto"/>
            <w:right w:val="none" w:sz="0" w:space="0" w:color="auto"/>
          </w:divBdr>
          <w:divsChild>
            <w:div w:id="680820709">
              <w:marLeft w:val="0"/>
              <w:marRight w:val="0"/>
              <w:marTop w:val="0"/>
              <w:marBottom w:val="0"/>
              <w:divBdr>
                <w:top w:val="none" w:sz="0" w:space="0" w:color="auto"/>
                <w:left w:val="none" w:sz="0" w:space="0" w:color="auto"/>
                <w:bottom w:val="none" w:sz="0" w:space="0" w:color="auto"/>
                <w:right w:val="none" w:sz="0" w:space="0" w:color="auto"/>
              </w:divBdr>
            </w:div>
            <w:div w:id="757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7258">
      <w:bodyDiv w:val="1"/>
      <w:marLeft w:val="0"/>
      <w:marRight w:val="0"/>
      <w:marTop w:val="0"/>
      <w:marBottom w:val="0"/>
      <w:divBdr>
        <w:top w:val="none" w:sz="0" w:space="0" w:color="auto"/>
        <w:left w:val="none" w:sz="0" w:space="0" w:color="auto"/>
        <w:bottom w:val="none" w:sz="0" w:space="0" w:color="auto"/>
        <w:right w:val="none" w:sz="0" w:space="0" w:color="auto"/>
      </w:divBdr>
      <w:divsChild>
        <w:div w:id="607811653">
          <w:marLeft w:val="1275"/>
          <w:marRight w:val="0"/>
          <w:marTop w:val="0"/>
          <w:marBottom w:val="0"/>
          <w:divBdr>
            <w:top w:val="none" w:sz="0" w:space="0" w:color="auto"/>
            <w:left w:val="none" w:sz="0" w:space="0" w:color="auto"/>
            <w:bottom w:val="none" w:sz="0" w:space="0" w:color="auto"/>
            <w:right w:val="none" w:sz="0" w:space="0" w:color="auto"/>
          </w:divBdr>
          <w:divsChild>
            <w:div w:id="605312217">
              <w:marLeft w:val="0"/>
              <w:marRight w:val="0"/>
              <w:marTop w:val="0"/>
              <w:marBottom w:val="0"/>
              <w:divBdr>
                <w:top w:val="none" w:sz="0" w:space="0" w:color="auto"/>
                <w:left w:val="none" w:sz="0" w:space="0" w:color="auto"/>
                <w:bottom w:val="none" w:sz="0" w:space="0" w:color="auto"/>
                <w:right w:val="none" w:sz="0" w:space="0" w:color="auto"/>
              </w:divBdr>
              <w:divsChild>
                <w:div w:id="1615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0555">
          <w:marLeft w:val="0"/>
          <w:marRight w:val="0"/>
          <w:marTop w:val="0"/>
          <w:marBottom w:val="0"/>
          <w:divBdr>
            <w:top w:val="none" w:sz="0" w:space="0" w:color="auto"/>
            <w:left w:val="none" w:sz="0" w:space="0" w:color="auto"/>
            <w:bottom w:val="none" w:sz="0" w:space="0" w:color="auto"/>
            <w:right w:val="none" w:sz="0" w:space="0" w:color="auto"/>
          </w:divBdr>
        </w:div>
        <w:div w:id="838620775">
          <w:marLeft w:val="1275"/>
          <w:marRight w:val="0"/>
          <w:marTop w:val="0"/>
          <w:marBottom w:val="0"/>
          <w:divBdr>
            <w:top w:val="none" w:sz="0" w:space="0" w:color="auto"/>
            <w:left w:val="none" w:sz="0" w:space="0" w:color="auto"/>
            <w:bottom w:val="none" w:sz="0" w:space="0" w:color="auto"/>
            <w:right w:val="none" w:sz="0" w:space="0" w:color="auto"/>
          </w:divBdr>
          <w:divsChild>
            <w:div w:id="41485697">
              <w:marLeft w:val="0"/>
              <w:marRight w:val="0"/>
              <w:marTop w:val="0"/>
              <w:marBottom w:val="0"/>
              <w:divBdr>
                <w:top w:val="none" w:sz="0" w:space="0" w:color="auto"/>
                <w:left w:val="none" w:sz="0" w:space="0" w:color="auto"/>
                <w:bottom w:val="none" w:sz="0" w:space="0" w:color="auto"/>
                <w:right w:val="none" w:sz="0" w:space="0" w:color="auto"/>
              </w:divBdr>
              <w:divsChild>
                <w:div w:id="455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829">
          <w:marLeft w:val="0"/>
          <w:marRight w:val="0"/>
          <w:marTop w:val="0"/>
          <w:marBottom w:val="0"/>
          <w:divBdr>
            <w:top w:val="none" w:sz="0" w:space="0" w:color="auto"/>
            <w:left w:val="none" w:sz="0" w:space="0" w:color="auto"/>
            <w:bottom w:val="none" w:sz="0" w:space="0" w:color="auto"/>
            <w:right w:val="none" w:sz="0" w:space="0" w:color="auto"/>
          </w:divBdr>
        </w:div>
        <w:div w:id="272053209">
          <w:marLeft w:val="1275"/>
          <w:marRight w:val="0"/>
          <w:marTop w:val="0"/>
          <w:marBottom w:val="0"/>
          <w:divBdr>
            <w:top w:val="none" w:sz="0" w:space="0" w:color="auto"/>
            <w:left w:val="none" w:sz="0" w:space="0" w:color="auto"/>
            <w:bottom w:val="none" w:sz="0" w:space="0" w:color="auto"/>
            <w:right w:val="none" w:sz="0" w:space="0" w:color="auto"/>
          </w:divBdr>
          <w:divsChild>
            <w:div w:id="92942493">
              <w:marLeft w:val="0"/>
              <w:marRight w:val="0"/>
              <w:marTop w:val="0"/>
              <w:marBottom w:val="0"/>
              <w:divBdr>
                <w:top w:val="none" w:sz="0" w:space="0" w:color="auto"/>
                <w:left w:val="none" w:sz="0" w:space="0" w:color="auto"/>
                <w:bottom w:val="none" w:sz="0" w:space="0" w:color="auto"/>
                <w:right w:val="none" w:sz="0" w:space="0" w:color="auto"/>
              </w:divBdr>
              <w:divsChild>
                <w:div w:id="14478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9628">
      <w:bodyDiv w:val="1"/>
      <w:marLeft w:val="0"/>
      <w:marRight w:val="0"/>
      <w:marTop w:val="0"/>
      <w:marBottom w:val="0"/>
      <w:divBdr>
        <w:top w:val="none" w:sz="0" w:space="0" w:color="auto"/>
        <w:left w:val="none" w:sz="0" w:space="0" w:color="auto"/>
        <w:bottom w:val="none" w:sz="0" w:space="0" w:color="auto"/>
        <w:right w:val="none" w:sz="0" w:space="0" w:color="auto"/>
      </w:divBdr>
    </w:div>
    <w:div w:id="1019308616">
      <w:bodyDiv w:val="1"/>
      <w:marLeft w:val="0"/>
      <w:marRight w:val="0"/>
      <w:marTop w:val="0"/>
      <w:marBottom w:val="0"/>
      <w:divBdr>
        <w:top w:val="none" w:sz="0" w:space="0" w:color="auto"/>
        <w:left w:val="none" w:sz="0" w:space="0" w:color="auto"/>
        <w:bottom w:val="none" w:sz="0" w:space="0" w:color="auto"/>
        <w:right w:val="none" w:sz="0" w:space="0" w:color="auto"/>
      </w:divBdr>
    </w:div>
    <w:div w:id="1052078786">
      <w:bodyDiv w:val="1"/>
      <w:marLeft w:val="0"/>
      <w:marRight w:val="0"/>
      <w:marTop w:val="0"/>
      <w:marBottom w:val="0"/>
      <w:divBdr>
        <w:top w:val="none" w:sz="0" w:space="0" w:color="auto"/>
        <w:left w:val="none" w:sz="0" w:space="0" w:color="auto"/>
        <w:bottom w:val="none" w:sz="0" w:space="0" w:color="auto"/>
        <w:right w:val="none" w:sz="0" w:space="0" w:color="auto"/>
      </w:divBdr>
    </w:div>
    <w:div w:id="1203908814">
      <w:bodyDiv w:val="1"/>
      <w:marLeft w:val="0"/>
      <w:marRight w:val="0"/>
      <w:marTop w:val="0"/>
      <w:marBottom w:val="0"/>
      <w:divBdr>
        <w:top w:val="none" w:sz="0" w:space="0" w:color="auto"/>
        <w:left w:val="none" w:sz="0" w:space="0" w:color="auto"/>
        <w:bottom w:val="none" w:sz="0" w:space="0" w:color="auto"/>
        <w:right w:val="none" w:sz="0" w:space="0" w:color="auto"/>
      </w:divBdr>
    </w:div>
    <w:div w:id="1230379721">
      <w:bodyDiv w:val="1"/>
      <w:marLeft w:val="0"/>
      <w:marRight w:val="0"/>
      <w:marTop w:val="0"/>
      <w:marBottom w:val="0"/>
      <w:divBdr>
        <w:top w:val="none" w:sz="0" w:space="0" w:color="auto"/>
        <w:left w:val="none" w:sz="0" w:space="0" w:color="auto"/>
        <w:bottom w:val="none" w:sz="0" w:space="0" w:color="auto"/>
        <w:right w:val="none" w:sz="0" w:space="0" w:color="auto"/>
      </w:divBdr>
    </w:div>
    <w:div w:id="1242063620">
      <w:bodyDiv w:val="1"/>
      <w:marLeft w:val="0"/>
      <w:marRight w:val="0"/>
      <w:marTop w:val="0"/>
      <w:marBottom w:val="0"/>
      <w:divBdr>
        <w:top w:val="none" w:sz="0" w:space="0" w:color="auto"/>
        <w:left w:val="none" w:sz="0" w:space="0" w:color="auto"/>
        <w:bottom w:val="none" w:sz="0" w:space="0" w:color="auto"/>
        <w:right w:val="none" w:sz="0" w:space="0" w:color="auto"/>
      </w:divBdr>
    </w:div>
    <w:div w:id="1280143408">
      <w:bodyDiv w:val="1"/>
      <w:marLeft w:val="0"/>
      <w:marRight w:val="0"/>
      <w:marTop w:val="0"/>
      <w:marBottom w:val="0"/>
      <w:divBdr>
        <w:top w:val="none" w:sz="0" w:space="0" w:color="auto"/>
        <w:left w:val="none" w:sz="0" w:space="0" w:color="auto"/>
        <w:bottom w:val="none" w:sz="0" w:space="0" w:color="auto"/>
        <w:right w:val="none" w:sz="0" w:space="0" w:color="auto"/>
      </w:divBdr>
      <w:divsChild>
        <w:div w:id="1942370395">
          <w:marLeft w:val="0"/>
          <w:marRight w:val="0"/>
          <w:marTop w:val="240"/>
          <w:marBottom w:val="0"/>
          <w:divBdr>
            <w:top w:val="none" w:sz="0" w:space="0" w:color="auto"/>
            <w:left w:val="none" w:sz="0" w:space="0" w:color="auto"/>
            <w:bottom w:val="none" w:sz="0" w:space="0" w:color="auto"/>
            <w:right w:val="none" w:sz="0" w:space="0" w:color="auto"/>
          </w:divBdr>
          <w:divsChild>
            <w:div w:id="536430677">
              <w:marLeft w:val="0"/>
              <w:marRight w:val="0"/>
              <w:marTop w:val="0"/>
              <w:marBottom w:val="0"/>
              <w:divBdr>
                <w:top w:val="none" w:sz="0" w:space="0" w:color="auto"/>
                <w:left w:val="none" w:sz="0" w:space="0" w:color="auto"/>
                <w:bottom w:val="none" w:sz="0" w:space="0" w:color="auto"/>
                <w:right w:val="none" w:sz="0" w:space="0" w:color="auto"/>
              </w:divBdr>
            </w:div>
          </w:divsChild>
        </w:div>
        <w:div w:id="1001665415">
          <w:marLeft w:val="0"/>
          <w:marRight w:val="0"/>
          <w:marTop w:val="240"/>
          <w:marBottom w:val="240"/>
          <w:divBdr>
            <w:top w:val="none" w:sz="0" w:space="0" w:color="auto"/>
            <w:left w:val="none" w:sz="0" w:space="0" w:color="auto"/>
            <w:bottom w:val="none" w:sz="0" w:space="0" w:color="auto"/>
            <w:right w:val="none" w:sz="0" w:space="0" w:color="auto"/>
          </w:divBdr>
          <w:divsChild>
            <w:div w:id="453795443">
              <w:marLeft w:val="0"/>
              <w:marRight w:val="0"/>
              <w:marTop w:val="0"/>
              <w:marBottom w:val="0"/>
              <w:divBdr>
                <w:top w:val="none" w:sz="0" w:space="0" w:color="auto"/>
                <w:left w:val="none" w:sz="0" w:space="0" w:color="auto"/>
                <w:bottom w:val="none" w:sz="0" w:space="0" w:color="auto"/>
                <w:right w:val="none" w:sz="0" w:space="0" w:color="auto"/>
              </w:divBdr>
            </w:div>
            <w:div w:id="2032029764">
              <w:marLeft w:val="0"/>
              <w:marRight w:val="0"/>
              <w:marTop w:val="0"/>
              <w:marBottom w:val="0"/>
              <w:divBdr>
                <w:top w:val="none" w:sz="0" w:space="0" w:color="auto"/>
                <w:left w:val="none" w:sz="0" w:space="0" w:color="auto"/>
                <w:bottom w:val="none" w:sz="0" w:space="0" w:color="auto"/>
                <w:right w:val="none" w:sz="0" w:space="0" w:color="auto"/>
              </w:divBdr>
            </w:div>
            <w:div w:id="1455489632">
              <w:marLeft w:val="0"/>
              <w:marRight w:val="0"/>
              <w:marTop w:val="0"/>
              <w:marBottom w:val="0"/>
              <w:divBdr>
                <w:top w:val="none" w:sz="0" w:space="0" w:color="auto"/>
                <w:left w:val="none" w:sz="0" w:space="0" w:color="auto"/>
                <w:bottom w:val="none" w:sz="0" w:space="0" w:color="auto"/>
                <w:right w:val="none" w:sz="0" w:space="0" w:color="auto"/>
              </w:divBdr>
            </w:div>
            <w:div w:id="380323850">
              <w:marLeft w:val="0"/>
              <w:marRight w:val="0"/>
              <w:marTop w:val="0"/>
              <w:marBottom w:val="0"/>
              <w:divBdr>
                <w:top w:val="none" w:sz="0" w:space="0" w:color="auto"/>
                <w:left w:val="none" w:sz="0" w:space="0" w:color="auto"/>
                <w:bottom w:val="none" w:sz="0" w:space="0" w:color="auto"/>
                <w:right w:val="none" w:sz="0" w:space="0" w:color="auto"/>
              </w:divBdr>
            </w:div>
          </w:divsChild>
        </w:div>
        <w:div w:id="1435662037">
          <w:marLeft w:val="0"/>
          <w:marRight w:val="0"/>
          <w:marTop w:val="240"/>
          <w:marBottom w:val="0"/>
          <w:divBdr>
            <w:top w:val="none" w:sz="0" w:space="0" w:color="auto"/>
            <w:left w:val="none" w:sz="0" w:space="0" w:color="auto"/>
            <w:bottom w:val="none" w:sz="0" w:space="0" w:color="auto"/>
            <w:right w:val="none" w:sz="0" w:space="0" w:color="auto"/>
          </w:divBdr>
          <w:divsChild>
            <w:div w:id="1515532212">
              <w:marLeft w:val="0"/>
              <w:marRight w:val="0"/>
              <w:marTop w:val="0"/>
              <w:marBottom w:val="0"/>
              <w:divBdr>
                <w:top w:val="none" w:sz="0" w:space="0" w:color="auto"/>
                <w:left w:val="none" w:sz="0" w:space="0" w:color="auto"/>
                <w:bottom w:val="none" w:sz="0" w:space="0" w:color="auto"/>
                <w:right w:val="none" w:sz="0" w:space="0" w:color="auto"/>
              </w:divBdr>
            </w:div>
            <w:div w:id="704871218">
              <w:marLeft w:val="0"/>
              <w:marRight w:val="0"/>
              <w:marTop w:val="0"/>
              <w:marBottom w:val="0"/>
              <w:divBdr>
                <w:top w:val="none" w:sz="0" w:space="0" w:color="auto"/>
                <w:left w:val="none" w:sz="0" w:space="0" w:color="auto"/>
                <w:bottom w:val="none" w:sz="0" w:space="0" w:color="auto"/>
                <w:right w:val="none" w:sz="0" w:space="0" w:color="auto"/>
              </w:divBdr>
            </w:div>
            <w:div w:id="1594974330">
              <w:marLeft w:val="0"/>
              <w:marRight w:val="0"/>
              <w:marTop w:val="0"/>
              <w:marBottom w:val="0"/>
              <w:divBdr>
                <w:top w:val="none" w:sz="0" w:space="0" w:color="auto"/>
                <w:left w:val="none" w:sz="0" w:space="0" w:color="auto"/>
                <w:bottom w:val="none" w:sz="0" w:space="0" w:color="auto"/>
                <w:right w:val="none" w:sz="0" w:space="0" w:color="auto"/>
              </w:divBdr>
            </w:div>
          </w:divsChild>
        </w:div>
        <w:div w:id="1661304318">
          <w:marLeft w:val="0"/>
          <w:marRight w:val="0"/>
          <w:marTop w:val="240"/>
          <w:marBottom w:val="0"/>
          <w:divBdr>
            <w:top w:val="none" w:sz="0" w:space="0" w:color="auto"/>
            <w:left w:val="none" w:sz="0" w:space="0" w:color="auto"/>
            <w:bottom w:val="none" w:sz="0" w:space="0" w:color="auto"/>
            <w:right w:val="none" w:sz="0" w:space="0" w:color="auto"/>
          </w:divBdr>
          <w:divsChild>
            <w:div w:id="1792702658">
              <w:marLeft w:val="0"/>
              <w:marRight w:val="0"/>
              <w:marTop w:val="0"/>
              <w:marBottom w:val="0"/>
              <w:divBdr>
                <w:top w:val="none" w:sz="0" w:space="0" w:color="auto"/>
                <w:left w:val="none" w:sz="0" w:space="0" w:color="auto"/>
                <w:bottom w:val="none" w:sz="0" w:space="0" w:color="auto"/>
                <w:right w:val="none" w:sz="0" w:space="0" w:color="auto"/>
              </w:divBdr>
            </w:div>
          </w:divsChild>
        </w:div>
        <w:div w:id="155729260">
          <w:marLeft w:val="0"/>
          <w:marRight w:val="0"/>
          <w:marTop w:val="0"/>
          <w:marBottom w:val="0"/>
          <w:divBdr>
            <w:top w:val="none" w:sz="0" w:space="0" w:color="auto"/>
            <w:left w:val="none" w:sz="0" w:space="0" w:color="auto"/>
            <w:bottom w:val="none" w:sz="0" w:space="0" w:color="auto"/>
            <w:right w:val="none" w:sz="0" w:space="0" w:color="auto"/>
          </w:divBdr>
          <w:divsChild>
            <w:div w:id="896479099">
              <w:marLeft w:val="0"/>
              <w:marRight w:val="0"/>
              <w:marTop w:val="0"/>
              <w:marBottom w:val="0"/>
              <w:divBdr>
                <w:top w:val="none" w:sz="0" w:space="0" w:color="auto"/>
                <w:left w:val="none" w:sz="0" w:space="0" w:color="auto"/>
                <w:bottom w:val="none" w:sz="0" w:space="0" w:color="auto"/>
                <w:right w:val="none" w:sz="0" w:space="0" w:color="auto"/>
              </w:divBdr>
            </w:div>
          </w:divsChild>
        </w:div>
        <w:div w:id="43406474">
          <w:marLeft w:val="0"/>
          <w:marRight w:val="0"/>
          <w:marTop w:val="240"/>
          <w:marBottom w:val="0"/>
          <w:divBdr>
            <w:top w:val="none" w:sz="0" w:space="0" w:color="auto"/>
            <w:left w:val="none" w:sz="0" w:space="0" w:color="auto"/>
            <w:bottom w:val="none" w:sz="0" w:space="0" w:color="auto"/>
            <w:right w:val="none" w:sz="0" w:space="0" w:color="auto"/>
          </w:divBdr>
          <w:divsChild>
            <w:div w:id="21465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8991">
      <w:bodyDiv w:val="1"/>
      <w:marLeft w:val="0"/>
      <w:marRight w:val="0"/>
      <w:marTop w:val="0"/>
      <w:marBottom w:val="0"/>
      <w:divBdr>
        <w:top w:val="none" w:sz="0" w:space="0" w:color="auto"/>
        <w:left w:val="none" w:sz="0" w:space="0" w:color="auto"/>
        <w:bottom w:val="none" w:sz="0" w:space="0" w:color="auto"/>
        <w:right w:val="none" w:sz="0" w:space="0" w:color="auto"/>
      </w:divBdr>
    </w:div>
    <w:div w:id="1388651505">
      <w:bodyDiv w:val="1"/>
      <w:marLeft w:val="0"/>
      <w:marRight w:val="0"/>
      <w:marTop w:val="0"/>
      <w:marBottom w:val="0"/>
      <w:divBdr>
        <w:top w:val="none" w:sz="0" w:space="0" w:color="auto"/>
        <w:left w:val="none" w:sz="0" w:space="0" w:color="auto"/>
        <w:bottom w:val="none" w:sz="0" w:space="0" w:color="auto"/>
        <w:right w:val="none" w:sz="0" w:space="0" w:color="auto"/>
      </w:divBdr>
    </w:div>
    <w:div w:id="1397513171">
      <w:bodyDiv w:val="1"/>
      <w:marLeft w:val="0"/>
      <w:marRight w:val="0"/>
      <w:marTop w:val="0"/>
      <w:marBottom w:val="0"/>
      <w:divBdr>
        <w:top w:val="none" w:sz="0" w:space="0" w:color="auto"/>
        <w:left w:val="none" w:sz="0" w:space="0" w:color="auto"/>
        <w:bottom w:val="none" w:sz="0" w:space="0" w:color="auto"/>
        <w:right w:val="none" w:sz="0" w:space="0" w:color="auto"/>
      </w:divBdr>
    </w:div>
    <w:div w:id="1415979360">
      <w:bodyDiv w:val="1"/>
      <w:marLeft w:val="0"/>
      <w:marRight w:val="0"/>
      <w:marTop w:val="0"/>
      <w:marBottom w:val="0"/>
      <w:divBdr>
        <w:top w:val="none" w:sz="0" w:space="0" w:color="auto"/>
        <w:left w:val="none" w:sz="0" w:space="0" w:color="auto"/>
        <w:bottom w:val="none" w:sz="0" w:space="0" w:color="auto"/>
        <w:right w:val="none" w:sz="0" w:space="0" w:color="auto"/>
      </w:divBdr>
      <w:divsChild>
        <w:div w:id="771441562">
          <w:marLeft w:val="1275"/>
          <w:marRight w:val="0"/>
          <w:marTop w:val="0"/>
          <w:marBottom w:val="0"/>
          <w:divBdr>
            <w:top w:val="none" w:sz="0" w:space="0" w:color="auto"/>
            <w:left w:val="none" w:sz="0" w:space="0" w:color="auto"/>
            <w:bottom w:val="none" w:sz="0" w:space="0" w:color="auto"/>
            <w:right w:val="none" w:sz="0" w:space="0" w:color="auto"/>
          </w:divBdr>
          <w:divsChild>
            <w:div w:id="856966824">
              <w:marLeft w:val="0"/>
              <w:marRight w:val="0"/>
              <w:marTop w:val="0"/>
              <w:marBottom w:val="0"/>
              <w:divBdr>
                <w:top w:val="none" w:sz="0" w:space="0" w:color="auto"/>
                <w:left w:val="none" w:sz="0" w:space="0" w:color="auto"/>
                <w:bottom w:val="none" w:sz="0" w:space="0" w:color="auto"/>
                <w:right w:val="none" w:sz="0" w:space="0" w:color="auto"/>
              </w:divBdr>
              <w:divsChild>
                <w:div w:id="2120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698">
          <w:marLeft w:val="0"/>
          <w:marRight w:val="0"/>
          <w:marTop w:val="0"/>
          <w:marBottom w:val="0"/>
          <w:divBdr>
            <w:top w:val="none" w:sz="0" w:space="0" w:color="auto"/>
            <w:left w:val="none" w:sz="0" w:space="0" w:color="auto"/>
            <w:bottom w:val="none" w:sz="0" w:space="0" w:color="auto"/>
            <w:right w:val="none" w:sz="0" w:space="0" w:color="auto"/>
          </w:divBdr>
        </w:div>
        <w:div w:id="2033527883">
          <w:marLeft w:val="1275"/>
          <w:marRight w:val="0"/>
          <w:marTop w:val="0"/>
          <w:marBottom w:val="0"/>
          <w:divBdr>
            <w:top w:val="none" w:sz="0" w:space="0" w:color="auto"/>
            <w:left w:val="none" w:sz="0" w:space="0" w:color="auto"/>
            <w:bottom w:val="none" w:sz="0" w:space="0" w:color="auto"/>
            <w:right w:val="none" w:sz="0" w:space="0" w:color="auto"/>
          </w:divBdr>
          <w:divsChild>
            <w:div w:id="1205870417">
              <w:marLeft w:val="0"/>
              <w:marRight w:val="0"/>
              <w:marTop w:val="0"/>
              <w:marBottom w:val="0"/>
              <w:divBdr>
                <w:top w:val="none" w:sz="0" w:space="0" w:color="auto"/>
                <w:left w:val="none" w:sz="0" w:space="0" w:color="auto"/>
                <w:bottom w:val="none" w:sz="0" w:space="0" w:color="auto"/>
                <w:right w:val="none" w:sz="0" w:space="0" w:color="auto"/>
              </w:divBdr>
              <w:divsChild>
                <w:div w:id="6867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554">
          <w:marLeft w:val="0"/>
          <w:marRight w:val="0"/>
          <w:marTop w:val="0"/>
          <w:marBottom w:val="0"/>
          <w:divBdr>
            <w:top w:val="none" w:sz="0" w:space="0" w:color="auto"/>
            <w:left w:val="none" w:sz="0" w:space="0" w:color="auto"/>
            <w:bottom w:val="none" w:sz="0" w:space="0" w:color="auto"/>
            <w:right w:val="none" w:sz="0" w:space="0" w:color="auto"/>
          </w:divBdr>
        </w:div>
        <w:div w:id="482087229">
          <w:marLeft w:val="1275"/>
          <w:marRight w:val="0"/>
          <w:marTop w:val="0"/>
          <w:marBottom w:val="0"/>
          <w:divBdr>
            <w:top w:val="none" w:sz="0" w:space="0" w:color="auto"/>
            <w:left w:val="none" w:sz="0" w:space="0" w:color="auto"/>
            <w:bottom w:val="none" w:sz="0" w:space="0" w:color="auto"/>
            <w:right w:val="none" w:sz="0" w:space="0" w:color="auto"/>
          </w:divBdr>
          <w:divsChild>
            <w:div w:id="1085298331">
              <w:marLeft w:val="0"/>
              <w:marRight w:val="0"/>
              <w:marTop w:val="0"/>
              <w:marBottom w:val="0"/>
              <w:divBdr>
                <w:top w:val="none" w:sz="0" w:space="0" w:color="auto"/>
                <w:left w:val="none" w:sz="0" w:space="0" w:color="auto"/>
                <w:bottom w:val="none" w:sz="0" w:space="0" w:color="auto"/>
                <w:right w:val="none" w:sz="0" w:space="0" w:color="auto"/>
              </w:divBdr>
              <w:divsChild>
                <w:div w:id="1758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9564">
      <w:bodyDiv w:val="1"/>
      <w:marLeft w:val="0"/>
      <w:marRight w:val="0"/>
      <w:marTop w:val="0"/>
      <w:marBottom w:val="0"/>
      <w:divBdr>
        <w:top w:val="none" w:sz="0" w:space="0" w:color="auto"/>
        <w:left w:val="none" w:sz="0" w:space="0" w:color="auto"/>
        <w:bottom w:val="none" w:sz="0" w:space="0" w:color="auto"/>
        <w:right w:val="none" w:sz="0" w:space="0" w:color="auto"/>
      </w:divBdr>
      <w:divsChild>
        <w:div w:id="1314095022">
          <w:marLeft w:val="0"/>
          <w:marRight w:val="0"/>
          <w:marTop w:val="240"/>
          <w:marBottom w:val="0"/>
          <w:divBdr>
            <w:top w:val="none" w:sz="0" w:space="0" w:color="auto"/>
            <w:left w:val="none" w:sz="0" w:space="0" w:color="auto"/>
            <w:bottom w:val="none" w:sz="0" w:space="0" w:color="auto"/>
            <w:right w:val="none" w:sz="0" w:space="0" w:color="auto"/>
          </w:divBdr>
          <w:divsChild>
            <w:div w:id="1003312730">
              <w:marLeft w:val="0"/>
              <w:marRight w:val="0"/>
              <w:marTop w:val="0"/>
              <w:marBottom w:val="0"/>
              <w:divBdr>
                <w:top w:val="none" w:sz="0" w:space="0" w:color="auto"/>
                <w:left w:val="none" w:sz="0" w:space="0" w:color="auto"/>
                <w:bottom w:val="none" w:sz="0" w:space="0" w:color="auto"/>
                <w:right w:val="none" w:sz="0" w:space="0" w:color="auto"/>
              </w:divBdr>
            </w:div>
          </w:divsChild>
        </w:div>
        <w:div w:id="1897008696">
          <w:marLeft w:val="0"/>
          <w:marRight w:val="0"/>
          <w:marTop w:val="240"/>
          <w:marBottom w:val="240"/>
          <w:divBdr>
            <w:top w:val="none" w:sz="0" w:space="0" w:color="auto"/>
            <w:left w:val="none" w:sz="0" w:space="0" w:color="auto"/>
            <w:bottom w:val="none" w:sz="0" w:space="0" w:color="auto"/>
            <w:right w:val="none" w:sz="0" w:space="0" w:color="auto"/>
          </w:divBdr>
          <w:divsChild>
            <w:div w:id="1529181902">
              <w:marLeft w:val="0"/>
              <w:marRight w:val="0"/>
              <w:marTop w:val="0"/>
              <w:marBottom w:val="0"/>
              <w:divBdr>
                <w:top w:val="none" w:sz="0" w:space="0" w:color="auto"/>
                <w:left w:val="none" w:sz="0" w:space="0" w:color="auto"/>
                <w:bottom w:val="none" w:sz="0" w:space="0" w:color="auto"/>
                <w:right w:val="none" w:sz="0" w:space="0" w:color="auto"/>
              </w:divBdr>
            </w:div>
            <w:div w:id="1655447899">
              <w:marLeft w:val="0"/>
              <w:marRight w:val="0"/>
              <w:marTop w:val="0"/>
              <w:marBottom w:val="0"/>
              <w:divBdr>
                <w:top w:val="none" w:sz="0" w:space="0" w:color="auto"/>
                <w:left w:val="none" w:sz="0" w:space="0" w:color="auto"/>
                <w:bottom w:val="none" w:sz="0" w:space="0" w:color="auto"/>
                <w:right w:val="none" w:sz="0" w:space="0" w:color="auto"/>
              </w:divBdr>
            </w:div>
            <w:div w:id="710963453">
              <w:marLeft w:val="0"/>
              <w:marRight w:val="0"/>
              <w:marTop w:val="0"/>
              <w:marBottom w:val="0"/>
              <w:divBdr>
                <w:top w:val="none" w:sz="0" w:space="0" w:color="auto"/>
                <w:left w:val="none" w:sz="0" w:space="0" w:color="auto"/>
                <w:bottom w:val="none" w:sz="0" w:space="0" w:color="auto"/>
                <w:right w:val="none" w:sz="0" w:space="0" w:color="auto"/>
              </w:divBdr>
            </w:div>
            <w:div w:id="1013646364">
              <w:marLeft w:val="0"/>
              <w:marRight w:val="0"/>
              <w:marTop w:val="0"/>
              <w:marBottom w:val="0"/>
              <w:divBdr>
                <w:top w:val="none" w:sz="0" w:space="0" w:color="auto"/>
                <w:left w:val="none" w:sz="0" w:space="0" w:color="auto"/>
                <w:bottom w:val="none" w:sz="0" w:space="0" w:color="auto"/>
                <w:right w:val="none" w:sz="0" w:space="0" w:color="auto"/>
              </w:divBdr>
            </w:div>
            <w:div w:id="550190820">
              <w:marLeft w:val="0"/>
              <w:marRight w:val="0"/>
              <w:marTop w:val="0"/>
              <w:marBottom w:val="0"/>
              <w:divBdr>
                <w:top w:val="none" w:sz="0" w:space="0" w:color="auto"/>
                <w:left w:val="none" w:sz="0" w:space="0" w:color="auto"/>
                <w:bottom w:val="none" w:sz="0" w:space="0" w:color="auto"/>
                <w:right w:val="none" w:sz="0" w:space="0" w:color="auto"/>
              </w:divBdr>
            </w:div>
            <w:div w:id="1187406137">
              <w:marLeft w:val="0"/>
              <w:marRight w:val="0"/>
              <w:marTop w:val="0"/>
              <w:marBottom w:val="0"/>
              <w:divBdr>
                <w:top w:val="none" w:sz="0" w:space="0" w:color="auto"/>
                <w:left w:val="none" w:sz="0" w:space="0" w:color="auto"/>
                <w:bottom w:val="none" w:sz="0" w:space="0" w:color="auto"/>
                <w:right w:val="none" w:sz="0" w:space="0" w:color="auto"/>
              </w:divBdr>
            </w:div>
          </w:divsChild>
        </w:div>
        <w:div w:id="507210883">
          <w:marLeft w:val="0"/>
          <w:marRight w:val="0"/>
          <w:marTop w:val="240"/>
          <w:marBottom w:val="0"/>
          <w:divBdr>
            <w:top w:val="none" w:sz="0" w:space="0" w:color="auto"/>
            <w:left w:val="none" w:sz="0" w:space="0" w:color="auto"/>
            <w:bottom w:val="none" w:sz="0" w:space="0" w:color="auto"/>
            <w:right w:val="none" w:sz="0" w:space="0" w:color="auto"/>
          </w:divBdr>
          <w:divsChild>
            <w:div w:id="274102501">
              <w:marLeft w:val="0"/>
              <w:marRight w:val="0"/>
              <w:marTop w:val="0"/>
              <w:marBottom w:val="0"/>
              <w:divBdr>
                <w:top w:val="none" w:sz="0" w:space="0" w:color="auto"/>
                <w:left w:val="none" w:sz="0" w:space="0" w:color="auto"/>
                <w:bottom w:val="none" w:sz="0" w:space="0" w:color="auto"/>
                <w:right w:val="none" w:sz="0" w:space="0" w:color="auto"/>
              </w:divBdr>
            </w:div>
            <w:div w:id="142044934">
              <w:marLeft w:val="0"/>
              <w:marRight w:val="0"/>
              <w:marTop w:val="0"/>
              <w:marBottom w:val="0"/>
              <w:divBdr>
                <w:top w:val="none" w:sz="0" w:space="0" w:color="auto"/>
                <w:left w:val="none" w:sz="0" w:space="0" w:color="auto"/>
                <w:bottom w:val="none" w:sz="0" w:space="0" w:color="auto"/>
                <w:right w:val="none" w:sz="0" w:space="0" w:color="auto"/>
              </w:divBdr>
            </w:div>
            <w:div w:id="1920863600">
              <w:marLeft w:val="0"/>
              <w:marRight w:val="0"/>
              <w:marTop w:val="0"/>
              <w:marBottom w:val="0"/>
              <w:divBdr>
                <w:top w:val="none" w:sz="0" w:space="0" w:color="auto"/>
                <w:left w:val="none" w:sz="0" w:space="0" w:color="auto"/>
                <w:bottom w:val="none" w:sz="0" w:space="0" w:color="auto"/>
                <w:right w:val="none" w:sz="0" w:space="0" w:color="auto"/>
              </w:divBdr>
            </w:div>
            <w:div w:id="299073349">
              <w:marLeft w:val="0"/>
              <w:marRight w:val="0"/>
              <w:marTop w:val="0"/>
              <w:marBottom w:val="0"/>
              <w:divBdr>
                <w:top w:val="none" w:sz="0" w:space="0" w:color="auto"/>
                <w:left w:val="none" w:sz="0" w:space="0" w:color="auto"/>
                <w:bottom w:val="none" w:sz="0" w:space="0" w:color="auto"/>
                <w:right w:val="none" w:sz="0" w:space="0" w:color="auto"/>
              </w:divBdr>
            </w:div>
            <w:div w:id="636422856">
              <w:marLeft w:val="0"/>
              <w:marRight w:val="0"/>
              <w:marTop w:val="0"/>
              <w:marBottom w:val="0"/>
              <w:divBdr>
                <w:top w:val="none" w:sz="0" w:space="0" w:color="auto"/>
                <w:left w:val="none" w:sz="0" w:space="0" w:color="auto"/>
                <w:bottom w:val="none" w:sz="0" w:space="0" w:color="auto"/>
                <w:right w:val="none" w:sz="0" w:space="0" w:color="auto"/>
              </w:divBdr>
            </w:div>
          </w:divsChild>
        </w:div>
        <w:div w:id="1563104016">
          <w:marLeft w:val="0"/>
          <w:marRight w:val="0"/>
          <w:marTop w:val="240"/>
          <w:marBottom w:val="0"/>
          <w:divBdr>
            <w:top w:val="none" w:sz="0" w:space="0" w:color="auto"/>
            <w:left w:val="none" w:sz="0" w:space="0" w:color="auto"/>
            <w:bottom w:val="none" w:sz="0" w:space="0" w:color="auto"/>
            <w:right w:val="none" w:sz="0" w:space="0" w:color="auto"/>
          </w:divBdr>
          <w:divsChild>
            <w:div w:id="81607706">
              <w:marLeft w:val="0"/>
              <w:marRight w:val="0"/>
              <w:marTop w:val="0"/>
              <w:marBottom w:val="0"/>
              <w:divBdr>
                <w:top w:val="none" w:sz="0" w:space="0" w:color="auto"/>
                <w:left w:val="none" w:sz="0" w:space="0" w:color="auto"/>
                <w:bottom w:val="none" w:sz="0" w:space="0" w:color="auto"/>
                <w:right w:val="none" w:sz="0" w:space="0" w:color="auto"/>
              </w:divBdr>
            </w:div>
          </w:divsChild>
        </w:div>
        <w:div w:id="1593508863">
          <w:marLeft w:val="0"/>
          <w:marRight w:val="0"/>
          <w:marTop w:val="0"/>
          <w:marBottom w:val="0"/>
          <w:divBdr>
            <w:top w:val="none" w:sz="0" w:space="0" w:color="auto"/>
            <w:left w:val="none" w:sz="0" w:space="0" w:color="auto"/>
            <w:bottom w:val="none" w:sz="0" w:space="0" w:color="auto"/>
            <w:right w:val="none" w:sz="0" w:space="0" w:color="auto"/>
          </w:divBdr>
          <w:divsChild>
            <w:div w:id="1696006490">
              <w:marLeft w:val="0"/>
              <w:marRight w:val="0"/>
              <w:marTop w:val="0"/>
              <w:marBottom w:val="0"/>
              <w:divBdr>
                <w:top w:val="none" w:sz="0" w:space="0" w:color="auto"/>
                <w:left w:val="none" w:sz="0" w:space="0" w:color="auto"/>
                <w:bottom w:val="none" w:sz="0" w:space="0" w:color="auto"/>
                <w:right w:val="none" w:sz="0" w:space="0" w:color="auto"/>
              </w:divBdr>
            </w:div>
          </w:divsChild>
        </w:div>
        <w:div w:id="1654946829">
          <w:marLeft w:val="0"/>
          <w:marRight w:val="0"/>
          <w:marTop w:val="240"/>
          <w:marBottom w:val="0"/>
          <w:divBdr>
            <w:top w:val="none" w:sz="0" w:space="0" w:color="auto"/>
            <w:left w:val="none" w:sz="0" w:space="0" w:color="auto"/>
            <w:bottom w:val="none" w:sz="0" w:space="0" w:color="auto"/>
            <w:right w:val="none" w:sz="0" w:space="0" w:color="auto"/>
          </w:divBdr>
          <w:divsChild>
            <w:div w:id="1296135659">
              <w:marLeft w:val="0"/>
              <w:marRight w:val="0"/>
              <w:marTop w:val="0"/>
              <w:marBottom w:val="0"/>
              <w:divBdr>
                <w:top w:val="none" w:sz="0" w:space="0" w:color="auto"/>
                <w:left w:val="none" w:sz="0" w:space="0" w:color="auto"/>
                <w:bottom w:val="none" w:sz="0" w:space="0" w:color="auto"/>
                <w:right w:val="none" w:sz="0" w:space="0" w:color="auto"/>
              </w:divBdr>
            </w:div>
          </w:divsChild>
        </w:div>
        <w:div w:id="616254517">
          <w:marLeft w:val="0"/>
          <w:marRight w:val="0"/>
          <w:marTop w:val="240"/>
          <w:marBottom w:val="0"/>
          <w:divBdr>
            <w:top w:val="none" w:sz="0" w:space="0" w:color="auto"/>
            <w:left w:val="none" w:sz="0" w:space="0" w:color="auto"/>
            <w:bottom w:val="none" w:sz="0" w:space="0" w:color="auto"/>
            <w:right w:val="none" w:sz="0" w:space="0" w:color="auto"/>
          </w:divBdr>
          <w:divsChild>
            <w:div w:id="639504493">
              <w:marLeft w:val="0"/>
              <w:marRight w:val="0"/>
              <w:marTop w:val="0"/>
              <w:marBottom w:val="0"/>
              <w:divBdr>
                <w:top w:val="none" w:sz="0" w:space="0" w:color="auto"/>
                <w:left w:val="none" w:sz="0" w:space="0" w:color="auto"/>
                <w:bottom w:val="none" w:sz="0" w:space="0" w:color="auto"/>
                <w:right w:val="none" w:sz="0" w:space="0" w:color="auto"/>
              </w:divBdr>
            </w:div>
          </w:divsChild>
        </w:div>
        <w:div w:id="570457950">
          <w:marLeft w:val="0"/>
          <w:marRight w:val="0"/>
          <w:marTop w:val="240"/>
          <w:marBottom w:val="0"/>
          <w:divBdr>
            <w:top w:val="none" w:sz="0" w:space="0" w:color="auto"/>
            <w:left w:val="none" w:sz="0" w:space="0" w:color="auto"/>
            <w:bottom w:val="none" w:sz="0" w:space="0" w:color="auto"/>
            <w:right w:val="none" w:sz="0" w:space="0" w:color="auto"/>
          </w:divBdr>
          <w:divsChild>
            <w:div w:id="9217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826">
      <w:bodyDiv w:val="1"/>
      <w:marLeft w:val="0"/>
      <w:marRight w:val="0"/>
      <w:marTop w:val="0"/>
      <w:marBottom w:val="0"/>
      <w:divBdr>
        <w:top w:val="none" w:sz="0" w:space="0" w:color="auto"/>
        <w:left w:val="none" w:sz="0" w:space="0" w:color="auto"/>
        <w:bottom w:val="none" w:sz="0" w:space="0" w:color="auto"/>
        <w:right w:val="none" w:sz="0" w:space="0" w:color="auto"/>
      </w:divBdr>
    </w:div>
    <w:div w:id="1869029513">
      <w:bodyDiv w:val="1"/>
      <w:marLeft w:val="0"/>
      <w:marRight w:val="0"/>
      <w:marTop w:val="0"/>
      <w:marBottom w:val="0"/>
      <w:divBdr>
        <w:top w:val="none" w:sz="0" w:space="0" w:color="auto"/>
        <w:left w:val="none" w:sz="0" w:space="0" w:color="auto"/>
        <w:bottom w:val="none" w:sz="0" w:space="0" w:color="auto"/>
        <w:right w:val="none" w:sz="0" w:space="0" w:color="auto"/>
      </w:divBdr>
      <w:divsChild>
        <w:div w:id="1461726711">
          <w:marLeft w:val="1275"/>
          <w:marRight w:val="0"/>
          <w:marTop w:val="0"/>
          <w:marBottom w:val="0"/>
          <w:divBdr>
            <w:top w:val="none" w:sz="0" w:space="0" w:color="auto"/>
            <w:left w:val="none" w:sz="0" w:space="0" w:color="auto"/>
            <w:bottom w:val="none" w:sz="0" w:space="0" w:color="auto"/>
            <w:right w:val="none" w:sz="0" w:space="0" w:color="auto"/>
          </w:divBdr>
          <w:divsChild>
            <w:div w:id="1080714339">
              <w:marLeft w:val="0"/>
              <w:marRight w:val="0"/>
              <w:marTop w:val="0"/>
              <w:marBottom w:val="0"/>
              <w:divBdr>
                <w:top w:val="none" w:sz="0" w:space="0" w:color="auto"/>
                <w:left w:val="none" w:sz="0" w:space="0" w:color="auto"/>
                <w:bottom w:val="none" w:sz="0" w:space="0" w:color="auto"/>
                <w:right w:val="none" w:sz="0" w:space="0" w:color="auto"/>
              </w:divBdr>
              <w:divsChild>
                <w:div w:id="19223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110">
          <w:marLeft w:val="0"/>
          <w:marRight w:val="0"/>
          <w:marTop w:val="0"/>
          <w:marBottom w:val="0"/>
          <w:divBdr>
            <w:top w:val="none" w:sz="0" w:space="0" w:color="auto"/>
            <w:left w:val="none" w:sz="0" w:space="0" w:color="auto"/>
            <w:bottom w:val="none" w:sz="0" w:space="0" w:color="auto"/>
            <w:right w:val="none" w:sz="0" w:space="0" w:color="auto"/>
          </w:divBdr>
        </w:div>
        <w:div w:id="2015691024">
          <w:marLeft w:val="1275"/>
          <w:marRight w:val="0"/>
          <w:marTop w:val="0"/>
          <w:marBottom w:val="0"/>
          <w:divBdr>
            <w:top w:val="none" w:sz="0" w:space="0" w:color="auto"/>
            <w:left w:val="none" w:sz="0" w:space="0" w:color="auto"/>
            <w:bottom w:val="none" w:sz="0" w:space="0" w:color="auto"/>
            <w:right w:val="none" w:sz="0" w:space="0" w:color="auto"/>
          </w:divBdr>
          <w:divsChild>
            <w:div w:id="838733127">
              <w:marLeft w:val="0"/>
              <w:marRight w:val="0"/>
              <w:marTop w:val="0"/>
              <w:marBottom w:val="0"/>
              <w:divBdr>
                <w:top w:val="none" w:sz="0" w:space="0" w:color="auto"/>
                <w:left w:val="none" w:sz="0" w:space="0" w:color="auto"/>
                <w:bottom w:val="none" w:sz="0" w:space="0" w:color="auto"/>
                <w:right w:val="none" w:sz="0" w:space="0" w:color="auto"/>
              </w:divBdr>
              <w:divsChild>
                <w:div w:id="11352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4757">
          <w:marLeft w:val="0"/>
          <w:marRight w:val="0"/>
          <w:marTop w:val="0"/>
          <w:marBottom w:val="0"/>
          <w:divBdr>
            <w:top w:val="none" w:sz="0" w:space="0" w:color="auto"/>
            <w:left w:val="none" w:sz="0" w:space="0" w:color="auto"/>
            <w:bottom w:val="none" w:sz="0" w:space="0" w:color="auto"/>
            <w:right w:val="none" w:sz="0" w:space="0" w:color="auto"/>
          </w:divBdr>
        </w:div>
        <w:div w:id="1207640833">
          <w:marLeft w:val="1275"/>
          <w:marRight w:val="0"/>
          <w:marTop w:val="0"/>
          <w:marBottom w:val="0"/>
          <w:divBdr>
            <w:top w:val="none" w:sz="0" w:space="0" w:color="auto"/>
            <w:left w:val="none" w:sz="0" w:space="0" w:color="auto"/>
            <w:bottom w:val="none" w:sz="0" w:space="0" w:color="auto"/>
            <w:right w:val="none" w:sz="0" w:space="0" w:color="auto"/>
          </w:divBdr>
          <w:divsChild>
            <w:div w:id="287009247">
              <w:marLeft w:val="0"/>
              <w:marRight w:val="0"/>
              <w:marTop w:val="0"/>
              <w:marBottom w:val="0"/>
              <w:divBdr>
                <w:top w:val="none" w:sz="0" w:space="0" w:color="auto"/>
                <w:left w:val="none" w:sz="0" w:space="0" w:color="auto"/>
                <w:bottom w:val="none" w:sz="0" w:space="0" w:color="auto"/>
                <w:right w:val="none" w:sz="0" w:space="0" w:color="auto"/>
              </w:divBdr>
              <w:divsChild>
                <w:div w:id="9449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001">
      <w:bodyDiv w:val="1"/>
      <w:marLeft w:val="0"/>
      <w:marRight w:val="0"/>
      <w:marTop w:val="0"/>
      <w:marBottom w:val="0"/>
      <w:divBdr>
        <w:top w:val="none" w:sz="0" w:space="0" w:color="auto"/>
        <w:left w:val="none" w:sz="0" w:space="0" w:color="auto"/>
        <w:bottom w:val="none" w:sz="0" w:space="0" w:color="auto"/>
        <w:right w:val="none" w:sz="0" w:space="0" w:color="auto"/>
      </w:divBdr>
    </w:div>
    <w:div w:id="1978224250">
      <w:bodyDiv w:val="1"/>
      <w:marLeft w:val="0"/>
      <w:marRight w:val="0"/>
      <w:marTop w:val="0"/>
      <w:marBottom w:val="0"/>
      <w:divBdr>
        <w:top w:val="none" w:sz="0" w:space="0" w:color="auto"/>
        <w:left w:val="none" w:sz="0" w:space="0" w:color="auto"/>
        <w:bottom w:val="none" w:sz="0" w:space="0" w:color="auto"/>
        <w:right w:val="none" w:sz="0" w:space="0" w:color="auto"/>
      </w:divBdr>
      <w:divsChild>
        <w:div w:id="1435592110">
          <w:marLeft w:val="0"/>
          <w:marRight w:val="0"/>
          <w:marTop w:val="240"/>
          <w:marBottom w:val="0"/>
          <w:divBdr>
            <w:top w:val="none" w:sz="0" w:space="0" w:color="auto"/>
            <w:left w:val="none" w:sz="0" w:space="0" w:color="auto"/>
            <w:bottom w:val="none" w:sz="0" w:space="0" w:color="auto"/>
            <w:right w:val="none" w:sz="0" w:space="0" w:color="auto"/>
          </w:divBdr>
          <w:divsChild>
            <w:div w:id="1454902201">
              <w:marLeft w:val="0"/>
              <w:marRight w:val="0"/>
              <w:marTop w:val="0"/>
              <w:marBottom w:val="0"/>
              <w:divBdr>
                <w:top w:val="none" w:sz="0" w:space="0" w:color="auto"/>
                <w:left w:val="none" w:sz="0" w:space="0" w:color="auto"/>
                <w:bottom w:val="none" w:sz="0" w:space="0" w:color="auto"/>
                <w:right w:val="none" w:sz="0" w:space="0" w:color="auto"/>
              </w:divBdr>
            </w:div>
          </w:divsChild>
        </w:div>
        <w:div w:id="343627820">
          <w:marLeft w:val="0"/>
          <w:marRight w:val="0"/>
          <w:marTop w:val="240"/>
          <w:marBottom w:val="240"/>
          <w:divBdr>
            <w:top w:val="none" w:sz="0" w:space="0" w:color="auto"/>
            <w:left w:val="none" w:sz="0" w:space="0" w:color="auto"/>
            <w:bottom w:val="none" w:sz="0" w:space="0" w:color="auto"/>
            <w:right w:val="none" w:sz="0" w:space="0" w:color="auto"/>
          </w:divBdr>
          <w:divsChild>
            <w:div w:id="2040356252">
              <w:marLeft w:val="0"/>
              <w:marRight w:val="0"/>
              <w:marTop w:val="0"/>
              <w:marBottom w:val="0"/>
              <w:divBdr>
                <w:top w:val="none" w:sz="0" w:space="0" w:color="auto"/>
                <w:left w:val="none" w:sz="0" w:space="0" w:color="auto"/>
                <w:bottom w:val="none" w:sz="0" w:space="0" w:color="auto"/>
                <w:right w:val="none" w:sz="0" w:space="0" w:color="auto"/>
              </w:divBdr>
            </w:div>
            <w:div w:id="1072854305">
              <w:marLeft w:val="0"/>
              <w:marRight w:val="0"/>
              <w:marTop w:val="0"/>
              <w:marBottom w:val="0"/>
              <w:divBdr>
                <w:top w:val="none" w:sz="0" w:space="0" w:color="auto"/>
                <w:left w:val="none" w:sz="0" w:space="0" w:color="auto"/>
                <w:bottom w:val="none" w:sz="0" w:space="0" w:color="auto"/>
                <w:right w:val="none" w:sz="0" w:space="0" w:color="auto"/>
              </w:divBdr>
            </w:div>
            <w:div w:id="688063471">
              <w:marLeft w:val="0"/>
              <w:marRight w:val="0"/>
              <w:marTop w:val="0"/>
              <w:marBottom w:val="0"/>
              <w:divBdr>
                <w:top w:val="none" w:sz="0" w:space="0" w:color="auto"/>
                <w:left w:val="none" w:sz="0" w:space="0" w:color="auto"/>
                <w:bottom w:val="none" w:sz="0" w:space="0" w:color="auto"/>
                <w:right w:val="none" w:sz="0" w:space="0" w:color="auto"/>
              </w:divBdr>
            </w:div>
            <w:div w:id="1622951875">
              <w:marLeft w:val="0"/>
              <w:marRight w:val="0"/>
              <w:marTop w:val="0"/>
              <w:marBottom w:val="0"/>
              <w:divBdr>
                <w:top w:val="none" w:sz="0" w:space="0" w:color="auto"/>
                <w:left w:val="none" w:sz="0" w:space="0" w:color="auto"/>
                <w:bottom w:val="none" w:sz="0" w:space="0" w:color="auto"/>
                <w:right w:val="none" w:sz="0" w:space="0" w:color="auto"/>
              </w:divBdr>
            </w:div>
          </w:divsChild>
        </w:div>
        <w:div w:id="1579049590">
          <w:marLeft w:val="0"/>
          <w:marRight w:val="0"/>
          <w:marTop w:val="240"/>
          <w:marBottom w:val="0"/>
          <w:divBdr>
            <w:top w:val="none" w:sz="0" w:space="0" w:color="auto"/>
            <w:left w:val="none" w:sz="0" w:space="0" w:color="auto"/>
            <w:bottom w:val="none" w:sz="0" w:space="0" w:color="auto"/>
            <w:right w:val="none" w:sz="0" w:space="0" w:color="auto"/>
          </w:divBdr>
          <w:divsChild>
            <w:div w:id="751468516">
              <w:marLeft w:val="0"/>
              <w:marRight w:val="0"/>
              <w:marTop w:val="0"/>
              <w:marBottom w:val="0"/>
              <w:divBdr>
                <w:top w:val="none" w:sz="0" w:space="0" w:color="auto"/>
                <w:left w:val="none" w:sz="0" w:space="0" w:color="auto"/>
                <w:bottom w:val="none" w:sz="0" w:space="0" w:color="auto"/>
                <w:right w:val="none" w:sz="0" w:space="0" w:color="auto"/>
              </w:divBdr>
            </w:div>
            <w:div w:id="204635014">
              <w:marLeft w:val="0"/>
              <w:marRight w:val="0"/>
              <w:marTop w:val="0"/>
              <w:marBottom w:val="0"/>
              <w:divBdr>
                <w:top w:val="none" w:sz="0" w:space="0" w:color="auto"/>
                <w:left w:val="none" w:sz="0" w:space="0" w:color="auto"/>
                <w:bottom w:val="none" w:sz="0" w:space="0" w:color="auto"/>
                <w:right w:val="none" w:sz="0" w:space="0" w:color="auto"/>
              </w:divBdr>
            </w:div>
            <w:div w:id="1737895885">
              <w:marLeft w:val="0"/>
              <w:marRight w:val="0"/>
              <w:marTop w:val="0"/>
              <w:marBottom w:val="0"/>
              <w:divBdr>
                <w:top w:val="none" w:sz="0" w:space="0" w:color="auto"/>
                <w:left w:val="none" w:sz="0" w:space="0" w:color="auto"/>
                <w:bottom w:val="none" w:sz="0" w:space="0" w:color="auto"/>
                <w:right w:val="none" w:sz="0" w:space="0" w:color="auto"/>
              </w:divBdr>
            </w:div>
          </w:divsChild>
        </w:div>
        <w:div w:id="400909846">
          <w:marLeft w:val="0"/>
          <w:marRight w:val="0"/>
          <w:marTop w:val="240"/>
          <w:marBottom w:val="0"/>
          <w:divBdr>
            <w:top w:val="none" w:sz="0" w:space="0" w:color="auto"/>
            <w:left w:val="none" w:sz="0" w:space="0" w:color="auto"/>
            <w:bottom w:val="none" w:sz="0" w:space="0" w:color="auto"/>
            <w:right w:val="none" w:sz="0" w:space="0" w:color="auto"/>
          </w:divBdr>
          <w:divsChild>
            <w:div w:id="1693723575">
              <w:marLeft w:val="0"/>
              <w:marRight w:val="0"/>
              <w:marTop w:val="0"/>
              <w:marBottom w:val="0"/>
              <w:divBdr>
                <w:top w:val="none" w:sz="0" w:space="0" w:color="auto"/>
                <w:left w:val="none" w:sz="0" w:space="0" w:color="auto"/>
                <w:bottom w:val="none" w:sz="0" w:space="0" w:color="auto"/>
                <w:right w:val="none" w:sz="0" w:space="0" w:color="auto"/>
              </w:divBdr>
            </w:div>
          </w:divsChild>
        </w:div>
        <w:div w:id="981497316">
          <w:marLeft w:val="0"/>
          <w:marRight w:val="0"/>
          <w:marTop w:val="0"/>
          <w:marBottom w:val="0"/>
          <w:divBdr>
            <w:top w:val="none" w:sz="0" w:space="0" w:color="auto"/>
            <w:left w:val="none" w:sz="0" w:space="0" w:color="auto"/>
            <w:bottom w:val="none" w:sz="0" w:space="0" w:color="auto"/>
            <w:right w:val="none" w:sz="0" w:space="0" w:color="auto"/>
          </w:divBdr>
          <w:divsChild>
            <w:div w:id="237441981">
              <w:marLeft w:val="0"/>
              <w:marRight w:val="0"/>
              <w:marTop w:val="0"/>
              <w:marBottom w:val="0"/>
              <w:divBdr>
                <w:top w:val="none" w:sz="0" w:space="0" w:color="auto"/>
                <w:left w:val="none" w:sz="0" w:space="0" w:color="auto"/>
                <w:bottom w:val="none" w:sz="0" w:space="0" w:color="auto"/>
                <w:right w:val="none" w:sz="0" w:space="0" w:color="auto"/>
              </w:divBdr>
            </w:div>
          </w:divsChild>
        </w:div>
        <w:div w:id="1796021814">
          <w:marLeft w:val="0"/>
          <w:marRight w:val="0"/>
          <w:marTop w:val="240"/>
          <w:marBottom w:val="0"/>
          <w:divBdr>
            <w:top w:val="none" w:sz="0" w:space="0" w:color="auto"/>
            <w:left w:val="none" w:sz="0" w:space="0" w:color="auto"/>
            <w:bottom w:val="none" w:sz="0" w:space="0" w:color="auto"/>
            <w:right w:val="none" w:sz="0" w:space="0" w:color="auto"/>
          </w:divBdr>
          <w:divsChild>
            <w:div w:id="1498883484">
              <w:marLeft w:val="0"/>
              <w:marRight w:val="0"/>
              <w:marTop w:val="0"/>
              <w:marBottom w:val="0"/>
              <w:divBdr>
                <w:top w:val="none" w:sz="0" w:space="0" w:color="auto"/>
                <w:left w:val="none" w:sz="0" w:space="0" w:color="auto"/>
                <w:bottom w:val="none" w:sz="0" w:space="0" w:color="auto"/>
                <w:right w:val="none" w:sz="0" w:space="0" w:color="auto"/>
              </w:divBdr>
            </w:div>
          </w:divsChild>
        </w:div>
        <w:div w:id="226889474">
          <w:marLeft w:val="0"/>
          <w:marRight w:val="0"/>
          <w:marTop w:val="240"/>
          <w:marBottom w:val="0"/>
          <w:divBdr>
            <w:top w:val="none" w:sz="0" w:space="0" w:color="auto"/>
            <w:left w:val="none" w:sz="0" w:space="0" w:color="auto"/>
            <w:bottom w:val="none" w:sz="0" w:space="0" w:color="auto"/>
            <w:right w:val="none" w:sz="0" w:space="0" w:color="auto"/>
          </w:divBdr>
          <w:divsChild>
            <w:div w:id="2071993880">
              <w:marLeft w:val="0"/>
              <w:marRight w:val="0"/>
              <w:marTop w:val="0"/>
              <w:marBottom w:val="0"/>
              <w:divBdr>
                <w:top w:val="none" w:sz="0" w:space="0" w:color="auto"/>
                <w:left w:val="none" w:sz="0" w:space="0" w:color="auto"/>
                <w:bottom w:val="none" w:sz="0" w:space="0" w:color="auto"/>
                <w:right w:val="none" w:sz="0" w:space="0" w:color="auto"/>
              </w:divBdr>
            </w:div>
          </w:divsChild>
        </w:div>
        <w:div w:id="286201080">
          <w:marLeft w:val="0"/>
          <w:marRight w:val="0"/>
          <w:marTop w:val="240"/>
          <w:marBottom w:val="0"/>
          <w:divBdr>
            <w:top w:val="none" w:sz="0" w:space="0" w:color="auto"/>
            <w:left w:val="none" w:sz="0" w:space="0" w:color="auto"/>
            <w:bottom w:val="none" w:sz="0" w:space="0" w:color="auto"/>
            <w:right w:val="none" w:sz="0" w:space="0" w:color="auto"/>
          </w:divBdr>
          <w:divsChild>
            <w:div w:id="1127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777">
      <w:bodyDiv w:val="1"/>
      <w:marLeft w:val="0"/>
      <w:marRight w:val="0"/>
      <w:marTop w:val="0"/>
      <w:marBottom w:val="0"/>
      <w:divBdr>
        <w:top w:val="none" w:sz="0" w:space="0" w:color="auto"/>
        <w:left w:val="none" w:sz="0" w:space="0" w:color="auto"/>
        <w:bottom w:val="none" w:sz="0" w:space="0" w:color="auto"/>
        <w:right w:val="none" w:sz="0" w:space="0" w:color="auto"/>
      </w:divBdr>
      <w:divsChild>
        <w:div w:id="290987991">
          <w:marLeft w:val="0"/>
          <w:marRight w:val="0"/>
          <w:marTop w:val="240"/>
          <w:marBottom w:val="0"/>
          <w:divBdr>
            <w:top w:val="none" w:sz="0" w:space="0" w:color="auto"/>
            <w:left w:val="none" w:sz="0" w:space="0" w:color="auto"/>
            <w:bottom w:val="none" w:sz="0" w:space="0" w:color="auto"/>
            <w:right w:val="none" w:sz="0" w:space="0" w:color="auto"/>
          </w:divBdr>
          <w:divsChild>
            <w:div w:id="1704403390">
              <w:marLeft w:val="0"/>
              <w:marRight w:val="0"/>
              <w:marTop w:val="0"/>
              <w:marBottom w:val="0"/>
              <w:divBdr>
                <w:top w:val="none" w:sz="0" w:space="0" w:color="auto"/>
                <w:left w:val="none" w:sz="0" w:space="0" w:color="auto"/>
                <w:bottom w:val="none" w:sz="0" w:space="0" w:color="auto"/>
                <w:right w:val="none" w:sz="0" w:space="0" w:color="auto"/>
              </w:divBdr>
            </w:div>
          </w:divsChild>
        </w:div>
        <w:div w:id="1382703474">
          <w:marLeft w:val="0"/>
          <w:marRight w:val="0"/>
          <w:marTop w:val="240"/>
          <w:marBottom w:val="0"/>
          <w:divBdr>
            <w:top w:val="none" w:sz="0" w:space="0" w:color="auto"/>
            <w:left w:val="none" w:sz="0" w:space="0" w:color="auto"/>
            <w:bottom w:val="none" w:sz="0" w:space="0" w:color="auto"/>
            <w:right w:val="none" w:sz="0" w:space="0" w:color="auto"/>
          </w:divBdr>
          <w:divsChild>
            <w:div w:id="1160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488">
      <w:bodyDiv w:val="1"/>
      <w:marLeft w:val="0"/>
      <w:marRight w:val="0"/>
      <w:marTop w:val="0"/>
      <w:marBottom w:val="0"/>
      <w:divBdr>
        <w:top w:val="none" w:sz="0" w:space="0" w:color="auto"/>
        <w:left w:val="none" w:sz="0" w:space="0" w:color="auto"/>
        <w:bottom w:val="none" w:sz="0" w:space="0" w:color="auto"/>
        <w:right w:val="none" w:sz="0" w:space="0" w:color="auto"/>
      </w:divBdr>
      <w:divsChild>
        <w:div w:id="649604332">
          <w:marLeft w:val="1275"/>
          <w:marRight w:val="0"/>
          <w:marTop w:val="0"/>
          <w:marBottom w:val="0"/>
          <w:divBdr>
            <w:top w:val="none" w:sz="0" w:space="0" w:color="auto"/>
            <w:left w:val="none" w:sz="0" w:space="0" w:color="auto"/>
            <w:bottom w:val="none" w:sz="0" w:space="0" w:color="auto"/>
            <w:right w:val="none" w:sz="0" w:space="0" w:color="auto"/>
          </w:divBdr>
          <w:divsChild>
            <w:div w:id="76709588">
              <w:marLeft w:val="0"/>
              <w:marRight w:val="0"/>
              <w:marTop w:val="0"/>
              <w:marBottom w:val="0"/>
              <w:divBdr>
                <w:top w:val="none" w:sz="0" w:space="0" w:color="auto"/>
                <w:left w:val="none" w:sz="0" w:space="0" w:color="auto"/>
                <w:bottom w:val="none" w:sz="0" w:space="0" w:color="auto"/>
                <w:right w:val="none" w:sz="0" w:space="0" w:color="auto"/>
              </w:divBdr>
              <w:divsChild>
                <w:div w:id="5409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pubNum=1037&amp;cite=49FR47331&amp;originatingDoc=Ib37a599e497811e38912df21cb42a557&amp;refType=FR&amp;fi=co_pp_sp_1037_47331&amp;originationContext=document&amp;transitionType=DocumentItem&amp;contextData=(sc.Search)" TargetMode="External"/><Relationship Id="rId2" Type="http://schemas.openxmlformats.org/officeDocument/2006/relationships/hyperlink" Target="https://1.next.westlaw.com/Link/Document/FullText?findType=Y&amp;pubNum=265&amp;cite=56RR2D776&amp;originatingDoc=Ib37a599e497811e38912df21cb42a557&amp;refType=CA&amp;originationContext=document&amp;transitionType=DocumentItem&amp;contextData=(sc.Search)" TargetMode="External"/><Relationship Id="rId1" Type="http://schemas.openxmlformats.org/officeDocument/2006/relationships/hyperlink" Target="https://1.next.westlaw.com/Link/Document/FullText?findType=L&amp;pubNum=1000547&amp;cite=47CFRS73.871&amp;originatingDoc=I8142c1493c3411e6a807ad48145ed9f1&amp;refType=RB&amp;originationContext=document&amp;transitionType=DocumentItem&amp;contextData=(sc.Keycite)" TargetMode="External"/><Relationship Id="rId5" Type="http://schemas.openxmlformats.org/officeDocument/2006/relationships/hyperlink" Target="https://1.next.westlaw.com/Link/Document/FullText?findType=L&amp;pubNum=1000547&amp;cite=47CFRS73.871&amp;originatingDoc=I8142c1493c3411e6a807ad48145ed9f1&amp;refType=RB&amp;originationContext=document&amp;transitionType=DocumentItem&amp;contextData=(sc.Keycite)" TargetMode="External"/><Relationship Id="rId4" Type="http://schemas.openxmlformats.org/officeDocument/2006/relationships/hyperlink" Target="https://1.next.westlaw.com/Link/Document/FullText?findType=Y&amp;serNum=2038755820&amp;pubNum=0001016&amp;originatingDoc=I8142c1493c3411e6a807ad48145ed9f1&amp;refType=CA&amp;originationContext=document&amp;transitionType=DocumentItem&amp;contextData=(sc.Keyci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6361</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2014-05-14T13:20:00Z</cp:lastPrinted>
  <dcterms:created xsi:type="dcterms:W3CDTF">2017-12-06T14:24:00Z</dcterms:created>
  <dcterms:modified xsi:type="dcterms:W3CDTF">2017-12-06T14:24:00Z</dcterms:modified>
  <cp:category> </cp:category>
  <cp:contentStatus> </cp:contentStatus>
</cp:coreProperties>
</file>