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29342C" w:rsidRPr="0029562D" w:rsidP="0029342C">
      <w:pPr>
        <w:jc w:val="right"/>
        <w:rPr>
          <w:b/>
          <w:szCs w:val="22"/>
        </w:rPr>
      </w:pPr>
      <w:r w:rsidRPr="0029562D">
        <w:rPr>
          <w:b/>
          <w:szCs w:val="22"/>
        </w:rPr>
        <w:t>DA 1</w:t>
      </w:r>
      <w:r w:rsidR="00EB520A">
        <w:rPr>
          <w:b/>
          <w:szCs w:val="22"/>
        </w:rPr>
        <w:t>7</w:t>
      </w:r>
      <w:r w:rsidRPr="0029562D">
        <w:rPr>
          <w:b/>
          <w:szCs w:val="22"/>
        </w:rPr>
        <w:t>-</w:t>
      </w:r>
      <w:r w:rsidR="00A977D1">
        <w:rPr>
          <w:b/>
          <w:szCs w:val="22"/>
        </w:rPr>
        <w:t>1209</w:t>
      </w:r>
    </w:p>
    <w:p w:rsidR="0029342C" w:rsidRPr="0029562D" w:rsidP="0029342C">
      <w:pPr>
        <w:spacing w:before="60"/>
        <w:jc w:val="right"/>
        <w:rPr>
          <w:b/>
          <w:szCs w:val="22"/>
        </w:rPr>
      </w:pPr>
      <w:r>
        <w:rPr>
          <w:b/>
          <w:szCs w:val="22"/>
        </w:rPr>
        <w:t xml:space="preserve">Released: </w:t>
      </w:r>
      <w:r w:rsidR="00D60B8D">
        <w:rPr>
          <w:b/>
          <w:szCs w:val="22"/>
        </w:rPr>
        <w:t>December</w:t>
      </w:r>
      <w:r w:rsidR="00E64755">
        <w:rPr>
          <w:b/>
          <w:szCs w:val="22"/>
        </w:rPr>
        <w:t xml:space="preserve"> </w:t>
      </w:r>
      <w:r w:rsidR="005B11E5">
        <w:rPr>
          <w:b/>
          <w:szCs w:val="22"/>
        </w:rPr>
        <w:t>15</w:t>
      </w:r>
      <w:r w:rsidRPr="0029562D">
        <w:rPr>
          <w:b/>
          <w:szCs w:val="22"/>
        </w:rPr>
        <w:t>, 201</w:t>
      </w:r>
      <w:r w:rsidR="00EB520A">
        <w:rPr>
          <w:b/>
          <w:szCs w:val="22"/>
        </w:rPr>
        <w:t>7</w:t>
      </w:r>
    </w:p>
    <w:p w:rsidR="0029342C" w:rsidRPr="0029562D" w:rsidP="0029342C">
      <w:pPr>
        <w:tabs>
          <w:tab w:val="left" w:pos="5900"/>
        </w:tabs>
        <w:rPr>
          <w:szCs w:val="22"/>
        </w:rPr>
      </w:pPr>
      <w:r w:rsidRPr="0029562D">
        <w:rPr>
          <w:szCs w:val="22"/>
        </w:rPr>
        <w:tab/>
      </w:r>
    </w:p>
    <w:p w:rsidR="0029342C" w:rsidP="0029342C">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E86DE9">
        <w:rPr>
          <w:b/>
          <w:szCs w:val="22"/>
        </w:rPr>
        <w:t>One Ring Networks, Inc.</w:t>
      </w:r>
      <w:r>
        <w:rPr>
          <w:b/>
          <w:szCs w:val="22"/>
        </w:rPr>
        <w:t xml:space="preserve"> Pursuant To Section 52.15(g)(3) Of The Commission’s Rules</w:t>
      </w:r>
    </w:p>
    <w:p w:rsidR="0029342C" w:rsidRPr="0029562D" w:rsidP="0029342C">
      <w:pPr>
        <w:jc w:val="center"/>
        <w:rPr>
          <w:b/>
          <w:szCs w:val="22"/>
        </w:rPr>
      </w:pPr>
    </w:p>
    <w:p w:rsidR="0029342C" w:rsidRPr="0029562D" w:rsidP="0029342C">
      <w:pPr>
        <w:jc w:val="center"/>
        <w:rPr>
          <w:b/>
          <w:szCs w:val="22"/>
        </w:rPr>
      </w:pPr>
      <w:r w:rsidRPr="0029562D">
        <w:rPr>
          <w:b/>
          <w:szCs w:val="22"/>
        </w:rPr>
        <w:t>STREAMLINED PLEADING CYCLE ESTABLISHED</w:t>
      </w:r>
    </w:p>
    <w:p w:rsidR="0029342C" w:rsidRPr="0029562D" w:rsidP="0029342C">
      <w:pPr>
        <w:jc w:val="center"/>
        <w:rPr>
          <w:b/>
          <w:szCs w:val="22"/>
        </w:rPr>
      </w:pPr>
    </w:p>
    <w:p w:rsidR="0029342C" w:rsidRPr="0029562D" w:rsidP="0029342C">
      <w:pPr>
        <w:jc w:val="center"/>
        <w:rPr>
          <w:b/>
          <w:szCs w:val="22"/>
        </w:rPr>
      </w:pPr>
      <w:r w:rsidRPr="0029562D">
        <w:rPr>
          <w:b/>
          <w:szCs w:val="22"/>
        </w:rPr>
        <w:t xml:space="preserve">WC Docket No. </w:t>
      </w:r>
      <w:r w:rsidR="00EB520A">
        <w:rPr>
          <w:b/>
          <w:szCs w:val="22"/>
        </w:rPr>
        <w:t>17</w:t>
      </w:r>
      <w:r w:rsidR="005B23AD">
        <w:rPr>
          <w:b/>
          <w:szCs w:val="22"/>
        </w:rPr>
        <w:t>-</w:t>
      </w:r>
      <w:r w:rsidR="008938CF">
        <w:rPr>
          <w:b/>
          <w:szCs w:val="22"/>
        </w:rPr>
        <w:t>21</w:t>
      </w:r>
      <w:r w:rsidR="00E86DE9">
        <w:rPr>
          <w:b/>
          <w:szCs w:val="22"/>
        </w:rPr>
        <w:t>9</w:t>
      </w:r>
      <w:r>
        <w:rPr>
          <w:rStyle w:val="FootnoteReference"/>
          <w:b/>
          <w:szCs w:val="22"/>
        </w:rPr>
        <w:footnoteReference w:id="2"/>
      </w:r>
    </w:p>
    <w:p w:rsidR="0029342C" w:rsidRPr="0029562D" w:rsidP="0029342C">
      <w:pPr>
        <w:jc w:val="center"/>
        <w:rPr>
          <w:szCs w:val="22"/>
        </w:rPr>
      </w:pPr>
    </w:p>
    <w:p w:rsidR="0029342C" w:rsidRPr="0029562D" w:rsidP="0029342C">
      <w:pPr>
        <w:jc w:val="center"/>
        <w:rPr>
          <w:szCs w:val="22"/>
        </w:rPr>
      </w:pPr>
    </w:p>
    <w:p w:rsidR="0029342C" w:rsidRPr="0029562D" w:rsidP="0029342C">
      <w:pPr>
        <w:pStyle w:val="NoSpacing"/>
        <w:rPr>
          <w:b/>
          <w:szCs w:val="22"/>
        </w:rPr>
      </w:pPr>
      <w:r w:rsidRPr="0029562D">
        <w:rPr>
          <w:b/>
          <w:szCs w:val="22"/>
        </w:rPr>
        <w:t xml:space="preserve">Comments Due:  </w:t>
      </w:r>
      <w:r w:rsidR="00D60B8D">
        <w:rPr>
          <w:b/>
          <w:szCs w:val="22"/>
        </w:rPr>
        <w:t>December</w:t>
      </w:r>
      <w:r w:rsidR="00135CEB">
        <w:rPr>
          <w:b/>
          <w:szCs w:val="22"/>
        </w:rPr>
        <w:t xml:space="preserve"> </w:t>
      </w:r>
      <w:r w:rsidR="005B11E5">
        <w:rPr>
          <w:b/>
          <w:szCs w:val="22"/>
        </w:rPr>
        <w:t>30</w:t>
      </w:r>
      <w:r w:rsidR="00EB520A">
        <w:rPr>
          <w:b/>
          <w:szCs w:val="22"/>
        </w:rPr>
        <w:t>, 2017</w:t>
      </w:r>
    </w:p>
    <w:p w:rsidR="0029342C" w:rsidRPr="0069551B" w:rsidP="0029342C">
      <w:pPr>
        <w:pStyle w:val="NoSpacing"/>
        <w:rPr>
          <w:b/>
          <w:szCs w:val="22"/>
        </w:rPr>
      </w:pPr>
    </w:p>
    <w:p w:rsidR="0029342C" w:rsidRPr="00B21C58" w:rsidP="0029342C">
      <w:pPr>
        <w:autoSpaceDE w:val="0"/>
        <w:autoSpaceDN w:val="0"/>
        <w:adjustRightInd w:val="0"/>
        <w:ind w:firstLine="720"/>
        <w:rPr>
          <w:szCs w:val="22"/>
        </w:rPr>
      </w:pPr>
      <w:r w:rsidRPr="0069551B">
        <w:rPr>
          <w:szCs w:val="22"/>
        </w:rPr>
        <w:t xml:space="preserve">On </w:t>
      </w:r>
      <w:r w:rsidR="00E86DE9">
        <w:rPr>
          <w:szCs w:val="22"/>
        </w:rPr>
        <w:t>August 10</w:t>
      </w:r>
      <w:r w:rsidRPr="00B21C58" w:rsidR="00B21C58">
        <w:rPr>
          <w:szCs w:val="22"/>
        </w:rPr>
        <w:t>, 2017</w:t>
      </w:r>
      <w:r w:rsidRPr="00B21C58" w:rsidR="00E64755">
        <w:rPr>
          <w:szCs w:val="22"/>
        </w:rPr>
        <w:t xml:space="preserve">, </w:t>
      </w:r>
      <w:r w:rsidRPr="00E86DE9" w:rsidR="00E86DE9">
        <w:t xml:space="preserve">One Ring Networks, Inc. </w:t>
      </w:r>
      <w:r w:rsidRPr="00B21C58">
        <w:rPr>
          <w:szCs w:val="22"/>
        </w:rPr>
        <w:t>(</w:t>
      </w:r>
      <w:r w:rsidRPr="00E86DE9" w:rsidR="00E86DE9">
        <w:t>One Ring</w:t>
      </w:r>
      <w:r w:rsidRPr="00B21C58" w:rsidR="008938CF">
        <w:rPr>
          <w:szCs w:val="22"/>
        </w:rPr>
        <w:t>)</w:t>
      </w:r>
      <w:r w:rsidRPr="00B21C58">
        <w:rPr>
          <w:szCs w:val="22"/>
        </w:rPr>
        <w:t xml:space="preserve"> filed an application,</w:t>
      </w:r>
      <w:r>
        <w:rPr>
          <w:rStyle w:val="FootnoteReference"/>
          <w:szCs w:val="22"/>
        </w:rPr>
        <w:footnoteReference w:id="3"/>
      </w:r>
      <w:r w:rsidRPr="00B21C58">
        <w:rPr>
          <w:szCs w:val="22"/>
        </w:rPr>
        <w:t xml:space="preserve"> pursuant to </w:t>
      </w:r>
      <w:r w:rsidR="00A721CC">
        <w:rPr>
          <w:szCs w:val="22"/>
        </w:rPr>
        <w:t>s</w:t>
      </w:r>
      <w:r w:rsidRPr="00B21C58">
        <w:rPr>
          <w:szCs w:val="22"/>
        </w:rPr>
        <w:t>ection 52.15(g)(3) of the Commission’s rules,</w:t>
      </w:r>
      <w:r>
        <w:rPr>
          <w:rStyle w:val="FootnoteReference"/>
          <w:szCs w:val="22"/>
        </w:rPr>
        <w:footnoteReference w:id="4"/>
      </w:r>
      <w:r w:rsidRPr="00B21C58">
        <w:rPr>
          <w:szCs w:val="22"/>
        </w:rPr>
        <w:t xml:space="preserve"> seeking authorization to obtain North American Numbering Plan telephone numbers directly from the Numbering Administrators.</w:t>
      </w:r>
      <w:r>
        <w:rPr>
          <w:rStyle w:val="FootnoteReference"/>
          <w:szCs w:val="22"/>
        </w:rPr>
        <w:footnoteReference w:id="5"/>
      </w:r>
      <w:r w:rsidRPr="00B21C58">
        <w:rPr>
          <w:szCs w:val="22"/>
        </w:rPr>
        <w:t xml:space="preserve">  </w:t>
      </w:r>
    </w:p>
    <w:p w:rsidR="0029342C" w:rsidRPr="00B21C58" w:rsidP="0029342C">
      <w:pPr>
        <w:autoSpaceDE w:val="0"/>
        <w:autoSpaceDN w:val="0"/>
        <w:adjustRightInd w:val="0"/>
        <w:ind w:firstLine="720"/>
        <w:rPr>
          <w:szCs w:val="22"/>
        </w:rPr>
      </w:pPr>
    </w:p>
    <w:p w:rsidR="006B4F1A" w:rsidRPr="00B86A2A" w:rsidP="006B4F1A">
      <w:pPr>
        <w:autoSpaceDE w:val="0"/>
        <w:autoSpaceDN w:val="0"/>
        <w:adjustRightInd w:val="0"/>
        <w:ind w:firstLine="720"/>
        <w:rPr>
          <w:szCs w:val="22"/>
        </w:rPr>
      </w:pPr>
      <w:r>
        <w:rPr>
          <w:szCs w:val="22"/>
        </w:rPr>
        <w:t>In its application</w:t>
      </w:r>
      <w:r w:rsidR="009755EE">
        <w:rPr>
          <w:szCs w:val="22"/>
        </w:rPr>
        <w:t>, supplements, and amendments</w:t>
      </w:r>
      <w:r w:rsidR="00B13F47">
        <w:rPr>
          <w:szCs w:val="22"/>
        </w:rPr>
        <w:t xml:space="preserve">, </w:t>
      </w:r>
      <w:r w:rsidRPr="00E86DE9" w:rsidR="00E86DE9">
        <w:t>One Ring</w:t>
      </w:r>
      <w:r>
        <w:rPr>
          <w:szCs w:val="22"/>
        </w:rPr>
        <w:t>, an interconnected Voice over Internet Protocol (VoIP) provider, included the contact information and acknowl</w:t>
      </w:r>
      <w:r w:rsidR="00714B28">
        <w:rPr>
          <w:szCs w:val="22"/>
        </w:rPr>
        <w:t>edge</w:t>
      </w:r>
      <w:r>
        <w:rPr>
          <w:szCs w:val="22"/>
        </w:rPr>
        <w:t xml:space="preserve">ments required by </w:t>
      </w:r>
      <w:r w:rsidR="005D4C4F">
        <w:rPr>
          <w:szCs w:val="22"/>
        </w:rPr>
        <w:t>s</w:t>
      </w:r>
      <w:r>
        <w:rPr>
          <w:szCs w:val="22"/>
        </w:rPr>
        <w:t>ection 52.15(g)(3)(i) of the Commission’s rules.</w:t>
      </w:r>
      <w:r>
        <w:rPr>
          <w:rStyle w:val="FootnoteReference"/>
          <w:szCs w:val="22"/>
        </w:rPr>
        <w:footnoteReference w:id="6"/>
      </w:r>
      <w:r w:rsidRPr="0029562D">
        <w:rPr>
          <w:szCs w:val="22"/>
        </w:rPr>
        <w:t xml:space="preserve"> </w:t>
      </w:r>
      <w:r>
        <w:rPr>
          <w:szCs w:val="22"/>
        </w:rPr>
        <w:t xml:space="preserve"> In addition,</w:t>
      </w:r>
      <w:r w:rsidRPr="00B21C58" w:rsidR="00B21C58">
        <w:t xml:space="preserve"> </w:t>
      </w:r>
      <w:r w:rsidRPr="00E86DE9" w:rsidR="00E86DE9">
        <w:t>One Ring</w:t>
      </w:r>
      <w:r w:rsidRPr="00B21C58" w:rsidR="00B21C58">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w:t>
      </w:r>
      <w:r w:rsidR="005D4C4F">
        <w:rPr>
          <w:szCs w:val="22"/>
        </w:rPr>
        <w:t>s</w:t>
      </w:r>
      <w:r>
        <w:rPr>
          <w:szCs w:val="22"/>
        </w:rPr>
        <w:t>ection 52.15(g)(3)(i)(E)</w:t>
      </w:r>
      <w:r w:rsidRPr="00B86A2A">
        <w:rPr>
          <w:szCs w:val="22"/>
        </w:rPr>
        <w:t>.</w:t>
      </w:r>
      <w:r>
        <w:rPr>
          <w:rStyle w:val="FootnoteReference"/>
          <w:szCs w:val="22"/>
        </w:rPr>
        <w:footnoteReference w:id="8"/>
      </w:r>
      <w:r w:rsidR="00C272D6">
        <w:rPr>
          <w:szCs w:val="22"/>
        </w:rPr>
        <w:t xml:space="preserve">  </w:t>
      </w:r>
      <w:r w:rsidRPr="00E86DE9" w:rsidR="00E86DE9">
        <w:t>One Ring</w:t>
      </w:r>
      <w:r w:rsidR="00C272D6">
        <w:rPr>
          <w:szCs w:val="22"/>
        </w:rPr>
        <w:t xml:space="preserve"> </w:t>
      </w:r>
      <w:r>
        <w:rPr>
          <w:szCs w:val="22"/>
        </w:rPr>
        <w:t xml:space="preserve">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10"/>
      </w:r>
      <w:r>
        <w:rPr>
          <w:szCs w:val="22"/>
        </w:rPr>
        <w:t xml:space="preserve"> and that no party to the application is subject to a denial o</w:t>
      </w:r>
      <w:r w:rsidR="005D4C4F">
        <w:rPr>
          <w:szCs w:val="22"/>
        </w:rPr>
        <w:t>f Federal benefits pursuant to s</w:t>
      </w:r>
      <w:r>
        <w:rPr>
          <w:szCs w:val="22"/>
        </w:rPr>
        <w:t>ection 5301 of the Anti-Drug Abuse Act of 1988.</w:t>
      </w:r>
      <w:r>
        <w:rPr>
          <w:rStyle w:val="FootnoteReference"/>
          <w:szCs w:val="22"/>
        </w:rPr>
        <w:footnoteReference w:id="11"/>
      </w:r>
      <w:r>
        <w:rPr>
          <w:szCs w:val="22"/>
        </w:rPr>
        <w:t xml:space="preserve">  </w:t>
      </w:r>
      <w:r>
        <w:rPr>
          <w:szCs w:val="22"/>
        </w:rPr>
        <w:t xml:space="preserve">Finally, </w:t>
      </w:r>
      <w:r w:rsidRPr="00E86DE9" w:rsidR="00E86DE9">
        <w:t>One Ring</w:t>
      </w:r>
      <w:r w:rsidR="00EA06A5">
        <w:t xml:space="preserve"> reported that it intends to request numbers in Georgia and Texas</w:t>
      </w:r>
      <w:r>
        <w:rPr>
          <w:szCs w:val="22"/>
        </w:rPr>
        <w:t>.</w:t>
      </w:r>
      <w:r>
        <w:rPr>
          <w:rStyle w:val="FootnoteReference"/>
          <w:szCs w:val="22"/>
        </w:rPr>
        <w:footnoteReference w:id="12"/>
      </w:r>
      <w:r>
        <w:rPr>
          <w:szCs w:val="22"/>
        </w:rPr>
        <w:t xml:space="preserve">  </w:t>
      </w:r>
    </w:p>
    <w:p w:rsidR="0029342C" w:rsidRPr="0005565B" w:rsidP="0029342C">
      <w:pPr>
        <w:autoSpaceDE w:val="0"/>
        <w:autoSpaceDN w:val="0"/>
        <w:adjustRightInd w:val="0"/>
        <w:ind w:firstLine="720"/>
        <w:rPr>
          <w:szCs w:val="22"/>
        </w:rPr>
      </w:pPr>
    </w:p>
    <w:p w:rsidR="0029342C" w:rsidRPr="0029562D" w:rsidP="0029342C">
      <w:pPr>
        <w:ind w:right="720"/>
        <w:rPr>
          <w:szCs w:val="22"/>
        </w:rPr>
      </w:pPr>
      <w:r w:rsidRPr="0029562D">
        <w:rPr>
          <w:b/>
          <w:szCs w:val="22"/>
          <w:u w:val="single"/>
        </w:rPr>
        <w:t>GENERAL INFORMATION</w:t>
      </w:r>
    </w:p>
    <w:p w:rsidR="0029342C" w:rsidRPr="0029562D" w:rsidP="0029342C">
      <w:pPr>
        <w:ind w:right="720"/>
        <w:rPr>
          <w:szCs w:val="22"/>
        </w:rPr>
      </w:pPr>
    </w:p>
    <w:p w:rsidR="0029342C" w:rsidRPr="0029562D"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5D4C4F">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sidR="00135CEB">
        <w:rPr>
          <w:szCs w:val="22"/>
        </w:rPr>
        <w:t xml:space="preserve"> in WC Docket No. 17-</w:t>
      </w:r>
      <w:r w:rsidR="008938CF">
        <w:rPr>
          <w:szCs w:val="22"/>
        </w:rPr>
        <w:t>21</w:t>
      </w:r>
      <w:r w:rsidR="00E86DE9">
        <w:rPr>
          <w:szCs w:val="22"/>
        </w:rPr>
        <w:t>9</w:t>
      </w:r>
      <w:r w:rsidRPr="0029562D">
        <w:rPr>
          <w:szCs w:val="22"/>
        </w:rPr>
        <w:t xml:space="preserve"> </w:t>
      </w:r>
      <w:r w:rsidRPr="0029562D">
        <w:rPr>
          <w:b/>
          <w:szCs w:val="22"/>
        </w:rPr>
        <w:t xml:space="preserve">on or before </w:t>
      </w:r>
      <w:r w:rsidR="005D4C4F">
        <w:rPr>
          <w:b/>
          <w:szCs w:val="22"/>
        </w:rPr>
        <w:t>December</w:t>
      </w:r>
      <w:r w:rsidR="00C81363">
        <w:rPr>
          <w:b/>
          <w:szCs w:val="22"/>
        </w:rPr>
        <w:t xml:space="preserve"> </w:t>
      </w:r>
      <w:r w:rsidR="005B11E5">
        <w:rPr>
          <w:b/>
          <w:szCs w:val="22"/>
        </w:rPr>
        <w:t>30</w:t>
      </w:r>
      <w:r>
        <w:rPr>
          <w:b/>
          <w:szCs w:val="22"/>
        </w:rPr>
        <w:t>, 201</w:t>
      </w:r>
      <w:r w:rsidR="00C81363">
        <w:rPr>
          <w:b/>
          <w:szCs w:val="22"/>
        </w:rPr>
        <w:t>7</w:t>
      </w:r>
      <w:r w:rsidRPr="0029562D">
        <w:rPr>
          <w:szCs w:val="22"/>
        </w:rPr>
        <w:t>.</w:t>
      </w:r>
      <w:r>
        <w:rPr>
          <w:szCs w:val="22"/>
        </w:rPr>
        <w:t xml:space="preserve">  Commenters must serve a copy of comments on </w:t>
      </w:r>
      <w:r w:rsidRPr="00E86DE9" w:rsidR="00E86DE9">
        <w:t>One Ring</w:t>
      </w:r>
      <w:r w:rsidR="00B0286F">
        <w:rPr>
          <w:szCs w:val="22"/>
        </w:rPr>
        <w:t xml:space="preserve"> </w:t>
      </w:r>
      <w:r>
        <w:rPr>
          <w:szCs w:val="22"/>
        </w:rPr>
        <w:t>no later than the above comment filing date.</w:t>
      </w:r>
      <w:r w:rsidRPr="0029562D">
        <w:rPr>
          <w:szCs w:val="22"/>
        </w:rPr>
        <w:t xml:space="preserve">  Unless otherw</w:t>
      </w:r>
      <w:r>
        <w:rPr>
          <w:szCs w:val="22"/>
        </w:rPr>
        <w:t>ise notified by the Commission,</w:t>
      </w:r>
      <w:r w:rsidRPr="000D6020" w:rsidR="000D6020">
        <w:rPr>
          <w:szCs w:val="22"/>
        </w:rPr>
        <w:t xml:space="preserve"> </w:t>
      </w:r>
      <w:r w:rsidRPr="00E86DE9" w:rsidR="00E86DE9">
        <w:t>One Ring</w:t>
      </w:r>
      <w:r w:rsidR="000D6020">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29342C" w:rsidRPr="0029562D" w:rsidP="0029342C">
      <w:pPr>
        <w:rPr>
          <w:szCs w:val="22"/>
        </w:rPr>
      </w:pPr>
    </w:p>
    <w:p w:rsidR="0029342C" w:rsidRPr="0029562D" w:rsidP="0029342C">
      <w:pPr>
        <w:ind w:firstLine="720"/>
        <w:rPr>
          <w:szCs w:val="22"/>
        </w:rPr>
      </w:pPr>
      <w:r>
        <w:rPr>
          <w:szCs w:val="22"/>
        </w:rPr>
        <w:t xml:space="preserve">Pursuant </w:t>
      </w:r>
      <w:r w:rsidR="005D4C4F">
        <w:rPr>
          <w:szCs w:val="22"/>
        </w:rPr>
        <w:t>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29342C" w:rsidRPr="0029562D" w:rsidP="0029342C">
      <w:pPr>
        <w:rPr>
          <w:szCs w:val="22"/>
        </w:rPr>
      </w:pPr>
    </w:p>
    <w:p w:rsidR="0029342C" w:rsidRPr="0029562D" w:rsidP="0029342C">
      <w:pPr>
        <w:rPr>
          <w:b/>
          <w:szCs w:val="22"/>
        </w:rPr>
      </w:pPr>
      <w:r w:rsidRPr="0029562D">
        <w:rPr>
          <w:b/>
          <w:szCs w:val="22"/>
        </w:rPr>
        <w:t>In addition, e-mail one copy of each pleading to each of the following:</w:t>
      </w:r>
    </w:p>
    <w:p w:rsidR="0029342C" w:rsidRPr="0029562D" w:rsidP="0029342C">
      <w:pPr>
        <w:rPr>
          <w:szCs w:val="22"/>
        </w:rPr>
      </w:pPr>
    </w:p>
    <w:p w:rsidR="0029342C" w:rsidRPr="0029562D" w:rsidP="0029342C">
      <w:pPr>
        <w:numPr>
          <w:ilvl w:val="0"/>
          <w:numId w:val="15"/>
        </w:numPr>
        <w:rPr>
          <w:szCs w:val="22"/>
        </w:rPr>
      </w:pPr>
      <w:r w:rsidRPr="0029562D">
        <w:rPr>
          <w:szCs w:val="22"/>
        </w:rPr>
        <w:t>Margoux Brown, Competition Policy Division, Wireline Competition Bureau, margoux.brown@fcc.gov;</w:t>
      </w:r>
    </w:p>
    <w:p w:rsidR="0029342C" w:rsidRPr="0029562D" w:rsidP="0029342C">
      <w:pPr>
        <w:rPr>
          <w:szCs w:val="22"/>
        </w:rPr>
      </w:pPr>
    </w:p>
    <w:p w:rsidR="0029342C" w:rsidRPr="0029562D"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P="0029342C">
      <w:pPr>
        <w:rPr>
          <w:szCs w:val="22"/>
        </w:rPr>
      </w:pPr>
    </w:p>
    <w:p w:rsidR="0029342C" w:rsidRPr="0029562D" w:rsidP="0029342C">
      <w:pPr>
        <w:numPr>
          <w:ilvl w:val="0"/>
          <w:numId w:val="15"/>
        </w:numPr>
        <w:rPr>
          <w:szCs w:val="22"/>
        </w:rPr>
      </w:pPr>
      <w:r w:rsidRPr="0029562D">
        <w:rPr>
          <w:szCs w:val="22"/>
        </w:rPr>
        <w:t>Marilyn Jones, Competition Policy Division, Wireline Competition Bureau, marilyn.jones@fcc.gov.</w:t>
      </w:r>
    </w:p>
    <w:p w:rsidR="0029342C" w:rsidRPr="0029562D" w:rsidP="0029342C">
      <w:pPr>
        <w:rPr>
          <w:szCs w:val="22"/>
        </w:rPr>
      </w:pPr>
    </w:p>
    <w:p w:rsidR="0029342C" w:rsidRPr="0029562D"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P="0029342C">
      <w:pPr>
        <w:rPr>
          <w:szCs w:val="22"/>
        </w:rPr>
      </w:pPr>
    </w:p>
    <w:p w:rsidR="0029342C" w:rsidRPr="0029562D"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P="0029342C">
      <w:pPr>
        <w:rPr>
          <w:szCs w:val="22"/>
        </w:rPr>
      </w:pPr>
    </w:p>
    <w:p w:rsidR="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P="0029342C">
      <w:pPr>
        <w:rPr>
          <w:szCs w:val="22"/>
        </w:rPr>
      </w:pPr>
    </w:p>
    <w:p w:rsidR="0029342C" w:rsidRPr="0029562D" w:rsidP="0029342C">
      <w:pPr>
        <w:rPr>
          <w:szCs w:val="22"/>
        </w:rPr>
      </w:pPr>
    </w:p>
    <w:p w:rsidR="0029342C" w:rsidRPr="0029562D" w:rsidP="0029342C">
      <w:pPr>
        <w:jc w:val="center"/>
        <w:rPr>
          <w:szCs w:val="22"/>
        </w:rPr>
      </w:pPr>
      <w:r w:rsidRPr="0029562D">
        <w:rPr>
          <w:b/>
          <w:szCs w:val="22"/>
        </w:rPr>
        <w:t>- FCC -</w:t>
      </w:r>
    </w:p>
    <w:p w:rsidR="0029342C" w:rsidRPr="0029562D" w:rsidP="0029342C">
      <w:pPr>
        <w:rPr>
          <w:szCs w:val="22"/>
        </w:rPr>
      </w:pPr>
    </w:p>
    <w:p w:rsidR="0029342C" w:rsidRPr="00A4142F" w:rsidP="0029342C">
      <w:pPr>
        <w:spacing w:before="60"/>
        <w:jc w:val="right"/>
        <w:rPr>
          <w:rFonts w:eastAsia="Calibri"/>
          <w:b/>
          <w:szCs w:val="22"/>
        </w:rPr>
      </w:pPr>
    </w:p>
    <w:p w:rsidR="0029342C" w:rsidRPr="003E5CA7" w:rsidP="0029342C"/>
    <w:p w:rsidR="00602577" w:rsidP="0029342C">
      <w:pPr>
        <w:spacing w:before="60"/>
        <w:jc w:val="right"/>
        <w:rPr>
          <w:sz w:val="24"/>
        </w:rPr>
      </w:pPr>
    </w:p>
    <w:sectPr w:rsidSect="0029342C">
      <w:footerReference w:type="default" r:id="rId11"/>
      <w:headerReference w:type="first" r:id="rId12"/>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5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57350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29342C" w:rsidRPr="005F7DF9" w:rsidP="00FB2966">
      <w:pPr>
        <w:pStyle w:val="FootnoteText"/>
        <w:spacing w:after="120"/>
        <w:rPr>
          <w:sz w:val="20"/>
        </w:rPr>
      </w:pPr>
      <w:r w:rsidRPr="0098419B">
        <w:rPr>
          <w:rStyle w:val="FootnoteReference"/>
          <w:sz w:val="20"/>
        </w:rPr>
        <w:footnoteRef/>
      </w:r>
      <w:r w:rsidRPr="0098419B" w:rsidR="003B20D2">
        <w:rPr>
          <w:sz w:val="20"/>
        </w:rPr>
        <w:t xml:space="preserve"> We assign WC Docket No. 1</w:t>
      </w:r>
      <w:r w:rsidRPr="0098419B" w:rsidR="00FD461A">
        <w:rPr>
          <w:sz w:val="20"/>
        </w:rPr>
        <w:t>7</w:t>
      </w:r>
      <w:r w:rsidRPr="0098419B" w:rsidR="003B20D2">
        <w:rPr>
          <w:sz w:val="20"/>
        </w:rPr>
        <w:t>-</w:t>
      </w:r>
      <w:r w:rsidR="00B21C58">
        <w:rPr>
          <w:sz w:val="20"/>
        </w:rPr>
        <w:t>21</w:t>
      </w:r>
      <w:r w:rsidR="00E86DE9">
        <w:rPr>
          <w:sz w:val="20"/>
        </w:rPr>
        <w:t>9</w:t>
      </w:r>
      <w:r w:rsidRPr="0098419B">
        <w:rPr>
          <w:sz w:val="20"/>
        </w:rPr>
        <w:t xml:space="preserve"> for this application and all related filings by the applicant and interested parties.  </w:t>
      </w:r>
      <w:r w:rsidRPr="0098419B">
        <w:rPr>
          <w:i/>
          <w:sz w:val="20"/>
        </w:rPr>
        <w:t>See</w:t>
      </w:r>
      <w:r w:rsidRPr="0098419B">
        <w:rPr>
          <w:sz w:val="20"/>
        </w:rPr>
        <w:t xml:space="preserve"> </w:t>
      </w:r>
      <w:r w:rsidRPr="0098419B">
        <w:rPr>
          <w:i/>
          <w:color w:val="020100"/>
          <w:sz w:val="20"/>
        </w:rPr>
        <w:t>Wireline Competition Bureau Announces Commencement Date and Process for Interconnected VoIP Providers to File Applications for Authorization to Obtain Telephone Numbers</w:t>
      </w:r>
      <w:r w:rsidRPr="0098419B">
        <w:rPr>
          <w:color w:val="020100"/>
          <w:sz w:val="20"/>
        </w:rPr>
        <w:t xml:space="preserve">, Public Notice, 31 FCC Rcd 949, 950 (WCB </w:t>
      </w:r>
      <w:r w:rsidRPr="005F7DF9">
        <w:rPr>
          <w:color w:val="020100"/>
          <w:sz w:val="20"/>
        </w:rPr>
        <w:t xml:space="preserve">2016).  </w:t>
      </w:r>
    </w:p>
  </w:footnote>
  <w:footnote w:id="3">
    <w:p w:rsidR="00E86DE9" w:rsidRPr="00111DD2" w:rsidP="00EA06A5">
      <w:pPr>
        <w:pStyle w:val="FootnoteText"/>
        <w:spacing w:after="120"/>
        <w:rPr>
          <w:sz w:val="20"/>
        </w:rPr>
      </w:pPr>
      <w:r w:rsidRPr="005F7DF9">
        <w:rPr>
          <w:rStyle w:val="FootnoteReference"/>
          <w:sz w:val="20"/>
        </w:rPr>
        <w:footnoteRef/>
      </w:r>
      <w:r w:rsidRPr="005F7DF9">
        <w:rPr>
          <w:sz w:val="20"/>
        </w:rPr>
        <w:t xml:space="preserve"> </w:t>
      </w:r>
      <w:r w:rsidRPr="005F7DF9">
        <w:rPr>
          <w:i/>
          <w:sz w:val="20"/>
        </w:rPr>
        <w:t>See</w:t>
      </w:r>
      <w:r w:rsidRPr="005F7DF9">
        <w:rPr>
          <w:sz w:val="20"/>
        </w:rPr>
        <w:t xml:space="preserve"> </w:t>
      </w:r>
      <w:r w:rsidRPr="005F7DF9" w:rsidR="00B0286F">
        <w:rPr>
          <w:sz w:val="20"/>
        </w:rPr>
        <w:t xml:space="preserve">Application </w:t>
      </w:r>
      <w:r w:rsidR="00F05C64">
        <w:rPr>
          <w:sz w:val="20"/>
        </w:rPr>
        <w:t>o</w:t>
      </w:r>
      <w:r w:rsidR="005F7DF9">
        <w:rPr>
          <w:sz w:val="20"/>
        </w:rPr>
        <w:t xml:space="preserve">f </w:t>
      </w:r>
      <w:r w:rsidRPr="006C3DC1" w:rsidR="006C3DC1">
        <w:rPr>
          <w:sz w:val="20"/>
        </w:rPr>
        <w:t xml:space="preserve">One Ring </w:t>
      </w:r>
      <w:r w:rsidR="006C2138">
        <w:rPr>
          <w:sz w:val="20"/>
        </w:rPr>
        <w:t>Holdings Corp.</w:t>
      </w:r>
      <w:r w:rsidRPr="005F7DF9" w:rsidR="009460F5">
        <w:rPr>
          <w:sz w:val="20"/>
        </w:rPr>
        <w:t xml:space="preserve"> for Authorization to Obtain Numb</w:t>
      </w:r>
      <w:r w:rsidR="006C3DC1">
        <w:rPr>
          <w:sz w:val="20"/>
        </w:rPr>
        <w:t>er</w:t>
      </w:r>
      <w:r w:rsidR="006C2138">
        <w:rPr>
          <w:sz w:val="20"/>
        </w:rPr>
        <w:t>ing</w:t>
      </w:r>
      <w:r w:rsidRPr="005F7DF9" w:rsidR="009460F5">
        <w:rPr>
          <w:sz w:val="20"/>
        </w:rPr>
        <w:t xml:space="preserve"> Resources</w:t>
      </w:r>
      <w:r w:rsidR="00111DD2">
        <w:rPr>
          <w:sz w:val="20"/>
        </w:rPr>
        <w:t>,</w:t>
      </w:r>
      <w:r w:rsidR="005F7DF9">
        <w:rPr>
          <w:sz w:val="20"/>
        </w:rPr>
        <w:t xml:space="preserve"> </w:t>
      </w:r>
      <w:r w:rsidRPr="005F7DF9">
        <w:rPr>
          <w:sz w:val="20"/>
        </w:rPr>
        <w:t xml:space="preserve">WC Docket </w:t>
      </w:r>
      <w:r w:rsidRPr="005F7DF9" w:rsidR="00D613CD">
        <w:rPr>
          <w:sz w:val="20"/>
        </w:rPr>
        <w:t>No. 17-</w:t>
      </w:r>
      <w:r w:rsidRPr="005F7DF9" w:rsidR="00B43C91">
        <w:rPr>
          <w:sz w:val="20"/>
        </w:rPr>
        <w:t>21</w:t>
      </w:r>
      <w:r>
        <w:rPr>
          <w:sz w:val="20"/>
        </w:rPr>
        <w:t>9</w:t>
      </w:r>
      <w:r w:rsidRPr="005F7DF9" w:rsidR="003A6969">
        <w:rPr>
          <w:sz w:val="20"/>
        </w:rPr>
        <w:t xml:space="preserve"> (filed </w:t>
      </w:r>
      <w:r w:rsidR="00111DD2">
        <w:rPr>
          <w:sz w:val="20"/>
        </w:rPr>
        <w:t>Aug.</w:t>
      </w:r>
      <w:r>
        <w:rPr>
          <w:sz w:val="20"/>
        </w:rPr>
        <w:t xml:space="preserve"> 10</w:t>
      </w:r>
      <w:r w:rsidRPr="005F7DF9" w:rsidR="00C81363">
        <w:rPr>
          <w:sz w:val="20"/>
        </w:rPr>
        <w:t>, 2017</w:t>
      </w:r>
      <w:r w:rsidRPr="005F7DF9" w:rsidR="003A6969">
        <w:rPr>
          <w:sz w:val="20"/>
        </w:rPr>
        <w:t>),</w:t>
      </w:r>
      <w:r w:rsidRPr="005F7DF9" w:rsidR="00097E1D">
        <w:rPr>
          <w:sz w:val="20"/>
        </w:rPr>
        <w:t xml:space="preserve"> </w:t>
      </w:r>
      <w:r>
        <w:fldChar w:fldCharType="begin"/>
      </w:r>
      <w:r>
        <w:instrText xml:space="preserve"> HYPERLINK "https://ecfsapi.fcc.gov/file/1081077416473/One%20Ring%20VoIP%20Numbering%20Application.8-10-17.pdf" </w:instrText>
      </w:r>
      <w:r>
        <w:fldChar w:fldCharType="separate"/>
      </w:r>
      <w:r w:rsidRPr="00E86DE9">
        <w:rPr>
          <w:rStyle w:val="Hyperlink"/>
          <w:sz w:val="20"/>
        </w:rPr>
        <w:t>https://ecfsapi.fcc.gov/file/1081077416473/One%20Ring%20VoIP%20Numbering%20Application.8-10-17.pdf</w:t>
      </w:r>
      <w:r>
        <w:fldChar w:fldCharType="end"/>
      </w:r>
      <w:r w:rsidR="00111DD2">
        <w:rPr>
          <w:rStyle w:val="Hyperlink"/>
          <w:color w:val="auto"/>
          <w:sz w:val="20"/>
        </w:rPr>
        <w:t>.</w:t>
      </w:r>
      <w:r w:rsidRPr="00111DD2" w:rsidR="00111DD2">
        <w:rPr>
          <w:rStyle w:val="Hyperlink"/>
          <w:color w:val="auto"/>
          <w:sz w:val="20"/>
          <w:u w:val="none"/>
        </w:rPr>
        <w:t xml:space="preserve">  </w:t>
      </w:r>
      <w:r w:rsidR="007B61BF">
        <w:rPr>
          <w:rStyle w:val="Hyperlink"/>
          <w:color w:val="auto"/>
          <w:sz w:val="20"/>
          <w:u w:val="none"/>
        </w:rPr>
        <w:t xml:space="preserve">On October 18, 2017, October 24, 2017, and November 13, 2017, </w:t>
      </w:r>
      <w:r w:rsidRPr="00111DD2" w:rsidR="00111DD2">
        <w:rPr>
          <w:rStyle w:val="Hyperlink"/>
          <w:color w:val="auto"/>
          <w:sz w:val="20"/>
          <w:u w:val="none"/>
        </w:rPr>
        <w:t xml:space="preserve">One Ring submitted </w:t>
      </w:r>
      <w:r w:rsidR="002B6705">
        <w:rPr>
          <w:rStyle w:val="Hyperlink"/>
          <w:color w:val="auto"/>
          <w:sz w:val="20"/>
          <w:u w:val="none"/>
        </w:rPr>
        <w:t xml:space="preserve">three </w:t>
      </w:r>
      <w:r w:rsidR="006C2138">
        <w:rPr>
          <w:rStyle w:val="Hyperlink"/>
          <w:color w:val="auto"/>
          <w:sz w:val="20"/>
          <w:u w:val="none"/>
        </w:rPr>
        <w:t xml:space="preserve">supplements </w:t>
      </w:r>
      <w:r w:rsidR="002B6705">
        <w:rPr>
          <w:rStyle w:val="Hyperlink"/>
          <w:color w:val="auto"/>
          <w:sz w:val="20"/>
          <w:u w:val="none"/>
        </w:rPr>
        <w:t xml:space="preserve">to its application.  </w:t>
      </w:r>
      <w:r w:rsidRPr="002B6705" w:rsidR="002B6705">
        <w:rPr>
          <w:rStyle w:val="Hyperlink"/>
          <w:i/>
          <w:color w:val="auto"/>
          <w:sz w:val="20"/>
          <w:u w:val="none"/>
        </w:rPr>
        <w:t>See</w:t>
      </w:r>
      <w:r w:rsidR="002B6705">
        <w:rPr>
          <w:rStyle w:val="Hyperlink"/>
          <w:color w:val="auto"/>
          <w:sz w:val="20"/>
          <w:u w:val="none"/>
        </w:rPr>
        <w:t xml:space="preserve"> </w:t>
      </w:r>
      <w:r>
        <w:fldChar w:fldCharType="begin"/>
      </w:r>
      <w:r>
        <w:instrText xml:space="preserve"> HYPERLINK "https://www.fcc.gov/ecfs/search/filings?proceedings_name=17-219&amp;sort=date_disseminated,DESC" </w:instrText>
      </w:r>
      <w:r>
        <w:fldChar w:fldCharType="separate"/>
      </w:r>
      <w:r w:rsidRPr="00ED7DF8" w:rsidR="002B6705">
        <w:rPr>
          <w:rStyle w:val="Hyperlink"/>
          <w:sz w:val="20"/>
        </w:rPr>
        <w:t>https://www.fcc.gov/ecfs/search/filings?proceedings_name=17-219&amp;sort=date_disseminated,DESC</w:t>
      </w:r>
      <w:r>
        <w:fldChar w:fldCharType="end"/>
      </w:r>
      <w:r w:rsidR="002B6705">
        <w:rPr>
          <w:rStyle w:val="Hyperlink"/>
          <w:color w:val="auto"/>
          <w:sz w:val="20"/>
          <w:u w:val="none"/>
        </w:rPr>
        <w:t xml:space="preserve">.  </w:t>
      </w:r>
      <w:r w:rsidR="006C2138">
        <w:rPr>
          <w:rStyle w:val="Hyperlink"/>
          <w:color w:val="auto"/>
          <w:sz w:val="20"/>
          <w:u w:val="none"/>
        </w:rPr>
        <w:t>On December 1, 2017, One Ring filed an amended application which changed the title of the application to make clear that the applicant is One Ring Networks, Inc., not One Ring Holdings Corp</w:t>
      </w:r>
      <w:r w:rsidR="00D339F6">
        <w:rPr>
          <w:rStyle w:val="Hyperlink"/>
          <w:color w:val="auto"/>
          <w:sz w:val="20"/>
          <w:u w:val="none"/>
        </w:rPr>
        <w:t>.</w:t>
      </w:r>
      <w:r w:rsidR="00811FE5">
        <w:rPr>
          <w:rStyle w:val="Hyperlink"/>
          <w:color w:val="auto"/>
          <w:sz w:val="20"/>
          <w:u w:val="none"/>
        </w:rPr>
        <w:t>, consistent with</w:t>
      </w:r>
      <w:r w:rsidR="00D339F6">
        <w:rPr>
          <w:rStyle w:val="Hyperlink"/>
          <w:color w:val="auto"/>
          <w:sz w:val="20"/>
          <w:u w:val="none"/>
        </w:rPr>
        <w:t xml:space="preserve"> the text of the application</w:t>
      </w:r>
      <w:r w:rsidR="00EA06A5">
        <w:rPr>
          <w:rStyle w:val="Hyperlink"/>
          <w:color w:val="auto"/>
          <w:sz w:val="20"/>
          <w:u w:val="none"/>
        </w:rPr>
        <w:t xml:space="preserve"> and supplements</w:t>
      </w:r>
      <w:r w:rsidR="006C2138">
        <w:rPr>
          <w:rStyle w:val="Hyperlink"/>
          <w:color w:val="auto"/>
          <w:sz w:val="20"/>
          <w:u w:val="none"/>
        </w:rPr>
        <w:t xml:space="preserve">.  </w:t>
      </w:r>
      <w:r w:rsidRPr="007B61BF" w:rsidR="006C2138">
        <w:rPr>
          <w:rStyle w:val="Hyperlink"/>
          <w:i/>
          <w:color w:val="auto"/>
          <w:sz w:val="20"/>
          <w:u w:val="none"/>
        </w:rPr>
        <w:t>See</w:t>
      </w:r>
      <w:r w:rsidR="006C2138">
        <w:rPr>
          <w:rStyle w:val="Hyperlink"/>
          <w:color w:val="auto"/>
          <w:sz w:val="20"/>
          <w:u w:val="none"/>
        </w:rPr>
        <w:t xml:space="preserve"> Amended Application of One Ring Networks, Inc. for Authorization to Obtain Numbering Resources, WC Docket No. 17-219 (filed Dec. 1, 2017)</w:t>
      </w:r>
      <w:r w:rsidR="00EA06A5">
        <w:rPr>
          <w:rStyle w:val="Hyperlink"/>
          <w:color w:val="auto"/>
          <w:sz w:val="20"/>
          <w:u w:val="none"/>
        </w:rPr>
        <w:t>,</w:t>
      </w:r>
      <w:r w:rsidR="008F126C">
        <w:rPr>
          <w:rStyle w:val="Hyperlink"/>
          <w:color w:val="auto"/>
          <w:sz w:val="20"/>
          <w:u w:val="none"/>
        </w:rPr>
        <w:t xml:space="preserve"> </w:t>
      </w:r>
      <w:r>
        <w:fldChar w:fldCharType="begin"/>
      </w:r>
      <w:r>
        <w:instrText xml:space="preserve"> HYPERLINK "https://ecfsapi.fcc.gov/file/1201840112020/One%20Ring%20Amended%20Application%20FAF.pdf" </w:instrText>
      </w:r>
      <w:r>
        <w:fldChar w:fldCharType="separate"/>
      </w:r>
      <w:r w:rsidRPr="00ED7DF8" w:rsidR="008F126C">
        <w:rPr>
          <w:rStyle w:val="Hyperlink"/>
          <w:sz w:val="20"/>
        </w:rPr>
        <w:t>https://ecfsapi.fcc.gov/file/1201840112020/One%20Ring%20Amended%20Application%20FAF.pdf</w:t>
      </w:r>
      <w:r>
        <w:fldChar w:fldCharType="end"/>
      </w:r>
      <w:r w:rsidR="008F126C">
        <w:rPr>
          <w:rStyle w:val="Hyperlink"/>
          <w:color w:val="auto"/>
          <w:sz w:val="20"/>
          <w:u w:val="none"/>
        </w:rPr>
        <w:t xml:space="preserve"> </w:t>
      </w:r>
      <w:r w:rsidR="00EA06A5">
        <w:rPr>
          <w:rStyle w:val="Hyperlink"/>
          <w:color w:val="auto"/>
          <w:sz w:val="20"/>
          <w:u w:val="none"/>
        </w:rPr>
        <w:t>(One Ring Amended Application)</w:t>
      </w:r>
      <w:r w:rsidR="006C2138">
        <w:rPr>
          <w:rStyle w:val="Hyperlink"/>
          <w:color w:val="auto"/>
          <w:sz w:val="20"/>
          <w:u w:val="none"/>
        </w:rPr>
        <w:t xml:space="preserve">.  </w:t>
      </w:r>
      <w:r w:rsidR="00EA06A5">
        <w:rPr>
          <w:rStyle w:val="Hyperlink"/>
          <w:color w:val="auto"/>
          <w:sz w:val="20"/>
          <w:u w:val="none"/>
        </w:rPr>
        <w:t xml:space="preserve">Finally, on December 13, 2017, One Ring filed another </w:t>
      </w:r>
      <w:r w:rsidR="00811FE5">
        <w:rPr>
          <w:rStyle w:val="Hyperlink"/>
          <w:color w:val="auto"/>
          <w:sz w:val="20"/>
          <w:u w:val="none"/>
        </w:rPr>
        <w:t>supplement</w:t>
      </w:r>
      <w:r w:rsidR="00EA06A5">
        <w:rPr>
          <w:rStyle w:val="Hyperlink"/>
          <w:color w:val="auto"/>
          <w:sz w:val="20"/>
          <w:u w:val="none"/>
        </w:rPr>
        <w:t xml:space="preserve">.  </w:t>
      </w:r>
      <w:r w:rsidRPr="00EA06A5" w:rsidR="00EA06A5">
        <w:rPr>
          <w:rStyle w:val="Hyperlink"/>
          <w:i/>
          <w:color w:val="auto"/>
          <w:sz w:val="20"/>
          <w:u w:val="none"/>
        </w:rPr>
        <w:t>See</w:t>
      </w:r>
      <w:r w:rsidR="00EA06A5">
        <w:rPr>
          <w:rStyle w:val="Hyperlink"/>
          <w:color w:val="auto"/>
          <w:sz w:val="20"/>
          <w:u w:val="none"/>
        </w:rPr>
        <w:t xml:space="preserve"> </w:t>
      </w:r>
      <w:r w:rsidR="008104C1">
        <w:rPr>
          <w:rStyle w:val="Hyperlink"/>
          <w:color w:val="auto"/>
          <w:sz w:val="20"/>
          <w:u w:val="none"/>
        </w:rPr>
        <w:t xml:space="preserve">Supplement to </w:t>
      </w:r>
      <w:r w:rsidR="00EA06A5">
        <w:rPr>
          <w:rStyle w:val="Hyperlink"/>
          <w:color w:val="auto"/>
          <w:sz w:val="20"/>
          <w:u w:val="none"/>
        </w:rPr>
        <w:t>Amended Application of One Ring Networks, Inc. for Authorization to Obtain Numbering Resources</w:t>
      </w:r>
      <w:r w:rsidR="008104C1">
        <w:rPr>
          <w:rStyle w:val="Hyperlink"/>
          <w:color w:val="auto"/>
          <w:sz w:val="20"/>
          <w:u w:val="none"/>
        </w:rPr>
        <w:t xml:space="preserve"> Pursuant to Section 52.15(g) of the Commission’s Rules</w:t>
      </w:r>
      <w:r w:rsidR="00EA06A5">
        <w:rPr>
          <w:rStyle w:val="Hyperlink"/>
          <w:color w:val="auto"/>
          <w:sz w:val="20"/>
          <w:u w:val="none"/>
        </w:rPr>
        <w:t>, WC Docket No. 17-219 (filed Dec. 13, 2017),</w:t>
      </w:r>
      <w:r w:rsidR="00811FE5">
        <w:rPr>
          <w:rStyle w:val="Hyperlink"/>
          <w:color w:val="auto"/>
          <w:sz w:val="20"/>
          <w:u w:val="none"/>
        </w:rPr>
        <w:t xml:space="preserve"> </w:t>
      </w:r>
      <w:r>
        <w:fldChar w:fldCharType="begin"/>
      </w:r>
      <w:r>
        <w:instrText xml:space="preserve"> HYPERLINK "https://ecfsapi.fcc.gov/file/1213950713878/One%20Ring%20Supplement%20--%20signature%20pages.pdf" </w:instrText>
      </w:r>
      <w:r>
        <w:fldChar w:fldCharType="separate"/>
      </w:r>
      <w:r w:rsidRPr="00025FA3" w:rsidR="00811FE5">
        <w:rPr>
          <w:rStyle w:val="Hyperlink"/>
          <w:sz w:val="20"/>
        </w:rPr>
        <w:t>https://ecfsapi.fcc.gov/file/1213950713878/One%20Ring%20Supplement%20--%20signature%20pages.pdf</w:t>
      </w:r>
      <w:r>
        <w:fldChar w:fldCharType="end"/>
      </w:r>
      <w:r w:rsidR="00811FE5">
        <w:rPr>
          <w:rStyle w:val="Hyperlink"/>
          <w:color w:val="auto"/>
          <w:sz w:val="20"/>
          <w:u w:val="none"/>
        </w:rPr>
        <w:t xml:space="preserve">. </w:t>
      </w:r>
      <w:r w:rsidR="00EA06A5">
        <w:rPr>
          <w:rStyle w:val="Hyperlink"/>
          <w:color w:val="auto"/>
          <w:sz w:val="20"/>
          <w:u w:val="none"/>
        </w:rPr>
        <w:t xml:space="preserve"> </w:t>
      </w:r>
    </w:p>
  </w:footnote>
  <w:footnote w:id="4">
    <w:p w:rsidR="00E06793" w:rsidRPr="0098419B" w:rsidP="00FB2966">
      <w:pPr>
        <w:pStyle w:val="FootnoteText"/>
        <w:spacing w:after="120"/>
        <w:rPr>
          <w:sz w:val="20"/>
        </w:rPr>
      </w:pPr>
      <w:r w:rsidRPr="0098419B">
        <w:rPr>
          <w:rStyle w:val="FootnoteReference"/>
          <w:sz w:val="20"/>
        </w:rPr>
        <w:footnoteRef/>
      </w:r>
      <w:r w:rsidRPr="0098419B">
        <w:rPr>
          <w:sz w:val="20"/>
        </w:rPr>
        <w:t xml:space="preserve"> 47 CFR § 52.15(g)(3).</w:t>
      </w:r>
    </w:p>
  </w:footnote>
  <w:footnote w:id="5">
    <w:p w:rsidR="0029342C" w:rsidRPr="0098419B" w:rsidP="00FB2966">
      <w:pPr>
        <w:pStyle w:val="FootnoteText"/>
        <w:spacing w:after="120"/>
        <w:rPr>
          <w:sz w:val="20"/>
        </w:rPr>
      </w:pPr>
      <w:r w:rsidRPr="0098419B">
        <w:rPr>
          <w:rStyle w:val="FootnoteReference"/>
          <w:sz w:val="20"/>
        </w:rPr>
        <w:footnoteRef/>
      </w:r>
      <w:r w:rsidRPr="0098419B">
        <w:rPr>
          <w:sz w:val="20"/>
        </w:rPr>
        <w:t xml:space="preserve"> For purposes of this Public Notice</w:t>
      </w:r>
      <w:r w:rsidRPr="0098419B" w:rsidR="004832D5">
        <w:rPr>
          <w:sz w:val="20"/>
        </w:rPr>
        <w:t>,</w:t>
      </w:r>
      <w:r w:rsidRPr="0098419B">
        <w:rPr>
          <w:sz w:val="20"/>
        </w:rPr>
        <w:t xml:space="preserve"> the Numbering Administrators include the North American Numbering Plan Administrator and the Pooling Administrator.  </w:t>
      </w:r>
    </w:p>
  </w:footnote>
  <w:footnote w:id="6">
    <w:p w:rsidR="0029342C" w:rsidRPr="0098419B" w:rsidP="00FB2966">
      <w:pPr>
        <w:pStyle w:val="FootnoteText"/>
        <w:spacing w:after="120"/>
        <w:rPr>
          <w:sz w:val="20"/>
        </w:rPr>
      </w:pPr>
      <w:r w:rsidRPr="0098419B">
        <w:rPr>
          <w:rStyle w:val="FootnoteReference"/>
          <w:sz w:val="20"/>
        </w:rPr>
        <w:footnoteRef/>
      </w:r>
      <w:r w:rsidRPr="0098419B">
        <w:rPr>
          <w:sz w:val="20"/>
        </w:rPr>
        <w:t xml:space="preserve"> 47 CFR § 52.15(g)(3)(i)(A)-(C), (F).</w:t>
      </w:r>
    </w:p>
  </w:footnote>
  <w:footnote w:id="7">
    <w:p w:rsidR="0029342C" w:rsidRPr="0098419B" w:rsidP="00FB2966">
      <w:pPr>
        <w:pStyle w:val="FootnoteText"/>
        <w:spacing w:after="120"/>
        <w:rPr>
          <w:sz w:val="20"/>
        </w:rPr>
      </w:pPr>
      <w:r w:rsidRPr="0098419B">
        <w:rPr>
          <w:rStyle w:val="FootnoteReference"/>
          <w:sz w:val="20"/>
        </w:rPr>
        <w:footnoteRef/>
      </w:r>
      <w:r w:rsidRPr="0098419B">
        <w:rPr>
          <w:sz w:val="20"/>
        </w:rPr>
        <w:t xml:space="preserve"> 47 CFR § 52.15(g)(3)(i)(D).</w:t>
      </w:r>
    </w:p>
  </w:footnote>
  <w:footnote w:id="8">
    <w:p w:rsidR="0029342C" w:rsidRPr="0098419B" w:rsidP="00FB2966">
      <w:pPr>
        <w:pStyle w:val="FootnoteText"/>
        <w:spacing w:after="120"/>
        <w:rPr>
          <w:sz w:val="20"/>
        </w:rPr>
      </w:pPr>
      <w:r w:rsidRPr="0098419B">
        <w:rPr>
          <w:rStyle w:val="FootnoteReference"/>
          <w:sz w:val="20"/>
        </w:rPr>
        <w:footnoteRef/>
      </w:r>
      <w:r w:rsidRPr="0098419B">
        <w:rPr>
          <w:sz w:val="20"/>
        </w:rPr>
        <w:t xml:space="preserve"> 47 CFR § 52.15(g)(3)(i)(E); </w:t>
      </w:r>
      <w:r w:rsidRPr="0098419B">
        <w:rPr>
          <w:i/>
          <w:sz w:val="20"/>
        </w:rPr>
        <w:t>see also</w:t>
      </w:r>
      <w:r w:rsidRPr="0098419B">
        <w:rPr>
          <w:sz w:val="20"/>
        </w:rPr>
        <w:t xml:space="preserve"> 47 CFR §§ 1.1154, 52.17, 52.32, 64.604(c)(5)(iii); 47 CFR pts</w:t>
      </w:r>
      <w:r w:rsidRPr="0098419B" w:rsidR="00A05D75">
        <w:rPr>
          <w:sz w:val="20"/>
        </w:rPr>
        <w:t>. 9 and 54, subp</w:t>
      </w:r>
      <w:r w:rsidRPr="0098419B">
        <w:rPr>
          <w:sz w:val="20"/>
        </w:rPr>
        <w:t>t</w:t>
      </w:r>
      <w:r w:rsidRPr="0098419B" w:rsidR="00A05D75">
        <w:rPr>
          <w:sz w:val="20"/>
        </w:rPr>
        <w:t>.</w:t>
      </w:r>
      <w:r w:rsidRPr="0098419B">
        <w:rPr>
          <w:sz w:val="20"/>
        </w:rPr>
        <w:t xml:space="preserve"> H.</w:t>
      </w:r>
    </w:p>
  </w:footnote>
  <w:footnote w:id="9">
    <w:p w:rsidR="0029342C" w:rsidRPr="00470685" w:rsidP="00FB2966">
      <w:pPr>
        <w:pStyle w:val="FootnoteText"/>
        <w:spacing w:after="120"/>
        <w:rPr>
          <w:sz w:val="20"/>
        </w:rPr>
      </w:pPr>
      <w:r w:rsidRPr="0098419B">
        <w:rPr>
          <w:rStyle w:val="FootnoteReference"/>
          <w:sz w:val="20"/>
        </w:rPr>
        <w:footnoteRef/>
      </w:r>
      <w:r w:rsidRPr="0098419B">
        <w:rPr>
          <w:sz w:val="20"/>
        </w:rPr>
        <w:t xml:space="preserve"> 47 CFR § 52.15(g)(3)(i)(F).</w:t>
      </w:r>
    </w:p>
  </w:footnote>
  <w:footnote w:id="10">
    <w:p w:rsidR="0029342C" w:rsidRPr="00470685" w:rsidP="00FB2966">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2">
    <w:p w:rsidR="006B4F1A" w:rsidRPr="00470685" w:rsidP="006B4F1A">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sidR="00EA06A5">
        <w:rPr>
          <w:sz w:val="20"/>
        </w:rPr>
        <w:t xml:space="preserve">One Ring Amended Application at 9; </w:t>
      </w:r>
      <w:r w:rsidRPr="00EA06A5" w:rsidR="00EA06A5">
        <w:rPr>
          <w:i/>
          <w:sz w:val="20"/>
        </w:rPr>
        <w:t>see also</w:t>
      </w:r>
      <w:r w:rsidR="00EA06A5">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(Commission stated that it “strongly encourage[s] applicants to submit a list of the states in which they intend to request numbers as an attachment to the</w:t>
      </w:r>
      <w:r w:rsidRPr="00470685" w:rsidR="00FF59AA">
        <w:rPr>
          <w:sz w:val="20"/>
        </w:rPr>
        <w:t>ir authorization applications”).</w:t>
      </w:r>
      <w:r w:rsidRPr="00470685">
        <w:rPr>
          <w:sz w:val="20"/>
        </w:rPr>
        <w:t xml:space="preserve"> </w:t>
      </w:r>
    </w:p>
  </w:footnote>
  <w:footnote w:id="13">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4">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6">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93562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03578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2"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0B"/>
    <w:rsid w:val="00025FA3"/>
    <w:rsid w:val="000265AE"/>
    <w:rsid w:val="00042842"/>
    <w:rsid w:val="0005565B"/>
    <w:rsid w:val="00071F1E"/>
    <w:rsid w:val="00097E1D"/>
    <w:rsid w:val="000A1173"/>
    <w:rsid w:val="000A7DD0"/>
    <w:rsid w:val="000C122D"/>
    <w:rsid w:val="000D6020"/>
    <w:rsid w:val="000F4682"/>
    <w:rsid w:val="00111DD2"/>
    <w:rsid w:val="00135CEB"/>
    <w:rsid w:val="00181696"/>
    <w:rsid w:val="001878C3"/>
    <w:rsid w:val="001A5459"/>
    <w:rsid w:val="0029342C"/>
    <w:rsid w:val="0029562D"/>
    <w:rsid w:val="002B6705"/>
    <w:rsid w:val="002E58D0"/>
    <w:rsid w:val="00301676"/>
    <w:rsid w:val="00340B48"/>
    <w:rsid w:val="00340C6B"/>
    <w:rsid w:val="003413F0"/>
    <w:rsid w:val="0035334B"/>
    <w:rsid w:val="003A6969"/>
    <w:rsid w:val="003B1D17"/>
    <w:rsid w:val="003B20D2"/>
    <w:rsid w:val="003E5CA7"/>
    <w:rsid w:val="00407A7D"/>
    <w:rsid w:val="00407ED9"/>
    <w:rsid w:val="00413413"/>
    <w:rsid w:val="004153DB"/>
    <w:rsid w:val="00457E97"/>
    <w:rsid w:val="004702A8"/>
    <w:rsid w:val="00470685"/>
    <w:rsid w:val="004832D5"/>
    <w:rsid w:val="004856FF"/>
    <w:rsid w:val="00497E0B"/>
    <w:rsid w:val="0052083F"/>
    <w:rsid w:val="005265AE"/>
    <w:rsid w:val="00551A3F"/>
    <w:rsid w:val="0057350C"/>
    <w:rsid w:val="005B11E5"/>
    <w:rsid w:val="005B23AD"/>
    <w:rsid w:val="005D166B"/>
    <w:rsid w:val="005D4C4F"/>
    <w:rsid w:val="005E484F"/>
    <w:rsid w:val="005F7DF9"/>
    <w:rsid w:val="00602577"/>
    <w:rsid w:val="006114C8"/>
    <w:rsid w:val="006128DF"/>
    <w:rsid w:val="006178D4"/>
    <w:rsid w:val="00634337"/>
    <w:rsid w:val="006422C0"/>
    <w:rsid w:val="006547C5"/>
    <w:rsid w:val="0069551B"/>
    <w:rsid w:val="0069753F"/>
    <w:rsid w:val="006B4F1A"/>
    <w:rsid w:val="006C2138"/>
    <w:rsid w:val="006C3DC1"/>
    <w:rsid w:val="00714B28"/>
    <w:rsid w:val="0073630E"/>
    <w:rsid w:val="00736511"/>
    <w:rsid w:val="00752B35"/>
    <w:rsid w:val="00755CBB"/>
    <w:rsid w:val="0076148B"/>
    <w:rsid w:val="00761F02"/>
    <w:rsid w:val="0076349B"/>
    <w:rsid w:val="0076353E"/>
    <w:rsid w:val="00765D32"/>
    <w:rsid w:val="00774F5C"/>
    <w:rsid w:val="00797C4F"/>
    <w:rsid w:val="007B61BF"/>
    <w:rsid w:val="007D1830"/>
    <w:rsid w:val="007F062A"/>
    <w:rsid w:val="00802FE8"/>
    <w:rsid w:val="008104C1"/>
    <w:rsid w:val="00811FE5"/>
    <w:rsid w:val="00833B1E"/>
    <w:rsid w:val="00857322"/>
    <w:rsid w:val="00891722"/>
    <w:rsid w:val="008938CF"/>
    <w:rsid w:val="008B2AA0"/>
    <w:rsid w:val="008B3045"/>
    <w:rsid w:val="008D6683"/>
    <w:rsid w:val="008F126C"/>
    <w:rsid w:val="00904E1F"/>
    <w:rsid w:val="00930EDE"/>
    <w:rsid w:val="009460F5"/>
    <w:rsid w:val="00946832"/>
    <w:rsid w:val="00950128"/>
    <w:rsid w:val="009755EE"/>
    <w:rsid w:val="0098419B"/>
    <w:rsid w:val="009C75E4"/>
    <w:rsid w:val="009C7E3B"/>
    <w:rsid w:val="009E41FD"/>
    <w:rsid w:val="009F7E1D"/>
    <w:rsid w:val="00A05D75"/>
    <w:rsid w:val="00A17936"/>
    <w:rsid w:val="00A17C9B"/>
    <w:rsid w:val="00A23CF3"/>
    <w:rsid w:val="00A4142F"/>
    <w:rsid w:val="00A54C5B"/>
    <w:rsid w:val="00A721CC"/>
    <w:rsid w:val="00A977D1"/>
    <w:rsid w:val="00AA3CA8"/>
    <w:rsid w:val="00AF396A"/>
    <w:rsid w:val="00B0286F"/>
    <w:rsid w:val="00B13F47"/>
    <w:rsid w:val="00B212D9"/>
    <w:rsid w:val="00B21C58"/>
    <w:rsid w:val="00B43C91"/>
    <w:rsid w:val="00B5060E"/>
    <w:rsid w:val="00B614F0"/>
    <w:rsid w:val="00B74B38"/>
    <w:rsid w:val="00B86A2A"/>
    <w:rsid w:val="00BA17A7"/>
    <w:rsid w:val="00BC3CE8"/>
    <w:rsid w:val="00BD25EA"/>
    <w:rsid w:val="00BE2AD2"/>
    <w:rsid w:val="00C17901"/>
    <w:rsid w:val="00C22562"/>
    <w:rsid w:val="00C239A0"/>
    <w:rsid w:val="00C272D6"/>
    <w:rsid w:val="00C45C27"/>
    <w:rsid w:val="00C4691E"/>
    <w:rsid w:val="00C54F94"/>
    <w:rsid w:val="00C81363"/>
    <w:rsid w:val="00C91FC5"/>
    <w:rsid w:val="00CA6845"/>
    <w:rsid w:val="00CC2951"/>
    <w:rsid w:val="00CC76EA"/>
    <w:rsid w:val="00CF495B"/>
    <w:rsid w:val="00D1150C"/>
    <w:rsid w:val="00D17DC0"/>
    <w:rsid w:val="00D31BA4"/>
    <w:rsid w:val="00D339F6"/>
    <w:rsid w:val="00D47DE0"/>
    <w:rsid w:val="00D51158"/>
    <w:rsid w:val="00D60B8D"/>
    <w:rsid w:val="00D60EFF"/>
    <w:rsid w:val="00D613CD"/>
    <w:rsid w:val="00D6487F"/>
    <w:rsid w:val="00DB02F4"/>
    <w:rsid w:val="00DB4A21"/>
    <w:rsid w:val="00DC72AE"/>
    <w:rsid w:val="00DD5165"/>
    <w:rsid w:val="00DE4E9C"/>
    <w:rsid w:val="00E06793"/>
    <w:rsid w:val="00E64755"/>
    <w:rsid w:val="00E8008E"/>
    <w:rsid w:val="00E81D49"/>
    <w:rsid w:val="00E86DE9"/>
    <w:rsid w:val="00EA06A5"/>
    <w:rsid w:val="00EA5CDA"/>
    <w:rsid w:val="00EB11D6"/>
    <w:rsid w:val="00EB520A"/>
    <w:rsid w:val="00EB7F83"/>
    <w:rsid w:val="00EC67D0"/>
    <w:rsid w:val="00ED48BD"/>
    <w:rsid w:val="00ED7DF8"/>
    <w:rsid w:val="00F05C64"/>
    <w:rsid w:val="00F31E34"/>
    <w:rsid w:val="00F32EA2"/>
    <w:rsid w:val="00F84E53"/>
    <w:rsid w:val="00F96092"/>
    <w:rsid w:val="00FB2966"/>
    <w:rsid w:val="00FB5A5F"/>
    <w:rsid w:val="00FD33E7"/>
    <w:rsid w:val="00FD461A"/>
    <w:rsid w:val="00FE0EF2"/>
    <w:rsid w:val="00FE652A"/>
    <w:rsid w:val="00FF5822"/>
    <w:rsid w:val="00FF5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 w:type="character" w:customStyle="1" w:styleId="UnresolvedMention">
    <w:name w:val="Unresolved Mention"/>
    <w:basedOn w:val="DefaultParagraphFont"/>
    <w:uiPriority w:val="99"/>
    <w:semiHidden/>
    <w:unhideWhenUsed/>
    <w:rsid w:val="006C2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2017-12-15T16:11:44Z</dcterms:created>
  <dcterms:modified xsi:type="dcterms:W3CDTF">2017-12-15T16:11:44Z</dcterms:modified>
</cp:coreProperties>
</file>