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01AF8" w:rsidP="000767F1">
      <w:pPr>
        <w:jc w:val="right"/>
        <w:rPr>
          <w:b/>
          <w:bCs/>
          <w:szCs w:val="22"/>
        </w:rPr>
      </w:pPr>
      <w:bookmarkStart w:id="0" w:name="_GoBack"/>
      <w:bookmarkEnd w:id="0"/>
    </w:p>
    <w:p w:rsidR="00B641FF" w:rsidP="00B641FF">
      <w:pPr>
        <w:jc w:val="right"/>
        <w:rPr>
          <w:b/>
          <w:bCs/>
          <w:szCs w:val="22"/>
        </w:rPr>
      </w:pPr>
    </w:p>
    <w:p w:rsidR="000C6A31" w:rsidRPr="001645A7" w:rsidP="00B641FF">
      <w:pPr>
        <w:jc w:val="right"/>
        <w:rPr>
          <w:b/>
          <w:szCs w:val="22"/>
        </w:rPr>
      </w:pPr>
      <w:r w:rsidRPr="00B20629">
        <w:rPr>
          <w:b/>
          <w:bCs/>
          <w:szCs w:val="22"/>
        </w:rPr>
        <w:t>DA 17-</w:t>
      </w:r>
      <w:r w:rsidR="00EE615A">
        <w:rPr>
          <w:b/>
          <w:bCs/>
          <w:szCs w:val="22"/>
        </w:rPr>
        <w:t>1218</w:t>
      </w:r>
    </w:p>
    <w:p w:rsidR="000C6A31" w:rsidRPr="005E7EDB" w:rsidP="000767F1">
      <w:pPr>
        <w:jc w:val="right"/>
        <w:rPr>
          <w:b/>
          <w:bCs/>
          <w:szCs w:val="22"/>
        </w:rPr>
      </w:pPr>
      <w:r w:rsidRPr="005E7EDB">
        <w:rPr>
          <w:b/>
          <w:szCs w:val="22"/>
        </w:rPr>
        <w:t xml:space="preserve">Released:  </w:t>
      </w:r>
      <w:r w:rsidRPr="005E7EDB" w:rsidR="00101A0A">
        <w:rPr>
          <w:b/>
          <w:szCs w:val="22"/>
        </w:rPr>
        <w:t>December</w:t>
      </w:r>
      <w:r w:rsidRPr="005E7EDB" w:rsidR="003111CB">
        <w:rPr>
          <w:b/>
          <w:bCs/>
          <w:szCs w:val="22"/>
        </w:rPr>
        <w:t xml:space="preserve"> </w:t>
      </w:r>
      <w:r w:rsidR="005F2CB7">
        <w:rPr>
          <w:b/>
          <w:bCs/>
          <w:szCs w:val="22"/>
        </w:rPr>
        <w:t>20</w:t>
      </w:r>
      <w:r w:rsidRPr="005E7EDB" w:rsidR="003111CB">
        <w:rPr>
          <w:b/>
          <w:bCs/>
          <w:szCs w:val="22"/>
        </w:rPr>
        <w:t>, 2017</w:t>
      </w:r>
    </w:p>
    <w:p w:rsidR="000767F1" w:rsidRPr="005E7EDB" w:rsidP="000C6A31">
      <w:pPr>
        <w:spacing w:before="60"/>
        <w:jc w:val="right"/>
        <w:rPr>
          <w:b/>
          <w:szCs w:val="22"/>
        </w:rPr>
      </w:pPr>
    </w:p>
    <w:p w:rsidR="000C6A31" w:rsidRPr="001645A7" w:rsidP="005C5914">
      <w:pPr>
        <w:jc w:val="center"/>
        <w:rPr>
          <w:b/>
          <w:caps/>
          <w:szCs w:val="22"/>
        </w:rPr>
      </w:pPr>
      <w:r>
        <w:rPr>
          <w:b/>
          <w:bCs/>
          <w:caps/>
          <w:szCs w:val="22"/>
        </w:rPr>
        <w:t xml:space="preserve">MOBILITY FUND PHASE II CHALLENGE PROCESS </w:t>
      </w:r>
      <w:r w:rsidR="00223FB1">
        <w:rPr>
          <w:b/>
          <w:bCs/>
          <w:caps/>
          <w:szCs w:val="22"/>
        </w:rPr>
        <w:t xml:space="preserve">HANDSETS </w:t>
      </w:r>
      <w:r>
        <w:rPr>
          <w:b/>
          <w:bCs/>
          <w:caps/>
          <w:szCs w:val="22"/>
        </w:rPr>
        <w:t xml:space="preserve">AND </w:t>
      </w:r>
      <w:r w:rsidR="00C5766E">
        <w:rPr>
          <w:b/>
          <w:bCs/>
          <w:caps/>
          <w:szCs w:val="22"/>
        </w:rPr>
        <w:br/>
      </w:r>
      <w:r w:rsidRPr="005E7EDB" w:rsidR="003773CA">
        <w:rPr>
          <w:b/>
          <w:bCs/>
          <w:caps/>
          <w:szCs w:val="22"/>
        </w:rPr>
        <w:t>Access</w:t>
      </w:r>
      <w:r>
        <w:rPr>
          <w:b/>
          <w:bCs/>
          <w:caps/>
          <w:szCs w:val="22"/>
        </w:rPr>
        <w:t xml:space="preserve"> PROCEDURES FOR</w:t>
      </w:r>
      <w:r w:rsidRPr="005E7EDB" w:rsidR="003773CA">
        <w:rPr>
          <w:b/>
          <w:bCs/>
          <w:caps/>
          <w:szCs w:val="22"/>
        </w:rPr>
        <w:t xml:space="preserve"> the </w:t>
      </w:r>
      <w:r w:rsidR="00223FB1">
        <w:rPr>
          <w:b/>
          <w:bCs/>
          <w:caps/>
          <w:szCs w:val="22"/>
        </w:rPr>
        <w:t xml:space="preserve">CHALLENGE PROCESS </w:t>
      </w:r>
      <w:r w:rsidRPr="005E7EDB" w:rsidR="003773CA">
        <w:rPr>
          <w:b/>
          <w:bCs/>
          <w:caps/>
          <w:szCs w:val="22"/>
        </w:rPr>
        <w:t xml:space="preserve">PORTAL </w:t>
      </w:r>
      <w:r w:rsidR="00C5766E">
        <w:rPr>
          <w:b/>
          <w:bCs/>
          <w:caps/>
          <w:szCs w:val="22"/>
        </w:rPr>
        <w:br/>
      </w:r>
    </w:p>
    <w:p w:rsidR="003111CB" w:rsidRPr="005E7EDB" w:rsidP="003111CB">
      <w:pPr>
        <w:jc w:val="center"/>
        <w:rPr>
          <w:b/>
          <w:bCs/>
          <w:szCs w:val="22"/>
        </w:rPr>
      </w:pPr>
      <w:r w:rsidRPr="005E7EDB">
        <w:rPr>
          <w:b/>
          <w:bCs/>
          <w:szCs w:val="22"/>
        </w:rPr>
        <w:t>WC Docket No. 10-90</w:t>
      </w:r>
    </w:p>
    <w:p w:rsidR="008D0DFD" w:rsidRPr="005E7EDB" w:rsidP="00EC2399">
      <w:pPr>
        <w:spacing w:after="240"/>
        <w:jc w:val="center"/>
        <w:rPr>
          <w:b/>
          <w:bCs/>
          <w:szCs w:val="22"/>
        </w:rPr>
      </w:pPr>
      <w:r w:rsidRPr="005E7EDB">
        <w:rPr>
          <w:b/>
          <w:bCs/>
          <w:szCs w:val="22"/>
        </w:rPr>
        <w:t>WT Docket No. 10-208</w:t>
      </w:r>
    </w:p>
    <w:p w:rsidR="00007A2F" w:rsidRPr="004F1E9A" w:rsidP="003E04C6">
      <w:pPr>
        <w:pStyle w:val="ParaNum"/>
        <w:rPr>
          <w:szCs w:val="22"/>
        </w:rPr>
      </w:pPr>
      <w:r w:rsidRPr="003702FE">
        <w:rPr>
          <w:szCs w:val="22"/>
        </w:rPr>
        <w:t>The Rural Broadband Auctions Task Force</w:t>
      </w:r>
      <w:r w:rsidRPr="00362DA5" w:rsidR="00D023CD">
        <w:rPr>
          <w:szCs w:val="22"/>
        </w:rPr>
        <w:t xml:space="preserve"> (Task Force)</w:t>
      </w:r>
      <w:r w:rsidRPr="00362DA5">
        <w:rPr>
          <w:szCs w:val="22"/>
        </w:rPr>
        <w:t>, in conjunction with the Wireline Competition Bureau and the Wireless Telecommunications Bureau (Bureaus)</w:t>
      </w:r>
      <w:r w:rsidRPr="009E51F5">
        <w:rPr>
          <w:szCs w:val="22"/>
        </w:rPr>
        <w:t xml:space="preserve">, today </w:t>
      </w:r>
      <w:r w:rsidR="00C5766E">
        <w:rPr>
          <w:szCs w:val="22"/>
        </w:rPr>
        <w:t>provide</w:t>
      </w:r>
      <w:r w:rsidR="00B558FB">
        <w:rPr>
          <w:szCs w:val="22"/>
        </w:rPr>
        <w:t>s</w:t>
      </w:r>
      <w:r w:rsidR="00C5766E">
        <w:rPr>
          <w:szCs w:val="22"/>
        </w:rPr>
        <w:t xml:space="preserve"> further </w:t>
      </w:r>
      <w:r w:rsidR="00450F8E">
        <w:rPr>
          <w:szCs w:val="22"/>
        </w:rPr>
        <w:t>requirements</w:t>
      </w:r>
      <w:r w:rsidRPr="00C15F36" w:rsidR="00450F8E">
        <w:rPr>
          <w:szCs w:val="22"/>
        </w:rPr>
        <w:t xml:space="preserve"> </w:t>
      </w:r>
      <w:r w:rsidR="00545B32">
        <w:rPr>
          <w:szCs w:val="22"/>
        </w:rPr>
        <w:t>for</w:t>
      </w:r>
      <w:r w:rsidRPr="00C15F36" w:rsidR="006C1F55">
        <w:rPr>
          <w:szCs w:val="22"/>
        </w:rPr>
        <w:t xml:space="preserve"> </w:t>
      </w:r>
      <w:r w:rsidR="00223FB1">
        <w:rPr>
          <w:szCs w:val="22"/>
        </w:rPr>
        <w:t xml:space="preserve">the handsets that mobile wireless providers </w:t>
      </w:r>
      <w:r w:rsidRPr="00EB11B5" w:rsidR="000C4452">
        <w:rPr>
          <w:szCs w:val="22"/>
        </w:rPr>
        <w:t>in the M</w:t>
      </w:r>
      <w:r w:rsidRPr="00EB11B5" w:rsidR="00332473">
        <w:rPr>
          <w:szCs w:val="22"/>
        </w:rPr>
        <w:t xml:space="preserve">obility </w:t>
      </w:r>
      <w:r w:rsidRPr="002C6840" w:rsidR="000C4452">
        <w:rPr>
          <w:szCs w:val="22"/>
        </w:rPr>
        <w:t>F</w:t>
      </w:r>
      <w:r w:rsidRPr="00094029" w:rsidR="00332473">
        <w:rPr>
          <w:szCs w:val="22"/>
        </w:rPr>
        <w:t>und Phase II (MF</w:t>
      </w:r>
      <w:r w:rsidRPr="00094029" w:rsidR="000C4452">
        <w:rPr>
          <w:szCs w:val="22"/>
        </w:rPr>
        <w:t>-II</w:t>
      </w:r>
      <w:r w:rsidRPr="007C0863" w:rsidR="00332473">
        <w:rPr>
          <w:szCs w:val="22"/>
        </w:rPr>
        <w:t>)</w:t>
      </w:r>
      <w:r w:rsidRPr="007C0863" w:rsidR="000C4452">
        <w:rPr>
          <w:szCs w:val="22"/>
        </w:rPr>
        <w:t xml:space="preserve"> challenge process</w:t>
      </w:r>
      <w:r w:rsidRPr="007C0863" w:rsidR="00952888">
        <w:rPr>
          <w:szCs w:val="22"/>
        </w:rPr>
        <w:t xml:space="preserve"> </w:t>
      </w:r>
      <w:r w:rsidR="005854C3">
        <w:rPr>
          <w:szCs w:val="22"/>
        </w:rPr>
        <w:t>must</w:t>
      </w:r>
      <w:r w:rsidRPr="007C0863" w:rsidR="005854C3">
        <w:rPr>
          <w:szCs w:val="22"/>
        </w:rPr>
        <w:t xml:space="preserve"> </w:t>
      </w:r>
      <w:r w:rsidR="00223FB1">
        <w:rPr>
          <w:szCs w:val="22"/>
        </w:rPr>
        <w:t xml:space="preserve">designate for challengers to </w:t>
      </w:r>
      <w:r w:rsidRPr="007C0863" w:rsidR="00952888">
        <w:rPr>
          <w:szCs w:val="22"/>
        </w:rPr>
        <w:t xml:space="preserve">use </w:t>
      </w:r>
      <w:r w:rsidR="00223FB1">
        <w:rPr>
          <w:szCs w:val="22"/>
        </w:rPr>
        <w:t xml:space="preserve">when </w:t>
      </w:r>
      <w:r w:rsidRPr="00314AD1" w:rsidR="00952888">
        <w:rPr>
          <w:szCs w:val="22"/>
        </w:rPr>
        <w:t>conduct</w:t>
      </w:r>
      <w:r w:rsidR="00223FB1">
        <w:rPr>
          <w:szCs w:val="22"/>
        </w:rPr>
        <w:t>ing</w:t>
      </w:r>
      <w:r w:rsidRPr="00314AD1" w:rsidR="00952888">
        <w:rPr>
          <w:szCs w:val="22"/>
        </w:rPr>
        <w:t xml:space="preserve"> speed test</w:t>
      </w:r>
      <w:r w:rsidRPr="004F1E9A" w:rsidR="009A1F33">
        <w:rPr>
          <w:szCs w:val="22"/>
        </w:rPr>
        <w:t>s</w:t>
      </w:r>
      <w:r w:rsidRPr="004F1E9A" w:rsidR="00952888">
        <w:rPr>
          <w:szCs w:val="22"/>
        </w:rPr>
        <w:t xml:space="preserve"> in areas deemed presumptively ineligible for MF-II support</w:t>
      </w:r>
      <w:r w:rsidR="0030090D">
        <w:rPr>
          <w:szCs w:val="22"/>
        </w:rPr>
        <w:t>.</w:t>
      </w:r>
      <w:r>
        <w:rPr>
          <w:rStyle w:val="FootnoteReference"/>
          <w:szCs w:val="22"/>
        </w:rPr>
        <w:footnoteReference w:id="3"/>
      </w:r>
      <w:r w:rsidRPr="004F1E9A" w:rsidR="003773CA">
        <w:rPr>
          <w:szCs w:val="22"/>
        </w:rPr>
        <w:t xml:space="preserve"> </w:t>
      </w:r>
      <w:r w:rsidR="0030090D">
        <w:rPr>
          <w:szCs w:val="22"/>
        </w:rPr>
        <w:t xml:space="preserve"> In addition, we </w:t>
      </w:r>
      <w:r w:rsidRPr="004F1E9A" w:rsidR="003773CA">
        <w:rPr>
          <w:szCs w:val="22"/>
        </w:rPr>
        <w:t xml:space="preserve">adopt procedures for </w:t>
      </w:r>
      <w:r w:rsidR="0030090D">
        <w:rPr>
          <w:szCs w:val="22"/>
        </w:rPr>
        <w:t xml:space="preserve">challengers to </w:t>
      </w:r>
      <w:r w:rsidR="0052563F">
        <w:rPr>
          <w:szCs w:val="22"/>
        </w:rPr>
        <w:t xml:space="preserve">request </w:t>
      </w:r>
      <w:r w:rsidR="0030090D">
        <w:rPr>
          <w:szCs w:val="22"/>
        </w:rPr>
        <w:t>access</w:t>
      </w:r>
      <w:r w:rsidRPr="004F1E9A" w:rsidR="0030090D">
        <w:rPr>
          <w:szCs w:val="22"/>
        </w:rPr>
        <w:t xml:space="preserve"> </w:t>
      </w:r>
      <w:r w:rsidR="000E1268">
        <w:rPr>
          <w:szCs w:val="22"/>
        </w:rPr>
        <w:t xml:space="preserve">to </w:t>
      </w:r>
      <w:r w:rsidRPr="004F1E9A" w:rsidR="003773CA">
        <w:rPr>
          <w:szCs w:val="22"/>
        </w:rPr>
        <w:t xml:space="preserve">the Universal Service </w:t>
      </w:r>
      <w:r w:rsidR="00A350B1">
        <w:rPr>
          <w:szCs w:val="22"/>
        </w:rPr>
        <w:t>Administrative</w:t>
      </w:r>
      <w:r w:rsidRPr="004F1E9A" w:rsidR="00A350B1">
        <w:rPr>
          <w:szCs w:val="22"/>
        </w:rPr>
        <w:t xml:space="preserve"> </w:t>
      </w:r>
      <w:r w:rsidRPr="004F1E9A" w:rsidR="003773CA">
        <w:rPr>
          <w:szCs w:val="22"/>
        </w:rPr>
        <w:t>Company (USAC) challenge process portal.</w:t>
      </w:r>
      <w:r>
        <w:rPr>
          <w:rStyle w:val="FootnoteReference"/>
          <w:szCs w:val="22"/>
        </w:rPr>
        <w:footnoteReference w:id="4"/>
      </w:r>
    </w:p>
    <w:p w:rsidR="00B74DD5" w:rsidRPr="004F1E9A" w:rsidP="003E04C6">
      <w:pPr>
        <w:pStyle w:val="Heading1"/>
        <w:rPr>
          <w:szCs w:val="22"/>
        </w:rPr>
      </w:pPr>
      <w:r w:rsidRPr="004F1E9A">
        <w:rPr>
          <w:szCs w:val="22"/>
        </w:rPr>
        <w:t>Handset REquirements</w:t>
      </w:r>
    </w:p>
    <w:p w:rsidR="0062170A" w:rsidRPr="00C93485" w:rsidP="003E04C6">
      <w:pPr>
        <w:pStyle w:val="ParaNum"/>
        <w:rPr>
          <w:szCs w:val="22"/>
        </w:rPr>
      </w:pPr>
      <w:r w:rsidRPr="00C93485">
        <w:rPr>
          <w:szCs w:val="22"/>
        </w:rPr>
        <w:t xml:space="preserve">Under </w:t>
      </w:r>
      <w:r w:rsidRPr="00C93485" w:rsidR="008D0DFD">
        <w:rPr>
          <w:szCs w:val="22"/>
        </w:rPr>
        <w:t xml:space="preserve">the </w:t>
      </w:r>
      <w:r w:rsidRPr="00C93485" w:rsidR="008D0DFD">
        <w:rPr>
          <w:i/>
          <w:iCs/>
          <w:szCs w:val="22"/>
        </w:rPr>
        <w:t>MF-II Challenge Process Order</w:t>
      </w:r>
      <w:r w:rsidRPr="00C93485" w:rsidR="008D0DFD">
        <w:rPr>
          <w:szCs w:val="22"/>
        </w:rPr>
        <w:t xml:space="preserve">, the </w:t>
      </w:r>
      <w:r w:rsidRPr="00C93485" w:rsidR="0030090D">
        <w:rPr>
          <w:szCs w:val="22"/>
        </w:rPr>
        <w:t xml:space="preserve">MF-II </w:t>
      </w:r>
      <w:r w:rsidRPr="00C93485">
        <w:rPr>
          <w:szCs w:val="22"/>
        </w:rPr>
        <w:t xml:space="preserve">challenge process </w:t>
      </w:r>
      <w:r w:rsidRPr="00C93485" w:rsidR="000E6678">
        <w:rPr>
          <w:szCs w:val="22"/>
        </w:rPr>
        <w:t xml:space="preserve">will </w:t>
      </w:r>
      <w:r w:rsidRPr="00C93485">
        <w:rPr>
          <w:szCs w:val="22"/>
        </w:rPr>
        <w:t xml:space="preserve">begin with </w:t>
      </w:r>
      <w:r w:rsidRPr="00274B98" w:rsidR="008D0DFD">
        <w:rPr>
          <w:szCs w:val="22"/>
        </w:rPr>
        <w:t>a new, one-time collection of current, standardized coverage data on qualified 4G LTE service</w:t>
      </w:r>
      <w:r w:rsidRPr="00274B98">
        <w:rPr>
          <w:szCs w:val="22"/>
        </w:rPr>
        <w:t xml:space="preserve">, which </w:t>
      </w:r>
      <w:r w:rsidRPr="00274B98" w:rsidR="0030090D">
        <w:rPr>
          <w:szCs w:val="22"/>
        </w:rPr>
        <w:t xml:space="preserve">the Commission </w:t>
      </w:r>
      <w:r w:rsidRPr="00274B98">
        <w:rPr>
          <w:szCs w:val="22"/>
        </w:rPr>
        <w:t>will</w:t>
      </w:r>
      <w:r w:rsidRPr="00274B98" w:rsidR="00D41F8A">
        <w:rPr>
          <w:szCs w:val="22"/>
        </w:rPr>
        <w:t xml:space="preserve"> </w:t>
      </w:r>
      <w:r w:rsidRPr="00274B98" w:rsidR="0030090D">
        <w:rPr>
          <w:szCs w:val="22"/>
        </w:rPr>
        <w:t>use</w:t>
      </w:r>
      <w:r w:rsidRPr="00AE630F" w:rsidR="008D0DFD">
        <w:rPr>
          <w:szCs w:val="22"/>
        </w:rPr>
        <w:t xml:space="preserve"> to establish the map of areas presumptively eligible for MF-II support</w:t>
      </w:r>
      <w:r w:rsidRPr="00CA6FE0" w:rsidR="008D0DFD">
        <w:rPr>
          <w:szCs w:val="22"/>
        </w:rPr>
        <w:t>.</w:t>
      </w:r>
      <w:r>
        <w:rPr>
          <w:rStyle w:val="FootnoteReference"/>
          <w:sz w:val="22"/>
          <w:szCs w:val="22"/>
        </w:rPr>
        <w:footnoteReference w:id="5"/>
      </w:r>
      <w:r w:rsidRPr="00C93485" w:rsidR="001C41B3">
        <w:rPr>
          <w:szCs w:val="22"/>
        </w:rPr>
        <w:t xml:space="preserve">  </w:t>
      </w:r>
      <w:r w:rsidRPr="00C93485" w:rsidR="002B1520">
        <w:rPr>
          <w:szCs w:val="22"/>
        </w:rPr>
        <w:t xml:space="preserve">After the </w:t>
      </w:r>
      <w:r w:rsidRPr="00C93485" w:rsidR="000A04B7">
        <w:rPr>
          <w:szCs w:val="22"/>
        </w:rPr>
        <w:t>release</w:t>
      </w:r>
      <w:r w:rsidRPr="00C93485" w:rsidR="002B1520">
        <w:rPr>
          <w:szCs w:val="22"/>
        </w:rPr>
        <w:t xml:space="preserve"> of this map, </w:t>
      </w:r>
      <w:r w:rsidR="00B558FB">
        <w:rPr>
          <w:szCs w:val="22"/>
        </w:rPr>
        <w:t>interested parties</w:t>
      </w:r>
      <w:r w:rsidRPr="00C93485" w:rsidR="004B2D0A">
        <w:rPr>
          <w:szCs w:val="22"/>
        </w:rPr>
        <w:t xml:space="preserve"> </w:t>
      </w:r>
      <w:r w:rsidRPr="00C93485" w:rsidR="002B1520">
        <w:rPr>
          <w:szCs w:val="22"/>
        </w:rPr>
        <w:t>will have a</w:t>
      </w:r>
      <w:r w:rsidR="00C93485">
        <w:rPr>
          <w:szCs w:val="22"/>
        </w:rPr>
        <w:t>n opportunity</w:t>
      </w:r>
      <w:r w:rsidRPr="00C93485" w:rsidR="002B1520">
        <w:rPr>
          <w:szCs w:val="22"/>
        </w:rPr>
        <w:t xml:space="preserve"> to </w:t>
      </w:r>
      <w:r w:rsidRPr="00C93485" w:rsidR="004B2D0A">
        <w:rPr>
          <w:szCs w:val="22"/>
        </w:rPr>
        <w:t xml:space="preserve">challenge </w:t>
      </w:r>
      <w:r w:rsidRPr="00C93485" w:rsidR="00B65A8D">
        <w:rPr>
          <w:szCs w:val="22"/>
        </w:rPr>
        <w:t>a</w:t>
      </w:r>
      <w:r w:rsidRPr="00C93485" w:rsidR="004537C7">
        <w:rPr>
          <w:szCs w:val="22"/>
        </w:rPr>
        <w:t xml:space="preserve">reas initially deemed </w:t>
      </w:r>
      <w:r w:rsidR="00EF0285">
        <w:rPr>
          <w:szCs w:val="22"/>
        </w:rPr>
        <w:t xml:space="preserve">presumptively </w:t>
      </w:r>
      <w:r w:rsidRPr="00C93485" w:rsidR="004537C7">
        <w:rPr>
          <w:szCs w:val="22"/>
        </w:rPr>
        <w:t>ineligible</w:t>
      </w:r>
      <w:r w:rsidRPr="00C93485" w:rsidR="00B65A8D">
        <w:rPr>
          <w:szCs w:val="22"/>
        </w:rPr>
        <w:t xml:space="preserve"> </w:t>
      </w:r>
      <w:r w:rsidRPr="00C93485" w:rsidR="004B2D0A">
        <w:rPr>
          <w:szCs w:val="22"/>
        </w:rPr>
        <w:t>by “submit[ting] detailed proof of lack of unsubsid</w:t>
      </w:r>
      <w:r w:rsidRPr="00C93485" w:rsidR="00DB3FA9">
        <w:rPr>
          <w:szCs w:val="22"/>
        </w:rPr>
        <w:t>ized, qualified 4G LTE coverage.”</w:t>
      </w:r>
      <w:r>
        <w:rPr>
          <w:rStyle w:val="FootnoteReference"/>
          <w:szCs w:val="22"/>
        </w:rPr>
        <w:footnoteReference w:id="6"/>
      </w:r>
      <w:r w:rsidRPr="00C93485" w:rsidR="004B2D0A">
        <w:rPr>
          <w:szCs w:val="22"/>
        </w:rPr>
        <w:t xml:space="preserve">  </w:t>
      </w:r>
      <w:r w:rsidR="000A1301">
        <w:rPr>
          <w:szCs w:val="22"/>
        </w:rPr>
        <w:t>Although t</w:t>
      </w:r>
      <w:r w:rsidRPr="00C93485" w:rsidR="00DB3FA9">
        <w:rPr>
          <w:szCs w:val="22"/>
        </w:rPr>
        <w:t>his proof must take the form of actual outdoor speed test data</w:t>
      </w:r>
      <w:r w:rsidR="000A1301">
        <w:rPr>
          <w:szCs w:val="22"/>
        </w:rPr>
        <w:t>,</w:t>
      </w:r>
      <w:r>
        <w:rPr>
          <w:rStyle w:val="FootnoteReference"/>
          <w:szCs w:val="22"/>
        </w:rPr>
        <w:footnoteReference w:id="7"/>
      </w:r>
      <w:r w:rsidRPr="00C93485" w:rsidR="00AB6408">
        <w:rPr>
          <w:szCs w:val="22"/>
        </w:rPr>
        <w:t xml:space="preserve"> </w:t>
      </w:r>
      <w:r w:rsidR="000A1301">
        <w:rPr>
          <w:szCs w:val="22"/>
        </w:rPr>
        <w:t xml:space="preserve">the </w:t>
      </w:r>
      <w:r w:rsidRPr="00C93485" w:rsidR="00DB3FA9">
        <w:rPr>
          <w:szCs w:val="22"/>
        </w:rPr>
        <w:t xml:space="preserve">Commission </w:t>
      </w:r>
      <w:r w:rsidR="000A1301">
        <w:rPr>
          <w:szCs w:val="22"/>
        </w:rPr>
        <w:t>will allow</w:t>
      </w:r>
      <w:r w:rsidRPr="00C93485" w:rsidR="00DB3FA9">
        <w:rPr>
          <w:szCs w:val="22"/>
        </w:rPr>
        <w:t xml:space="preserve"> challenger</w:t>
      </w:r>
      <w:r w:rsidR="00B558FB">
        <w:rPr>
          <w:szCs w:val="22"/>
        </w:rPr>
        <w:t>s</w:t>
      </w:r>
      <w:r w:rsidRPr="00C93485" w:rsidR="00DB3FA9">
        <w:rPr>
          <w:szCs w:val="22"/>
        </w:rPr>
        <w:t xml:space="preserve"> </w:t>
      </w:r>
      <w:r w:rsidR="000A1301">
        <w:rPr>
          <w:szCs w:val="22"/>
        </w:rPr>
        <w:t xml:space="preserve">the flexibility </w:t>
      </w:r>
      <w:r w:rsidRPr="00C93485" w:rsidR="00DB3FA9">
        <w:rPr>
          <w:szCs w:val="22"/>
        </w:rPr>
        <w:t xml:space="preserve">to </w:t>
      </w:r>
      <w:r w:rsidR="00AE0F62">
        <w:rPr>
          <w:szCs w:val="22"/>
        </w:rPr>
        <w:t>collect this data using</w:t>
      </w:r>
      <w:r w:rsidRPr="00C93485" w:rsidR="00DB3FA9">
        <w:rPr>
          <w:szCs w:val="22"/>
        </w:rPr>
        <w:t xml:space="preserve"> hardware- or software-based drive tests or application-based tests.</w:t>
      </w:r>
      <w:r>
        <w:rPr>
          <w:rStyle w:val="FootnoteReference"/>
          <w:szCs w:val="22"/>
        </w:rPr>
        <w:footnoteReference w:id="8"/>
      </w:r>
    </w:p>
    <w:p w:rsidR="005D712D" w:rsidP="003E04C6">
      <w:pPr>
        <w:pStyle w:val="ParaNum"/>
        <w:rPr>
          <w:szCs w:val="22"/>
        </w:rPr>
      </w:pPr>
      <w:r>
        <w:rPr>
          <w:szCs w:val="22"/>
        </w:rPr>
        <w:t xml:space="preserve">For </w:t>
      </w:r>
      <w:r w:rsidR="00810EC9">
        <w:rPr>
          <w:szCs w:val="22"/>
        </w:rPr>
        <w:t>any</w:t>
      </w:r>
      <w:r>
        <w:rPr>
          <w:szCs w:val="22"/>
        </w:rPr>
        <w:t xml:space="preserve"> type of </w:t>
      </w:r>
      <w:r w:rsidR="00594A1B">
        <w:rPr>
          <w:szCs w:val="22"/>
        </w:rPr>
        <w:t xml:space="preserve">speed </w:t>
      </w:r>
      <w:r w:rsidR="003D08DD">
        <w:rPr>
          <w:szCs w:val="22"/>
        </w:rPr>
        <w:t>test,</w:t>
      </w:r>
      <w:r>
        <w:rPr>
          <w:szCs w:val="22"/>
        </w:rPr>
        <w:t xml:space="preserve"> </w:t>
      </w:r>
      <w:r w:rsidR="00810EC9">
        <w:rPr>
          <w:szCs w:val="22"/>
        </w:rPr>
        <w:t xml:space="preserve">the Commission </w:t>
      </w:r>
      <w:r w:rsidR="00B558FB">
        <w:rPr>
          <w:szCs w:val="22"/>
        </w:rPr>
        <w:t xml:space="preserve">previously has </w:t>
      </w:r>
      <w:r w:rsidR="00810EC9">
        <w:rPr>
          <w:szCs w:val="22"/>
        </w:rPr>
        <w:t xml:space="preserve">made clear that </w:t>
      </w:r>
      <w:r w:rsidR="00B30CAB">
        <w:rPr>
          <w:szCs w:val="22"/>
        </w:rPr>
        <w:t xml:space="preserve">a </w:t>
      </w:r>
      <w:r w:rsidR="00594A1B">
        <w:rPr>
          <w:szCs w:val="22"/>
        </w:rPr>
        <w:t xml:space="preserve">challenger must </w:t>
      </w:r>
      <w:r w:rsidR="003D08DD">
        <w:rPr>
          <w:szCs w:val="22"/>
        </w:rPr>
        <w:t xml:space="preserve">use </w:t>
      </w:r>
      <w:r w:rsidR="00B30CAB">
        <w:rPr>
          <w:szCs w:val="22"/>
        </w:rPr>
        <w:t xml:space="preserve">a </w:t>
      </w:r>
      <w:r w:rsidR="003D08DD">
        <w:rPr>
          <w:szCs w:val="22"/>
        </w:rPr>
        <w:t xml:space="preserve">pre-approved handset to </w:t>
      </w:r>
      <w:r w:rsidR="00594A1B">
        <w:rPr>
          <w:szCs w:val="22"/>
        </w:rPr>
        <w:t>collect the data</w:t>
      </w:r>
      <w:r w:rsidR="003D08DD">
        <w:rPr>
          <w:szCs w:val="22"/>
        </w:rPr>
        <w:t>.  In particular,</w:t>
      </w:r>
      <w:r w:rsidR="00594A1B">
        <w:rPr>
          <w:szCs w:val="22"/>
        </w:rPr>
        <w:t xml:space="preserve"> </w:t>
      </w:r>
      <w:r w:rsidR="003D08DD">
        <w:rPr>
          <w:szCs w:val="22"/>
        </w:rPr>
        <w:t xml:space="preserve">the Commission requires </w:t>
      </w:r>
      <w:r w:rsidR="00C93485">
        <w:rPr>
          <w:szCs w:val="22"/>
        </w:rPr>
        <w:t xml:space="preserve">that </w:t>
      </w:r>
      <w:r w:rsidR="003D08DD">
        <w:rPr>
          <w:szCs w:val="22"/>
        </w:rPr>
        <w:t xml:space="preserve">speed test data “be collected using </w:t>
      </w:r>
      <w:r>
        <w:rPr>
          <w:szCs w:val="22"/>
        </w:rPr>
        <w:t xml:space="preserve">the latest devices specifically authorized by the providers that submitted </w:t>
      </w:r>
      <w:r w:rsidR="002B1520">
        <w:rPr>
          <w:szCs w:val="22"/>
        </w:rPr>
        <w:t xml:space="preserve">[the] </w:t>
      </w:r>
      <w:r>
        <w:rPr>
          <w:szCs w:val="22"/>
        </w:rPr>
        <w:t xml:space="preserve">4G </w:t>
      </w:r>
      <w:r>
        <w:rPr>
          <w:szCs w:val="22"/>
        </w:rPr>
        <w:t>LTE coverage data . . . (i.e., provider-specified handsets).”</w:t>
      </w:r>
      <w:r>
        <w:rPr>
          <w:rStyle w:val="FootnoteReference"/>
          <w:szCs w:val="22"/>
        </w:rPr>
        <w:footnoteReference w:id="9"/>
      </w:r>
      <w:r>
        <w:rPr>
          <w:szCs w:val="22"/>
        </w:rPr>
        <w:t xml:space="preserve">  </w:t>
      </w:r>
      <w:r w:rsidR="00724847">
        <w:rPr>
          <w:szCs w:val="22"/>
        </w:rPr>
        <w:t xml:space="preserve">As part of </w:t>
      </w:r>
      <w:r w:rsidR="00355328">
        <w:rPr>
          <w:szCs w:val="22"/>
        </w:rPr>
        <w:t>the new</w:t>
      </w:r>
      <w:r w:rsidR="00AB6408">
        <w:rPr>
          <w:szCs w:val="22"/>
        </w:rPr>
        <w:t>, one-time</w:t>
      </w:r>
      <w:r w:rsidR="00355328">
        <w:rPr>
          <w:szCs w:val="22"/>
        </w:rPr>
        <w:t xml:space="preserve"> </w:t>
      </w:r>
      <w:r w:rsidR="00724847">
        <w:rPr>
          <w:szCs w:val="22"/>
        </w:rPr>
        <w:t>data collection, e</w:t>
      </w:r>
      <w:r w:rsidRPr="001645A7" w:rsidR="00CB717F">
        <w:rPr>
          <w:szCs w:val="22"/>
        </w:rPr>
        <w:t xml:space="preserve">ach </w:t>
      </w:r>
      <w:r w:rsidR="0030090D">
        <w:rPr>
          <w:szCs w:val="22"/>
        </w:rPr>
        <w:t>mobile wireless</w:t>
      </w:r>
      <w:r w:rsidRPr="005E7EDB" w:rsidR="0030090D">
        <w:rPr>
          <w:szCs w:val="22"/>
        </w:rPr>
        <w:t xml:space="preserve"> </w:t>
      </w:r>
      <w:r w:rsidRPr="005E7EDB" w:rsidR="008D0DFD">
        <w:rPr>
          <w:szCs w:val="22"/>
        </w:rPr>
        <w:t xml:space="preserve">provider </w:t>
      </w:r>
      <w:r w:rsidR="00355328">
        <w:rPr>
          <w:szCs w:val="22"/>
        </w:rPr>
        <w:t xml:space="preserve">with qualified 4G LTE coverage </w:t>
      </w:r>
      <w:r w:rsidRPr="005E7EDB" w:rsidR="000C1A39">
        <w:rPr>
          <w:szCs w:val="22"/>
        </w:rPr>
        <w:t xml:space="preserve">is </w:t>
      </w:r>
      <w:r w:rsidRPr="005E7EDB" w:rsidR="008D0DFD">
        <w:rPr>
          <w:szCs w:val="22"/>
        </w:rPr>
        <w:t>required to identify at least three readily</w:t>
      </w:r>
      <w:r w:rsidR="00C5766E">
        <w:rPr>
          <w:szCs w:val="22"/>
        </w:rPr>
        <w:noBreakHyphen/>
      </w:r>
      <w:r w:rsidRPr="005E7EDB" w:rsidR="008D0DFD">
        <w:rPr>
          <w:szCs w:val="22"/>
        </w:rPr>
        <w:t>available handset models</w:t>
      </w:r>
      <w:r w:rsidRPr="005E7EDB" w:rsidR="000E7E85">
        <w:rPr>
          <w:szCs w:val="22"/>
        </w:rPr>
        <w:t xml:space="preserve"> </w:t>
      </w:r>
      <w:r w:rsidRPr="005E7EDB" w:rsidR="008D0DFD">
        <w:rPr>
          <w:szCs w:val="22"/>
        </w:rPr>
        <w:t xml:space="preserve">appropriate for testing </w:t>
      </w:r>
      <w:r w:rsidRPr="005E7EDB" w:rsidR="00CB717F">
        <w:rPr>
          <w:szCs w:val="22"/>
        </w:rPr>
        <w:t xml:space="preserve">its </w:t>
      </w:r>
      <w:r w:rsidRPr="005E7EDB" w:rsidR="008D0DFD">
        <w:rPr>
          <w:szCs w:val="22"/>
        </w:rPr>
        <w:t>coverage</w:t>
      </w:r>
      <w:r w:rsidRPr="005E7EDB" w:rsidR="00355CFC">
        <w:rPr>
          <w:szCs w:val="22"/>
        </w:rPr>
        <w:t>,</w:t>
      </w:r>
      <w:r>
        <w:rPr>
          <w:rStyle w:val="FootnoteReference"/>
          <w:sz w:val="22"/>
          <w:szCs w:val="22"/>
        </w:rPr>
        <w:footnoteReference w:id="10"/>
      </w:r>
      <w:r w:rsidRPr="001645A7" w:rsidR="008D0DFD">
        <w:rPr>
          <w:szCs w:val="22"/>
        </w:rPr>
        <w:t xml:space="preserve"> </w:t>
      </w:r>
      <w:r w:rsidRPr="001645A7" w:rsidR="00355CFC">
        <w:rPr>
          <w:szCs w:val="22"/>
        </w:rPr>
        <w:t xml:space="preserve">at least one of which </w:t>
      </w:r>
      <w:r w:rsidRPr="005E7EDB" w:rsidR="00D92524">
        <w:rPr>
          <w:szCs w:val="22"/>
        </w:rPr>
        <w:t>must be</w:t>
      </w:r>
      <w:r w:rsidRPr="005E7EDB" w:rsidR="00355CFC">
        <w:rPr>
          <w:szCs w:val="22"/>
        </w:rPr>
        <w:t xml:space="preserve"> compatible with industry-standard drive test software.</w:t>
      </w:r>
      <w:r>
        <w:rPr>
          <w:rStyle w:val="FootnoteReference"/>
          <w:sz w:val="22"/>
          <w:szCs w:val="22"/>
        </w:rPr>
        <w:footnoteReference w:id="11"/>
      </w:r>
      <w:r w:rsidR="00594A1B">
        <w:rPr>
          <w:szCs w:val="22"/>
        </w:rPr>
        <w:t xml:space="preserve">  </w:t>
      </w:r>
      <w:r w:rsidR="00A80DEB">
        <w:rPr>
          <w:szCs w:val="22"/>
        </w:rPr>
        <w:t>The Commission also directed the Bureaus to “propose and adopt further guidance on the types of devices that may be used for speed tests.”</w:t>
      </w:r>
      <w:r>
        <w:rPr>
          <w:rStyle w:val="FootnoteReference"/>
          <w:szCs w:val="22"/>
        </w:rPr>
        <w:footnoteReference w:id="12"/>
      </w:r>
      <w:r w:rsidR="00594A1B">
        <w:rPr>
          <w:szCs w:val="22"/>
        </w:rPr>
        <w:t xml:space="preserve"> </w:t>
      </w:r>
    </w:p>
    <w:p w:rsidR="008D0DFD" w:rsidRPr="005E7EDB" w:rsidP="005C5914">
      <w:pPr>
        <w:pStyle w:val="ParaNum"/>
        <w:widowControl/>
        <w:rPr>
          <w:szCs w:val="22"/>
        </w:rPr>
      </w:pPr>
      <w:r w:rsidRPr="005E7EDB">
        <w:rPr>
          <w:szCs w:val="22"/>
        </w:rPr>
        <w:t xml:space="preserve">After release of the </w:t>
      </w:r>
      <w:r w:rsidRPr="005E7EDB">
        <w:rPr>
          <w:i/>
          <w:szCs w:val="22"/>
        </w:rPr>
        <w:t>MF-II Challenge Process Order</w:t>
      </w:r>
      <w:r w:rsidRPr="005E7EDB">
        <w:rPr>
          <w:szCs w:val="22"/>
        </w:rPr>
        <w:t xml:space="preserve">, the Task Force, in conjunction with the Bureaus, released instructions for submitting the </w:t>
      </w:r>
      <w:r w:rsidR="00AB6408">
        <w:rPr>
          <w:szCs w:val="22"/>
        </w:rPr>
        <w:t xml:space="preserve">new 4G LTE coverage </w:t>
      </w:r>
      <w:r w:rsidRPr="005E7EDB">
        <w:rPr>
          <w:szCs w:val="22"/>
        </w:rPr>
        <w:t>data</w:t>
      </w:r>
      <w:r w:rsidRPr="005E7EDB" w:rsidR="00CA71C5">
        <w:rPr>
          <w:szCs w:val="22"/>
        </w:rPr>
        <w:t xml:space="preserve">, including </w:t>
      </w:r>
      <w:r w:rsidR="00724847">
        <w:rPr>
          <w:szCs w:val="22"/>
        </w:rPr>
        <w:t>the</w:t>
      </w:r>
      <w:r w:rsidRPr="005E7EDB" w:rsidR="00724847">
        <w:rPr>
          <w:szCs w:val="22"/>
        </w:rPr>
        <w:t xml:space="preserve"> </w:t>
      </w:r>
      <w:r w:rsidRPr="005E7EDB" w:rsidR="00CA71C5">
        <w:rPr>
          <w:szCs w:val="22"/>
        </w:rPr>
        <w:t>handset list,</w:t>
      </w:r>
      <w:r>
        <w:rPr>
          <w:rStyle w:val="FootnoteReference"/>
          <w:sz w:val="22"/>
          <w:szCs w:val="22"/>
        </w:rPr>
        <w:footnoteReference w:id="13"/>
      </w:r>
      <w:r w:rsidRPr="001645A7">
        <w:rPr>
          <w:szCs w:val="22"/>
        </w:rPr>
        <w:t xml:space="preserve"> and announced</w:t>
      </w:r>
      <w:r w:rsidRPr="005E7EDB">
        <w:rPr>
          <w:szCs w:val="22"/>
        </w:rPr>
        <w:t xml:space="preserve"> a deadline of January 4, 2018</w:t>
      </w:r>
      <w:r w:rsidR="006B6C23">
        <w:rPr>
          <w:szCs w:val="22"/>
        </w:rPr>
        <w:t>,</w:t>
      </w:r>
      <w:r w:rsidRPr="005E7EDB">
        <w:rPr>
          <w:szCs w:val="22"/>
        </w:rPr>
        <w:t xml:space="preserve"> to submit the required </w:t>
      </w:r>
      <w:r w:rsidR="00156B0B">
        <w:rPr>
          <w:szCs w:val="22"/>
        </w:rPr>
        <w:t xml:space="preserve">coverage </w:t>
      </w:r>
      <w:r w:rsidRPr="005E7EDB">
        <w:rPr>
          <w:szCs w:val="22"/>
        </w:rPr>
        <w:t>information.</w:t>
      </w:r>
      <w:r>
        <w:rPr>
          <w:rStyle w:val="FootnoteReference"/>
          <w:sz w:val="22"/>
          <w:szCs w:val="22"/>
        </w:rPr>
        <w:footnoteReference w:id="14"/>
      </w:r>
      <w:r w:rsidRPr="001645A7">
        <w:rPr>
          <w:szCs w:val="22"/>
        </w:rPr>
        <w:t xml:space="preserve">  </w:t>
      </w:r>
      <w:r w:rsidR="00FA5BBB">
        <w:rPr>
          <w:szCs w:val="22"/>
        </w:rPr>
        <w:t>Pursuant to the Commission’s direction, t</w:t>
      </w:r>
      <w:r w:rsidRPr="001645A7" w:rsidR="00FA5BBB">
        <w:rPr>
          <w:szCs w:val="22"/>
        </w:rPr>
        <w:t xml:space="preserve">he </w:t>
      </w:r>
      <w:r w:rsidRPr="001645A7" w:rsidR="009655B2">
        <w:rPr>
          <w:szCs w:val="22"/>
        </w:rPr>
        <w:t xml:space="preserve">Bureaus </w:t>
      </w:r>
      <w:r w:rsidRPr="005E7EDB" w:rsidR="006E24B8">
        <w:rPr>
          <w:szCs w:val="22"/>
        </w:rPr>
        <w:t xml:space="preserve">subsequently </w:t>
      </w:r>
      <w:r w:rsidRPr="005E7EDB" w:rsidR="009655B2">
        <w:rPr>
          <w:szCs w:val="22"/>
        </w:rPr>
        <w:t xml:space="preserve">sought comment on </w:t>
      </w:r>
      <w:r w:rsidR="009F66BA">
        <w:rPr>
          <w:szCs w:val="22"/>
        </w:rPr>
        <w:t>proposed requirements to ensure</w:t>
      </w:r>
      <w:r w:rsidR="002226B2">
        <w:rPr>
          <w:szCs w:val="22"/>
        </w:rPr>
        <w:t xml:space="preserve"> that at least </w:t>
      </w:r>
      <w:r w:rsidR="00C5766E">
        <w:rPr>
          <w:szCs w:val="22"/>
        </w:rPr>
        <w:t xml:space="preserve">one designated </w:t>
      </w:r>
      <w:r w:rsidR="002226B2">
        <w:rPr>
          <w:szCs w:val="22"/>
        </w:rPr>
        <w:t>handset is compatible with industry-standard drive test software.</w:t>
      </w:r>
      <w:r>
        <w:rPr>
          <w:rStyle w:val="FootnoteReference"/>
          <w:sz w:val="22"/>
          <w:szCs w:val="22"/>
        </w:rPr>
        <w:footnoteReference w:id="15"/>
      </w:r>
      <w:r w:rsidRPr="001645A7" w:rsidR="009655B2">
        <w:rPr>
          <w:szCs w:val="22"/>
        </w:rPr>
        <w:t xml:space="preserve">  </w:t>
      </w:r>
      <w:r w:rsidR="009060B3">
        <w:rPr>
          <w:szCs w:val="22"/>
        </w:rPr>
        <w:t xml:space="preserve">The Bureaus also sought comment on whether </w:t>
      </w:r>
      <w:r w:rsidR="005C153F">
        <w:rPr>
          <w:szCs w:val="22"/>
        </w:rPr>
        <w:t>this</w:t>
      </w:r>
      <w:r w:rsidR="009060B3">
        <w:rPr>
          <w:szCs w:val="22"/>
        </w:rPr>
        <w:t xml:space="preserve"> propos</w:t>
      </w:r>
      <w:r w:rsidR="00545B32">
        <w:rPr>
          <w:szCs w:val="22"/>
        </w:rPr>
        <w:t>al</w:t>
      </w:r>
      <w:r w:rsidR="009060B3">
        <w:rPr>
          <w:szCs w:val="22"/>
        </w:rPr>
        <w:t xml:space="preserve"> “is sufficient to allow challengers to conduct drive tests efficiently and effectively.”</w:t>
      </w:r>
      <w:r>
        <w:rPr>
          <w:rStyle w:val="FootnoteReference"/>
          <w:szCs w:val="22"/>
        </w:rPr>
        <w:footnoteReference w:id="16"/>
      </w:r>
      <w:r w:rsidRPr="005E7EDB" w:rsidR="00526A10">
        <w:rPr>
          <w:szCs w:val="22"/>
        </w:rPr>
        <w:t xml:space="preserve"> </w:t>
      </w:r>
    </w:p>
    <w:p w:rsidR="005139BF" w:rsidRPr="001645A7" w:rsidP="003E04C6">
      <w:pPr>
        <w:pStyle w:val="ParaNum"/>
        <w:rPr>
          <w:szCs w:val="22"/>
        </w:rPr>
      </w:pPr>
      <w:r>
        <w:rPr>
          <w:szCs w:val="22"/>
        </w:rPr>
        <w:t>After consideration of these comments, w</w:t>
      </w:r>
      <w:r w:rsidRPr="001645A7">
        <w:rPr>
          <w:szCs w:val="22"/>
        </w:rPr>
        <w:t xml:space="preserve">e now provide </w:t>
      </w:r>
      <w:r w:rsidR="00C126FB">
        <w:rPr>
          <w:szCs w:val="22"/>
        </w:rPr>
        <w:t>further</w:t>
      </w:r>
      <w:r w:rsidRPr="005E7EDB">
        <w:rPr>
          <w:szCs w:val="22"/>
        </w:rPr>
        <w:t xml:space="preserve"> </w:t>
      </w:r>
      <w:r w:rsidR="00545B32">
        <w:rPr>
          <w:szCs w:val="22"/>
        </w:rPr>
        <w:t>requirements</w:t>
      </w:r>
      <w:r w:rsidRPr="005E7EDB" w:rsidR="00545B32">
        <w:rPr>
          <w:szCs w:val="22"/>
        </w:rPr>
        <w:t xml:space="preserve"> </w:t>
      </w:r>
      <w:r w:rsidR="00545B32">
        <w:rPr>
          <w:szCs w:val="22"/>
        </w:rPr>
        <w:t>for</w:t>
      </w:r>
      <w:r>
        <w:rPr>
          <w:szCs w:val="22"/>
        </w:rPr>
        <w:t xml:space="preserve"> the types of devices that may be used for speed tests.</w:t>
      </w:r>
      <w:r>
        <w:rPr>
          <w:rStyle w:val="FootnoteReference"/>
          <w:szCs w:val="22"/>
        </w:rPr>
        <w:footnoteReference w:id="17"/>
      </w:r>
      <w:r>
        <w:rPr>
          <w:szCs w:val="22"/>
        </w:rPr>
        <w:t xml:space="preserve">  First, </w:t>
      </w:r>
      <w:r>
        <w:t xml:space="preserve">in </w:t>
      </w:r>
      <w:r w:rsidR="005B0321">
        <w:t>order to ensure that at least one device is compatible</w:t>
      </w:r>
      <w:r w:rsidR="00E26BDD">
        <w:t xml:space="preserve"> with industry-standard drive test software</w:t>
      </w:r>
      <w:r w:rsidRPr="005E7EDB" w:rsidR="009655B2">
        <w:rPr>
          <w:szCs w:val="22"/>
        </w:rPr>
        <w:t>,</w:t>
      </w:r>
      <w:r w:rsidRPr="001645A7" w:rsidR="009655B2">
        <w:rPr>
          <w:szCs w:val="22"/>
        </w:rPr>
        <w:t xml:space="preserve"> </w:t>
      </w:r>
      <w:r w:rsidRPr="001645A7" w:rsidR="009F66BA">
        <w:rPr>
          <w:szCs w:val="22"/>
        </w:rPr>
        <w:t xml:space="preserve">we </w:t>
      </w:r>
      <w:r w:rsidR="009F66BA">
        <w:rPr>
          <w:szCs w:val="22"/>
        </w:rPr>
        <w:t>require</w:t>
      </w:r>
      <w:r w:rsidRPr="001645A7" w:rsidR="009F66BA">
        <w:rPr>
          <w:szCs w:val="22"/>
        </w:rPr>
        <w:t xml:space="preserve"> </w:t>
      </w:r>
      <w:r w:rsidR="009F66BA">
        <w:rPr>
          <w:szCs w:val="22"/>
        </w:rPr>
        <w:t xml:space="preserve">each </w:t>
      </w:r>
      <w:r w:rsidRPr="001645A7" w:rsidR="009F66BA">
        <w:rPr>
          <w:szCs w:val="22"/>
        </w:rPr>
        <w:t xml:space="preserve">provider </w:t>
      </w:r>
      <w:r w:rsidR="009F66BA">
        <w:rPr>
          <w:szCs w:val="22"/>
        </w:rPr>
        <w:t>to</w:t>
      </w:r>
      <w:r w:rsidRPr="001645A7" w:rsidR="009F66BA">
        <w:rPr>
          <w:szCs w:val="22"/>
        </w:rPr>
        <w:t xml:space="preserve"> identify</w:t>
      </w:r>
      <w:r w:rsidRPr="001645A7" w:rsidR="00F9672C">
        <w:rPr>
          <w:szCs w:val="22"/>
        </w:rPr>
        <w:t xml:space="preserve"> </w:t>
      </w:r>
      <w:r w:rsidR="00FA5BBB">
        <w:rPr>
          <w:szCs w:val="22"/>
        </w:rPr>
        <w:t xml:space="preserve">in its filing </w:t>
      </w:r>
      <w:r w:rsidRPr="001645A7" w:rsidR="00F9672C">
        <w:rPr>
          <w:szCs w:val="22"/>
        </w:rPr>
        <w:t xml:space="preserve">at least one device that is either: </w:t>
      </w:r>
      <w:r w:rsidR="00BA5947">
        <w:rPr>
          <w:szCs w:val="22"/>
        </w:rPr>
        <w:t xml:space="preserve"> </w:t>
      </w:r>
      <w:r w:rsidRPr="001645A7" w:rsidR="00F9672C">
        <w:rPr>
          <w:szCs w:val="22"/>
        </w:rPr>
        <w:t>(a) officially supported by the latest versions o</w:t>
      </w:r>
      <w:r w:rsidRPr="005E7EDB" w:rsidR="00F9672C">
        <w:rPr>
          <w:szCs w:val="22"/>
        </w:rPr>
        <w:t xml:space="preserve">f industry-standard drive test software, such as JDSU, ZK-SAM, Rohde &amp; Schwartz, </w:t>
      </w:r>
      <w:r w:rsidR="004E2668">
        <w:rPr>
          <w:szCs w:val="22"/>
        </w:rPr>
        <w:t xml:space="preserve">or </w:t>
      </w:r>
      <w:r w:rsidRPr="005E7EDB" w:rsidR="00F9672C">
        <w:rPr>
          <w:szCs w:val="22"/>
        </w:rPr>
        <w:t>TEMS; or (b) engineering-capable and able to be unlocked and put into diagnostic mode to interface with drive test software.</w:t>
      </w:r>
      <w:r>
        <w:rPr>
          <w:rStyle w:val="FootnoteReference"/>
          <w:sz w:val="22"/>
          <w:szCs w:val="22"/>
        </w:rPr>
        <w:footnoteReference w:id="18"/>
      </w:r>
      <w:r w:rsidRPr="001645A7" w:rsidR="00F9672C">
        <w:rPr>
          <w:szCs w:val="22"/>
        </w:rPr>
        <w:t xml:space="preserve">  </w:t>
      </w:r>
      <w:r>
        <w:rPr>
          <w:szCs w:val="22"/>
        </w:rPr>
        <w:t>Second</w:t>
      </w:r>
      <w:r w:rsidRPr="001645A7" w:rsidR="00803C14">
        <w:rPr>
          <w:szCs w:val="22"/>
        </w:rPr>
        <w:t xml:space="preserve">, </w:t>
      </w:r>
      <w:r w:rsidRPr="005E7EDB" w:rsidR="00DC5E88">
        <w:rPr>
          <w:szCs w:val="22"/>
        </w:rPr>
        <w:t xml:space="preserve">in light of </w:t>
      </w:r>
      <w:r w:rsidR="00A5385C">
        <w:rPr>
          <w:szCs w:val="22"/>
        </w:rPr>
        <w:t xml:space="preserve">the </w:t>
      </w:r>
      <w:r w:rsidR="00A5385C">
        <w:rPr>
          <w:szCs w:val="22"/>
        </w:rPr>
        <w:t xml:space="preserve">concerns raised by some commenters </w:t>
      </w:r>
      <w:r w:rsidR="00D35BAE">
        <w:rPr>
          <w:szCs w:val="22"/>
        </w:rPr>
        <w:t>that specifying only</w:t>
      </w:r>
      <w:r w:rsidR="00A5385C">
        <w:rPr>
          <w:szCs w:val="22"/>
        </w:rPr>
        <w:t xml:space="preserve"> </w:t>
      </w:r>
      <w:r w:rsidR="004E2668">
        <w:rPr>
          <w:szCs w:val="22"/>
        </w:rPr>
        <w:t xml:space="preserve">Apple </w:t>
      </w:r>
      <w:r w:rsidR="00A5385C">
        <w:rPr>
          <w:szCs w:val="22"/>
        </w:rPr>
        <w:t>iOS devices</w:t>
      </w:r>
      <w:r w:rsidR="00D35BAE">
        <w:rPr>
          <w:szCs w:val="22"/>
        </w:rPr>
        <w:t xml:space="preserve"> could limit the data challengers are able to collect</w:t>
      </w:r>
      <w:r w:rsidR="00C126FB">
        <w:rPr>
          <w:szCs w:val="22"/>
        </w:rPr>
        <w:t xml:space="preserve"> and prevent challengers from efficiently and effectively conducting drive tests</w:t>
      </w:r>
      <w:r w:rsidRPr="005E7EDB" w:rsidR="00DC5E88">
        <w:rPr>
          <w:szCs w:val="22"/>
        </w:rPr>
        <w:t xml:space="preserve">, we </w:t>
      </w:r>
      <w:r w:rsidR="0038690E">
        <w:rPr>
          <w:szCs w:val="22"/>
        </w:rPr>
        <w:t xml:space="preserve">conclude </w:t>
      </w:r>
      <w:r w:rsidRPr="005E7EDB" w:rsidR="00DC5E88">
        <w:rPr>
          <w:szCs w:val="22"/>
        </w:rPr>
        <w:t xml:space="preserve">that </w:t>
      </w:r>
      <w:r w:rsidRPr="005E7EDB" w:rsidR="008E6B3E">
        <w:rPr>
          <w:szCs w:val="22"/>
        </w:rPr>
        <w:t xml:space="preserve">at least one of the three specified </w:t>
      </w:r>
      <w:r w:rsidRPr="005E7EDB" w:rsidR="009F66BA">
        <w:rPr>
          <w:szCs w:val="22"/>
        </w:rPr>
        <w:t xml:space="preserve">devices </w:t>
      </w:r>
      <w:r w:rsidR="009F66BA">
        <w:rPr>
          <w:szCs w:val="22"/>
        </w:rPr>
        <w:t xml:space="preserve">must </w:t>
      </w:r>
      <w:r w:rsidRPr="005E7EDB" w:rsidR="009F66BA">
        <w:rPr>
          <w:szCs w:val="22"/>
        </w:rPr>
        <w:t>run</w:t>
      </w:r>
      <w:r w:rsidRPr="005E7EDB" w:rsidR="00357018">
        <w:rPr>
          <w:szCs w:val="22"/>
        </w:rPr>
        <w:t xml:space="preserve"> the</w:t>
      </w:r>
      <w:r w:rsidRPr="005E7EDB" w:rsidR="008E6B3E">
        <w:rPr>
          <w:szCs w:val="22"/>
        </w:rPr>
        <w:t xml:space="preserve"> </w:t>
      </w:r>
      <w:r w:rsidRPr="005E7EDB" w:rsidR="00803C14">
        <w:rPr>
          <w:szCs w:val="22"/>
        </w:rPr>
        <w:t xml:space="preserve">Android </w:t>
      </w:r>
      <w:r w:rsidRPr="005E7EDB" w:rsidR="00357018">
        <w:rPr>
          <w:szCs w:val="22"/>
        </w:rPr>
        <w:t>operating system</w:t>
      </w:r>
      <w:r w:rsidRPr="001645A7" w:rsidR="00803C14">
        <w:rPr>
          <w:szCs w:val="22"/>
        </w:rPr>
        <w:t>.</w:t>
      </w:r>
      <w:r>
        <w:rPr>
          <w:rStyle w:val="FootnoteReference"/>
          <w:sz w:val="22"/>
          <w:szCs w:val="22"/>
        </w:rPr>
        <w:footnoteReference w:id="19"/>
      </w:r>
      <w:r w:rsidR="002226B2">
        <w:rPr>
          <w:szCs w:val="22"/>
        </w:rPr>
        <w:t xml:space="preserve">  This device can be the same device </w:t>
      </w:r>
      <w:r w:rsidR="00B93AF1">
        <w:rPr>
          <w:szCs w:val="22"/>
        </w:rPr>
        <w:t xml:space="preserve">as the one </w:t>
      </w:r>
      <w:r w:rsidR="002226B2">
        <w:rPr>
          <w:szCs w:val="22"/>
        </w:rPr>
        <w:t xml:space="preserve">that meets the requirements </w:t>
      </w:r>
      <w:r w:rsidR="006B6C23">
        <w:rPr>
          <w:szCs w:val="22"/>
        </w:rPr>
        <w:t xml:space="preserve">in the proposal adopted </w:t>
      </w:r>
      <w:r w:rsidR="002226B2">
        <w:rPr>
          <w:szCs w:val="22"/>
        </w:rPr>
        <w:t>above</w:t>
      </w:r>
      <w:r w:rsidR="00DE1F9C">
        <w:rPr>
          <w:szCs w:val="22"/>
        </w:rPr>
        <w:t xml:space="preserve"> for compatibility with drive-test software</w:t>
      </w:r>
      <w:r w:rsidR="006B6C23">
        <w:rPr>
          <w:szCs w:val="22"/>
        </w:rPr>
        <w:t>, but it need not be.</w:t>
      </w:r>
      <w:r w:rsidRPr="001645A7" w:rsidR="00803C14">
        <w:rPr>
          <w:szCs w:val="22"/>
        </w:rPr>
        <w:t xml:space="preserve">  </w:t>
      </w:r>
      <w:r w:rsidRPr="005E7EDB" w:rsidR="00EB78D5">
        <w:rPr>
          <w:szCs w:val="22"/>
        </w:rPr>
        <w:t xml:space="preserve">Because </w:t>
      </w:r>
      <w:r w:rsidR="00B93AF1">
        <w:rPr>
          <w:szCs w:val="22"/>
        </w:rPr>
        <w:t xml:space="preserve">the </w:t>
      </w:r>
      <w:r w:rsidRPr="005E7EDB" w:rsidR="00EB78D5">
        <w:rPr>
          <w:szCs w:val="22"/>
        </w:rPr>
        <w:t xml:space="preserve">coverage data </w:t>
      </w:r>
      <w:r w:rsidR="00B93AF1">
        <w:rPr>
          <w:szCs w:val="22"/>
        </w:rPr>
        <w:t>submitted by</w:t>
      </w:r>
      <w:r w:rsidRPr="005E7EDB" w:rsidR="00EB78D5">
        <w:rPr>
          <w:szCs w:val="22"/>
        </w:rPr>
        <w:t xml:space="preserve"> affiliated </w:t>
      </w:r>
      <w:r w:rsidRPr="005E7EDB" w:rsidR="007E6DF4">
        <w:rPr>
          <w:szCs w:val="22"/>
        </w:rPr>
        <w:t>entities will be consolidated</w:t>
      </w:r>
      <w:r w:rsidR="00B93AF1">
        <w:rPr>
          <w:szCs w:val="22"/>
        </w:rPr>
        <w:t xml:space="preserve"> when made available to challengers through the USAC portal</w:t>
      </w:r>
      <w:r w:rsidRPr="005E7EDB" w:rsidR="007E6DF4">
        <w:rPr>
          <w:szCs w:val="22"/>
        </w:rPr>
        <w:t>,</w:t>
      </w:r>
      <w:r>
        <w:rPr>
          <w:rStyle w:val="FootnoteReference"/>
          <w:szCs w:val="22"/>
        </w:rPr>
        <w:footnoteReference w:id="20"/>
      </w:r>
      <w:r w:rsidRPr="005E7EDB" w:rsidR="007E6DF4">
        <w:rPr>
          <w:szCs w:val="22"/>
        </w:rPr>
        <w:t xml:space="preserve"> we will </w:t>
      </w:r>
      <w:r w:rsidRPr="003702FE" w:rsidR="007E6DF4">
        <w:rPr>
          <w:szCs w:val="22"/>
        </w:rPr>
        <w:t>consolidate</w:t>
      </w:r>
      <w:r w:rsidRPr="003702FE" w:rsidR="002B04F2">
        <w:rPr>
          <w:szCs w:val="22"/>
        </w:rPr>
        <w:t xml:space="preserve"> </w:t>
      </w:r>
      <w:r w:rsidR="00B93AF1">
        <w:rPr>
          <w:szCs w:val="22"/>
        </w:rPr>
        <w:t xml:space="preserve">the </w:t>
      </w:r>
      <w:r w:rsidRPr="003702FE" w:rsidR="002B04F2">
        <w:rPr>
          <w:szCs w:val="22"/>
        </w:rPr>
        <w:t>submitted provid</w:t>
      </w:r>
      <w:r w:rsidRPr="00362DA5" w:rsidR="002B04F2">
        <w:rPr>
          <w:szCs w:val="22"/>
        </w:rPr>
        <w:t xml:space="preserve">er </w:t>
      </w:r>
      <w:r w:rsidRPr="00362DA5" w:rsidR="00330210">
        <w:rPr>
          <w:szCs w:val="22"/>
        </w:rPr>
        <w:t>h</w:t>
      </w:r>
      <w:r w:rsidRPr="00362DA5" w:rsidR="002B04F2">
        <w:rPr>
          <w:szCs w:val="22"/>
        </w:rPr>
        <w:t>andset data for</w:t>
      </w:r>
      <w:r w:rsidRPr="00362DA5" w:rsidR="00330210">
        <w:rPr>
          <w:szCs w:val="22"/>
        </w:rPr>
        <w:t xml:space="preserve"> </w:t>
      </w:r>
      <w:r w:rsidRPr="00362DA5" w:rsidR="002B04F2">
        <w:rPr>
          <w:szCs w:val="22"/>
        </w:rPr>
        <w:t>such entities to the extent that the lists of handsets differ.</w:t>
      </w:r>
      <w:r>
        <w:rPr>
          <w:rStyle w:val="FootnoteReference"/>
          <w:sz w:val="22"/>
          <w:szCs w:val="22"/>
        </w:rPr>
        <w:footnoteReference w:id="21"/>
      </w:r>
    </w:p>
    <w:p w:rsidR="00F35990" w:rsidP="003E04C6">
      <w:pPr>
        <w:pStyle w:val="ParaNum"/>
        <w:rPr>
          <w:szCs w:val="22"/>
        </w:rPr>
      </w:pPr>
      <w:r w:rsidRPr="005E7EDB">
        <w:rPr>
          <w:szCs w:val="22"/>
        </w:rPr>
        <w:t>S</w:t>
      </w:r>
      <w:r w:rsidRPr="005E7EDB" w:rsidR="00B020A6">
        <w:rPr>
          <w:szCs w:val="22"/>
        </w:rPr>
        <w:t xml:space="preserve">ome </w:t>
      </w:r>
      <w:r w:rsidRPr="005E7EDB">
        <w:rPr>
          <w:szCs w:val="22"/>
        </w:rPr>
        <w:t>comment</w:t>
      </w:r>
      <w:r w:rsidRPr="005E7EDB" w:rsidR="00B020A6">
        <w:rPr>
          <w:szCs w:val="22"/>
        </w:rPr>
        <w:t>er</w:t>
      </w:r>
      <w:r w:rsidRPr="005E7EDB">
        <w:rPr>
          <w:szCs w:val="22"/>
        </w:rPr>
        <w:t>s</w:t>
      </w:r>
      <w:r w:rsidRPr="005E7EDB" w:rsidR="00DC5E88">
        <w:rPr>
          <w:szCs w:val="22"/>
        </w:rPr>
        <w:t>,</w:t>
      </w:r>
      <w:r w:rsidRPr="003702FE" w:rsidR="00756AAE">
        <w:rPr>
          <w:szCs w:val="22"/>
        </w:rPr>
        <w:t xml:space="preserve"> </w:t>
      </w:r>
      <w:r w:rsidRPr="00362DA5" w:rsidR="00756AAE">
        <w:rPr>
          <w:szCs w:val="22"/>
        </w:rPr>
        <w:t>concern</w:t>
      </w:r>
      <w:r w:rsidRPr="00362DA5" w:rsidR="00DC5E88">
        <w:rPr>
          <w:szCs w:val="22"/>
        </w:rPr>
        <w:t>ed</w:t>
      </w:r>
      <w:r w:rsidRPr="00362DA5" w:rsidR="00756AAE">
        <w:rPr>
          <w:szCs w:val="22"/>
        </w:rPr>
        <w:t xml:space="preserve"> that providers will specify only the most expensive devices</w:t>
      </w:r>
      <w:r w:rsidR="006B6C23">
        <w:rPr>
          <w:szCs w:val="22"/>
        </w:rPr>
        <w:t xml:space="preserve"> and that this will unduly burden challengers</w:t>
      </w:r>
      <w:r w:rsidRPr="00362DA5" w:rsidR="00756AAE">
        <w:rPr>
          <w:szCs w:val="22"/>
        </w:rPr>
        <w:t xml:space="preserve">, </w:t>
      </w:r>
      <w:r w:rsidRPr="009E51F5" w:rsidR="00B020A6">
        <w:rPr>
          <w:szCs w:val="22"/>
        </w:rPr>
        <w:t xml:space="preserve">urge </w:t>
      </w:r>
      <w:r w:rsidRPr="009E51F5">
        <w:rPr>
          <w:szCs w:val="22"/>
        </w:rPr>
        <w:t xml:space="preserve">us to </w:t>
      </w:r>
      <w:r w:rsidRPr="009E51F5" w:rsidR="00F66D39">
        <w:rPr>
          <w:szCs w:val="22"/>
        </w:rPr>
        <w:t xml:space="preserve">limit the cost of approved handsets </w:t>
      </w:r>
      <w:r w:rsidRPr="009E51F5" w:rsidR="001D342E">
        <w:rPr>
          <w:szCs w:val="22"/>
        </w:rPr>
        <w:t>to</w:t>
      </w:r>
      <w:r w:rsidRPr="009E51F5" w:rsidR="00756AAE">
        <w:rPr>
          <w:szCs w:val="22"/>
        </w:rPr>
        <w:t xml:space="preserve"> </w:t>
      </w:r>
      <w:r w:rsidRPr="009E51F5" w:rsidR="00063DE6">
        <w:rPr>
          <w:szCs w:val="22"/>
        </w:rPr>
        <w:t>reduce barriers to participation</w:t>
      </w:r>
      <w:r>
        <w:rPr>
          <w:rStyle w:val="FootnoteReference"/>
          <w:sz w:val="22"/>
          <w:szCs w:val="22"/>
        </w:rPr>
        <w:footnoteReference w:id="22"/>
      </w:r>
      <w:r w:rsidRPr="001645A7" w:rsidR="00756AAE">
        <w:rPr>
          <w:szCs w:val="22"/>
        </w:rPr>
        <w:t xml:space="preserve"> </w:t>
      </w:r>
      <w:r w:rsidRPr="001645A7" w:rsidR="00F004D3">
        <w:rPr>
          <w:szCs w:val="22"/>
        </w:rPr>
        <w:t>and</w:t>
      </w:r>
      <w:r w:rsidRPr="005E7EDB" w:rsidR="006C0642">
        <w:rPr>
          <w:szCs w:val="22"/>
        </w:rPr>
        <w:t xml:space="preserve"> </w:t>
      </w:r>
      <w:r w:rsidR="00B52C8B">
        <w:rPr>
          <w:szCs w:val="22"/>
        </w:rPr>
        <w:t xml:space="preserve">to </w:t>
      </w:r>
      <w:r w:rsidRPr="005E7EDB" w:rsidR="006C0642">
        <w:rPr>
          <w:szCs w:val="22"/>
        </w:rPr>
        <w:t xml:space="preserve">ensure </w:t>
      </w:r>
      <w:r w:rsidRPr="005E7EDB" w:rsidR="000712B5">
        <w:rPr>
          <w:szCs w:val="22"/>
        </w:rPr>
        <w:t>that the challenge process</w:t>
      </w:r>
      <w:r w:rsidRPr="005E7EDB" w:rsidR="006C0642">
        <w:rPr>
          <w:szCs w:val="22"/>
        </w:rPr>
        <w:t xml:space="preserve"> </w:t>
      </w:r>
      <w:r w:rsidRPr="005E7EDB" w:rsidR="000712B5">
        <w:rPr>
          <w:szCs w:val="22"/>
        </w:rPr>
        <w:t>accounts for</w:t>
      </w:r>
      <w:r w:rsidRPr="005E7EDB" w:rsidR="006C0642">
        <w:rPr>
          <w:szCs w:val="22"/>
        </w:rPr>
        <w:t xml:space="preserve"> the diversity of consumer handset choices</w:t>
      </w:r>
      <w:r w:rsidRPr="00362DA5">
        <w:rPr>
          <w:szCs w:val="22"/>
        </w:rPr>
        <w:t>.</w:t>
      </w:r>
      <w:r>
        <w:rPr>
          <w:rStyle w:val="FootnoteReference"/>
          <w:sz w:val="22"/>
          <w:szCs w:val="22"/>
        </w:rPr>
        <w:footnoteReference w:id="23"/>
      </w:r>
      <w:r w:rsidRPr="001645A7" w:rsidR="001D342E">
        <w:rPr>
          <w:szCs w:val="22"/>
        </w:rPr>
        <w:t xml:space="preserve">  </w:t>
      </w:r>
      <w:r w:rsidR="00B558FB">
        <w:rPr>
          <w:szCs w:val="22"/>
        </w:rPr>
        <w:t>We have determined, however, that h</w:t>
      </w:r>
      <w:r w:rsidR="006B6C23">
        <w:rPr>
          <w:szCs w:val="22"/>
        </w:rPr>
        <w:t xml:space="preserve">andset acquisition costs are </w:t>
      </w:r>
      <w:r w:rsidR="00B558FB">
        <w:rPr>
          <w:szCs w:val="22"/>
        </w:rPr>
        <w:t xml:space="preserve">likely </w:t>
      </w:r>
      <w:r w:rsidR="006B6C23">
        <w:rPr>
          <w:szCs w:val="22"/>
        </w:rPr>
        <w:t xml:space="preserve">to be relatively </w:t>
      </w:r>
      <w:r w:rsidR="008B30C5">
        <w:rPr>
          <w:szCs w:val="22"/>
        </w:rPr>
        <w:t>small</w:t>
      </w:r>
      <w:r w:rsidR="006B6C23">
        <w:rPr>
          <w:szCs w:val="22"/>
        </w:rPr>
        <w:t xml:space="preserve"> when compared to the total cost of testing and submitting challenges.  </w:t>
      </w:r>
      <w:r w:rsidR="00B558FB">
        <w:rPr>
          <w:szCs w:val="22"/>
        </w:rPr>
        <w:t>In addition, t</w:t>
      </w:r>
      <w:r w:rsidR="006B6C23">
        <w:rPr>
          <w:szCs w:val="22"/>
        </w:rPr>
        <w:t>he record lacks evidence that handset acquisition costs will reduce challenger participation.  Accordingly, w</w:t>
      </w:r>
      <w:r w:rsidRPr="005E7EDB" w:rsidR="000D309C">
        <w:rPr>
          <w:szCs w:val="22"/>
        </w:rPr>
        <w:t>e are not convinced</w:t>
      </w:r>
      <w:r w:rsidRPr="005E7EDB" w:rsidR="002B47F1">
        <w:rPr>
          <w:szCs w:val="22"/>
        </w:rPr>
        <w:t xml:space="preserve"> </w:t>
      </w:r>
      <w:r w:rsidRPr="005E7EDB" w:rsidR="000D309C">
        <w:rPr>
          <w:szCs w:val="22"/>
        </w:rPr>
        <w:t xml:space="preserve">that </w:t>
      </w:r>
      <w:r w:rsidRPr="003702FE" w:rsidR="00F96545">
        <w:rPr>
          <w:szCs w:val="22"/>
        </w:rPr>
        <w:t xml:space="preserve">handset cost </w:t>
      </w:r>
      <w:r w:rsidRPr="003702FE" w:rsidR="008541AA">
        <w:rPr>
          <w:szCs w:val="22"/>
        </w:rPr>
        <w:t xml:space="preserve">will </w:t>
      </w:r>
      <w:r w:rsidRPr="00362DA5" w:rsidR="00F96545">
        <w:rPr>
          <w:szCs w:val="22"/>
        </w:rPr>
        <w:t>materially affect a c</w:t>
      </w:r>
      <w:r w:rsidR="00F703B7">
        <w:rPr>
          <w:szCs w:val="22"/>
        </w:rPr>
        <w:t>hallenger’s</w:t>
      </w:r>
      <w:r w:rsidRPr="00362DA5" w:rsidR="00F96545">
        <w:rPr>
          <w:szCs w:val="22"/>
        </w:rPr>
        <w:t xml:space="preserve"> </w:t>
      </w:r>
      <w:r w:rsidRPr="00362DA5" w:rsidR="000712B5">
        <w:rPr>
          <w:szCs w:val="22"/>
        </w:rPr>
        <w:t xml:space="preserve">willingness or </w:t>
      </w:r>
      <w:r w:rsidRPr="00362DA5" w:rsidR="00F96545">
        <w:rPr>
          <w:szCs w:val="22"/>
        </w:rPr>
        <w:t xml:space="preserve">ability to raise </w:t>
      </w:r>
      <w:r w:rsidRPr="00362DA5" w:rsidR="00C758D4">
        <w:rPr>
          <w:szCs w:val="22"/>
        </w:rPr>
        <w:t>a</w:t>
      </w:r>
      <w:r w:rsidRPr="00362DA5" w:rsidR="000712B5">
        <w:rPr>
          <w:szCs w:val="22"/>
        </w:rPr>
        <w:t xml:space="preserve"> challenge</w:t>
      </w:r>
      <w:r w:rsidR="00B52C8B">
        <w:rPr>
          <w:szCs w:val="22"/>
        </w:rPr>
        <w:t xml:space="preserve">.  </w:t>
      </w:r>
      <w:r>
        <w:rPr>
          <w:szCs w:val="22"/>
        </w:rPr>
        <w:t>Further, w</w:t>
      </w:r>
      <w:r w:rsidR="00B52C8B">
        <w:rPr>
          <w:szCs w:val="22"/>
        </w:rPr>
        <w:t>e seek to ensure that the speed test</w:t>
      </w:r>
      <w:r w:rsidRPr="005E7EDB" w:rsidR="008A363E">
        <w:rPr>
          <w:szCs w:val="22"/>
        </w:rPr>
        <w:t xml:space="preserve"> data </w:t>
      </w:r>
      <w:r w:rsidR="00F86653">
        <w:rPr>
          <w:szCs w:val="22"/>
        </w:rPr>
        <w:t>is</w:t>
      </w:r>
      <w:r w:rsidR="001C4C5F">
        <w:rPr>
          <w:szCs w:val="22"/>
        </w:rPr>
        <w:t xml:space="preserve"> </w:t>
      </w:r>
      <w:r w:rsidR="00B52C8B">
        <w:rPr>
          <w:szCs w:val="22"/>
        </w:rPr>
        <w:t xml:space="preserve">collected </w:t>
      </w:r>
      <w:r w:rsidR="00F86653">
        <w:rPr>
          <w:szCs w:val="22"/>
        </w:rPr>
        <w:t xml:space="preserve">in a manner consistent with the Commission’s requirements mandating use of </w:t>
      </w:r>
      <w:r w:rsidR="001C4C5F">
        <w:rPr>
          <w:szCs w:val="22"/>
        </w:rPr>
        <w:t xml:space="preserve">the latest devices and </w:t>
      </w:r>
      <w:r w:rsidRPr="005E7EDB" w:rsidR="00C758D4">
        <w:rPr>
          <w:szCs w:val="22"/>
        </w:rPr>
        <w:t>accurately reflect</w:t>
      </w:r>
      <w:r w:rsidR="00745DDF">
        <w:rPr>
          <w:szCs w:val="22"/>
        </w:rPr>
        <w:t>s</w:t>
      </w:r>
      <w:r w:rsidRPr="005E7EDB" w:rsidR="00C758D4">
        <w:rPr>
          <w:szCs w:val="22"/>
        </w:rPr>
        <w:t xml:space="preserve"> </w:t>
      </w:r>
      <w:r w:rsidR="00853DAD">
        <w:rPr>
          <w:szCs w:val="22"/>
        </w:rPr>
        <w:t xml:space="preserve">current </w:t>
      </w:r>
      <w:r w:rsidRPr="005E7EDB" w:rsidR="00C758D4">
        <w:rPr>
          <w:szCs w:val="22"/>
        </w:rPr>
        <w:t>consumer experience</w:t>
      </w:r>
      <w:r w:rsidR="00E86E2E">
        <w:rPr>
          <w:szCs w:val="22"/>
        </w:rPr>
        <w:t>.</w:t>
      </w:r>
      <w:r>
        <w:rPr>
          <w:rStyle w:val="FootnoteReference"/>
          <w:szCs w:val="22"/>
        </w:rPr>
        <w:footnoteReference w:id="24"/>
      </w:r>
      <w:r w:rsidR="00E86E2E">
        <w:rPr>
          <w:szCs w:val="22"/>
        </w:rPr>
        <w:t xml:space="preserve">  </w:t>
      </w:r>
      <w:r w:rsidR="00E6279B">
        <w:rPr>
          <w:szCs w:val="22"/>
        </w:rPr>
        <w:t>Limiting the cost of a</w:t>
      </w:r>
      <w:r w:rsidR="00E86E2E">
        <w:rPr>
          <w:szCs w:val="22"/>
        </w:rPr>
        <w:t xml:space="preserve"> </w:t>
      </w:r>
      <w:r w:rsidR="006B6C23">
        <w:rPr>
          <w:szCs w:val="22"/>
        </w:rPr>
        <w:t xml:space="preserve">handset </w:t>
      </w:r>
      <w:r w:rsidR="00853DAD">
        <w:rPr>
          <w:szCs w:val="22"/>
        </w:rPr>
        <w:t xml:space="preserve">could </w:t>
      </w:r>
      <w:r w:rsidR="006B6C23">
        <w:rPr>
          <w:szCs w:val="22"/>
        </w:rPr>
        <w:t xml:space="preserve">preclude use of some of the most recent handset models </w:t>
      </w:r>
      <w:r w:rsidR="00853DAD">
        <w:rPr>
          <w:szCs w:val="22"/>
        </w:rPr>
        <w:t>that support the most recent spectrum deployments and technologies.</w:t>
      </w:r>
      <w:r>
        <w:rPr>
          <w:rStyle w:val="FootnoteReference"/>
          <w:szCs w:val="22"/>
        </w:rPr>
        <w:footnoteReference w:id="25"/>
      </w:r>
      <w:r w:rsidR="006B6C23">
        <w:rPr>
          <w:szCs w:val="22"/>
        </w:rPr>
        <w:t xml:space="preserve"> </w:t>
      </w:r>
      <w:r w:rsidR="00853DAD">
        <w:rPr>
          <w:szCs w:val="22"/>
        </w:rPr>
        <w:t xml:space="preserve"> </w:t>
      </w:r>
      <w:r w:rsidR="006B6C23">
        <w:rPr>
          <w:szCs w:val="22"/>
        </w:rPr>
        <w:t>Such a limitation</w:t>
      </w:r>
      <w:r w:rsidR="00853DAD">
        <w:rPr>
          <w:szCs w:val="22"/>
        </w:rPr>
        <w:t xml:space="preserve">, therefore, </w:t>
      </w:r>
      <w:r w:rsidR="006B6C23">
        <w:rPr>
          <w:szCs w:val="22"/>
        </w:rPr>
        <w:t xml:space="preserve">could reduce </w:t>
      </w:r>
      <w:r w:rsidRPr="003702FE" w:rsidR="00E86E2E">
        <w:rPr>
          <w:szCs w:val="22"/>
        </w:rPr>
        <w:t xml:space="preserve">the accuracy </w:t>
      </w:r>
      <w:r w:rsidRPr="00362DA5" w:rsidR="00E86E2E">
        <w:rPr>
          <w:szCs w:val="22"/>
        </w:rPr>
        <w:t>of data</w:t>
      </w:r>
      <w:r w:rsidR="006B6C23">
        <w:rPr>
          <w:szCs w:val="22"/>
        </w:rPr>
        <w:t xml:space="preserve"> collected</w:t>
      </w:r>
      <w:r w:rsidR="00853DAD">
        <w:rPr>
          <w:szCs w:val="22"/>
        </w:rPr>
        <w:t xml:space="preserve"> and</w:t>
      </w:r>
      <w:r w:rsidRPr="00362DA5" w:rsidR="00E86E2E">
        <w:rPr>
          <w:szCs w:val="22"/>
        </w:rPr>
        <w:t xml:space="preserve"> </w:t>
      </w:r>
      <w:r w:rsidRPr="005E7EDB" w:rsidR="00E86E2E">
        <w:rPr>
          <w:szCs w:val="22"/>
        </w:rPr>
        <w:t xml:space="preserve">increase the burden on </w:t>
      </w:r>
      <w:r w:rsidR="00E86E2E">
        <w:rPr>
          <w:szCs w:val="22"/>
        </w:rPr>
        <w:t>challengers</w:t>
      </w:r>
      <w:r w:rsidRPr="005E7EDB" w:rsidR="00E86E2E">
        <w:rPr>
          <w:szCs w:val="22"/>
        </w:rPr>
        <w:t xml:space="preserve"> </w:t>
      </w:r>
      <w:r w:rsidRPr="00362DA5" w:rsidR="00E86E2E">
        <w:rPr>
          <w:szCs w:val="22"/>
        </w:rPr>
        <w:t xml:space="preserve">by limiting the number of handsets </w:t>
      </w:r>
      <w:r w:rsidR="0016533F">
        <w:rPr>
          <w:szCs w:val="22"/>
        </w:rPr>
        <w:t>compatible with</w:t>
      </w:r>
      <w:r w:rsidRPr="00362DA5" w:rsidR="00E86E2E">
        <w:rPr>
          <w:szCs w:val="22"/>
        </w:rPr>
        <w:t xml:space="preserve"> the latest versions of drive test software</w:t>
      </w:r>
      <w:r w:rsidR="003136C4">
        <w:rPr>
          <w:szCs w:val="22"/>
        </w:rPr>
        <w:t xml:space="preserve"> and mobile network technologies</w:t>
      </w:r>
      <w:r w:rsidRPr="00362DA5" w:rsidR="00E86E2E">
        <w:rPr>
          <w:szCs w:val="22"/>
        </w:rPr>
        <w:t>.</w:t>
      </w:r>
      <w:r>
        <w:rPr>
          <w:rStyle w:val="FootnoteReference"/>
          <w:sz w:val="22"/>
          <w:szCs w:val="22"/>
        </w:rPr>
        <w:footnoteReference w:id="26"/>
      </w:r>
      <w:r w:rsidRPr="001645A7" w:rsidR="00E86E2E">
        <w:rPr>
          <w:szCs w:val="22"/>
        </w:rPr>
        <w:t xml:space="preserve">  </w:t>
      </w:r>
      <w:r w:rsidR="003136C4">
        <w:rPr>
          <w:szCs w:val="22"/>
        </w:rPr>
        <w:t xml:space="preserve">Therefore, we will not impose </w:t>
      </w:r>
      <w:r w:rsidR="00853DAD">
        <w:rPr>
          <w:szCs w:val="22"/>
        </w:rPr>
        <w:t xml:space="preserve">a </w:t>
      </w:r>
      <w:r w:rsidR="003136C4">
        <w:rPr>
          <w:szCs w:val="22"/>
        </w:rPr>
        <w:t xml:space="preserve">requirement related to the cost of a handset.  </w:t>
      </w:r>
      <w:r w:rsidR="0056655D">
        <w:rPr>
          <w:szCs w:val="22"/>
        </w:rPr>
        <w:t xml:space="preserve">Overall, our </w:t>
      </w:r>
      <w:r w:rsidR="003136C4">
        <w:rPr>
          <w:szCs w:val="22"/>
        </w:rPr>
        <w:t>approach s</w:t>
      </w:r>
      <w:r w:rsidRPr="00362DA5" w:rsidR="0016533F">
        <w:rPr>
          <w:szCs w:val="22"/>
        </w:rPr>
        <w:t>trike</w:t>
      </w:r>
      <w:r w:rsidR="003136C4">
        <w:rPr>
          <w:szCs w:val="22"/>
        </w:rPr>
        <w:t>s</w:t>
      </w:r>
      <w:r w:rsidRPr="00362DA5" w:rsidR="0016533F">
        <w:rPr>
          <w:szCs w:val="22"/>
        </w:rPr>
        <w:t xml:space="preserve"> </w:t>
      </w:r>
      <w:r w:rsidR="0016533F">
        <w:rPr>
          <w:szCs w:val="22"/>
        </w:rPr>
        <w:t>an</w:t>
      </w:r>
      <w:r w:rsidRPr="00362DA5" w:rsidR="0016533F">
        <w:rPr>
          <w:szCs w:val="22"/>
        </w:rPr>
        <w:t xml:space="preserve"> appropriate balance between providing challengers with sufficient flexibility to choose a device that fits their needs and budgets,</w:t>
      </w:r>
      <w:r>
        <w:rPr>
          <w:rStyle w:val="FootnoteReference"/>
          <w:sz w:val="22"/>
          <w:szCs w:val="22"/>
        </w:rPr>
        <w:footnoteReference w:id="27"/>
      </w:r>
      <w:r w:rsidRPr="001645A7" w:rsidR="0016533F">
        <w:rPr>
          <w:szCs w:val="22"/>
        </w:rPr>
        <w:t xml:space="preserve"> and </w:t>
      </w:r>
      <w:r w:rsidRPr="005E7EDB" w:rsidR="0016533F">
        <w:rPr>
          <w:szCs w:val="22"/>
        </w:rPr>
        <w:t xml:space="preserve">ensuring that providers’ coverage can be tested efficiently and </w:t>
      </w:r>
      <w:r w:rsidR="00853DAD">
        <w:rPr>
          <w:szCs w:val="22"/>
        </w:rPr>
        <w:t>accurately</w:t>
      </w:r>
      <w:r w:rsidRPr="005E7EDB" w:rsidR="000712B5">
        <w:rPr>
          <w:szCs w:val="22"/>
        </w:rPr>
        <w:t>.</w:t>
      </w:r>
      <w:r>
        <w:rPr>
          <w:rStyle w:val="FootnoteReference"/>
          <w:szCs w:val="22"/>
        </w:rPr>
        <w:footnoteReference w:id="28"/>
      </w:r>
      <w:r w:rsidR="0025696E">
        <w:rPr>
          <w:szCs w:val="22"/>
        </w:rPr>
        <w:t xml:space="preserve"> </w:t>
      </w:r>
    </w:p>
    <w:p w:rsidR="00D13A4E" w:rsidRPr="002C6840" w:rsidP="001D741B">
      <w:pPr>
        <w:pStyle w:val="Heading1"/>
        <w:keepNext w:val="0"/>
        <w:tabs>
          <w:tab w:val="num" w:pos="720"/>
        </w:tabs>
        <w:rPr>
          <w:szCs w:val="22"/>
        </w:rPr>
      </w:pPr>
      <w:bookmarkStart w:id="2" w:name="_Toc498615448"/>
      <w:bookmarkStart w:id="3" w:name="_Toc498710034"/>
      <w:r w:rsidRPr="002C6840">
        <w:rPr>
          <w:szCs w:val="22"/>
        </w:rPr>
        <w:t>Accessing the USAC portal</w:t>
      </w:r>
    </w:p>
    <w:p w:rsidR="00C806DC" w:rsidRPr="002C6840" w:rsidP="002C6840">
      <w:pPr>
        <w:pStyle w:val="ParaNum"/>
        <w:rPr>
          <w:szCs w:val="22"/>
        </w:rPr>
      </w:pPr>
      <w:r w:rsidRPr="002C6840">
        <w:rPr>
          <w:szCs w:val="22"/>
        </w:rPr>
        <w:t xml:space="preserve">Participants in the MF-II challenge process must use the USAC portal to file a challenge and/or respond to a challenge, as well as </w:t>
      </w:r>
      <w:r w:rsidR="00AD23AD">
        <w:rPr>
          <w:szCs w:val="22"/>
        </w:rPr>
        <w:t xml:space="preserve">to </w:t>
      </w:r>
      <w:r w:rsidRPr="002C6840">
        <w:rPr>
          <w:szCs w:val="22"/>
        </w:rPr>
        <w:t>access certain information that is pertinent to a challenge.</w:t>
      </w:r>
      <w:r>
        <w:rPr>
          <w:rStyle w:val="FootnoteReference"/>
          <w:sz w:val="22"/>
          <w:szCs w:val="22"/>
        </w:rPr>
        <w:footnoteReference w:id="29"/>
      </w:r>
      <w:r w:rsidR="00D557AE">
        <w:rPr>
          <w:szCs w:val="22"/>
        </w:rPr>
        <w:t xml:space="preserve">  </w:t>
      </w:r>
      <w:r w:rsidR="0062435C">
        <w:rPr>
          <w:szCs w:val="22"/>
        </w:rPr>
        <w:t>The Commission directed the Bureaus to detail the process by which an interested party may request a USAC account</w:t>
      </w:r>
      <w:r w:rsidR="00592916">
        <w:rPr>
          <w:szCs w:val="22"/>
        </w:rPr>
        <w:t xml:space="preserve"> to access the portal</w:t>
      </w:r>
      <w:r w:rsidR="0062435C">
        <w:rPr>
          <w:szCs w:val="22"/>
        </w:rPr>
        <w:t>.</w:t>
      </w:r>
      <w:r>
        <w:rPr>
          <w:rStyle w:val="FootnoteReference"/>
          <w:szCs w:val="22"/>
        </w:rPr>
        <w:footnoteReference w:id="30"/>
      </w:r>
      <w:r w:rsidR="009606DF">
        <w:rPr>
          <w:szCs w:val="22"/>
        </w:rPr>
        <w:t xml:space="preserve">  Accordingly, t</w:t>
      </w:r>
      <w:r w:rsidR="0062435C">
        <w:rPr>
          <w:szCs w:val="22"/>
        </w:rPr>
        <w:t xml:space="preserve">he </w:t>
      </w:r>
      <w:r w:rsidR="00592916">
        <w:rPr>
          <w:szCs w:val="22"/>
        </w:rPr>
        <w:t>Bureaus</w:t>
      </w:r>
      <w:r w:rsidR="00D557AE">
        <w:rPr>
          <w:szCs w:val="22"/>
        </w:rPr>
        <w:t xml:space="preserve"> </w:t>
      </w:r>
      <w:r w:rsidR="009606DF">
        <w:rPr>
          <w:szCs w:val="22"/>
        </w:rPr>
        <w:t xml:space="preserve">sought comment on their </w:t>
      </w:r>
      <w:r w:rsidR="009F2742">
        <w:rPr>
          <w:szCs w:val="22"/>
        </w:rPr>
        <w:t>propos</w:t>
      </w:r>
      <w:r w:rsidR="009606DF">
        <w:rPr>
          <w:szCs w:val="22"/>
        </w:rPr>
        <w:t>al</w:t>
      </w:r>
      <w:r w:rsidR="009F2742">
        <w:t xml:space="preserve"> to automatically create user accounts for all mobile service providers using contact information submitted in the June 30, 2017 Form 477 filing</w:t>
      </w:r>
      <w:r w:rsidR="009606DF">
        <w:t xml:space="preserve">, </w:t>
      </w:r>
      <w:r w:rsidR="003D2814">
        <w:t>and to require</w:t>
      </w:r>
      <w:r w:rsidR="009606DF">
        <w:t xml:space="preserve"> any service provider that wished to use a different contact to email the required contact information to the Commission</w:t>
      </w:r>
      <w:r w:rsidR="009F2742">
        <w:t>.</w:t>
      </w:r>
      <w:r>
        <w:rPr>
          <w:rStyle w:val="FootnoteReference"/>
        </w:rPr>
        <w:footnoteReference w:id="31"/>
      </w:r>
      <w:r w:rsidR="009606DF">
        <w:t xml:space="preserve">  The Bureaus further proposed to require any entity seeking to participate by waiver to provide the required contact information as part of its </w:t>
      </w:r>
      <w:r w:rsidR="001A7D5C">
        <w:t xml:space="preserve">petition for </w:t>
      </w:r>
      <w:r w:rsidR="009606DF">
        <w:t>waiver.</w:t>
      </w:r>
      <w:r>
        <w:rPr>
          <w:rStyle w:val="FootnoteReference"/>
        </w:rPr>
        <w:footnoteReference w:id="32"/>
      </w:r>
      <w:r w:rsidR="009606DF">
        <w:t xml:space="preserve">  </w:t>
      </w:r>
    </w:p>
    <w:p w:rsidR="008B5E5C" w:rsidP="008B5E5C">
      <w:pPr>
        <w:pStyle w:val="ParaNum"/>
        <w:rPr>
          <w:szCs w:val="22"/>
        </w:rPr>
      </w:pPr>
      <w:r w:rsidRPr="002C6840">
        <w:rPr>
          <w:szCs w:val="22"/>
        </w:rPr>
        <w:t xml:space="preserve">We adopt </w:t>
      </w:r>
      <w:r>
        <w:rPr>
          <w:szCs w:val="22"/>
        </w:rPr>
        <w:t xml:space="preserve">a modified version of </w:t>
      </w:r>
      <w:r w:rsidRPr="002C6840">
        <w:rPr>
          <w:szCs w:val="22"/>
        </w:rPr>
        <w:t>the process</w:t>
      </w:r>
      <w:r>
        <w:rPr>
          <w:szCs w:val="22"/>
        </w:rPr>
        <w:t xml:space="preserve"> proposed in the</w:t>
      </w:r>
      <w:r w:rsidRPr="002C6840">
        <w:rPr>
          <w:szCs w:val="22"/>
        </w:rPr>
        <w:t xml:space="preserve"> </w:t>
      </w:r>
      <w:r w:rsidRPr="00AD23AD">
        <w:rPr>
          <w:i/>
          <w:szCs w:val="22"/>
        </w:rPr>
        <w:t xml:space="preserve">MF-II Challenge </w:t>
      </w:r>
      <w:r>
        <w:rPr>
          <w:i/>
          <w:szCs w:val="22"/>
        </w:rPr>
        <w:t xml:space="preserve">Process </w:t>
      </w:r>
      <w:r w:rsidRPr="00AD23AD">
        <w:rPr>
          <w:i/>
          <w:szCs w:val="22"/>
        </w:rPr>
        <w:t>Comment Public Notice</w:t>
      </w:r>
      <w:r w:rsidRPr="00AD23AD">
        <w:rPr>
          <w:szCs w:val="22"/>
        </w:rPr>
        <w:t xml:space="preserve"> </w:t>
      </w:r>
      <w:r>
        <w:rPr>
          <w:szCs w:val="22"/>
        </w:rPr>
        <w:t>for</w:t>
      </w:r>
      <w:r w:rsidRPr="002C6840">
        <w:rPr>
          <w:szCs w:val="22"/>
        </w:rPr>
        <w:t xml:space="preserve"> interested parties and challenged providers </w:t>
      </w:r>
      <w:r>
        <w:rPr>
          <w:szCs w:val="22"/>
        </w:rPr>
        <w:t>to</w:t>
      </w:r>
      <w:r w:rsidRPr="002C6840">
        <w:rPr>
          <w:szCs w:val="22"/>
        </w:rPr>
        <w:t xml:space="preserve"> </w:t>
      </w:r>
      <w:r>
        <w:rPr>
          <w:szCs w:val="22"/>
        </w:rPr>
        <w:t xml:space="preserve">request </w:t>
      </w:r>
      <w:r w:rsidRPr="002C6840">
        <w:rPr>
          <w:szCs w:val="22"/>
        </w:rPr>
        <w:t>access</w:t>
      </w:r>
      <w:r>
        <w:rPr>
          <w:szCs w:val="22"/>
        </w:rPr>
        <w:t xml:space="preserve"> to</w:t>
      </w:r>
      <w:r w:rsidRPr="002C6840">
        <w:rPr>
          <w:szCs w:val="22"/>
        </w:rPr>
        <w:t xml:space="preserve"> the USAC portal.</w:t>
      </w:r>
      <w:r>
        <w:rPr>
          <w:rStyle w:val="FootnoteReference"/>
          <w:sz w:val="22"/>
          <w:szCs w:val="22"/>
        </w:rPr>
        <w:footnoteReference w:id="33"/>
      </w:r>
      <w:r w:rsidRPr="002C6840">
        <w:rPr>
          <w:szCs w:val="22"/>
        </w:rPr>
        <w:t xml:space="preserve">  </w:t>
      </w:r>
      <w:r>
        <w:rPr>
          <w:szCs w:val="22"/>
        </w:rPr>
        <w:t xml:space="preserve">In order to ensure that the correct contacts are provided access to the USAC portal, rather than creating certain user accounts automatically, </w:t>
      </w:r>
      <w:r w:rsidR="009F66BA">
        <w:rPr>
          <w:szCs w:val="22"/>
        </w:rPr>
        <w:t xml:space="preserve">we will require any eligible service provider wishing to participate in the challenge process </w:t>
      </w:r>
      <w:r w:rsidR="003D2814">
        <w:rPr>
          <w:szCs w:val="22"/>
        </w:rPr>
        <w:t>to</w:t>
      </w:r>
      <w:r w:rsidR="009F66BA">
        <w:rPr>
          <w:szCs w:val="22"/>
        </w:rPr>
        <w:t xml:space="preserve"> provide</w:t>
      </w:r>
      <w:r>
        <w:rPr>
          <w:szCs w:val="22"/>
        </w:rPr>
        <w:t xml:space="preserve"> to the Commission</w:t>
      </w:r>
      <w:r w:rsidR="00592916">
        <w:rPr>
          <w:szCs w:val="22"/>
        </w:rPr>
        <w:t>, via web-based form,</w:t>
      </w:r>
      <w:r>
        <w:rPr>
          <w:szCs w:val="22"/>
        </w:rPr>
        <w:t xml:space="preserve"> the legal name of the entity, its FCC Registration Number (FRN), and the name</w:t>
      </w:r>
      <w:r w:rsidR="001A7D5C">
        <w:rPr>
          <w:szCs w:val="22"/>
        </w:rPr>
        <w:t>(s)</w:t>
      </w:r>
      <w:r>
        <w:rPr>
          <w:szCs w:val="22"/>
        </w:rPr>
        <w:t xml:space="preserve"> and email address</w:t>
      </w:r>
      <w:r w:rsidR="001A7D5C">
        <w:rPr>
          <w:szCs w:val="22"/>
        </w:rPr>
        <w:t>(es)</w:t>
      </w:r>
      <w:r>
        <w:rPr>
          <w:szCs w:val="22"/>
        </w:rPr>
        <w:t xml:space="preserve"> of the user(s) </w:t>
      </w:r>
      <w:r w:rsidR="001A7D5C">
        <w:rPr>
          <w:szCs w:val="22"/>
        </w:rPr>
        <w:t xml:space="preserve">(up to a maximum of three users) </w:t>
      </w:r>
      <w:r>
        <w:rPr>
          <w:szCs w:val="22"/>
        </w:rPr>
        <w:t>t</w:t>
      </w:r>
      <w:r w:rsidR="001A7D5C">
        <w:rPr>
          <w:szCs w:val="22"/>
        </w:rPr>
        <w:t>hat should be</w:t>
      </w:r>
      <w:r>
        <w:rPr>
          <w:szCs w:val="22"/>
        </w:rPr>
        <w:t xml:space="preserve"> grant</w:t>
      </w:r>
      <w:r w:rsidR="001A7D5C">
        <w:rPr>
          <w:szCs w:val="22"/>
        </w:rPr>
        <w:t>ed</w:t>
      </w:r>
      <w:r>
        <w:rPr>
          <w:szCs w:val="22"/>
        </w:rPr>
        <w:t xml:space="preserve"> access to the portal.  Any government entity (i.e., a local, state, or Tribal government entity) that wishes to participate in the challenge </w:t>
      </w:r>
      <w:r w:rsidR="002E53B7">
        <w:rPr>
          <w:szCs w:val="22"/>
        </w:rPr>
        <w:t xml:space="preserve">process also must </w:t>
      </w:r>
      <w:r>
        <w:rPr>
          <w:szCs w:val="22"/>
        </w:rPr>
        <w:t>provide the legal name of the entity, its legal jurisdiction, and the name</w:t>
      </w:r>
      <w:r w:rsidR="001A7D5C">
        <w:rPr>
          <w:szCs w:val="22"/>
        </w:rPr>
        <w:t>(s)</w:t>
      </w:r>
      <w:r>
        <w:rPr>
          <w:szCs w:val="22"/>
        </w:rPr>
        <w:t xml:space="preserve"> and email address</w:t>
      </w:r>
      <w:r w:rsidR="001A7D5C">
        <w:rPr>
          <w:szCs w:val="22"/>
        </w:rPr>
        <w:t>(es)</w:t>
      </w:r>
      <w:r>
        <w:rPr>
          <w:szCs w:val="22"/>
        </w:rPr>
        <w:t xml:space="preserve"> of the user(s)</w:t>
      </w:r>
      <w:r w:rsidR="001A7D5C">
        <w:rPr>
          <w:szCs w:val="22"/>
        </w:rPr>
        <w:t xml:space="preserve"> (up to a maximum of three users)</w:t>
      </w:r>
      <w:r>
        <w:rPr>
          <w:szCs w:val="22"/>
        </w:rPr>
        <w:t xml:space="preserve"> </w:t>
      </w:r>
      <w:r w:rsidR="001A7D5C">
        <w:rPr>
          <w:szCs w:val="22"/>
        </w:rPr>
        <w:t xml:space="preserve">that should be </w:t>
      </w:r>
      <w:r>
        <w:rPr>
          <w:szCs w:val="22"/>
        </w:rPr>
        <w:t>grant</w:t>
      </w:r>
      <w:r w:rsidR="001A7D5C">
        <w:rPr>
          <w:szCs w:val="22"/>
        </w:rPr>
        <w:t>ed</w:t>
      </w:r>
      <w:r>
        <w:rPr>
          <w:szCs w:val="22"/>
        </w:rPr>
        <w:t xml:space="preserve"> access to the portal.  We will use a web-based form to collect this information instead of requiring the transmission of contact information via email.</w:t>
      </w:r>
      <w:r w:rsidRPr="002C6840">
        <w:rPr>
          <w:szCs w:val="22"/>
        </w:rPr>
        <w:t xml:space="preserve"> </w:t>
      </w:r>
      <w:r>
        <w:rPr>
          <w:szCs w:val="22"/>
        </w:rPr>
        <w:t xml:space="preserve"> This modified approach will better ensure that user accounts are processed securely and efficiently.</w:t>
      </w:r>
      <w:r>
        <w:rPr>
          <w:rStyle w:val="FootnoteReference"/>
          <w:szCs w:val="22"/>
        </w:rPr>
        <w:footnoteReference w:id="34"/>
      </w:r>
      <w:r w:rsidRPr="002C6840">
        <w:rPr>
          <w:szCs w:val="22"/>
        </w:rPr>
        <w:t xml:space="preserve"> </w:t>
      </w:r>
      <w:r w:rsidR="00592916">
        <w:rPr>
          <w:szCs w:val="22"/>
        </w:rPr>
        <w:t xml:space="preserve"> The web page address and date by which to submit this contact information will be announced in a subsequent public notice.</w:t>
      </w:r>
    </w:p>
    <w:p w:rsidR="00D13A4E" w:rsidRPr="002C6840" w:rsidP="008B5E5C">
      <w:pPr>
        <w:pStyle w:val="ParaNum"/>
        <w:rPr>
          <w:szCs w:val="22"/>
        </w:rPr>
      </w:pPr>
      <w:r>
        <w:rPr>
          <w:szCs w:val="22"/>
        </w:rPr>
        <w:t>We encourage parties that may have an interest in participating in the challenge process to provide this contact information as soon</w:t>
      </w:r>
      <w:r w:rsidR="005E1F62">
        <w:rPr>
          <w:szCs w:val="22"/>
        </w:rPr>
        <w:t xml:space="preserve"> as</w:t>
      </w:r>
      <w:r>
        <w:rPr>
          <w:szCs w:val="22"/>
        </w:rPr>
        <w:t xml:space="preserve"> the form is available, so that they will be able to access the USAC portal </w:t>
      </w:r>
      <w:r w:rsidR="00BF441D">
        <w:rPr>
          <w:szCs w:val="22"/>
        </w:rPr>
        <w:t xml:space="preserve">promptly </w:t>
      </w:r>
      <w:r>
        <w:rPr>
          <w:szCs w:val="22"/>
        </w:rPr>
        <w:t>when the challenge window opens.  Providing this contact information does not represent a commitment or obligation to participate in the challenge process.</w:t>
      </w:r>
    </w:p>
    <w:p w:rsidR="00652C88" w:rsidRPr="002C6840" w:rsidP="002C6840">
      <w:pPr>
        <w:pStyle w:val="ParaNum"/>
        <w:rPr>
          <w:szCs w:val="22"/>
        </w:rPr>
      </w:pPr>
      <w:r w:rsidRPr="002C6840">
        <w:rPr>
          <w:szCs w:val="22"/>
        </w:rPr>
        <w:t>For a party that files a waiver petition with the Commission</w:t>
      </w:r>
      <w:r w:rsidRPr="002C6840">
        <w:rPr>
          <w:szCs w:val="22"/>
        </w:rPr>
        <w:t xml:space="preserve"> </w:t>
      </w:r>
      <w:r w:rsidRPr="002C6840">
        <w:rPr>
          <w:szCs w:val="22"/>
        </w:rPr>
        <w:t>seeking to participate in the MF-II challenge process as a challenger</w:t>
      </w:r>
      <w:r w:rsidR="00973AA5">
        <w:rPr>
          <w:szCs w:val="22"/>
        </w:rPr>
        <w:t xml:space="preserve"> (because it is not a </w:t>
      </w:r>
      <w:r w:rsidRPr="002C6840" w:rsidR="00973AA5">
        <w:rPr>
          <w:szCs w:val="22"/>
        </w:rPr>
        <w:t xml:space="preserve">service provider or </w:t>
      </w:r>
      <w:r w:rsidR="00973AA5">
        <w:rPr>
          <w:szCs w:val="22"/>
        </w:rPr>
        <w:t xml:space="preserve">a </w:t>
      </w:r>
      <w:r w:rsidRPr="002C6840" w:rsidR="00973AA5">
        <w:rPr>
          <w:szCs w:val="22"/>
        </w:rPr>
        <w:t>government entit</w:t>
      </w:r>
      <w:r w:rsidR="00973AA5">
        <w:rPr>
          <w:szCs w:val="22"/>
        </w:rPr>
        <w:t>y)</w:t>
      </w:r>
      <w:r w:rsidRPr="002C6840">
        <w:rPr>
          <w:szCs w:val="22"/>
        </w:rPr>
        <w:t>,</w:t>
      </w:r>
      <w:r>
        <w:rPr>
          <w:rStyle w:val="FootnoteReference"/>
          <w:sz w:val="22"/>
          <w:szCs w:val="22"/>
        </w:rPr>
        <w:footnoteReference w:id="35"/>
      </w:r>
      <w:r w:rsidRPr="002C6840">
        <w:rPr>
          <w:szCs w:val="22"/>
        </w:rPr>
        <w:t xml:space="preserve"> we </w:t>
      </w:r>
      <w:r w:rsidR="001F2744">
        <w:rPr>
          <w:szCs w:val="22"/>
        </w:rPr>
        <w:t>proposed</w:t>
      </w:r>
      <w:r w:rsidRPr="002C6840">
        <w:rPr>
          <w:szCs w:val="22"/>
        </w:rPr>
        <w:t xml:space="preserve"> to require such a party to submit the first and last name of the user(s) that should have access to the portal on its behalf, and the email address</w:t>
      </w:r>
      <w:r w:rsidR="00B9112A">
        <w:rPr>
          <w:szCs w:val="22"/>
        </w:rPr>
        <w:t>(es)</w:t>
      </w:r>
      <w:r w:rsidRPr="002C6840">
        <w:rPr>
          <w:szCs w:val="22"/>
        </w:rPr>
        <w:t xml:space="preserve"> of the user(s), up to a maximum of three users, as part of its petition for waiver.</w:t>
      </w:r>
      <w:r>
        <w:rPr>
          <w:rStyle w:val="FootnoteReference"/>
          <w:sz w:val="22"/>
          <w:szCs w:val="22"/>
        </w:rPr>
        <w:footnoteReference w:id="36"/>
      </w:r>
      <w:r w:rsidR="001F2744">
        <w:rPr>
          <w:szCs w:val="22"/>
        </w:rPr>
        <w:t xml:space="preserve">  In the absence of any comments on this propo</w:t>
      </w:r>
      <w:r w:rsidR="00272F58">
        <w:rPr>
          <w:szCs w:val="22"/>
        </w:rPr>
        <w:t>sal</w:t>
      </w:r>
      <w:r w:rsidR="001F2744">
        <w:rPr>
          <w:szCs w:val="22"/>
        </w:rPr>
        <w:t xml:space="preserve">, we adopt </w:t>
      </w:r>
      <w:r w:rsidR="00272F58">
        <w:rPr>
          <w:szCs w:val="22"/>
        </w:rPr>
        <w:t>it without modification</w:t>
      </w:r>
      <w:r w:rsidR="001F2744">
        <w:rPr>
          <w:szCs w:val="22"/>
        </w:rPr>
        <w:t xml:space="preserve">.  We also change the email address for the submission of waiver petitions to </w:t>
      </w:r>
      <w:r w:rsidRPr="00005C2D" w:rsidR="001F2744">
        <w:rPr>
          <w:szCs w:val="22"/>
        </w:rPr>
        <w:t>mf</w:t>
      </w:r>
      <w:r w:rsidR="00400E37">
        <w:rPr>
          <w:szCs w:val="22"/>
        </w:rPr>
        <w:t>2</w:t>
      </w:r>
      <w:r w:rsidRPr="00005C2D" w:rsidR="001F2744">
        <w:rPr>
          <w:szCs w:val="22"/>
        </w:rPr>
        <w:t>challengeprocess@fcc.gov</w:t>
      </w:r>
      <w:r w:rsidR="001F2744">
        <w:rPr>
          <w:szCs w:val="22"/>
        </w:rPr>
        <w:t xml:space="preserve"> </w:t>
      </w:r>
      <w:r w:rsidR="00C23EA9">
        <w:rPr>
          <w:szCs w:val="22"/>
        </w:rPr>
        <w:t>in order to consolidate challenge process-related communications</w:t>
      </w:r>
      <w:r w:rsidR="001F2744">
        <w:rPr>
          <w:szCs w:val="22"/>
        </w:rPr>
        <w:t xml:space="preserve">. </w:t>
      </w:r>
    </w:p>
    <w:p w:rsidR="001D741B" w:rsidP="002C6840">
      <w:pPr>
        <w:pStyle w:val="Heading1"/>
        <w:keepNext w:val="0"/>
        <w:tabs>
          <w:tab w:val="num" w:pos="720"/>
        </w:tabs>
        <w:contextualSpacing/>
        <w:rPr>
          <w:szCs w:val="22"/>
        </w:rPr>
      </w:pPr>
      <w:r w:rsidRPr="002C6840">
        <w:rPr>
          <w:szCs w:val="22"/>
        </w:rPr>
        <w:t>Procedural Matters</w:t>
      </w:r>
      <w:bookmarkEnd w:id="2"/>
      <w:bookmarkEnd w:id="3"/>
    </w:p>
    <w:p w:rsidR="003414AF" w:rsidP="004474F9">
      <w:pPr>
        <w:pStyle w:val="Heading2"/>
      </w:pPr>
      <w:r>
        <w:t>Paperwork Reduction Act Analysis</w:t>
      </w:r>
    </w:p>
    <w:p w:rsidR="003414AF" w:rsidRPr="003414AF" w:rsidP="006E7CE5">
      <w:pPr>
        <w:pStyle w:val="ParaNum"/>
        <w:keepNext/>
        <w:widowControl/>
      </w:pPr>
      <w:r>
        <w:rPr>
          <w:szCs w:val="22"/>
        </w:rPr>
        <w:t>T</w:t>
      </w:r>
      <w:r w:rsidRPr="007C0863">
        <w:rPr>
          <w:szCs w:val="22"/>
        </w:rPr>
        <w:t xml:space="preserve">his Public Notice </w:t>
      </w:r>
      <w:r>
        <w:rPr>
          <w:szCs w:val="22"/>
        </w:rPr>
        <w:t xml:space="preserve">implements the </w:t>
      </w:r>
      <w:r w:rsidRPr="007C0863">
        <w:rPr>
          <w:szCs w:val="22"/>
        </w:rPr>
        <w:t>information collection requirements</w:t>
      </w:r>
      <w:r>
        <w:rPr>
          <w:szCs w:val="22"/>
        </w:rPr>
        <w:t xml:space="preserve"> </w:t>
      </w:r>
      <w:r w:rsidRPr="004F1E9A">
        <w:rPr>
          <w:szCs w:val="22"/>
        </w:rPr>
        <w:t xml:space="preserve">adopted in the </w:t>
      </w:r>
      <w:r w:rsidRPr="004F1E9A">
        <w:rPr>
          <w:i/>
          <w:szCs w:val="22"/>
        </w:rPr>
        <w:t>MF-II Challenge Process Order</w:t>
      </w:r>
      <w:r w:rsidRPr="007C0863">
        <w:rPr>
          <w:szCs w:val="22"/>
        </w:rPr>
        <w:t xml:space="preserve"> </w:t>
      </w:r>
      <w:r>
        <w:rPr>
          <w:szCs w:val="22"/>
        </w:rPr>
        <w:t xml:space="preserve">and </w:t>
      </w:r>
      <w:r w:rsidRPr="007C0863">
        <w:rPr>
          <w:szCs w:val="22"/>
        </w:rPr>
        <w:t>do</w:t>
      </w:r>
      <w:r>
        <w:rPr>
          <w:szCs w:val="22"/>
        </w:rPr>
        <w:t>es</w:t>
      </w:r>
      <w:r w:rsidRPr="007C0863">
        <w:rPr>
          <w:szCs w:val="22"/>
        </w:rPr>
        <w:t xml:space="preserve"> not contain </w:t>
      </w:r>
      <w:r>
        <w:rPr>
          <w:szCs w:val="22"/>
        </w:rPr>
        <w:t xml:space="preserve">any new or modified </w:t>
      </w:r>
      <w:r w:rsidRPr="007C0863">
        <w:rPr>
          <w:szCs w:val="22"/>
        </w:rPr>
        <w:t>information collection requirements</w:t>
      </w:r>
      <w:r>
        <w:rPr>
          <w:szCs w:val="22"/>
        </w:rPr>
        <w:t xml:space="preserve"> subject to the </w:t>
      </w:r>
      <w:r w:rsidRPr="004F1E9A">
        <w:rPr>
          <w:szCs w:val="22"/>
        </w:rPr>
        <w:t>Paperwork Reduction Act of 1995</w:t>
      </w:r>
      <w:r>
        <w:rPr>
          <w:szCs w:val="22"/>
        </w:rPr>
        <w:t xml:space="preserve"> (</w:t>
      </w:r>
      <w:r w:rsidRPr="004F1E9A">
        <w:rPr>
          <w:szCs w:val="22"/>
        </w:rPr>
        <w:t>PRA</w:t>
      </w:r>
      <w:r>
        <w:rPr>
          <w:szCs w:val="22"/>
        </w:rPr>
        <w:t>)</w:t>
      </w:r>
      <w:r w:rsidRPr="004F1E9A">
        <w:rPr>
          <w:szCs w:val="22"/>
        </w:rPr>
        <w:t>, Public Law 104-13</w:t>
      </w:r>
      <w:r w:rsidRPr="00411B93">
        <w:rPr>
          <w:szCs w:val="22"/>
        </w:rPr>
        <w:t xml:space="preserve">, </w:t>
      </w:r>
      <w:r w:rsidRPr="007D3912">
        <w:rPr>
          <w:snapToGrid/>
          <w:kern w:val="0"/>
          <w:szCs w:val="22"/>
        </w:rPr>
        <w:t>44 U.S.C. 3501-3520</w:t>
      </w:r>
      <w:r>
        <w:rPr>
          <w:szCs w:val="22"/>
        </w:rPr>
        <w:t>.  The Commission sought and received PRA approval from the Office of Management and Budget (OMB) under its emergency processing procedures</w:t>
      </w:r>
      <w:r>
        <w:rPr>
          <w:rStyle w:val="FootnoteReference"/>
          <w:szCs w:val="22"/>
        </w:rPr>
        <w:footnoteReference w:id="37"/>
      </w:r>
      <w:r>
        <w:rPr>
          <w:szCs w:val="22"/>
        </w:rPr>
        <w:t xml:space="preserve"> for the information collection requirements associated with the </w:t>
      </w:r>
      <w:r w:rsidRPr="00BB7DC9">
        <w:rPr>
          <w:szCs w:val="22"/>
        </w:rPr>
        <w:t>qualified 4G LTE coverage data collection, as</w:t>
      </w:r>
      <w:r w:rsidRPr="004F1E9A">
        <w:rPr>
          <w:szCs w:val="22"/>
        </w:rPr>
        <w:t xml:space="preserve"> adopted in the </w:t>
      </w:r>
      <w:r w:rsidRPr="004F1E9A">
        <w:rPr>
          <w:i/>
          <w:szCs w:val="22"/>
        </w:rPr>
        <w:t>MF-II Challenge Process Order</w:t>
      </w:r>
      <w:r>
        <w:rPr>
          <w:szCs w:val="22"/>
        </w:rPr>
        <w:t xml:space="preserve"> and further explained in this Public Notice</w:t>
      </w:r>
      <w:r w:rsidRPr="00BB7DC9">
        <w:rPr>
          <w:szCs w:val="22"/>
        </w:rPr>
        <w:t>.</w:t>
      </w:r>
      <w:r>
        <w:rPr>
          <w:rStyle w:val="FootnoteReference"/>
          <w:szCs w:val="22"/>
        </w:rPr>
        <w:footnoteReference w:id="38"/>
      </w:r>
      <w:r w:rsidRPr="00BB7DC9">
        <w:rPr>
          <w:szCs w:val="22"/>
        </w:rPr>
        <w:t xml:space="preserve">  </w:t>
      </w:r>
      <w:r w:rsidRPr="007C0863">
        <w:rPr>
          <w:szCs w:val="22"/>
        </w:rPr>
        <w:t xml:space="preserve">The Commission is currently seeking </w:t>
      </w:r>
      <w:r>
        <w:rPr>
          <w:szCs w:val="22"/>
        </w:rPr>
        <w:t>PRA approval</w:t>
      </w:r>
      <w:r w:rsidRPr="004F1E9A">
        <w:rPr>
          <w:szCs w:val="22"/>
        </w:rPr>
        <w:t xml:space="preserve"> for the information collection requirements related to the challenge process</w:t>
      </w:r>
      <w:r>
        <w:rPr>
          <w:szCs w:val="22"/>
        </w:rPr>
        <w:t xml:space="preserve"> itself</w:t>
      </w:r>
      <w:r w:rsidRPr="004F1E9A">
        <w:rPr>
          <w:szCs w:val="22"/>
        </w:rPr>
        <w:t xml:space="preserve">, as adopted in the </w:t>
      </w:r>
      <w:r w:rsidRPr="004F1E9A">
        <w:rPr>
          <w:i/>
          <w:szCs w:val="22"/>
        </w:rPr>
        <w:t>MF-II Challenge Process Order</w:t>
      </w:r>
      <w:r>
        <w:rPr>
          <w:i/>
          <w:szCs w:val="22"/>
        </w:rPr>
        <w:t xml:space="preserve"> </w:t>
      </w:r>
      <w:r>
        <w:t xml:space="preserve">and </w:t>
      </w:r>
      <w:r>
        <w:rPr>
          <w:szCs w:val="22"/>
        </w:rPr>
        <w:t>further explained in this Public Notice</w:t>
      </w:r>
      <w:r w:rsidRPr="004F1E9A">
        <w:rPr>
          <w:szCs w:val="22"/>
        </w:rPr>
        <w:t>.</w:t>
      </w:r>
      <w:r>
        <w:rPr>
          <w:rStyle w:val="FootnoteReference"/>
          <w:szCs w:val="22"/>
        </w:rPr>
        <w:footnoteReference w:id="39"/>
      </w:r>
      <w:r w:rsidRPr="004F1E9A">
        <w:rPr>
          <w:szCs w:val="22"/>
        </w:rPr>
        <w:t xml:space="preserve">  Because this Public Notice does not adopt any additional information collection requirements beyond those </w:t>
      </w:r>
      <w:r>
        <w:rPr>
          <w:szCs w:val="22"/>
        </w:rPr>
        <w:t>adopted</w:t>
      </w:r>
      <w:r w:rsidRPr="004F1E9A">
        <w:rPr>
          <w:szCs w:val="22"/>
        </w:rPr>
        <w:t xml:space="preserve"> in the </w:t>
      </w:r>
      <w:r w:rsidRPr="004F1E9A">
        <w:rPr>
          <w:i/>
          <w:szCs w:val="22"/>
        </w:rPr>
        <w:t>MF-II Challenge Process Order</w:t>
      </w:r>
      <w:r w:rsidRPr="004F1E9A">
        <w:rPr>
          <w:szCs w:val="22"/>
        </w:rPr>
        <w:t>, this Public Notice do</w:t>
      </w:r>
      <w:r>
        <w:rPr>
          <w:szCs w:val="22"/>
        </w:rPr>
        <w:t>es</w:t>
      </w:r>
      <w:r w:rsidRPr="004F1E9A">
        <w:rPr>
          <w:szCs w:val="22"/>
        </w:rPr>
        <w:t xml:space="preserve"> not implicate the PRA or the Small Business Paperwork Relief Act of 2002, Public Law 107-198.</w:t>
      </w:r>
      <w:r>
        <w:rPr>
          <w:rStyle w:val="FootnoteReference"/>
          <w:sz w:val="22"/>
          <w:szCs w:val="22"/>
        </w:rPr>
        <w:footnoteReference w:id="40"/>
      </w:r>
    </w:p>
    <w:p w:rsidR="007520ED" w:rsidRPr="002C6840" w:rsidP="004474F9">
      <w:pPr>
        <w:pStyle w:val="Heading2"/>
      </w:pPr>
      <w:bookmarkStart w:id="4" w:name="_Toc497375258"/>
      <w:bookmarkStart w:id="5" w:name="_Toc497376370"/>
      <w:bookmarkStart w:id="6" w:name="_Toc498615449"/>
      <w:bookmarkStart w:id="7" w:name="_Toc498710035"/>
      <w:r w:rsidRPr="002C6840">
        <w:t>Supplemental Final Regulatory Flexibility Analysis</w:t>
      </w:r>
      <w:bookmarkEnd w:id="4"/>
      <w:bookmarkEnd w:id="5"/>
      <w:bookmarkEnd w:id="6"/>
      <w:bookmarkEnd w:id="7"/>
    </w:p>
    <w:p w:rsidR="007520ED" w:rsidP="007520ED">
      <w:pPr>
        <w:pStyle w:val="ParaNum"/>
      </w:pPr>
      <w:r w:rsidRPr="002C6840">
        <w:t>As required by the Regulatory Flexibility Act of 1980</w:t>
      </w:r>
      <w:r>
        <w:t>, as amended</w:t>
      </w:r>
      <w:r w:rsidRPr="002C6840">
        <w:t xml:space="preserve"> (RFA),</w:t>
      </w:r>
      <w:r>
        <w:rPr>
          <w:rStyle w:val="FootnoteReference"/>
          <w:sz w:val="22"/>
          <w:szCs w:val="22"/>
        </w:rPr>
        <w:footnoteReference w:id="41"/>
      </w:r>
      <w:r w:rsidRPr="001645A7">
        <w:t xml:space="preserve"> the Commission prepared Initial Regulatory Flexibility Analyses (IRFAs) in connection with the </w:t>
      </w:r>
      <w:r w:rsidRPr="001645A7">
        <w:rPr>
          <w:i/>
        </w:rPr>
        <w:t>USF/</w:t>
      </w:r>
      <w:r w:rsidRPr="005E7EDB">
        <w:rPr>
          <w:i/>
        </w:rPr>
        <w:t>ICC Transformation FNPRM</w:t>
      </w:r>
      <w:r w:rsidRPr="005E7EDB">
        <w:t xml:space="preserve">, the </w:t>
      </w:r>
      <w:r w:rsidRPr="003702FE">
        <w:rPr>
          <w:i/>
        </w:rPr>
        <w:t>2014 CAF FNPRM</w:t>
      </w:r>
      <w:r w:rsidRPr="003702FE">
        <w:t xml:space="preserve">, and the </w:t>
      </w:r>
      <w:r w:rsidRPr="00362DA5">
        <w:rPr>
          <w:i/>
        </w:rPr>
        <w:t>MF-II FNPRM</w:t>
      </w:r>
      <w:r w:rsidRPr="00362DA5">
        <w:t xml:space="preserve"> (collectively, </w:t>
      </w:r>
      <w:r w:rsidRPr="00362DA5">
        <w:rPr>
          <w:i/>
        </w:rPr>
        <w:t>MF-II FNPRMs</w:t>
      </w:r>
      <w:r w:rsidRPr="00362DA5">
        <w:t>)</w:t>
      </w:r>
      <w:r>
        <w:t>.</w:t>
      </w:r>
      <w:r>
        <w:rPr>
          <w:rStyle w:val="FootnoteReference"/>
          <w:sz w:val="22"/>
          <w:szCs w:val="22"/>
        </w:rPr>
        <w:footnoteReference w:id="42"/>
      </w:r>
      <w:r w:rsidRPr="001645A7">
        <w:t xml:space="preserve"> </w:t>
      </w:r>
      <w:r>
        <w:t xml:space="preserve"> A Supplemental </w:t>
      </w:r>
      <w:r w:rsidRPr="001645A7">
        <w:t>Initial Re</w:t>
      </w:r>
      <w:r>
        <w:t>gulatory Flexibility Analysi</w:t>
      </w:r>
      <w:r w:rsidRPr="001645A7">
        <w:t>s</w:t>
      </w:r>
      <w:r>
        <w:t xml:space="preserve"> (</w:t>
      </w:r>
      <w:r w:rsidR="00592916">
        <w:t>S</w:t>
      </w:r>
      <w:r w:rsidRPr="00434947">
        <w:t>IRFA</w:t>
      </w:r>
      <w:r>
        <w:t xml:space="preserve">) was also filed in the </w:t>
      </w:r>
      <w:r w:rsidRPr="008F36CE">
        <w:rPr>
          <w:i/>
        </w:rPr>
        <w:t>MF-II Challenge Process</w:t>
      </w:r>
      <w:r>
        <w:t xml:space="preserve"> </w:t>
      </w:r>
      <w:r w:rsidRPr="008F36CE">
        <w:rPr>
          <w:i/>
        </w:rPr>
        <w:t>Comment</w:t>
      </w:r>
      <w:r>
        <w:t xml:space="preserve"> </w:t>
      </w:r>
      <w:r w:rsidRPr="008F36CE">
        <w:rPr>
          <w:i/>
        </w:rPr>
        <w:t>Public Notice</w:t>
      </w:r>
      <w:r>
        <w:t xml:space="preserve"> in this proceeding.</w:t>
      </w:r>
      <w:r>
        <w:rPr>
          <w:rStyle w:val="FootnoteReference"/>
        </w:rPr>
        <w:footnoteReference w:id="43"/>
      </w:r>
      <w:r>
        <w:t xml:space="preserve">  </w:t>
      </w:r>
      <w:r w:rsidRPr="009C52FB">
        <w:t xml:space="preserve">The Commission sought written public comment on the proposals in </w:t>
      </w:r>
      <w:r w:rsidRPr="008F36CE">
        <w:rPr>
          <w:i/>
        </w:rPr>
        <w:t>MF-II FNPRMs</w:t>
      </w:r>
      <w:r>
        <w:t xml:space="preserve"> and in the </w:t>
      </w:r>
      <w:r w:rsidRPr="008F36CE">
        <w:rPr>
          <w:i/>
        </w:rPr>
        <w:t>MF-II Challenge Process</w:t>
      </w:r>
      <w:r>
        <w:t xml:space="preserve"> </w:t>
      </w:r>
      <w:r w:rsidRPr="008F36CE">
        <w:rPr>
          <w:i/>
        </w:rPr>
        <w:t>Comment Public Notice</w:t>
      </w:r>
      <w:r w:rsidRPr="009C52FB">
        <w:t>, including comments on the IRFA</w:t>
      </w:r>
      <w:r w:rsidR="00592916">
        <w:t>s and S</w:t>
      </w:r>
      <w:r>
        <w:t>IRFA</w:t>
      </w:r>
      <w:r w:rsidRPr="009C52FB">
        <w:t xml:space="preserve">.  </w:t>
      </w:r>
      <w:r>
        <w:t xml:space="preserve">The Commission received three comments in response to the </w:t>
      </w:r>
      <w:r w:rsidRPr="008F36CE">
        <w:rPr>
          <w:i/>
        </w:rPr>
        <w:t>MF-II FNPRM</w:t>
      </w:r>
      <w:r>
        <w:t xml:space="preserve"> IRFA.  </w:t>
      </w:r>
      <w:r w:rsidRPr="009C52FB">
        <w:t xml:space="preserve">No comments were filed addressing the </w:t>
      </w:r>
      <w:r w:rsidRPr="001645A7">
        <w:rPr>
          <w:i/>
        </w:rPr>
        <w:t>USF/</w:t>
      </w:r>
      <w:r w:rsidRPr="005E7EDB">
        <w:rPr>
          <w:i/>
        </w:rPr>
        <w:t>ICC Transformation FNPRM</w:t>
      </w:r>
      <w:r>
        <w:rPr>
          <w:i/>
        </w:rPr>
        <w:t xml:space="preserve"> </w:t>
      </w:r>
      <w:r w:rsidRPr="008F36CE">
        <w:t>IRFA</w:t>
      </w:r>
      <w:r w:rsidRPr="005E7EDB">
        <w:t xml:space="preserve">, the </w:t>
      </w:r>
      <w:r w:rsidRPr="003702FE">
        <w:rPr>
          <w:i/>
        </w:rPr>
        <w:t>2014 CAF FNPRM</w:t>
      </w:r>
      <w:r w:rsidRPr="009C52FB">
        <w:t xml:space="preserve"> IRFA</w:t>
      </w:r>
      <w:r>
        <w:t xml:space="preserve">, or the </w:t>
      </w:r>
      <w:r w:rsidRPr="008F36CE">
        <w:rPr>
          <w:i/>
        </w:rPr>
        <w:t>MF-II Challenge Process Comment Public Notice</w:t>
      </w:r>
      <w:r w:rsidR="00592916">
        <w:t xml:space="preserve"> S</w:t>
      </w:r>
      <w:r>
        <w:t>IRFA</w:t>
      </w:r>
      <w:r w:rsidRPr="009C52FB">
        <w:t xml:space="preserve">.  </w:t>
      </w:r>
      <w:r w:rsidRPr="00AD14E9">
        <w:t xml:space="preserve">The Commission included </w:t>
      </w:r>
      <w:r w:rsidRPr="001645A7">
        <w:t xml:space="preserve">Final Regulatory Flexibility Analyses (FRFAs) in connection with the </w:t>
      </w:r>
      <w:r w:rsidRPr="001645A7">
        <w:rPr>
          <w:i/>
        </w:rPr>
        <w:t>2014 CAF</w:t>
      </w:r>
      <w:r w:rsidRPr="005E7EDB">
        <w:t xml:space="preserve"> </w:t>
      </w:r>
      <w:r w:rsidRPr="005E7EDB">
        <w:rPr>
          <w:i/>
        </w:rPr>
        <w:t>Order</w:t>
      </w:r>
      <w:r w:rsidRPr="005E7EDB">
        <w:t xml:space="preserve">, the </w:t>
      </w:r>
      <w:r w:rsidRPr="005E7EDB">
        <w:rPr>
          <w:i/>
        </w:rPr>
        <w:t>MF-II</w:t>
      </w:r>
      <w:r w:rsidRPr="003702FE">
        <w:t xml:space="preserve"> </w:t>
      </w:r>
      <w:r w:rsidRPr="003702FE">
        <w:rPr>
          <w:i/>
        </w:rPr>
        <w:t>Order</w:t>
      </w:r>
      <w:r w:rsidRPr="00362DA5">
        <w:t xml:space="preserve">, and the </w:t>
      </w:r>
      <w:r w:rsidRPr="00362DA5">
        <w:rPr>
          <w:i/>
        </w:rPr>
        <w:t>MF-II Challenge Process Order</w:t>
      </w:r>
      <w:r w:rsidRPr="00362DA5">
        <w:t xml:space="preserve"> (collectively, the </w:t>
      </w:r>
      <w:r w:rsidRPr="00362DA5">
        <w:rPr>
          <w:i/>
        </w:rPr>
        <w:t>MF-II Orders</w:t>
      </w:r>
      <w:r w:rsidRPr="00362DA5">
        <w:t>).</w:t>
      </w:r>
      <w:r>
        <w:rPr>
          <w:rStyle w:val="FootnoteReference"/>
          <w:sz w:val="22"/>
          <w:szCs w:val="22"/>
        </w:rPr>
        <w:footnoteReference w:id="44"/>
      </w:r>
      <w:r>
        <w:t xml:space="preserve">  </w:t>
      </w:r>
      <w:r w:rsidRPr="009C52FB">
        <w:rPr>
          <w:szCs w:val="22"/>
        </w:rPr>
        <w:t>This Supplemental Final Regulatory Flexibility Analysis (SFRFA)</w:t>
      </w:r>
      <w:r>
        <w:rPr>
          <w:szCs w:val="22"/>
        </w:rPr>
        <w:t xml:space="preserve"> supplements the FRFAs in the </w:t>
      </w:r>
      <w:r w:rsidRPr="008F36CE">
        <w:rPr>
          <w:i/>
          <w:szCs w:val="22"/>
        </w:rPr>
        <w:t>MF-II Orders</w:t>
      </w:r>
      <w:r w:rsidRPr="009C52FB">
        <w:rPr>
          <w:szCs w:val="22"/>
        </w:rPr>
        <w:t xml:space="preserve"> to reflect the actions taken in this </w:t>
      </w:r>
      <w:r w:rsidRPr="00415B6D">
        <w:rPr>
          <w:szCs w:val="22"/>
        </w:rPr>
        <w:t>Public Notice</w:t>
      </w:r>
      <w:r w:rsidRPr="009C52FB">
        <w:rPr>
          <w:szCs w:val="22"/>
        </w:rPr>
        <w:t xml:space="preserve"> and conforms to the RFA.</w:t>
      </w:r>
      <w:r>
        <w:rPr>
          <w:rStyle w:val="FootnoteReference"/>
          <w:kern w:val="0"/>
          <w:szCs w:val="22"/>
        </w:rPr>
        <w:footnoteReference w:id="45"/>
      </w:r>
      <w:r w:rsidRPr="001645A7">
        <w:t xml:space="preserve"> </w:t>
      </w:r>
    </w:p>
    <w:p w:rsidR="007520ED" w:rsidP="007520ED">
      <w:pPr>
        <w:pStyle w:val="Heading3"/>
        <w:rPr>
          <w:i/>
        </w:rPr>
      </w:pPr>
      <w:r>
        <w:t xml:space="preserve">Need for, and Objectives of, </w:t>
      </w:r>
      <w:r w:rsidR="00D1026B">
        <w:t>This Public Notice</w:t>
      </w:r>
    </w:p>
    <w:p w:rsidR="007520ED" w:rsidRPr="004F1E9A" w:rsidP="007520ED">
      <w:pPr>
        <w:pStyle w:val="ParaNum"/>
        <w:tabs>
          <w:tab w:val="clear" w:pos="1440"/>
        </w:tabs>
        <w:rPr>
          <w:szCs w:val="22"/>
        </w:rPr>
      </w:pPr>
      <w:r>
        <w:rPr>
          <w:szCs w:val="22"/>
        </w:rPr>
        <w:t xml:space="preserve">This </w:t>
      </w:r>
      <w:r w:rsidRPr="00415B6D">
        <w:rPr>
          <w:szCs w:val="22"/>
        </w:rPr>
        <w:t>Public Notice</w:t>
      </w:r>
      <w:r>
        <w:rPr>
          <w:szCs w:val="22"/>
        </w:rPr>
        <w:t xml:space="preserve"> provides further </w:t>
      </w:r>
      <w:r w:rsidR="00F53E36">
        <w:rPr>
          <w:szCs w:val="22"/>
        </w:rPr>
        <w:t>requirements</w:t>
      </w:r>
      <w:r w:rsidRPr="00C15F36">
        <w:rPr>
          <w:szCs w:val="22"/>
        </w:rPr>
        <w:t xml:space="preserve"> on </w:t>
      </w:r>
      <w:r>
        <w:rPr>
          <w:szCs w:val="22"/>
        </w:rPr>
        <w:t xml:space="preserve">the handsets that mobile wireless providers </w:t>
      </w:r>
      <w:r w:rsidRPr="00EB11B5">
        <w:rPr>
          <w:szCs w:val="22"/>
        </w:rPr>
        <w:t xml:space="preserve">in the </w:t>
      </w:r>
      <w:r w:rsidRPr="00094029">
        <w:rPr>
          <w:szCs w:val="22"/>
        </w:rPr>
        <w:t>MF-II</w:t>
      </w:r>
      <w:r w:rsidRPr="007C0863">
        <w:rPr>
          <w:szCs w:val="22"/>
        </w:rPr>
        <w:t xml:space="preserve"> challenge process </w:t>
      </w:r>
      <w:r>
        <w:rPr>
          <w:szCs w:val="22"/>
        </w:rPr>
        <w:t>can</w:t>
      </w:r>
      <w:r w:rsidRPr="007C0863">
        <w:rPr>
          <w:szCs w:val="22"/>
        </w:rPr>
        <w:t xml:space="preserve"> </w:t>
      </w:r>
      <w:r>
        <w:rPr>
          <w:szCs w:val="22"/>
        </w:rPr>
        <w:t xml:space="preserve">designate for challengers to </w:t>
      </w:r>
      <w:r w:rsidRPr="007C0863">
        <w:rPr>
          <w:szCs w:val="22"/>
        </w:rPr>
        <w:t xml:space="preserve">use </w:t>
      </w:r>
      <w:r>
        <w:rPr>
          <w:szCs w:val="22"/>
        </w:rPr>
        <w:t xml:space="preserve">when </w:t>
      </w:r>
      <w:r w:rsidRPr="00314AD1">
        <w:rPr>
          <w:szCs w:val="22"/>
        </w:rPr>
        <w:t>conduct</w:t>
      </w:r>
      <w:r>
        <w:rPr>
          <w:szCs w:val="22"/>
        </w:rPr>
        <w:t>ing</w:t>
      </w:r>
      <w:r w:rsidRPr="00314AD1">
        <w:rPr>
          <w:szCs w:val="22"/>
        </w:rPr>
        <w:t xml:space="preserve"> speed test</w:t>
      </w:r>
      <w:r w:rsidRPr="004F1E9A">
        <w:rPr>
          <w:szCs w:val="22"/>
        </w:rPr>
        <w:t>s in areas deemed presumptively ineligible for MF-II support</w:t>
      </w:r>
      <w:r>
        <w:rPr>
          <w:szCs w:val="22"/>
        </w:rPr>
        <w:t xml:space="preserve">.  In addition, this </w:t>
      </w:r>
      <w:r w:rsidRPr="00415B6D">
        <w:rPr>
          <w:szCs w:val="22"/>
        </w:rPr>
        <w:t>Public Notice</w:t>
      </w:r>
      <w:r>
        <w:rPr>
          <w:szCs w:val="22"/>
        </w:rPr>
        <w:t xml:space="preserve"> </w:t>
      </w:r>
      <w:r w:rsidRPr="004F1E9A">
        <w:rPr>
          <w:szCs w:val="22"/>
        </w:rPr>
        <w:t>adopt</w:t>
      </w:r>
      <w:r>
        <w:rPr>
          <w:szCs w:val="22"/>
        </w:rPr>
        <w:t>s</w:t>
      </w:r>
      <w:r w:rsidRPr="004F1E9A">
        <w:rPr>
          <w:szCs w:val="22"/>
        </w:rPr>
        <w:t xml:space="preserve"> procedures for </w:t>
      </w:r>
      <w:r>
        <w:rPr>
          <w:szCs w:val="22"/>
        </w:rPr>
        <w:t>challengers to request access</w:t>
      </w:r>
      <w:r w:rsidRPr="004F1E9A">
        <w:rPr>
          <w:szCs w:val="22"/>
        </w:rPr>
        <w:t xml:space="preserve"> </w:t>
      </w:r>
      <w:r>
        <w:rPr>
          <w:szCs w:val="22"/>
        </w:rPr>
        <w:t xml:space="preserve">to </w:t>
      </w:r>
      <w:r w:rsidRPr="004F1E9A">
        <w:rPr>
          <w:szCs w:val="22"/>
        </w:rPr>
        <w:t xml:space="preserve">the USAC challenge process portal.  </w:t>
      </w:r>
    </w:p>
    <w:p w:rsidR="007520ED" w:rsidRPr="00635162" w:rsidP="007520ED">
      <w:pPr>
        <w:pStyle w:val="ParaNum"/>
        <w:tabs>
          <w:tab w:val="clear" w:pos="1440"/>
        </w:tabs>
        <w:rPr>
          <w:szCs w:val="22"/>
        </w:rPr>
      </w:pPr>
      <w:r w:rsidRPr="00635162">
        <w:rPr>
          <w:szCs w:val="22"/>
        </w:rPr>
        <w:t xml:space="preserve">Following the release of the </w:t>
      </w:r>
      <w:r w:rsidRPr="00635162">
        <w:rPr>
          <w:i/>
          <w:szCs w:val="22"/>
        </w:rPr>
        <w:t>MF-II Orders</w:t>
      </w:r>
      <w:r w:rsidRPr="00635162">
        <w:rPr>
          <w:szCs w:val="22"/>
        </w:rPr>
        <w:t xml:space="preserve">, the Commission released the </w:t>
      </w:r>
      <w:r w:rsidRPr="00635162">
        <w:rPr>
          <w:i/>
          <w:szCs w:val="22"/>
        </w:rPr>
        <w:t>MF-II Challenge Process Comment Public Notice</w:t>
      </w:r>
      <w:r w:rsidRPr="00635162">
        <w:rPr>
          <w:szCs w:val="22"/>
        </w:rPr>
        <w:t>.</w:t>
      </w:r>
      <w:r>
        <w:rPr>
          <w:rStyle w:val="FootnoteReference"/>
          <w:sz w:val="22"/>
          <w:szCs w:val="22"/>
        </w:rPr>
        <w:footnoteReference w:id="46"/>
      </w:r>
      <w:r w:rsidRPr="00635162">
        <w:rPr>
          <w:szCs w:val="22"/>
        </w:rPr>
        <w:t xml:space="preserve">  The </w:t>
      </w:r>
      <w:r w:rsidRPr="00635162">
        <w:rPr>
          <w:i/>
          <w:szCs w:val="22"/>
        </w:rPr>
        <w:t>MF-II Challenge Process Comment Public Notice</w:t>
      </w:r>
      <w:r w:rsidRPr="00635162">
        <w:rPr>
          <w:szCs w:val="22"/>
        </w:rPr>
        <w:t xml:space="preserve"> proposed and sought comment on specific parameters and procedures to implement the MF-II challenge process, including requirements for the provider-approved handsets that prospective challengers will use to conduct speed tests, and the process by which challengers and respondents can request access to the USAC portal.</w:t>
      </w:r>
      <w:r>
        <w:rPr>
          <w:rStyle w:val="FootnoteReference"/>
          <w:sz w:val="22"/>
          <w:szCs w:val="22"/>
        </w:rPr>
        <w:footnoteReference w:id="47"/>
      </w:r>
      <w:r w:rsidRPr="00635162">
        <w:rPr>
          <w:szCs w:val="22"/>
        </w:rPr>
        <w:t xml:space="preserve">  The </w:t>
      </w:r>
      <w:r w:rsidRPr="00635162">
        <w:rPr>
          <w:i/>
          <w:szCs w:val="22"/>
        </w:rPr>
        <w:t xml:space="preserve">MF-II Challenge Process Comment Public Notice </w:t>
      </w:r>
      <w:r w:rsidRPr="00635162">
        <w:rPr>
          <w:szCs w:val="22"/>
        </w:rPr>
        <w:t xml:space="preserve">did not change matters adopted in the </w:t>
      </w:r>
      <w:r w:rsidRPr="00635162">
        <w:rPr>
          <w:i/>
          <w:szCs w:val="22"/>
        </w:rPr>
        <w:t>MF-</w:t>
      </w:r>
      <w:r w:rsidRPr="008F36CE">
        <w:rPr>
          <w:i/>
          <w:szCs w:val="22"/>
        </w:rPr>
        <w:t>II Orders</w:t>
      </w:r>
      <w:r w:rsidRPr="00635162">
        <w:rPr>
          <w:szCs w:val="22"/>
        </w:rPr>
        <w:t xml:space="preserve"> and requested comment on how the proposals in the </w:t>
      </w:r>
      <w:r w:rsidRPr="00635162">
        <w:rPr>
          <w:i/>
          <w:szCs w:val="22"/>
        </w:rPr>
        <w:t>MF-II Challenge Process Comment Public Notice</w:t>
      </w:r>
      <w:r w:rsidRPr="00635162">
        <w:rPr>
          <w:szCs w:val="22"/>
        </w:rPr>
        <w:t xml:space="preserve"> might affect the previous </w:t>
      </w:r>
      <w:r w:rsidR="00D1026B">
        <w:rPr>
          <w:szCs w:val="22"/>
        </w:rPr>
        <w:t>r</w:t>
      </w:r>
      <w:r w:rsidRPr="00635162">
        <w:rPr>
          <w:szCs w:val="22"/>
        </w:rPr>
        <w:t xml:space="preserve">egulatory </w:t>
      </w:r>
      <w:r w:rsidR="00D1026B">
        <w:rPr>
          <w:szCs w:val="22"/>
        </w:rPr>
        <w:t>f</w:t>
      </w:r>
      <w:r w:rsidRPr="00635162">
        <w:rPr>
          <w:szCs w:val="22"/>
        </w:rPr>
        <w:t xml:space="preserve">lexibility </w:t>
      </w:r>
      <w:r w:rsidR="00D1026B">
        <w:rPr>
          <w:szCs w:val="22"/>
        </w:rPr>
        <w:t>a</w:t>
      </w:r>
      <w:r w:rsidRPr="00635162">
        <w:rPr>
          <w:szCs w:val="22"/>
        </w:rPr>
        <w:t>nalyses in th</w:t>
      </w:r>
      <w:r w:rsidR="00D1026B">
        <w:rPr>
          <w:szCs w:val="22"/>
        </w:rPr>
        <w:t>is</w:t>
      </w:r>
      <w:r w:rsidRPr="00635162">
        <w:rPr>
          <w:szCs w:val="22"/>
        </w:rPr>
        <w:t xml:space="preserve"> proceeding.</w:t>
      </w:r>
    </w:p>
    <w:p w:rsidR="007520ED" w:rsidRPr="00A5117C" w:rsidP="007520ED">
      <w:pPr>
        <w:pStyle w:val="ParaNum"/>
        <w:tabs>
          <w:tab w:val="clear" w:pos="1440"/>
        </w:tabs>
        <w:rPr>
          <w:szCs w:val="22"/>
        </w:rPr>
      </w:pPr>
      <w:r w:rsidRPr="00A5117C">
        <w:rPr>
          <w:szCs w:val="22"/>
        </w:rPr>
        <w:t>Th</w:t>
      </w:r>
      <w:r w:rsidR="002E55EA">
        <w:rPr>
          <w:szCs w:val="22"/>
        </w:rPr>
        <w:t>is</w:t>
      </w:r>
      <w:r>
        <w:rPr>
          <w:szCs w:val="22"/>
        </w:rPr>
        <w:t xml:space="preserve"> </w:t>
      </w:r>
      <w:r w:rsidRPr="00415B6D">
        <w:rPr>
          <w:szCs w:val="22"/>
        </w:rPr>
        <w:t>Public Notice</w:t>
      </w:r>
      <w:r w:rsidRPr="00A5117C">
        <w:rPr>
          <w:szCs w:val="22"/>
        </w:rPr>
        <w:t xml:space="preserve"> </w:t>
      </w:r>
      <w:r w:rsidR="002E55EA">
        <w:rPr>
          <w:szCs w:val="22"/>
        </w:rPr>
        <w:t>establishes procedures for</w:t>
      </w:r>
      <w:r w:rsidRPr="00A5117C" w:rsidR="002E55EA">
        <w:rPr>
          <w:szCs w:val="22"/>
        </w:rPr>
        <w:t xml:space="preserve"> </w:t>
      </w:r>
      <w:r w:rsidRPr="00A5117C">
        <w:rPr>
          <w:szCs w:val="22"/>
        </w:rPr>
        <w:t xml:space="preserve">providers to identify at least three readily available handset models appropriate for testing those providers’ coverage, and establishes that we will consolidate submitted provider handset data for affiliated entities to the extent that the lists of handsets differ.  In addition, providers are required to specify at least one handset running on the Android operating system, and at least one handset that is either compatible with the latest versions of drive test software, or is capable of being unlocked and configured to run the latest versions of drive test software.  </w:t>
      </w:r>
    </w:p>
    <w:p w:rsidR="007520ED" w:rsidP="007520ED">
      <w:pPr>
        <w:pStyle w:val="ParaNum"/>
        <w:tabs>
          <w:tab w:val="clear" w:pos="1440"/>
        </w:tabs>
        <w:rPr>
          <w:szCs w:val="22"/>
        </w:rPr>
      </w:pPr>
      <w:r w:rsidRPr="004F1E9A">
        <w:rPr>
          <w:szCs w:val="22"/>
        </w:rPr>
        <w:t>Th</w:t>
      </w:r>
      <w:r>
        <w:rPr>
          <w:szCs w:val="22"/>
        </w:rPr>
        <w:t>e procedures</w:t>
      </w:r>
      <w:r w:rsidRPr="004F1E9A">
        <w:rPr>
          <w:szCs w:val="22"/>
        </w:rPr>
        <w:t xml:space="preserve"> also </w:t>
      </w:r>
      <w:r>
        <w:rPr>
          <w:szCs w:val="22"/>
        </w:rPr>
        <w:t xml:space="preserve">require all eligible </w:t>
      </w:r>
      <w:r w:rsidR="004D2234">
        <w:rPr>
          <w:szCs w:val="22"/>
        </w:rPr>
        <w:t xml:space="preserve">service providers </w:t>
      </w:r>
      <w:r>
        <w:rPr>
          <w:szCs w:val="22"/>
        </w:rPr>
        <w:t xml:space="preserve">wishing to participate in the challenge process to provide to the Commission the </w:t>
      </w:r>
      <w:r w:rsidR="004D2234">
        <w:rPr>
          <w:szCs w:val="22"/>
        </w:rPr>
        <w:t>legal name</w:t>
      </w:r>
      <w:r>
        <w:rPr>
          <w:szCs w:val="22"/>
        </w:rPr>
        <w:t xml:space="preserve"> of the entity</w:t>
      </w:r>
      <w:r w:rsidR="004D2234">
        <w:rPr>
          <w:szCs w:val="22"/>
        </w:rPr>
        <w:t xml:space="preserve">, its FRN, and </w:t>
      </w:r>
      <w:r>
        <w:rPr>
          <w:szCs w:val="22"/>
        </w:rPr>
        <w:t>the name</w:t>
      </w:r>
      <w:r w:rsidR="004D2234">
        <w:rPr>
          <w:szCs w:val="22"/>
        </w:rPr>
        <w:t>(s)</w:t>
      </w:r>
      <w:r>
        <w:rPr>
          <w:szCs w:val="22"/>
        </w:rPr>
        <w:t xml:space="preserve"> and email address</w:t>
      </w:r>
      <w:r w:rsidR="004D2234">
        <w:rPr>
          <w:szCs w:val="22"/>
        </w:rPr>
        <w:t>(es)</w:t>
      </w:r>
      <w:r>
        <w:rPr>
          <w:szCs w:val="22"/>
        </w:rPr>
        <w:t xml:space="preserve"> of the user(s)</w:t>
      </w:r>
      <w:r w:rsidR="004D2234">
        <w:rPr>
          <w:szCs w:val="22"/>
        </w:rPr>
        <w:t xml:space="preserve"> (up to a maximum of three users)</w:t>
      </w:r>
      <w:r>
        <w:rPr>
          <w:szCs w:val="22"/>
        </w:rPr>
        <w:t xml:space="preserve"> t</w:t>
      </w:r>
      <w:r w:rsidR="004D2234">
        <w:rPr>
          <w:szCs w:val="22"/>
        </w:rPr>
        <w:t>hat sh</w:t>
      </w:r>
      <w:r>
        <w:rPr>
          <w:szCs w:val="22"/>
        </w:rPr>
        <w:t>o</w:t>
      </w:r>
      <w:r w:rsidR="004D2234">
        <w:rPr>
          <w:szCs w:val="22"/>
        </w:rPr>
        <w:t>uld be</w:t>
      </w:r>
      <w:r>
        <w:rPr>
          <w:szCs w:val="22"/>
        </w:rPr>
        <w:t xml:space="preserve"> grant</w:t>
      </w:r>
      <w:r w:rsidR="004D2234">
        <w:rPr>
          <w:szCs w:val="22"/>
        </w:rPr>
        <w:t>ed</w:t>
      </w:r>
      <w:r>
        <w:rPr>
          <w:szCs w:val="22"/>
        </w:rPr>
        <w:t xml:space="preserve"> access to the portal</w:t>
      </w:r>
      <w:r w:rsidRPr="004F1E9A">
        <w:rPr>
          <w:szCs w:val="22"/>
        </w:rPr>
        <w:t xml:space="preserve">.  </w:t>
      </w:r>
      <w:r w:rsidR="004D2234">
        <w:rPr>
          <w:szCs w:val="22"/>
        </w:rPr>
        <w:t>Any g</w:t>
      </w:r>
      <w:r>
        <w:rPr>
          <w:szCs w:val="22"/>
        </w:rPr>
        <w:t>overnment entit</w:t>
      </w:r>
      <w:r w:rsidR="004D2234">
        <w:rPr>
          <w:szCs w:val="22"/>
        </w:rPr>
        <w:t>y</w:t>
      </w:r>
      <w:r>
        <w:rPr>
          <w:szCs w:val="22"/>
        </w:rPr>
        <w:t xml:space="preserve"> (</w:t>
      </w:r>
      <w:r w:rsidR="004D2234">
        <w:rPr>
          <w:szCs w:val="22"/>
        </w:rPr>
        <w:t>i</w:t>
      </w:r>
      <w:r>
        <w:rPr>
          <w:szCs w:val="22"/>
        </w:rPr>
        <w:t>.</w:t>
      </w:r>
      <w:r w:rsidR="004D2234">
        <w:rPr>
          <w:szCs w:val="22"/>
        </w:rPr>
        <w:t>e</w:t>
      </w:r>
      <w:r>
        <w:rPr>
          <w:szCs w:val="22"/>
        </w:rPr>
        <w:t xml:space="preserve">., </w:t>
      </w:r>
      <w:r w:rsidR="004D2234">
        <w:rPr>
          <w:szCs w:val="22"/>
        </w:rPr>
        <w:t xml:space="preserve">a </w:t>
      </w:r>
      <w:r>
        <w:rPr>
          <w:szCs w:val="22"/>
        </w:rPr>
        <w:t>local, state, or Tribal government entit</w:t>
      </w:r>
      <w:r w:rsidR="00147009">
        <w:rPr>
          <w:szCs w:val="22"/>
        </w:rPr>
        <w:t>y</w:t>
      </w:r>
      <w:r>
        <w:rPr>
          <w:szCs w:val="22"/>
        </w:rPr>
        <w:t>) that wish</w:t>
      </w:r>
      <w:r w:rsidR="00147009">
        <w:rPr>
          <w:szCs w:val="22"/>
        </w:rPr>
        <w:t>es</w:t>
      </w:r>
      <w:r>
        <w:rPr>
          <w:szCs w:val="22"/>
        </w:rPr>
        <w:t xml:space="preserve"> to participate in the challenge process </w:t>
      </w:r>
      <w:r w:rsidR="00147009">
        <w:rPr>
          <w:szCs w:val="22"/>
        </w:rPr>
        <w:t xml:space="preserve">also </w:t>
      </w:r>
      <w:r>
        <w:rPr>
          <w:szCs w:val="22"/>
        </w:rPr>
        <w:t xml:space="preserve">must provide </w:t>
      </w:r>
      <w:r w:rsidR="00147009">
        <w:rPr>
          <w:szCs w:val="22"/>
        </w:rPr>
        <w:t>the legal name of the entity, its</w:t>
      </w:r>
      <w:r>
        <w:rPr>
          <w:szCs w:val="22"/>
        </w:rPr>
        <w:t xml:space="preserve"> legal jurisdiction</w:t>
      </w:r>
      <w:r w:rsidR="00147009">
        <w:rPr>
          <w:szCs w:val="22"/>
        </w:rPr>
        <w:t>, and the name(s) and email address(es) of the user(s) (up to a maximum of three users) that should be granted access to the portal</w:t>
      </w:r>
      <w:r>
        <w:rPr>
          <w:szCs w:val="22"/>
        </w:rPr>
        <w:t>.  A web-based form will be used to collect this information.</w:t>
      </w:r>
      <w:r w:rsidRPr="004F1E9A">
        <w:rPr>
          <w:szCs w:val="22"/>
        </w:rPr>
        <w:t xml:space="preserve">  A party that files a waiver petition with the Commission seeking to participate in the MF-II challenge process as a challenger</w:t>
      </w:r>
      <w:r>
        <w:rPr>
          <w:szCs w:val="22"/>
        </w:rPr>
        <w:t xml:space="preserve"> (because it is not a service provider</w:t>
      </w:r>
      <w:r w:rsidRPr="004F1E9A">
        <w:rPr>
          <w:szCs w:val="22"/>
        </w:rPr>
        <w:t xml:space="preserve"> or </w:t>
      </w:r>
      <w:r>
        <w:rPr>
          <w:szCs w:val="22"/>
        </w:rPr>
        <w:t xml:space="preserve">a </w:t>
      </w:r>
      <w:r w:rsidRPr="004F1E9A">
        <w:rPr>
          <w:szCs w:val="22"/>
        </w:rPr>
        <w:t>government ent</w:t>
      </w:r>
      <w:r>
        <w:rPr>
          <w:szCs w:val="22"/>
        </w:rPr>
        <w:t>ity)</w:t>
      </w:r>
      <w:r w:rsidRPr="004F1E9A">
        <w:rPr>
          <w:szCs w:val="22"/>
        </w:rPr>
        <w:t>, must submit the first and last name of the user(s) that should have access to the portal on its behalf, and the email address(es) of the user(s), up to a maximum of three users, as part of its petition for waiver.</w:t>
      </w:r>
    </w:p>
    <w:p w:rsidR="007520ED" w:rsidP="007520ED">
      <w:pPr>
        <w:pStyle w:val="ParaNum"/>
        <w:tabs>
          <w:tab w:val="clear" w:pos="1440"/>
        </w:tabs>
        <w:spacing w:after="0"/>
        <w:rPr>
          <w:szCs w:val="22"/>
        </w:rPr>
      </w:pPr>
      <w:r>
        <w:rPr>
          <w:szCs w:val="22"/>
        </w:rPr>
        <w:t>Finally, t</w:t>
      </w:r>
      <w:r w:rsidRPr="00A5117C">
        <w:rPr>
          <w:szCs w:val="22"/>
        </w:rPr>
        <w:t xml:space="preserve">he requirements established in this </w:t>
      </w:r>
      <w:r w:rsidRPr="00415B6D">
        <w:rPr>
          <w:szCs w:val="22"/>
        </w:rPr>
        <w:t>Public Notice</w:t>
      </w:r>
      <w:r w:rsidRPr="00A5117C">
        <w:rPr>
          <w:szCs w:val="22"/>
        </w:rPr>
        <w:t xml:space="preserve"> are designed to anticipate the challenges faced by small entities (e.g., governmental entities or small service providers) in complying with our implementation of the Commission’s rules and our proposals.  For example, the requirement that providers specify a minimum of three devices, at least one of which must be running on the Android operating system, is intended to provide small entities with sufficient flexibility to choose a device that fits their needs and budgets.</w:t>
      </w:r>
    </w:p>
    <w:p w:rsidR="007520ED" w:rsidRPr="008F36CE" w:rsidP="007520ED">
      <w:pPr>
        <w:pStyle w:val="ParaNum"/>
        <w:numPr>
          <w:ilvl w:val="0"/>
          <w:numId w:val="0"/>
        </w:numPr>
        <w:spacing w:after="0"/>
        <w:ind w:left="720"/>
        <w:rPr>
          <w:sz w:val="16"/>
          <w:szCs w:val="16"/>
        </w:rPr>
      </w:pPr>
    </w:p>
    <w:p w:rsidR="007520ED" w:rsidRPr="00415B6D" w:rsidP="007520ED">
      <w:pPr>
        <w:pStyle w:val="ParaNum"/>
        <w:rPr>
          <w:szCs w:val="22"/>
        </w:rPr>
      </w:pPr>
      <w:r w:rsidRPr="00792512">
        <w:rPr>
          <w:szCs w:val="22"/>
        </w:rPr>
        <w:t xml:space="preserve">Accordingly, the handset requirements and portal access procedures established in this </w:t>
      </w:r>
      <w:r w:rsidRPr="00415B6D">
        <w:rPr>
          <w:szCs w:val="22"/>
        </w:rPr>
        <w:t>Public Notice</w:t>
      </w:r>
      <w:r w:rsidRPr="00792512">
        <w:rPr>
          <w:szCs w:val="22"/>
        </w:rPr>
        <w:t xml:space="preserve"> are consistent with the </w:t>
      </w:r>
      <w:r w:rsidRPr="008F36CE">
        <w:rPr>
          <w:i/>
          <w:szCs w:val="22"/>
        </w:rPr>
        <w:t>MF-II Orders</w:t>
      </w:r>
      <w:r w:rsidRPr="00792512">
        <w:rPr>
          <w:szCs w:val="22"/>
        </w:rPr>
        <w:t xml:space="preserve"> and the prior regulatory flexibility analyses set forth in this proceeding, and no changes to our earlier analyses are required.</w:t>
      </w:r>
    </w:p>
    <w:p w:rsidR="007520ED" w:rsidP="007520ED">
      <w:pPr>
        <w:pStyle w:val="Heading3"/>
      </w:pPr>
      <w:r w:rsidRPr="002A4463">
        <w:t xml:space="preserve">Summary of Significant Issues Raised by Public Comments in Response to the </w:t>
      </w:r>
      <w:r w:rsidR="002E55EA">
        <w:t>S</w:t>
      </w:r>
      <w:r w:rsidRPr="002A4463">
        <w:t>IRFA</w:t>
      </w:r>
    </w:p>
    <w:p w:rsidR="007520ED" w:rsidRPr="002A4463" w:rsidP="007520ED">
      <w:pPr>
        <w:pStyle w:val="ParaNum"/>
      </w:pPr>
      <w:r>
        <w:rPr>
          <w:szCs w:val="22"/>
        </w:rPr>
        <w:t>There were n</w:t>
      </w:r>
      <w:r w:rsidRPr="00362DA5">
        <w:rPr>
          <w:szCs w:val="22"/>
        </w:rPr>
        <w:t xml:space="preserve">o comments filed </w:t>
      </w:r>
      <w:r>
        <w:rPr>
          <w:szCs w:val="22"/>
        </w:rPr>
        <w:t xml:space="preserve">that specifically addressed the proposed </w:t>
      </w:r>
      <w:r w:rsidR="002E55EA">
        <w:rPr>
          <w:szCs w:val="22"/>
        </w:rPr>
        <w:t xml:space="preserve">procedures </w:t>
      </w:r>
      <w:r>
        <w:rPr>
          <w:szCs w:val="22"/>
        </w:rPr>
        <w:t xml:space="preserve">presented in the </w:t>
      </w:r>
      <w:r w:rsidRPr="00362DA5">
        <w:rPr>
          <w:szCs w:val="22"/>
        </w:rPr>
        <w:t xml:space="preserve">SIRFA.  </w:t>
      </w:r>
    </w:p>
    <w:p w:rsidR="007520ED" w:rsidP="007520ED">
      <w:pPr>
        <w:pStyle w:val="Heading3"/>
      </w:pPr>
      <w:r>
        <w:t>Response to Comments by the Chief Counsel for Advocacy of the Small Business Administration</w:t>
      </w:r>
    </w:p>
    <w:p w:rsidR="007520ED" w:rsidP="007520ED">
      <w:pPr>
        <w:pStyle w:val="ParaNum"/>
      </w:pPr>
      <w:r w:rsidRPr="00A65919">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w:t>
      </w:r>
      <w:r w:rsidR="002E55EA">
        <w:t>(</w:t>
      </w:r>
      <w:r w:rsidRPr="00A65919">
        <w:t>s</w:t>
      </w:r>
      <w:r w:rsidR="002E55EA">
        <w:t>)</w:t>
      </w:r>
      <w:r w:rsidRPr="00A65919">
        <w:t xml:space="preserve"> as a result of those comments</w:t>
      </w:r>
      <w:r>
        <w:t>.</w:t>
      </w:r>
      <w:r>
        <w:rPr>
          <w:rStyle w:val="FootnoteReference"/>
        </w:rPr>
        <w:footnoteReference w:id="48"/>
      </w:r>
    </w:p>
    <w:p w:rsidR="007520ED" w:rsidP="007520ED">
      <w:pPr>
        <w:pStyle w:val="ParaNum"/>
      </w:pPr>
      <w:r>
        <w:t xml:space="preserve">The Chief Counsel did not file any comments in response to the proposed </w:t>
      </w:r>
      <w:r w:rsidR="002E55EA">
        <w:t xml:space="preserve">procedures </w:t>
      </w:r>
      <w:r>
        <w:t>in this proceeding.</w:t>
      </w:r>
    </w:p>
    <w:p w:rsidR="007520ED" w:rsidP="007520ED">
      <w:pPr>
        <w:pStyle w:val="Heading3"/>
      </w:pPr>
      <w:r>
        <w:t xml:space="preserve">Description and Estimate of the Number of Small Business Entities to Which </w:t>
      </w:r>
      <w:r w:rsidR="002E55EA">
        <w:t>the Procedures</w:t>
      </w:r>
      <w:r>
        <w:t xml:space="preserve"> Will Apply </w:t>
      </w:r>
    </w:p>
    <w:p w:rsidR="007520ED" w:rsidRPr="007F08D8" w:rsidP="007520ED">
      <w:pPr>
        <w:pStyle w:val="ParaNum"/>
        <w:tabs>
          <w:tab w:val="clear" w:pos="1440"/>
        </w:tabs>
      </w:pPr>
      <w:r w:rsidRPr="00231D72">
        <w:t>The RFA directs agencies to provide a description of and, where feasible, an estimate of the number of small entities that may be affected by the proposed rules, if adopted</w:t>
      </w:r>
      <w:r>
        <w:t xml:space="preserve"> herein</w:t>
      </w:r>
      <w:r w:rsidRPr="00231D72">
        <w:t>.</w:t>
      </w:r>
      <w:r>
        <w:rPr>
          <w:sz w:val="20"/>
          <w:vertAlign w:val="superscript"/>
        </w:rPr>
        <w:footnoteReference w:id="49"/>
      </w:r>
      <w:r w:rsidRPr="00231D72">
        <w:t xml:space="preserve">  </w:t>
      </w:r>
      <w:r w:rsidRPr="00231D72">
        <w:rPr>
          <w:szCs w:val="22"/>
        </w:rPr>
        <w:t>The RFA generally defines the term “small entity” as having the same meaning as the terms “small business,” “small organization,” and “small governmental jurisdiction.”</w:t>
      </w:r>
      <w:r>
        <w:rPr>
          <w:rStyle w:val="FootnoteReference"/>
          <w:szCs w:val="22"/>
        </w:rPr>
        <w:footnoteReference w:id="50"/>
      </w:r>
      <w:r w:rsidRPr="00231D72">
        <w:rPr>
          <w:szCs w:val="22"/>
        </w:rPr>
        <w:t xml:space="preserve">  In addition, the term “small business” has the same meaning as the term “small business concern” under the Small Business Act.</w:t>
      </w:r>
      <w:r>
        <w:rPr>
          <w:rStyle w:val="FootnoteReference"/>
          <w:szCs w:val="22"/>
        </w:rPr>
        <w:footnoteReference w:id="51"/>
      </w:r>
      <w:r w:rsidRPr="00231D72">
        <w:rPr>
          <w:szCs w:val="22"/>
        </w:rPr>
        <w:t xml:space="preserve">  A “small business concern” is one which: </w:t>
      </w:r>
      <w:r w:rsidR="00CE403F">
        <w:rPr>
          <w:szCs w:val="22"/>
        </w:rPr>
        <w:t xml:space="preserve"> </w:t>
      </w:r>
      <w:r w:rsidRPr="00231D72">
        <w:rPr>
          <w:szCs w:val="22"/>
        </w:rPr>
        <w:t>(1) is independently owned and operated; (2) is not dominant in its field of operation; and (3) satisfies any additional criteria established by the</w:t>
      </w:r>
      <w:r>
        <w:rPr>
          <w:szCs w:val="22"/>
        </w:rPr>
        <w:t xml:space="preserve"> SBA.</w:t>
      </w:r>
      <w:r>
        <w:rPr>
          <w:rStyle w:val="FootnoteReference"/>
          <w:szCs w:val="22"/>
        </w:rPr>
        <w:footnoteReference w:id="52"/>
      </w:r>
    </w:p>
    <w:p w:rsidR="007520ED" w:rsidRPr="00A5117C" w:rsidP="007520ED">
      <w:pPr>
        <w:pStyle w:val="ParaNum"/>
      </w:pPr>
      <w:r>
        <w:t xml:space="preserve">As noted above, </w:t>
      </w:r>
      <w:r w:rsidRPr="007125D8">
        <w:t xml:space="preserve">FRFAs were incorporated into the </w:t>
      </w:r>
      <w:r w:rsidRPr="008F36CE">
        <w:rPr>
          <w:i/>
        </w:rPr>
        <w:t>MF-II Orders</w:t>
      </w:r>
      <w:r w:rsidRPr="007125D8">
        <w:t xml:space="preserve">.  In those analyses, we described in detail the small entities that might be significantly affected.  In this </w:t>
      </w:r>
      <w:r w:rsidRPr="00415B6D">
        <w:t>Public Notice</w:t>
      </w:r>
      <w:r w:rsidRPr="007125D8">
        <w:t xml:space="preserve">, we hereby incorporate by reference the descriptions and estimates of the number of small entities from the previous FRFAs in the </w:t>
      </w:r>
      <w:r w:rsidRPr="008F36CE">
        <w:rPr>
          <w:i/>
        </w:rPr>
        <w:t>MF-II Orders</w:t>
      </w:r>
      <w:r w:rsidRPr="007125D8">
        <w:t>.</w:t>
      </w:r>
      <w:r>
        <w:rPr>
          <w:rStyle w:val="FootnoteReference"/>
        </w:rPr>
        <w:footnoteReference w:id="53"/>
      </w:r>
    </w:p>
    <w:p w:rsidR="007520ED" w:rsidP="007520ED">
      <w:pPr>
        <w:pStyle w:val="Heading3"/>
      </w:pPr>
      <w:r w:rsidRPr="00657022">
        <w:t>Description of Projected Reporting, Recordkeeping, and Other Compliance Requirements for Small Entities</w:t>
      </w:r>
    </w:p>
    <w:p w:rsidR="007520ED" w:rsidRPr="006801EC" w:rsidP="007520ED">
      <w:pPr>
        <w:pStyle w:val="ParaNum"/>
      </w:pPr>
      <w:r w:rsidRPr="006801EC">
        <w:t xml:space="preserve">The data, information and document collection required by the </w:t>
      </w:r>
      <w:r w:rsidRPr="008F36CE">
        <w:rPr>
          <w:i/>
        </w:rPr>
        <w:t>MF-II Orders</w:t>
      </w:r>
      <w:r w:rsidRPr="006801EC">
        <w:t xml:space="preserve"> as described in the previous FRFAs and the SIRFA in the </w:t>
      </w:r>
      <w:r w:rsidRPr="008F36CE">
        <w:rPr>
          <w:i/>
        </w:rPr>
        <w:t>MF-II Challenge Process</w:t>
      </w:r>
      <w:r>
        <w:t xml:space="preserve"> </w:t>
      </w:r>
      <w:r w:rsidRPr="008F36CE">
        <w:rPr>
          <w:i/>
        </w:rPr>
        <w:t>Comment Public Notice</w:t>
      </w:r>
      <w:r w:rsidRPr="006801EC">
        <w:t xml:space="preserve"> in this proceeding </w:t>
      </w:r>
      <w:r>
        <w:t xml:space="preserve">are </w:t>
      </w:r>
      <w:r w:rsidRPr="006801EC">
        <w:t>hereby incorporated by reference</w:t>
      </w:r>
      <w:r>
        <w:t>.</w:t>
      </w:r>
      <w:r>
        <w:rPr>
          <w:rStyle w:val="FootnoteReference"/>
        </w:rPr>
        <w:footnoteReference w:id="54"/>
      </w:r>
    </w:p>
    <w:p w:rsidR="007520ED" w:rsidRPr="00A5117C" w:rsidP="007520ED">
      <w:pPr>
        <w:pStyle w:val="Heading3"/>
      </w:pPr>
      <w:r>
        <w:t>Steps Taken to Minimize the Significant Economic Impact on Small Entities, and Significant Alternatives Considered</w:t>
      </w:r>
    </w:p>
    <w:p w:rsidR="007520ED" w:rsidP="007520ED">
      <w:pPr>
        <w:pStyle w:val="ParaNum"/>
      </w:pPr>
      <w:r w:rsidRPr="00213C0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t>.</w:t>
      </w:r>
      <w:r w:rsidR="004D2234">
        <w:t>”</w:t>
      </w:r>
      <w:r>
        <w:rPr>
          <w:vertAlign w:val="superscript"/>
        </w:rPr>
        <w:footnoteReference w:id="55"/>
      </w:r>
      <w:r>
        <w:t xml:space="preserve"> </w:t>
      </w:r>
    </w:p>
    <w:p w:rsidR="007520ED" w:rsidRPr="00552982" w:rsidP="007520ED">
      <w:pPr>
        <w:pStyle w:val="ParaNum"/>
      </w:pPr>
      <w:r w:rsidRPr="00AD14E9">
        <w:t>The analysis of the Commission’s efforts to minimize the possible significant economic impact on small entities as described in the previous</w:t>
      </w:r>
      <w:r>
        <w:t xml:space="preserve"> </w:t>
      </w:r>
      <w:r w:rsidRPr="008F36CE">
        <w:rPr>
          <w:i/>
        </w:rPr>
        <w:t>MF-II Order</w:t>
      </w:r>
      <w:r w:rsidRPr="00AD14E9">
        <w:t xml:space="preserve"> FRFA</w:t>
      </w:r>
      <w:r>
        <w:t>s</w:t>
      </w:r>
      <w:r w:rsidRPr="00AD14E9">
        <w:t xml:space="preserve"> </w:t>
      </w:r>
      <w:r>
        <w:t>are</w:t>
      </w:r>
      <w:r w:rsidRPr="00AD14E9">
        <w:t xml:space="preserve"> hereby incorporated by reference</w:t>
      </w:r>
      <w:r>
        <w:t>.</w:t>
      </w:r>
      <w:r>
        <w:rPr>
          <w:rStyle w:val="FootnoteReference"/>
        </w:rPr>
        <w:footnoteReference w:id="56"/>
      </w:r>
      <w:r>
        <w:t xml:space="preserve">  As discussed above, the requirements and procedures established in this </w:t>
      </w:r>
      <w:r w:rsidRPr="00415B6D">
        <w:t>Public Notice</w:t>
      </w:r>
      <w:r>
        <w:t xml:space="preserve"> are </w:t>
      </w:r>
      <w:r w:rsidRPr="004E1261">
        <w:rPr>
          <w:szCs w:val="22"/>
        </w:rPr>
        <w:t>intended to provide small entities with sufficient flexibility to choose a device that fits their needs and budgets</w:t>
      </w:r>
      <w:r>
        <w:rPr>
          <w:szCs w:val="22"/>
        </w:rPr>
        <w:t xml:space="preserve"> thereby minimizing significant economic impact on small entities.  </w:t>
      </w:r>
    </w:p>
    <w:p w:rsidR="007520ED" w:rsidRPr="00617BC6" w:rsidP="007520ED">
      <w:pPr>
        <w:pStyle w:val="Heading3"/>
      </w:pPr>
      <w:r w:rsidRPr="00617BC6">
        <w:t>Report to Congress</w:t>
      </w:r>
    </w:p>
    <w:p w:rsidR="001D741B" w:rsidRPr="004F1E9A" w:rsidP="007520ED">
      <w:pPr>
        <w:pStyle w:val="ParaNum"/>
        <w:tabs>
          <w:tab w:val="clear" w:pos="1440"/>
        </w:tabs>
        <w:rPr>
          <w:szCs w:val="22"/>
        </w:rPr>
      </w:pPr>
      <w:r w:rsidRPr="00552982">
        <w:t xml:space="preserve">The Commission will send a copy of this </w:t>
      </w:r>
      <w:r w:rsidRPr="00415B6D">
        <w:t>Public Notice</w:t>
      </w:r>
      <w:r w:rsidRPr="00552982">
        <w:t xml:space="preserve">, including this SFRFA, in a report to Congress pursuant to the Congressional Review Act.  In addition, the Commission will send a copy of this </w:t>
      </w:r>
      <w:r w:rsidRPr="00415B6D">
        <w:t>Public Notice</w:t>
      </w:r>
      <w:r w:rsidRPr="00552982">
        <w:t xml:space="preserve">, including this </w:t>
      </w:r>
      <w:r>
        <w:t>S</w:t>
      </w:r>
      <w:r w:rsidRPr="00552982">
        <w:t xml:space="preserve">FRFA, to the Chief Counsel for Advocacy of the SBA.  A copy of this </w:t>
      </w:r>
      <w:r w:rsidRPr="00415B6D">
        <w:t>Public Notice</w:t>
      </w:r>
      <w:r w:rsidRPr="00552982">
        <w:t xml:space="preserve">, and </w:t>
      </w:r>
      <w:r>
        <w:t>S</w:t>
      </w:r>
      <w:r w:rsidRPr="00552982">
        <w:t xml:space="preserve">FRFA (or summaries thereof) will also be published in the </w:t>
      </w:r>
      <w:r w:rsidRPr="008F36CE">
        <w:rPr>
          <w:i/>
        </w:rPr>
        <w:t>Federal Register</w:t>
      </w:r>
      <w:r>
        <w:t>.</w:t>
      </w:r>
      <w:r>
        <w:rPr>
          <w:rStyle w:val="FootnoteReference"/>
          <w:szCs w:val="22"/>
        </w:rPr>
        <w:footnoteReference w:id="57"/>
      </w:r>
    </w:p>
    <w:p w:rsidR="008D0DFD" w:rsidRPr="005E7EDB" w:rsidP="00C01371">
      <w:pPr>
        <w:pStyle w:val="Heading1"/>
        <w:rPr>
          <w:szCs w:val="22"/>
        </w:rPr>
      </w:pPr>
      <w:r w:rsidRPr="005E7EDB">
        <w:rPr>
          <w:szCs w:val="22"/>
        </w:rPr>
        <w:t>Contact Information</w:t>
      </w:r>
    </w:p>
    <w:p w:rsidR="008D0DFD" w:rsidP="000E730B">
      <w:pPr>
        <w:pStyle w:val="ParaNum"/>
        <w:rPr>
          <w:szCs w:val="22"/>
        </w:rPr>
      </w:pPr>
      <w:r w:rsidRPr="003702FE">
        <w:rPr>
          <w:szCs w:val="22"/>
        </w:rPr>
        <w:t xml:space="preserve">For </w:t>
      </w:r>
      <w:r w:rsidRPr="003702FE" w:rsidR="00A53BD6">
        <w:rPr>
          <w:szCs w:val="22"/>
        </w:rPr>
        <w:t>information on the one-time 4G LTE coverage</w:t>
      </w:r>
      <w:r w:rsidRPr="00362DA5" w:rsidR="00A53BD6">
        <w:rPr>
          <w:szCs w:val="22"/>
        </w:rPr>
        <w:t xml:space="preserve"> data collection</w:t>
      </w:r>
      <w:r w:rsidRPr="00362DA5">
        <w:rPr>
          <w:szCs w:val="22"/>
        </w:rPr>
        <w:t xml:space="preserve">, see </w:t>
      </w:r>
      <w:r w:rsidRPr="00362DA5" w:rsidR="00A53BD6">
        <w:rPr>
          <w:i/>
          <w:szCs w:val="22"/>
        </w:rPr>
        <w:t xml:space="preserve">4G </w:t>
      </w:r>
      <w:r w:rsidR="00AE630F">
        <w:rPr>
          <w:i/>
          <w:szCs w:val="22"/>
        </w:rPr>
        <w:t>LTE Collection Instructions</w:t>
      </w:r>
      <w:r w:rsidRPr="00362DA5" w:rsidR="00A53BD6">
        <w:rPr>
          <w:i/>
          <w:szCs w:val="22"/>
        </w:rPr>
        <w:t xml:space="preserve"> P</w:t>
      </w:r>
      <w:r w:rsidRPr="009E51F5" w:rsidR="003E2888">
        <w:rPr>
          <w:i/>
          <w:szCs w:val="22"/>
        </w:rPr>
        <w:t xml:space="preserve">ublic </w:t>
      </w:r>
      <w:r w:rsidRPr="009E51F5" w:rsidR="00A53BD6">
        <w:rPr>
          <w:i/>
          <w:szCs w:val="22"/>
        </w:rPr>
        <w:t>N</w:t>
      </w:r>
      <w:r w:rsidRPr="00C15F36" w:rsidR="003E2888">
        <w:rPr>
          <w:i/>
          <w:szCs w:val="22"/>
        </w:rPr>
        <w:t>otice</w:t>
      </w:r>
      <w:r w:rsidRPr="00C15F36" w:rsidR="00A53BD6">
        <w:rPr>
          <w:szCs w:val="22"/>
        </w:rPr>
        <w:t>,</w:t>
      </w:r>
      <w:r>
        <w:rPr>
          <w:rStyle w:val="FootnoteReference"/>
          <w:sz w:val="22"/>
          <w:szCs w:val="22"/>
        </w:rPr>
        <w:footnoteReference w:id="58"/>
      </w:r>
      <w:r w:rsidRPr="001645A7" w:rsidR="00A53BD6">
        <w:rPr>
          <w:szCs w:val="22"/>
        </w:rPr>
        <w:t xml:space="preserve"> </w:t>
      </w:r>
      <w:r w:rsidRPr="001645A7">
        <w:rPr>
          <w:szCs w:val="22"/>
        </w:rPr>
        <w:t>or consult</w:t>
      </w:r>
      <w:r w:rsidRPr="005E7EDB" w:rsidR="00A53BD6">
        <w:rPr>
          <w:szCs w:val="22"/>
        </w:rPr>
        <w:t xml:space="preserve"> the Commission’s MF-II 4G LTE Data Collection</w:t>
      </w:r>
      <w:r w:rsidRPr="003702FE" w:rsidR="00A53BD6">
        <w:rPr>
          <w:szCs w:val="22"/>
        </w:rPr>
        <w:t xml:space="preserve"> webpage at </w:t>
      </w:r>
      <w:r w:rsidRPr="005C5914" w:rsidR="00BB3C4F">
        <w:rPr>
          <w:szCs w:val="22"/>
        </w:rPr>
        <w:t>www.fcc.gov/MF2-LTE-Collection</w:t>
      </w:r>
      <w:r w:rsidRPr="001645A7" w:rsidR="00A53BD6">
        <w:rPr>
          <w:rStyle w:val="Hyperlink"/>
          <w:color w:val="auto"/>
          <w:szCs w:val="22"/>
          <w:u w:val="none"/>
        </w:rPr>
        <w:t>.</w:t>
      </w:r>
      <w:r w:rsidRPr="001645A7">
        <w:rPr>
          <w:rStyle w:val="Hyperlink"/>
          <w:szCs w:val="22"/>
          <w:u w:val="none"/>
        </w:rPr>
        <w:t xml:space="preserve"> </w:t>
      </w:r>
      <w:r w:rsidRPr="005E7EDB">
        <w:rPr>
          <w:rStyle w:val="Hyperlink"/>
          <w:szCs w:val="22"/>
          <w:u w:val="none"/>
        </w:rPr>
        <w:t xml:space="preserve"> </w:t>
      </w:r>
      <w:r w:rsidRPr="00D53D0A" w:rsidR="00A53BD6">
        <w:rPr>
          <w:szCs w:val="22"/>
        </w:rPr>
        <w:t xml:space="preserve">Please note that responses to the </w:t>
      </w:r>
      <w:r w:rsidRPr="00D53D0A" w:rsidR="00E93613">
        <w:rPr>
          <w:szCs w:val="22"/>
        </w:rPr>
        <w:t>MF-II</w:t>
      </w:r>
      <w:r w:rsidRPr="00D53D0A" w:rsidR="00A53BD6">
        <w:rPr>
          <w:szCs w:val="22"/>
        </w:rPr>
        <w:t xml:space="preserve"> 4G LTE </w:t>
      </w:r>
      <w:r w:rsidRPr="00D53D0A">
        <w:rPr>
          <w:szCs w:val="22"/>
        </w:rPr>
        <w:t>data collection are due</w:t>
      </w:r>
      <w:r w:rsidRPr="00D53D0A" w:rsidR="00A53BD6">
        <w:rPr>
          <w:szCs w:val="22"/>
        </w:rPr>
        <w:t xml:space="preserve"> </w:t>
      </w:r>
      <w:r w:rsidR="00AE630F">
        <w:rPr>
          <w:szCs w:val="22"/>
        </w:rPr>
        <w:t xml:space="preserve">by </w:t>
      </w:r>
      <w:r w:rsidRPr="00D53D0A" w:rsidR="00A53BD6">
        <w:rPr>
          <w:szCs w:val="22"/>
        </w:rPr>
        <w:t>January 4, 2018.</w:t>
      </w:r>
      <w:r>
        <w:rPr>
          <w:rStyle w:val="FootnoteReference"/>
          <w:sz w:val="22"/>
          <w:szCs w:val="22"/>
        </w:rPr>
        <w:footnoteReference w:id="59"/>
      </w:r>
      <w:r w:rsidRPr="001645A7" w:rsidR="00E93613">
        <w:rPr>
          <w:szCs w:val="22"/>
        </w:rPr>
        <w:t xml:space="preserve">  Parties with questions </w:t>
      </w:r>
      <w:r w:rsidR="00D53D0A">
        <w:rPr>
          <w:szCs w:val="22"/>
        </w:rPr>
        <w:t xml:space="preserve">about the collection </w:t>
      </w:r>
      <w:r w:rsidRPr="001645A7" w:rsidR="00E93613">
        <w:rPr>
          <w:szCs w:val="22"/>
        </w:rPr>
        <w:t xml:space="preserve">should email </w:t>
      </w:r>
      <w:r w:rsidRPr="005C5914" w:rsidR="00BB3C4F">
        <w:rPr>
          <w:szCs w:val="22"/>
        </w:rPr>
        <w:t>ltedata@fcc.gov</w:t>
      </w:r>
      <w:r w:rsidRPr="001645A7" w:rsidR="00E93613">
        <w:rPr>
          <w:szCs w:val="22"/>
        </w:rPr>
        <w:t xml:space="preserve"> or contact Ken Lynch at (202) 418-7356 or Ben Freeman at (202) 418</w:t>
      </w:r>
      <w:r w:rsidRPr="005E7EDB" w:rsidR="00E93613">
        <w:rPr>
          <w:szCs w:val="22"/>
        </w:rPr>
        <w:t>-0628.</w:t>
      </w:r>
    </w:p>
    <w:p w:rsidR="00BB3C4F" w:rsidRPr="005E7EDB" w:rsidP="00BB3C4F">
      <w:pPr>
        <w:pStyle w:val="ParaNum"/>
      </w:pPr>
      <w:r>
        <w:t xml:space="preserve">For further information concerning the </w:t>
      </w:r>
      <w:r w:rsidRPr="00A04C12" w:rsidR="00D53D0A">
        <w:rPr>
          <w:i/>
        </w:rPr>
        <w:t>MF-II Challenge Process Comment Public Notice</w:t>
      </w:r>
      <w:r>
        <w:t xml:space="preserve">, </w:t>
      </w:r>
      <w:r w:rsidRPr="00BB3C4F">
        <w:rPr>
          <w:szCs w:val="22"/>
        </w:rPr>
        <w:t>contact Jonathan McCormack, Auctions and Spectrum Access Division, Wireless Telecommunications Bureau, at (202) 418-0660.</w:t>
      </w:r>
    </w:p>
    <w:p w:rsidR="004474F9" w:rsidP="002C6840">
      <w:pPr>
        <w:pStyle w:val="ParaNum"/>
        <w:numPr>
          <w:ilvl w:val="0"/>
          <w:numId w:val="0"/>
        </w:numPr>
        <w:jc w:val="center"/>
        <w:rPr>
          <w:b/>
          <w:szCs w:val="22"/>
        </w:rPr>
      </w:pPr>
    </w:p>
    <w:p w:rsidR="00AD2707" w:rsidRPr="00BB7DC9" w:rsidP="002C6840">
      <w:pPr>
        <w:pStyle w:val="ParaNum"/>
        <w:numPr>
          <w:ilvl w:val="0"/>
          <w:numId w:val="0"/>
        </w:numPr>
        <w:jc w:val="center"/>
        <w:rPr>
          <w:b/>
          <w:szCs w:val="22"/>
        </w:rPr>
      </w:pPr>
      <w:r w:rsidRPr="00BB7DC9">
        <w:rPr>
          <w:b/>
          <w:szCs w:val="22"/>
        </w:rPr>
        <w:t>-FCC-</w:t>
      </w:r>
    </w:p>
    <w:sectPr w:rsidSect="003044EA">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fldChar w:fldCharType="end"/>
    </w:r>
  </w:p>
  <w:p w:rsidR="0058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rsidR="006C195D">
      <w:rPr>
        <w:noProof/>
      </w:rPr>
      <w:t>2</w:t>
    </w:r>
    <w:r>
      <w:fldChar w:fldCharType="end"/>
    </w:r>
  </w:p>
  <w:p w:rsidR="005828DE">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3739">
      <w:r>
        <w:separator/>
      </w:r>
    </w:p>
  </w:footnote>
  <w:footnote w:type="continuationSeparator" w:id="1">
    <w:p w:rsidR="00A43739" w:rsidP="00C721AC">
      <w:pPr>
        <w:spacing w:before="120"/>
        <w:rPr>
          <w:sz w:val="20"/>
        </w:rPr>
      </w:pPr>
      <w:r>
        <w:rPr>
          <w:sz w:val="20"/>
        </w:rPr>
        <w:t xml:space="preserve">(Continued from previous page)  </w:t>
      </w:r>
      <w:r>
        <w:rPr>
          <w:sz w:val="20"/>
        </w:rPr>
        <w:separator/>
      </w:r>
    </w:p>
  </w:footnote>
  <w:footnote w:type="continuationNotice" w:id="2">
    <w:p w:rsidR="00A43739" w:rsidP="00C721AC">
      <w:pPr>
        <w:jc w:val="right"/>
        <w:rPr>
          <w:sz w:val="20"/>
        </w:rPr>
      </w:pPr>
      <w:r>
        <w:rPr>
          <w:sz w:val="20"/>
        </w:rPr>
        <w:t>(continued….)</w:t>
      </w:r>
    </w:p>
  </w:footnote>
  <w:footnote w:id="3">
    <w:p w:rsidR="005828DE" w:rsidRPr="007904C7">
      <w:pPr>
        <w:pStyle w:val="FootnoteText"/>
      </w:pPr>
      <w:r w:rsidRPr="007904C7">
        <w:rPr>
          <w:rStyle w:val="FootnoteReference"/>
        </w:rPr>
        <w:footnoteRef/>
      </w:r>
      <w:r w:rsidRPr="007904C7">
        <w:t xml:space="preserve"> </w:t>
      </w:r>
      <w:r w:rsidRPr="007904C7">
        <w:rPr>
          <w:i/>
        </w:rPr>
        <w:t>Connect America Fund; Universal Service Reform – Mobility Fund</w:t>
      </w:r>
      <w:r w:rsidRPr="007904C7">
        <w:t>, Order on Reconsideration and Second Report and Order, 32 FCC Rcd 6282, 6302, 6308, paras. 39 &amp; n.109, 50 &amp; n.148 (2017) (</w:t>
      </w:r>
      <w:r w:rsidRPr="007904C7">
        <w:rPr>
          <w:i/>
        </w:rPr>
        <w:t>MF-II Challenge Process Order</w:t>
      </w:r>
      <w:r w:rsidRPr="007904C7">
        <w:t>).</w:t>
      </w:r>
    </w:p>
  </w:footnote>
  <w:footnote w:id="4">
    <w:p w:rsidR="005828DE" w:rsidRPr="007904C7">
      <w:pPr>
        <w:pStyle w:val="FootnoteText"/>
      </w:pPr>
      <w:r w:rsidRPr="007904C7">
        <w:rPr>
          <w:rStyle w:val="FootnoteReference"/>
        </w:rPr>
        <w:footnoteRef/>
      </w:r>
      <w:r w:rsidRPr="007904C7">
        <w:t xml:space="preserve"> </w:t>
      </w:r>
      <w:r w:rsidRPr="007904C7">
        <w:rPr>
          <w:i/>
        </w:rPr>
        <w:t>Id.</w:t>
      </w:r>
      <w:r w:rsidRPr="007904C7">
        <w:t xml:space="preserve"> at 6297, </w:t>
      </w:r>
      <w:r w:rsidR="002F14B8">
        <w:t xml:space="preserve">6311-12, </w:t>
      </w:r>
      <w:r w:rsidRPr="007904C7">
        <w:t>paras. 29 &amp; n.84, 59.</w:t>
      </w:r>
    </w:p>
  </w:footnote>
  <w:footnote w:id="5">
    <w:p w:rsidR="005828DE" w:rsidRPr="007904C7" w:rsidP="008D0DFD">
      <w:pPr>
        <w:pStyle w:val="FootnoteText"/>
      </w:pPr>
      <w:r w:rsidRPr="007904C7">
        <w:rPr>
          <w:rStyle w:val="FootnoteReference"/>
        </w:rPr>
        <w:footnoteRef/>
      </w:r>
      <w:r w:rsidRPr="007904C7">
        <w:t xml:space="preserve"> </w:t>
      </w:r>
      <w:r w:rsidRPr="007904C7">
        <w:rPr>
          <w:i/>
        </w:rPr>
        <w:t xml:space="preserve">Id. </w:t>
      </w:r>
      <w:r w:rsidRPr="007904C7">
        <w:t xml:space="preserve">at 6296, para. 28.  </w:t>
      </w:r>
      <w:r w:rsidRPr="007904C7" w:rsidR="00D82581">
        <w:t xml:space="preserve">We proposed to generate the map of presumptively eligible areas for each state by merging the maps of unsubsidized coverage for all providers (the ineligible areas) and removing the ineligible areas from the state’s boundary to produce the eligible areas.  </w:t>
      </w:r>
      <w:r w:rsidRPr="007904C7" w:rsidR="00D82581">
        <w:rPr>
          <w:i/>
        </w:rPr>
        <w:t>Comment Sought on Mobility Fund Phase II Challenge Process Procedures and Technical Implementation</w:t>
      </w:r>
      <w:r w:rsidRPr="007904C7" w:rsidR="00D82581">
        <w:t>,</w:t>
      </w:r>
      <w:r w:rsidRPr="007904C7" w:rsidR="00D82581">
        <w:rPr>
          <w:i/>
        </w:rPr>
        <w:t xml:space="preserve"> </w:t>
      </w:r>
      <w:r w:rsidRPr="007904C7" w:rsidR="00D82581">
        <w:t>Public Notice, 32 FCC Rcd 7596, 7597-98, paras. 3-4 (WCB/WTB 2017)</w:t>
      </w:r>
      <w:r w:rsidRPr="007904C7" w:rsidR="00D82581">
        <w:rPr>
          <w:color w:val="212121"/>
          <w:shd w:val="clear" w:color="auto" w:fill="FFFFFF"/>
        </w:rPr>
        <w:t xml:space="preserve"> </w:t>
      </w:r>
      <w:r w:rsidRPr="007904C7" w:rsidR="00D82581">
        <w:t>(</w:t>
      </w:r>
      <w:r w:rsidRPr="007904C7" w:rsidR="00D82581">
        <w:rPr>
          <w:i/>
        </w:rPr>
        <w:t>MF-II Challenge Process Comment Public Notice</w:t>
      </w:r>
      <w:r w:rsidRPr="007904C7" w:rsidR="00D82581">
        <w:t>).</w:t>
      </w:r>
    </w:p>
  </w:footnote>
  <w:footnote w:id="6">
    <w:p w:rsidR="005828DE" w:rsidRPr="007904C7">
      <w:pPr>
        <w:pStyle w:val="FootnoteText"/>
      </w:pPr>
      <w:r w:rsidRPr="007904C7">
        <w:rPr>
          <w:rStyle w:val="FootnoteReference"/>
        </w:rPr>
        <w:footnoteRef/>
      </w:r>
      <w:r w:rsidRPr="007904C7">
        <w:t xml:space="preserve"> </w:t>
      </w:r>
      <w:r w:rsidRPr="007904C7">
        <w:rPr>
          <w:i/>
        </w:rPr>
        <w:t>MF-II Challenge Process Order</w:t>
      </w:r>
      <w:r w:rsidRPr="007904C7">
        <w:t xml:space="preserve">, 32 FCC Rcd at 6306, para. 47; </w:t>
      </w:r>
      <w:r w:rsidRPr="007904C7">
        <w:rPr>
          <w:i/>
        </w:rPr>
        <w:t>see</w:t>
      </w:r>
      <w:r w:rsidRPr="007904C7">
        <w:t xml:space="preserve"> </w:t>
      </w:r>
      <w:r w:rsidRPr="007904C7">
        <w:rPr>
          <w:i/>
        </w:rPr>
        <w:t>id.</w:t>
      </w:r>
      <w:r w:rsidRPr="007904C7">
        <w:t xml:space="preserve"> at 6296-97, 6308, paras. 29, 50.</w:t>
      </w:r>
    </w:p>
  </w:footnote>
  <w:footnote w:id="7">
    <w:p w:rsidR="005828DE" w:rsidRPr="007904C7">
      <w:pPr>
        <w:pStyle w:val="FootnoteText"/>
      </w:pPr>
      <w:r w:rsidRPr="007904C7">
        <w:rPr>
          <w:rStyle w:val="FootnoteReference"/>
        </w:rPr>
        <w:footnoteRef/>
      </w:r>
      <w:r w:rsidRPr="007904C7">
        <w:t xml:space="preserve"> </w:t>
      </w:r>
      <w:r w:rsidRPr="007904C7">
        <w:rPr>
          <w:i/>
        </w:rPr>
        <w:t>Id.</w:t>
      </w:r>
      <w:r w:rsidRPr="007904C7">
        <w:t xml:space="preserve"> at 6297, 6306, paras. 29, 47.</w:t>
      </w:r>
    </w:p>
  </w:footnote>
  <w:footnote w:id="8">
    <w:p w:rsidR="005828DE" w:rsidRPr="007904C7" w:rsidP="00DB3FA9">
      <w:pPr>
        <w:pStyle w:val="FootnoteText"/>
      </w:pPr>
      <w:r w:rsidRPr="007904C7">
        <w:rPr>
          <w:rStyle w:val="FootnoteReference"/>
        </w:rPr>
        <w:footnoteRef/>
      </w:r>
      <w:r w:rsidRPr="007904C7">
        <w:t xml:space="preserve"> </w:t>
      </w:r>
      <w:r w:rsidRPr="007904C7">
        <w:rPr>
          <w:i/>
        </w:rPr>
        <w:t>Id.</w:t>
      </w:r>
      <w:r w:rsidRPr="007904C7">
        <w:t xml:space="preserve"> at 6307, para. 49.</w:t>
      </w:r>
    </w:p>
  </w:footnote>
  <w:footnote w:id="9">
    <w:p w:rsidR="005828DE" w:rsidRPr="007904C7">
      <w:pPr>
        <w:pStyle w:val="FootnoteText"/>
      </w:pPr>
      <w:r w:rsidRPr="007904C7">
        <w:rPr>
          <w:rStyle w:val="FootnoteReference"/>
        </w:rPr>
        <w:footnoteRef/>
      </w:r>
      <w:r w:rsidRPr="007904C7">
        <w:t xml:space="preserve"> </w:t>
      </w:r>
      <w:r w:rsidRPr="007904C7">
        <w:rPr>
          <w:i/>
        </w:rPr>
        <w:t>Id.</w:t>
      </w:r>
      <w:r w:rsidRPr="007904C7">
        <w:t xml:space="preserve"> at 6306, para. 47; </w:t>
      </w:r>
      <w:r w:rsidRPr="007904C7">
        <w:rPr>
          <w:i/>
        </w:rPr>
        <w:t>accord</w:t>
      </w:r>
      <w:r w:rsidRPr="007904C7">
        <w:t xml:space="preserve"> </w:t>
      </w:r>
      <w:r w:rsidRPr="007904C7">
        <w:rPr>
          <w:i/>
        </w:rPr>
        <w:t>id.</w:t>
      </w:r>
      <w:r w:rsidRPr="007904C7">
        <w:t xml:space="preserve"> at 6308, para. 49 (“We will require that </w:t>
      </w:r>
      <w:r w:rsidRPr="007904C7">
        <w:rPr>
          <w:u w:val="single"/>
        </w:rPr>
        <w:t>all</w:t>
      </w:r>
      <w:r w:rsidRPr="007904C7">
        <w:t xml:space="preserve"> speed tests be conducted pursuant to standard parameters using Commission-approved testing methods on pre-approved handsets.” (emphasis added)).  Even though the Commission subsequently reiterated that challengers must use provider-specified handsets for application-based tests and software-based drive tests, </w:t>
      </w:r>
      <w:r w:rsidRPr="007904C7">
        <w:rPr>
          <w:i/>
        </w:rPr>
        <w:t>id.</w:t>
      </w:r>
      <w:r w:rsidRPr="007904C7">
        <w:t xml:space="preserve"> at 6308, para. 50, this statement does not alter the Commission’s original conclusion that all speed tests must be conducted using such handsets.</w:t>
      </w:r>
    </w:p>
  </w:footnote>
  <w:footnote w:id="10">
    <w:p w:rsidR="005828DE" w:rsidRPr="007904C7" w:rsidP="008D0DFD">
      <w:pPr>
        <w:pStyle w:val="FootnoteText"/>
      </w:pPr>
      <w:r w:rsidRPr="007904C7">
        <w:rPr>
          <w:rStyle w:val="FootnoteReference"/>
        </w:rPr>
        <w:footnoteRef/>
      </w:r>
      <w:r w:rsidRPr="007904C7">
        <w:t xml:space="preserve"> </w:t>
      </w:r>
      <w:r w:rsidRPr="007904C7">
        <w:rPr>
          <w:i/>
        </w:rPr>
        <w:t>MF-II Challenge Process Order</w:t>
      </w:r>
      <w:r w:rsidRPr="007904C7">
        <w:t>, 32 FCC Rcd</w:t>
      </w:r>
      <w:r w:rsidRPr="007904C7">
        <w:rPr>
          <w:i/>
        </w:rPr>
        <w:t xml:space="preserve"> </w:t>
      </w:r>
      <w:r w:rsidRPr="007904C7">
        <w:t>at</w:t>
      </w:r>
      <w:r w:rsidRPr="007904C7">
        <w:rPr>
          <w:i/>
        </w:rPr>
        <w:t xml:space="preserve"> </w:t>
      </w:r>
      <w:r w:rsidRPr="007904C7">
        <w:t>6302, 6308, paras. 39, 50.</w:t>
      </w:r>
    </w:p>
  </w:footnote>
  <w:footnote w:id="11">
    <w:p w:rsidR="005828DE" w:rsidRPr="007904C7">
      <w:pPr>
        <w:pStyle w:val="FootnoteText"/>
      </w:pPr>
      <w:r w:rsidRPr="007904C7">
        <w:rPr>
          <w:rStyle w:val="FootnoteReference"/>
        </w:rPr>
        <w:footnoteRef/>
      </w:r>
      <w:r w:rsidRPr="007904C7">
        <w:t xml:space="preserve"> </w:t>
      </w:r>
      <w:r w:rsidRPr="007904C7" w:rsidR="003176D0">
        <w:rPr>
          <w:i/>
        </w:rPr>
        <w:t>Id.</w:t>
      </w:r>
      <w:r w:rsidRPr="007904C7">
        <w:t xml:space="preserve"> at </w:t>
      </w:r>
      <w:r w:rsidR="00106EF3">
        <w:t xml:space="preserve">6302, </w:t>
      </w:r>
      <w:r w:rsidRPr="007904C7">
        <w:t>6308, paras. 39 &amp; n.109, 50 &amp; n.148.</w:t>
      </w:r>
    </w:p>
  </w:footnote>
  <w:footnote w:id="12">
    <w:p w:rsidR="005828DE" w:rsidRPr="007904C7">
      <w:pPr>
        <w:pStyle w:val="FootnoteText"/>
      </w:pPr>
      <w:r w:rsidRPr="007904C7">
        <w:rPr>
          <w:rStyle w:val="FootnoteReference"/>
        </w:rPr>
        <w:footnoteRef/>
      </w:r>
      <w:r w:rsidRPr="007904C7">
        <w:t xml:space="preserve"> </w:t>
      </w:r>
      <w:r w:rsidRPr="007904C7">
        <w:rPr>
          <w:i/>
        </w:rPr>
        <w:t>Id.</w:t>
      </w:r>
      <w:r w:rsidRPr="007904C7">
        <w:t xml:space="preserve"> at 6308, para. 50 n.148; </w:t>
      </w:r>
      <w:r w:rsidRPr="007904C7">
        <w:rPr>
          <w:i/>
        </w:rPr>
        <w:t>see</w:t>
      </w:r>
      <w:r w:rsidRPr="007904C7">
        <w:t xml:space="preserve"> </w:t>
      </w:r>
      <w:r w:rsidRPr="007904C7">
        <w:rPr>
          <w:i/>
        </w:rPr>
        <w:t>id.</w:t>
      </w:r>
      <w:r w:rsidRPr="007904C7">
        <w:t xml:space="preserve"> at 6302, para. 39 n.109 (“As discussed below, the Bureaus will issue further guidance or requirements on the handsets that may be used for speed tests in a subsequent public notice.”).</w:t>
      </w:r>
    </w:p>
  </w:footnote>
  <w:footnote w:id="13">
    <w:p w:rsidR="005828DE" w:rsidRPr="007904C7" w:rsidP="000C1A39">
      <w:pPr>
        <w:pStyle w:val="FootnoteText"/>
      </w:pPr>
      <w:r w:rsidRPr="007904C7">
        <w:rPr>
          <w:rStyle w:val="FootnoteReference"/>
        </w:rPr>
        <w:footnoteRef/>
      </w:r>
      <w:r w:rsidRPr="007904C7">
        <w:t xml:space="preserve"> </w:t>
      </w:r>
      <w:r w:rsidRPr="007904C7">
        <w:rPr>
          <w:i/>
        </w:rPr>
        <w:t>Instructions for Filing 4G LTE Coverage Data to Determine Areas Presumptively Eligible for Mobility Fund II Support</w:t>
      </w:r>
      <w:r w:rsidRPr="007904C7">
        <w:t>, Public Notice, 32 FCC Rcd 7023, 7024-28 (WCB/WTB 2017) (</w:t>
      </w:r>
      <w:r w:rsidRPr="007904C7">
        <w:rPr>
          <w:i/>
        </w:rPr>
        <w:t>4G LTE Collection Instructions Public Notice</w:t>
      </w:r>
      <w:r w:rsidRPr="007904C7">
        <w:t xml:space="preserve">).  Filers must collect and submit the </w:t>
      </w:r>
      <w:r w:rsidR="00A376ED">
        <w:t xml:space="preserve">coverage </w:t>
      </w:r>
      <w:r w:rsidRPr="007904C7">
        <w:t xml:space="preserve">data no later than 90 days after the Commission published, in the Federal Register, a notice of approval by the Office of Management and Budget (OMB) of the one-time information collection request.  </w:t>
      </w:r>
      <w:r w:rsidRPr="007904C7">
        <w:rPr>
          <w:i/>
        </w:rPr>
        <w:t>Id</w:t>
      </w:r>
      <w:r w:rsidRPr="007904C7">
        <w:t>. at 7023, 7027.  The Commission published notice of OMB’s approval in the Federal Register on October 5, 2017.  82 Fed. Reg. 46494 (Oct. 5, 2017).</w:t>
      </w:r>
    </w:p>
  </w:footnote>
  <w:footnote w:id="14">
    <w:p w:rsidR="005828DE" w:rsidRPr="007904C7" w:rsidP="000C1A39">
      <w:pPr>
        <w:pStyle w:val="FootnoteText"/>
      </w:pPr>
      <w:r w:rsidRPr="007904C7">
        <w:rPr>
          <w:rStyle w:val="FootnoteReference"/>
        </w:rPr>
        <w:footnoteRef/>
      </w:r>
      <w:r w:rsidRPr="007904C7">
        <w:t xml:space="preserve"> </w:t>
      </w:r>
      <w:r w:rsidRPr="007904C7">
        <w:rPr>
          <w:i/>
        </w:rPr>
        <w:t>Responses to the Mobility Fund Phase II 4G LTE Data Collection Are Due by January 4, 2018</w:t>
      </w:r>
      <w:r w:rsidRPr="007904C7">
        <w:t>, Public Notice, 32 FCC Rcd 7431, 7431 (WCB/WTB 2017).</w:t>
      </w:r>
    </w:p>
  </w:footnote>
  <w:footnote w:id="15">
    <w:p w:rsidR="005828DE" w:rsidRPr="007904C7" w:rsidP="009655B2">
      <w:pPr>
        <w:pStyle w:val="FootnoteText"/>
      </w:pPr>
      <w:r w:rsidRPr="007904C7">
        <w:rPr>
          <w:rStyle w:val="FootnoteReference"/>
        </w:rPr>
        <w:footnoteRef/>
      </w:r>
      <w:r w:rsidRPr="007904C7">
        <w:t xml:space="preserve"> </w:t>
      </w:r>
      <w:r w:rsidRPr="007904C7">
        <w:rPr>
          <w:i/>
        </w:rPr>
        <w:t>MF-II Challenge Process Comment Public Notice</w:t>
      </w:r>
      <w:r w:rsidRPr="007904C7">
        <w:t>, 32 FCC Rcd at 7600, para. 8</w:t>
      </w:r>
      <w:r w:rsidRPr="007904C7" w:rsidR="005C153F">
        <w:t xml:space="preserve"> (“[W]e propose to require providers to identify at least one device that is either:  (a) officially supported by the latest versions of drive test software, such as JDSU, ZK-SAM, Rohde &amp; Schwartz, TEMS, or Ookla; or (b) engineering-capable and able to be unlocked and put into diagnostic mode in order to interface with drive test software.”)</w:t>
      </w:r>
      <w:r w:rsidRPr="007904C7">
        <w:t xml:space="preserve">; </w:t>
      </w:r>
      <w:r w:rsidRPr="007904C7">
        <w:rPr>
          <w:i/>
        </w:rPr>
        <w:t>see</w:t>
      </w:r>
      <w:r w:rsidRPr="007904C7">
        <w:t xml:space="preserve"> </w:t>
      </w:r>
      <w:r w:rsidRPr="007904C7">
        <w:rPr>
          <w:i/>
        </w:rPr>
        <w:t>also</w:t>
      </w:r>
      <w:r w:rsidRPr="007904C7">
        <w:t xml:space="preserve"> </w:t>
      </w:r>
      <w:r w:rsidRPr="007904C7">
        <w:rPr>
          <w:i/>
        </w:rPr>
        <w:t>MF-II Challenge Process Order</w:t>
      </w:r>
      <w:r w:rsidRPr="007904C7">
        <w:t>, 32 FCC Rcd</w:t>
      </w:r>
      <w:r w:rsidRPr="007904C7">
        <w:rPr>
          <w:i/>
        </w:rPr>
        <w:t xml:space="preserve"> </w:t>
      </w:r>
      <w:r w:rsidRPr="007904C7">
        <w:t xml:space="preserve">at 6308, para. 50 n.148; </w:t>
      </w:r>
      <w:r w:rsidRPr="007904C7">
        <w:rPr>
          <w:i/>
        </w:rPr>
        <w:t>4G LTE Collection Instructions Public Notice</w:t>
      </w:r>
      <w:r w:rsidRPr="007904C7">
        <w:t>, 32 FCC Rcd at 7026.</w:t>
      </w:r>
    </w:p>
  </w:footnote>
  <w:footnote w:id="16">
    <w:p w:rsidR="009060B3" w:rsidRPr="007904C7">
      <w:pPr>
        <w:pStyle w:val="FootnoteText"/>
      </w:pPr>
      <w:r w:rsidRPr="007904C7">
        <w:rPr>
          <w:rStyle w:val="FootnoteReference"/>
        </w:rPr>
        <w:footnoteRef/>
      </w:r>
      <w:r w:rsidRPr="007904C7">
        <w:t xml:space="preserve"> </w:t>
      </w:r>
      <w:r w:rsidRPr="007904C7">
        <w:rPr>
          <w:i/>
        </w:rPr>
        <w:t>MF-II Challenge Process Comment Public Notice</w:t>
      </w:r>
      <w:r w:rsidRPr="007904C7">
        <w:t>, 32 FCC Rcd at 7600, para. 8.</w:t>
      </w:r>
    </w:p>
  </w:footnote>
  <w:footnote w:id="17">
    <w:p w:rsidR="00FA3229" w:rsidRPr="007904C7">
      <w:pPr>
        <w:pStyle w:val="FootnoteText"/>
      </w:pPr>
      <w:r w:rsidRPr="007904C7">
        <w:rPr>
          <w:rStyle w:val="FootnoteReference"/>
        </w:rPr>
        <w:footnoteRef/>
      </w:r>
      <w:r w:rsidRPr="007904C7">
        <w:t xml:space="preserve"> Some commenters argue that the provider-approved handsets should not be subject to any network management practices.  </w:t>
      </w:r>
      <w:r w:rsidRPr="007904C7">
        <w:rPr>
          <w:i/>
        </w:rPr>
        <w:t xml:space="preserve">See </w:t>
      </w:r>
      <w:r w:rsidRPr="007904C7">
        <w:t xml:space="preserve">NTCA Comments at 3; NTCA Reply at 3-4; Verizon Comments at 4; U.S. Cellular Reply at 8-9.  Because network management practices generally implicate service plans rather than handset models, </w:t>
      </w:r>
      <w:r w:rsidRPr="007904C7">
        <w:rPr>
          <w:i/>
        </w:rPr>
        <w:t>see</w:t>
      </w:r>
      <w:r w:rsidRPr="007904C7">
        <w:t xml:space="preserve"> </w:t>
      </w:r>
      <w:r w:rsidRPr="007904C7">
        <w:rPr>
          <w:i/>
        </w:rPr>
        <w:t>MF-II Challenge Process Comment Public Notice</w:t>
      </w:r>
      <w:r w:rsidRPr="007904C7">
        <w:t>, 32 FCC Rcd at 7602, para. 14, we will address the issue of network management practices and the challenge process in a subsequent public notice.</w:t>
      </w:r>
    </w:p>
  </w:footnote>
  <w:footnote w:id="18">
    <w:p w:rsidR="005828DE" w:rsidRPr="007904C7" w:rsidP="00F9672C">
      <w:pPr>
        <w:pStyle w:val="FootnoteText"/>
      </w:pPr>
      <w:r w:rsidRPr="007904C7">
        <w:rPr>
          <w:rStyle w:val="FootnoteReference"/>
        </w:rPr>
        <w:footnoteRef/>
      </w:r>
      <w:r w:rsidRPr="007904C7">
        <w:t xml:space="preserve"> </w:t>
      </w:r>
      <w:r w:rsidRPr="007904C7">
        <w:rPr>
          <w:i/>
        </w:rPr>
        <w:t>See MF-II Challenge Process Comment Public Notice</w:t>
      </w:r>
      <w:r w:rsidRPr="007904C7">
        <w:t xml:space="preserve">, 32 FCC Rcd at 7600, para. 8.  Mosaik “encourage[s] the FCC to avoid any implicit bias in favor of (or against) any particular application-based testing or software-based drive testing platform” and “to clarify that the examples of drive testing software provided in the </w:t>
      </w:r>
      <w:r w:rsidRPr="007904C7">
        <w:rPr>
          <w:i/>
          <w:iCs/>
        </w:rPr>
        <w:t xml:space="preserve">MF-II Challenge Process Public Notice </w:t>
      </w:r>
      <w:r w:rsidRPr="007904C7">
        <w:t xml:space="preserve">are just that—examples.”  Mosaik Comments at 4; </w:t>
      </w:r>
      <w:r w:rsidRPr="007904C7">
        <w:rPr>
          <w:i/>
        </w:rPr>
        <w:t>see also</w:t>
      </w:r>
      <w:r w:rsidRPr="007904C7">
        <w:t xml:space="preserve"> U.S. Cellular Reply at 6.  The Commission has no stated preference for, or bias in favor of or against, any particular drive test platform.  </w:t>
      </w:r>
      <w:r w:rsidRPr="007904C7">
        <w:rPr>
          <w:i/>
        </w:rPr>
        <w:t>See</w:t>
      </w:r>
      <w:r w:rsidRPr="007904C7">
        <w:t xml:space="preserve"> </w:t>
      </w:r>
      <w:r w:rsidRPr="007904C7">
        <w:rPr>
          <w:i/>
        </w:rPr>
        <w:t>MF-II Challenge Process Order</w:t>
      </w:r>
      <w:r w:rsidRPr="007904C7">
        <w:t>, 32 FCC Rcd</w:t>
      </w:r>
      <w:r w:rsidRPr="007904C7">
        <w:rPr>
          <w:i/>
        </w:rPr>
        <w:t xml:space="preserve"> </w:t>
      </w:r>
      <w:r w:rsidRPr="007904C7">
        <w:t>at 6308, para. 50 n.148.</w:t>
      </w:r>
    </w:p>
  </w:footnote>
  <w:footnote w:id="19">
    <w:p w:rsidR="005828DE" w:rsidRPr="007904C7" w:rsidP="001D46E4">
      <w:pPr>
        <w:pStyle w:val="FootnoteText"/>
      </w:pPr>
      <w:r w:rsidRPr="007904C7">
        <w:rPr>
          <w:rStyle w:val="FootnoteReference"/>
        </w:rPr>
        <w:footnoteRef/>
      </w:r>
      <w:r w:rsidRPr="007904C7">
        <w:t xml:space="preserve"> </w:t>
      </w:r>
      <w:r w:rsidRPr="007904C7">
        <w:rPr>
          <w:i/>
        </w:rPr>
        <w:t>See, e.g.</w:t>
      </w:r>
      <w:r w:rsidRPr="007904C7">
        <w:t>,</w:t>
      </w:r>
      <w:r w:rsidRPr="007904C7">
        <w:rPr>
          <w:i/>
        </w:rPr>
        <w:t xml:space="preserve"> </w:t>
      </w:r>
      <w:r w:rsidRPr="007904C7">
        <w:t xml:space="preserve">Mosaik Comments at 3 (arguing that “[l]imiting device-based testing to iOS-run equipment will drastically reduce the amount of information that challenging parties may be able to collect” because iOS “is a notoriously closed operating system,” and urging the Commission to “ensure that at least one of the three testing devices uses the Android operating system”); RWA Comments at 8 (“Limiting challengers to devices with iOS operating systems will . . . reduce additional benefits a challenger may receive from performing drive or application-based tests.”); CCA Reply at 4 (noting that “coverage and service results may differ based upon the operating system in use on particular handsets”); U.S. Cellular Reply at 5; NTCA Reply at 2-3.  </w:t>
      </w:r>
      <w:r w:rsidRPr="007904C7">
        <w:rPr>
          <w:i/>
        </w:rPr>
        <w:t>But see</w:t>
      </w:r>
      <w:r w:rsidRPr="007904C7">
        <w:t xml:space="preserve"> Verizon Reply at 5 (arguing that “unsubsidized carriers should be permitted to specify the three readily-available devices that will most reliably measure coverage” and that the Bureaus should not impose a constraint on the device’s operating system).  Verizon has provided no basis to conclude that the Android operating system will not reliably measure coverage.    </w:t>
      </w:r>
    </w:p>
  </w:footnote>
  <w:footnote w:id="20">
    <w:p w:rsidR="005828DE" w:rsidRPr="007904C7">
      <w:pPr>
        <w:pStyle w:val="FootnoteText"/>
      </w:pPr>
      <w:r w:rsidRPr="007904C7">
        <w:rPr>
          <w:rStyle w:val="FootnoteReference"/>
        </w:rPr>
        <w:footnoteRef/>
      </w:r>
      <w:r w:rsidRPr="007904C7">
        <w:t xml:space="preserve"> </w:t>
      </w:r>
      <w:r w:rsidRPr="007904C7" w:rsidR="00D82581">
        <w:t xml:space="preserve">Consistent with the Commission’s past practice in releasing Form 477 coverage data, we will consolidate data from any attributable entities that file separately to a common provider name when generating provider-specific maps to be used in the challenge process.  </w:t>
      </w:r>
      <w:r w:rsidRPr="007904C7" w:rsidR="00D82581">
        <w:rPr>
          <w:i/>
        </w:rPr>
        <w:t>See</w:t>
      </w:r>
      <w:r w:rsidRPr="007904C7" w:rsidR="00D82581">
        <w:t xml:space="preserve"> </w:t>
      </w:r>
      <w:r w:rsidRPr="007904C7" w:rsidR="00DE1F9C">
        <w:rPr>
          <w:i/>
        </w:rPr>
        <w:t>MF-II Challenge Process Comment Public Notice</w:t>
      </w:r>
      <w:r w:rsidRPr="007904C7" w:rsidR="00D82581">
        <w:t xml:space="preserve">, 32 FCC Rcd </w:t>
      </w:r>
      <w:r w:rsidRPr="007904C7" w:rsidR="00DE1F9C">
        <w:t xml:space="preserve">at </w:t>
      </w:r>
      <w:r w:rsidRPr="007904C7" w:rsidR="00D82581">
        <w:t>7597, 7618, para. 3 n.8, Appx.</w:t>
      </w:r>
      <w:r w:rsidRPr="007904C7" w:rsidR="00DE1F9C">
        <w:t xml:space="preserve"> C</w:t>
      </w:r>
      <w:r w:rsidRPr="007904C7" w:rsidR="00D82581">
        <w:t xml:space="preserve">.  </w:t>
      </w:r>
    </w:p>
  </w:footnote>
  <w:footnote w:id="21">
    <w:p w:rsidR="005828DE" w:rsidRPr="007904C7">
      <w:pPr>
        <w:pStyle w:val="FootnoteText"/>
      </w:pPr>
      <w:r w:rsidRPr="007904C7">
        <w:rPr>
          <w:rStyle w:val="FootnoteReference"/>
        </w:rPr>
        <w:footnoteRef/>
      </w:r>
      <w:r w:rsidRPr="007904C7">
        <w:t xml:space="preserve"> </w:t>
      </w:r>
      <w:r w:rsidRPr="007904C7">
        <w:rPr>
          <w:i/>
        </w:rPr>
        <w:t>See MF-II Challenge Process Comment Public Notice</w:t>
      </w:r>
      <w:r w:rsidRPr="007904C7">
        <w:t>, 32 FCC Rcd</w:t>
      </w:r>
      <w:r w:rsidRPr="007904C7">
        <w:t xml:space="preserve"> </w:t>
      </w:r>
      <w:r w:rsidRPr="007904C7">
        <w:t>at 7600, para. 7 n.23.</w:t>
      </w:r>
    </w:p>
  </w:footnote>
  <w:footnote w:id="22">
    <w:p w:rsidR="005828DE" w:rsidRPr="007904C7" w:rsidP="00F004D3">
      <w:pPr>
        <w:pStyle w:val="FootnoteText"/>
      </w:pPr>
      <w:r w:rsidRPr="007904C7">
        <w:rPr>
          <w:rStyle w:val="FootnoteReference"/>
        </w:rPr>
        <w:footnoteRef/>
      </w:r>
      <w:r w:rsidRPr="007904C7">
        <w:t xml:space="preserve"> </w:t>
      </w:r>
      <w:r w:rsidRPr="007904C7">
        <w:rPr>
          <w:i/>
        </w:rPr>
        <w:t>See, e.g.</w:t>
      </w:r>
      <w:r w:rsidRPr="007904C7">
        <w:t>,</w:t>
      </w:r>
      <w:r w:rsidRPr="007904C7">
        <w:rPr>
          <w:i/>
        </w:rPr>
        <w:t xml:space="preserve"> </w:t>
      </w:r>
      <w:r w:rsidRPr="007904C7">
        <w:t>Mosaik Comments at 4 (“[The Commission] can reduce barriers to testing challenges by setting an upper limit on the per-device cost of a readily available handset model, regardless of operating system.”); RWA Comments at 8-9 (arguing that providers “could place undue financial burdens on potential challengers by stipulating that only highest-cost devices compatible with drive test equipment be used,” and suggesting the Commission “require service providers to identify at least one low-cost device”); U.S. Cellular Reply at 5 (urging the Commission to “lessen cost burdens faced by smaller rural carriers who seek to lodge challenges against coverage claims made by incumbent service providers”); NTCA Reply at 3.</w:t>
      </w:r>
    </w:p>
  </w:footnote>
  <w:footnote w:id="23">
    <w:p w:rsidR="005828DE" w:rsidRPr="007904C7">
      <w:pPr>
        <w:pStyle w:val="FootnoteText"/>
      </w:pPr>
      <w:r w:rsidRPr="007904C7">
        <w:rPr>
          <w:rStyle w:val="FootnoteReference"/>
        </w:rPr>
        <w:footnoteRef/>
      </w:r>
      <w:r w:rsidRPr="007904C7">
        <w:t xml:space="preserve"> </w:t>
      </w:r>
      <w:r w:rsidRPr="007904C7">
        <w:rPr>
          <w:i/>
        </w:rPr>
        <w:t>See, e.g.</w:t>
      </w:r>
      <w:r w:rsidRPr="007904C7">
        <w:t>, Mosaik Comments at 2 (“The MF-II challenge process will only be successful if it accounts for the diverse portfolio of devices consumers are purchasing today.”); RWA Comments at 8 (urging the Commission to “place limits on how expensive the devices are, regardless of operating system,” reasoning that “subscribers are now paying for their own handsets, and often purchase the most inexpensive device available”); NTCA Reply at 3 (“[A]ssuming the goal of the challenge process is to more accurately reflect the consumers’ experience in the field, the FCC should specify that devices in a range of price points should be identified for the devices to be used in testing coverage.”).</w:t>
      </w:r>
    </w:p>
  </w:footnote>
  <w:footnote w:id="24">
    <w:p w:rsidR="0038690E" w:rsidRPr="007904C7">
      <w:pPr>
        <w:pStyle w:val="FootnoteText"/>
      </w:pPr>
      <w:r w:rsidRPr="007904C7">
        <w:rPr>
          <w:rStyle w:val="FootnoteReference"/>
        </w:rPr>
        <w:footnoteRef/>
      </w:r>
      <w:r w:rsidRPr="007904C7">
        <w:t xml:space="preserve"> </w:t>
      </w:r>
      <w:r w:rsidRPr="007904C7">
        <w:rPr>
          <w:i/>
        </w:rPr>
        <w:t>MF-II Challenge Process Order</w:t>
      </w:r>
      <w:r w:rsidRPr="007904C7">
        <w:t>, 32 FCC Rcd at 6306, para. 47.</w:t>
      </w:r>
    </w:p>
  </w:footnote>
  <w:footnote w:id="25">
    <w:p w:rsidR="005828DE" w:rsidRPr="007904C7" w:rsidP="00976D08">
      <w:pPr>
        <w:pStyle w:val="FootnoteText"/>
      </w:pPr>
      <w:r w:rsidRPr="007904C7">
        <w:rPr>
          <w:rStyle w:val="FootnoteReference"/>
        </w:rPr>
        <w:footnoteRef/>
      </w:r>
      <w:r w:rsidRPr="007904C7">
        <w:t xml:space="preserve"> </w:t>
      </w:r>
      <w:r w:rsidRPr="007904C7">
        <w:rPr>
          <w:i/>
        </w:rPr>
        <w:t>See</w:t>
      </w:r>
      <w:r w:rsidRPr="007904C7" w:rsidR="00FA3229">
        <w:rPr>
          <w:i/>
        </w:rPr>
        <w:t xml:space="preserve"> generally</w:t>
      </w:r>
      <w:r w:rsidRPr="007904C7">
        <w:rPr>
          <w:i/>
        </w:rPr>
        <w:t>, e.g.</w:t>
      </w:r>
      <w:r w:rsidRPr="007904C7">
        <w:t xml:space="preserve">, Letter from Michael A. Lewis, Senior Engineering Advisor, DLA Piper LLP, to Marlene H. Dortch, Secretary, FCC, MB Docket No. 16-306, GN Docket No. 12-268 (filed on June 1, 2017) (detailing 4G LTE expansion planned in 2017 using 600 MHz spectrum); Monica Alleven, </w:t>
      </w:r>
      <w:r w:rsidRPr="007904C7">
        <w:rPr>
          <w:i/>
        </w:rPr>
        <w:t>T-Mobile Fires Up LTE-A in 920 Markets, Gigabit LTE in 430 markets</w:t>
      </w:r>
      <w:r w:rsidRPr="007904C7">
        <w:t xml:space="preserve">, FierceWireless (Nov. 9, 2017, 1:13 PM), https://www.fiercewireless.com/wireless/t-mobile-fires-up-lte-a-920-markets-gigabit-lte-430-markets (describing launch of LTE Advanced and Gigabit LTE using Qualcomm chips). </w:t>
      </w:r>
    </w:p>
  </w:footnote>
  <w:footnote w:id="26">
    <w:p w:rsidR="005828DE" w:rsidRPr="007904C7" w:rsidP="00E86E2E">
      <w:pPr>
        <w:pStyle w:val="FootnoteText"/>
      </w:pPr>
      <w:r w:rsidRPr="007904C7">
        <w:rPr>
          <w:rStyle w:val="FootnoteReference"/>
        </w:rPr>
        <w:footnoteRef/>
      </w:r>
      <w:r w:rsidRPr="007904C7">
        <w:t xml:space="preserve"> </w:t>
      </w:r>
      <w:r w:rsidRPr="007904C7">
        <w:rPr>
          <w:i/>
        </w:rPr>
        <w:t>See</w:t>
      </w:r>
      <w:r w:rsidRPr="007904C7">
        <w:t xml:space="preserve"> </w:t>
      </w:r>
      <w:r w:rsidRPr="007904C7">
        <w:rPr>
          <w:i/>
        </w:rPr>
        <w:t>MF-II Challenge Process Order</w:t>
      </w:r>
      <w:r w:rsidRPr="007904C7">
        <w:t>, 32 FCC Rcd at 6306, para. 47 (requiring that “speed test data . . . be collected using the latest devices specifically authorized by the providers” in order to “simulate consumers’ actual experience”).</w:t>
      </w:r>
    </w:p>
  </w:footnote>
  <w:footnote w:id="27">
    <w:p w:rsidR="005828DE" w:rsidRPr="007904C7" w:rsidP="0016533F">
      <w:pPr>
        <w:pStyle w:val="FootnoteText"/>
      </w:pPr>
      <w:r w:rsidRPr="007904C7">
        <w:rPr>
          <w:rStyle w:val="FootnoteReference"/>
        </w:rPr>
        <w:footnoteRef/>
      </w:r>
      <w:r w:rsidRPr="007904C7">
        <w:t xml:space="preserve"> </w:t>
      </w:r>
      <w:r w:rsidRPr="007904C7">
        <w:rPr>
          <w:i/>
        </w:rPr>
        <w:t>See, e.g.</w:t>
      </w:r>
      <w:r w:rsidRPr="007904C7">
        <w:t>, Mosaik Comments at 3 (“Apple devices running iOS are typically more expensive than devices that use the Android operating system.”); RWA Comments at 8 (“[P]rocuring iOS devices is materially more expensive than procuring Android devices and would place an additional financial burden on challengers.”); U.S. Cellular Reply at 5 (“Forcing challengers to use iOS-based devices would drive up costs faced by challengers (which would be particularly burdensome for smaller rural carriers) . . . .”); NTCA Reply Comments at 3 (arguing that the iPhone X is “unaffordable to many consumers who will depend upon access to the coverage claimed”).</w:t>
      </w:r>
    </w:p>
  </w:footnote>
  <w:footnote w:id="28">
    <w:p w:rsidR="00E01EF7">
      <w:pPr>
        <w:pStyle w:val="FootnoteText"/>
      </w:pPr>
      <w:bookmarkStart w:id="1" w:name="_Hlk501524549"/>
      <w:r>
        <w:rPr>
          <w:rStyle w:val="FootnoteReference"/>
        </w:rPr>
        <w:footnoteRef/>
      </w:r>
      <w:r>
        <w:t xml:space="preserve"> </w:t>
      </w:r>
      <w:r w:rsidRPr="00E01EF7">
        <w:t>Parties may file the foregoing handset information with their January 4, 2018 filings, or they may elect to supplement those filings with that handset information no later than thirty days following the publication of this Public Notice in the Federal Register.</w:t>
      </w:r>
      <w:bookmarkEnd w:id="1"/>
    </w:p>
  </w:footnote>
  <w:footnote w:id="29">
    <w:p w:rsidR="005828DE" w:rsidRPr="007904C7" w:rsidP="00C806DC">
      <w:pPr>
        <w:pStyle w:val="FootnoteText"/>
      </w:pPr>
      <w:r w:rsidRPr="007904C7">
        <w:rPr>
          <w:rStyle w:val="FootnoteReference"/>
        </w:rPr>
        <w:footnoteRef/>
      </w:r>
      <w:r w:rsidRPr="007904C7">
        <w:t xml:space="preserve"> </w:t>
      </w:r>
      <w:r w:rsidRPr="007904C7">
        <w:rPr>
          <w:i/>
        </w:rPr>
        <w:t>MF-II Challenge Process Order</w:t>
      </w:r>
      <w:r w:rsidRPr="007904C7">
        <w:t>, 32 FCC Rcd at 6297, 6311-12, paras. 29 &amp; n.84, 59.</w:t>
      </w:r>
    </w:p>
  </w:footnote>
  <w:footnote w:id="30">
    <w:p w:rsidR="0062435C" w:rsidRPr="007904C7" w:rsidP="0062435C">
      <w:pPr>
        <w:pStyle w:val="FootnoteText"/>
      </w:pPr>
      <w:r w:rsidRPr="007904C7">
        <w:rPr>
          <w:rStyle w:val="FootnoteReference"/>
        </w:rPr>
        <w:footnoteRef/>
      </w:r>
      <w:r w:rsidRPr="007904C7">
        <w:t xml:space="preserve"> </w:t>
      </w:r>
      <w:r w:rsidRPr="007904C7">
        <w:rPr>
          <w:i/>
        </w:rPr>
        <w:t>Id.</w:t>
      </w:r>
      <w:r w:rsidRPr="007904C7">
        <w:t xml:space="preserve"> at 6304, para. 42 n.115.</w:t>
      </w:r>
    </w:p>
  </w:footnote>
  <w:footnote w:id="31">
    <w:p w:rsidR="009F2742" w:rsidRPr="007904C7">
      <w:pPr>
        <w:pStyle w:val="FootnoteText"/>
      </w:pPr>
      <w:r w:rsidRPr="007904C7">
        <w:rPr>
          <w:rStyle w:val="FootnoteReference"/>
        </w:rPr>
        <w:footnoteRef/>
      </w:r>
      <w:r w:rsidRPr="007904C7">
        <w:t xml:space="preserve"> </w:t>
      </w:r>
      <w:r w:rsidRPr="007904C7">
        <w:rPr>
          <w:i/>
        </w:rPr>
        <w:t>See</w:t>
      </w:r>
      <w:r w:rsidRPr="007904C7">
        <w:t xml:space="preserve"> </w:t>
      </w:r>
      <w:r w:rsidRPr="007904C7">
        <w:rPr>
          <w:i/>
        </w:rPr>
        <w:t>MF-II Challenge Process Comment Public Notice</w:t>
      </w:r>
      <w:r w:rsidRPr="007904C7">
        <w:t>, 32 FCC Rcd at 7605, para. 25.</w:t>
      </w:r>
    </w:p>
  </w:footnote>
  <w:footnote w:id="32">
    <w:p w:rsidR="009606DF" w:rsidRPr="007904C7">
      <w:pPr>
        <w:pStyle w:val="FootnoteText"/>
      </w:pPr>
      <w:r w:rsidRPr="007904C7">
        <w:rPr>
          <w:rStyle w:val="FootnoteReference"/>
        </w:rPr>
        <w:footnoteRef/>
      </w:r>
      <w:r w:rsidRPr="007904C7">
        <w:t xml:space="preserve"> </w:t>
      </w:r>
      <w:r w:rsidRPr="007904C7">
        <w:rPr>
          <w:i/>
        </w:rPr>
        <w:t xml:space="preserve">See id.  </w:t>
      </w:r>
      <w:r w:rsidRPr="007904C7">
        <w:t xml:space="preserve">The Bureaus </w:t>
      </w:r>
      <w:r w:rsidRPr="007904C7" w:rsidR="001A7D5C">
        <w:t xml:space="preserve">did not receive any comments on </w:t>
      </w:r>
      <w:r w:rsidRPr="007904C7" w:rsidR="00251960">
        <w:t>these</w:t>
      </w:r>
      <w:r w:rsidRPr="007904C7" w:rsidR="001A7D5C">
        <w:t xml:space="preserve"> proposals</w:t>
      </w:r>
      <w:r w:rsidRPr="007904C7">
        <w:t>.</w:t>
      </w:r>
    </w:p>
  </w:footnote>
  <w:footnote w:id="33">
    <w:p w:rsidR="005828DE" w:rsidRPr="007904C7" w:rsidP="007B71E4">
      <w:pPr>
        <w:pStyle w:val="FootnoteText"/>
      </w:pPr>
      <w:r w:rsidRPr="007904C7">
        <w:rPr>
          <w:rStyle w:val="FootnoteReference"/>
        </w:rPr>
        <w:footnoteRef/>
      </w:r>
      <w:r w:rsidRPr="007904C7">
        <w:t xml:space="preserve"> </w:t>
      </w:r>
      <w:r w:rsidRPr="007904C7">
        <w:rPr>
          <w:i/>
        </w:rPr>
        <w:t>See</w:t>
      </w:r>
      <w:r w:rsidRPr="007904C7">
        <w:t xml:space="preserve"> </w:t>
      </w:r>
      <w:r w:rsidRPr="007904C7" w:rsidR="0062435C">
        <w:rPr>
          <w:i/>
        </w:rPr>
        <w:t>id.</w:t>
      </w:r>
      <w:r w:rsidRPr="007904C7">
        <w:t xml:space="preserve">  </w:t>
      </w:r>
    </w:p>
  </w:footnote>
  <w:footnote w:id="34">
    <w:p w:rsidR="005828DE" w:rsidRPr="007904C7">
      <w:pPr>
        <w:pStyle w:val="FootnoteText"/>
      </w:pPr>
      <w:r w:rsidRPr="007904C7">
        <w:rPr>
          <w:rStyle w:val="FootnoteReference"/>
        </w:rPr>
        <w:footnoteRef/>
      </w:r>
      <w:r w:rsidRPr="007904C7">
        <w:t xml:space="preserve"> </w:t>
      </w:r>
      <w:r w:rsidRPr="007904C7">
        <w:rPr>
          <w:i/>
        </w:rPr>
        <w:t>See generally</w:t>
      </w:r>
      <w:r w:rsidRPr="007904C7">
        <w:t xml:space="preserve"> FCC, Privacy Act Manual, https://www.fcc.gov/sites/default/files/fcc-privacy-act-manual.pdf.</w:t>
      </w:r>
    </w:p>
  </w:footnote>
  <w:footnote w:id="35">
    <w:p w:rsidR="005828DE" w:rsidRPr="006E7CE5">
      <w:pPr>
        <w:pStyle w:val="FootnoteText"/>
        <w:rPr>
          <w:color w:val="010101"/>
        </w:rPr>
      </w:pPr>
      <w:r w:rsidRPr="007904C7">
        <w:rPr>
          <w:rStyle w:val="FootnoteReference"/>
        </w:rPr>
        <w:footnoteRef/>
      </w:r>
      <w:r w:rsidRPr="007904C7">
        <w:t xml:space="preserve"> If a consumer, organization, or business believes that its interests cannot be met through its state, local, or Tribal government entity and wishes to participate in the process as a challenger, the individual or entity may file a petition with the Commission requesting a waiver for good cause shown.  </w:t>
      </w:r>
      <w:r w:rsidRPr="007904C7">
        <w:rPr>
          <w:i/>
        </w:rPr>
        <w:t>MF-II Challenge Process Order</w:t>
      </w:r>
      <w:r w:rsidRPr="007904C7">
        <w:t>, 32 FCC Rcd</w:t>
      </w:r>
      <w:r w:rsidRPr="007904C7">
        <w:rPr>
          <w:i/>
        </w:rPr>
        <w:t xml:space="preserve"> </w:t>
      </w:r>
      <w:r w:rsidRPr="007904C7">
        <w:t xml:space="preserve">at 6304, para. 43 n.119 (citing 47 CFR § 1.3).  Waivers may be submitted by email to mf2challengeprocess@fcc.gov or delivered in hard copy to Margaret W. Wiener, Chief, Auctions and Spectrum Access Division, Wireless Telecommunications Bureau, FCC, 445 12th Street, S.W., Room 6-C217, Washington, D.C. 20554.  </w:t>
      </w:r>
      <w:r w:rsidRPr="007904C7">
        <w:rPr>
          <w:i/>
        </w:rPr>
        <w:t>See</w:t>
      </w:r>
      <w:r w:rsidRPr="007904C7">
        <w:t xml:space="preserve"> </w:t>
      </w:r>
      <w:r w:rsidRPr="007904C7">
        <w:rPr>
          <w:i/>
        </w:rPr>
        <w:t>id.</w:t>
      </w:r>
      <w:r w:rsidRPr="007904C7">
        <w:t xml:space="preserve">  We strongly encourage any interested party to file a waiver petition as soon as practicable to allow sufficient time for the Commission to process the waiver and, if granted, for USAC to create the user account.  The Commission anticipates granting waivers in cases in which an individual, organization, or business demonstrates a bona fide interest in the challenge process and a plausible ability to submit a valid challenge.  </w:t>
      </w:r>
      <w:r w:rsidRPr="007904C7">
        <w:rPr>
          <w:i/>
        </w:rPr>
        <w:t>Id.</w:t>
      </w:r>
      <w:r w:rsidRPr="007904C7">
        <w:t xml:space="preserve"> at 6304, para. 43 n.119.</w:t>
      </w:r>
    </w:p>
  </w:footnote>
  <w:footnote w:id="36">
    <w:p w:rsidR="005828DE" w:rsidRPr="007904C7">
      <w:pPr>
        <w:pStyle w:val="FootnoteText"/>
      </w:pPr>
      <w:r w:rsidRPr="007904C7">
        <w:rPr>
          <w:rStyle w:val="FootnoteReference"/>
        </w:rPr>
        <w:footnoteRef/>
      </w:r>
      <w:r w:rsidRPr="007904C7">
        <w:t xml:space="preserve"> </w:t>
      </w:r>
      <w:r w:rsidRPr="007904C7">
        <w:rPr>
          <w:i/>
        </w:rPr>
        <w:t>MF-II Challenge Process Comment Public Notice</w:t>
      </w:r>
      <w:r w:rsidRPr="007904C7">
        <w:t>, 32 FCC Rcd at 7605-06, para. 25.</w:t>
      </w:r>
    </w:p>
  </w:footnote>
  <w:footnote w:id="37">
    <w:p w:rsidR="00BB7DC9" w:rsidRPr="007904C7" w:rsidP="00BB7DC9">
      <w:pPr>
        <w:pStyle w:val="FootnoteText"/>
      </w:pPr>
      <w:r w:rsidRPr="007904C7">
        <w:rPr>
          <w:rStyle w:val="FootnoteReference"/>
        </w:rPr>
        <w:footnoteRef/>
      </w:r>
      <w:r w:rsidRPr="007904C7">
        <w:t xml:space="preserve"> 5 CFR § 1320.13.</w:t>
      </w:r>
    </w:p>
  </w:footnote>
  <w:footnote w:id="38">
    <w:p w:rsidR="00BB7DC9" w:rsidRPr="007904C7" w:rsidP="00BB7DC9">
      <w:pPr>
        <w:pStyle w:val="FootnoteText"/>
      </w:pPr>
      <w:r w:rsidRPr="007904C7">
        <w:rPr>
          <w:rStyle w:val="FootnoteReference"/>
        </w:rPr>
        <w:footnoteRef/>
      </w:r>
      <w:r w:rsidRPr="007904C7">
        <w:t xml:space="preserve"> </w:t>
      </w:r>
      <w:r w:rsidRPr="007904C7">
        <w:rPr>
          <w:i/>
        </w:rPr>
        <w:t xml:space="preserve">See </w:t>
      </w:r>
      <w:r w:rsidRPr="007904C7">
        <w:t xml:space="preserve">82 Fed. Reg. 46494 (Oct. 5, 2017) (providing notice of OMB’s approval of the information collection requirements for the qualified 4G LTE coverage data collection).  The OMB control number for this collection is OMB 3060-1242.  The Commission is in the process of seeking a full three-year clearance for this collection from OMB under its regular PRA processing procedures pursuant to 5 CFR § 1320.10.  </w:t>
      </w:r>
      <w:r w:rsidRPr="007904C7">
        <w:rPr>
          <w:i/>
        </w:rPr>
        <w:t xml:space="preserve">See </w:t>
      </w:r>
      <w:r w:rsidRPr="007904C7">
        <w:t xml:space="preserve">82 Fed. Reg. 47735 (Oct. 13, 2017). </w:t>
      </w:r>
    </w:p>
  </w:footnote>
  <w:footnote w:id="39">
    <w:p w:rsidR="00BB7DC9" w:rsidRPr="007904C7" w:rsidP="00BB7DC9">
      <w:pPr>
        <w:pStyle w:val="FootnoteText"/>
      </w:pPr>
      <w:r w:rsidRPr="007904C7">
        <w:rPr>
          <w:rStyle w:val="FootnoteReference"/>
        </w:rPr>
        <w:footnoteRef/>
      </w:r>
      <w:r w:rsidRPr="007904C7">
        <w:t xml:space="preserve"> </w:t>
      </w:r>
      <w:r w:rsidRPr="007904C7">
        <w:rPr>
          <w:i/>
        </w:rPr>
        <w:t xml:space="preserve">See </w:t>
      </w:r>
      <w:r w:rsidRPr="007904C7">
        <w:t>82 Fed. Reg. 46809 (Oct. 6, 2017).</w:t>
      </w:r>
    </w:p>
  </w:footnote>
  <w:footnote w:id="40">
    <w:p w:rsidR="00BB7DC9" w:rsidRPr="007904C7" w:rsidP="00BB7DC9">
      <w:pPr>
        <w:pStyle w:val="FootnoteText"/>
      </w:pPr>
      <w:r w:rsidRPr="007904C7">
        <w:rPr>
          <w:rStyle w:val="FootnoteReference"/>
        </w:rPr>
        <w:footnoteRef/>
      </w:r>
      <w:r w:rsidRPr="007904C7">
        <w:t xml:space="preserve"> </w:t>
      </w:r>
      <w:r w:rsidRPr="007904C7">
        <w:rPr>
          <w:i/>
        </w:rPr>
        <w:t>See</w:t>
      </w:r>
      <w:r w:rsidRPr="007904C7">
        <w:t xml:space="preserve"> 44 U.S.C. § 3506(c)(4).</w:t>
      </w:r>
    </w:p>
  </w:footnote>
  <w:footnote w:id="41">
    <w:p w:rsidR="007520ED" w:rsidRPr="007904C7" w:rsidP="007520ED">
      <w:pPr>
        <w:pStyle w:val="FootnoteText"/>
      </w:pPr>
      <w:r w:rsidRPr="007904C7">
        <w:rPr>
          <w:rStyle w:val="FootnoteReference"/>
        </w:rPr>
        <w:footnoteRef/>
      </w:r>
      <w:r w:rsidRPr="007904C7">
        <w:t xml:space="preserve"> 5 U.S.C. § 603.  The RFA, 5 U.S.C. §§ 601-612, has been amended by the Small Business Regulatory Enforcement Fairness Act of 1996 (SBREFA), Public L. No. 104-121, Title II, 110 Stat. 857 (1996).</w:t>
      </w:r>
    </w:p>
  </w:footnote>
  <w:footnote w:id="42">
    <w:p w:rsidR="007520ED" w:rsidRPr="007904C7" w:rsidP="007520ED">
      <w:pPr>
        <w:pStyle w:val="FootnoteText"/>
        <w:spacing w:after="0"/>
      </w:pPr>
      <w:r w:rsidRPr="007904C7">
        <w:rPr>
          <w:rStyle w:val="FootnoteReference"/>
        </w:rPr>
        <w:footnoteRef/>
      </w:r>
      <w:r w:rsidRPr="007904C7">
        <w:t xml:space="preserve"> </w:t>
      </w:r>
      <w:r w:rsidRPr="007904C7">
        <w:rPr>
          <w:i/>
          <w:iCs/>
        </w:rPr>
        <w:t>Connect America Fund et al.</w:t>
      </w:r>
      <w:r w:rsidRPr="007904C7">
        <w:t>, Report and Order and Further Notice of Proposed Rulemaking, 26 FCC Rcd 17663,</w:t>
      </w:r>
    </w:p>
    <w:p w:rsidR="007520ED" w:rsidRPr="007904C7" w:rsidP="007520ED">
      <w:pPr>
        <w:autoSpaceDE w:val="0"/>
        <w:autoSpaceDN w:val="0"/>
        <w:adjustRightInd w:val="0"/>
        <w:spacing w:after="120"/>
        <w:rPr>
          <w:snapToGrid/>
          <w:kern w:val="0"/>
          <w:sz w:val="20"/>
        </w:rPr>
      </w:pPr>
      <w:r w:rsidRPr="007904C7">
        <w:rPr>
          <w:sz w:val="20"/>
        </w:rPr>
        <w:t>18364-95, Appx. P, Initial Regulatory Flexibility Analysis (2011) (</w:t>
      </w:r>
      <w:r w:rsidRPr="007904C7">
        <w:rPr>
          <w:i/>
          <w:iCs/>
          <w:sz w:val="20"/>
        </w:rPr>
        <w:t>USF/ICC Transformation FNPRM</w:t>
      </w:r>
      <w:r w:rsidRPr="007904C7">
        <w:rPr>
          <w:sz w:val="20"/>
        </w:rPr>
        <w:t xml:space="preserve">); </w:t>
      </w:r>
      <w:r w:rsidRPr="007904C7">
        <w:rPr>
          <w:i/>
          <w:iCs/>
          <w:sz w:val="20"/>
        </w:rPr>
        <w:t>Connect America Fund et al.</w:t>
      </w:r>
      <w:r w:rsidRPr="007904C7">
        <w:rPr>
          <w:sz w:val="20"/>
        </w:rPr>
        <w:t>, Report and Order, Declaratory Ruling, Order, Memorandum Opinion and Order, Seventh Order on Reconsideration, and Further Notice of Proposed Rulemaking, 29 FCC Rcd 7051, 7216-44, Appx. D, Initial Regulatory Flexibility Analysis (2014) (</w:t>
      </w:r>
      <w:r w:rsidRPr="007904C7">
        <w:rPr>
          <w:i/>
          <w:iCs/>
          <w:sz w:val="20"/>
        </w:rPr>
        <w:t xml:space="preserve">2014 CAF Order </w:t>
      </w:r>
      <w:r w:rsidRPr="007904C7">
        <w:rPr>
          <w:sz w:val="20"/>
        </w:rPr>
        <w:t xml:space="preserve">or </w:t>
      </w:r>
      <w:r w:rsidRPr="007904C7">
        <w:rPr>
          <w:i/>
          <w:iCs/>
          <w:sz w:val="20"/>
        </w:rPr>
        <w:t>2014 CAF FNPRM</w:t>
      </w:r>
      <w:r w:rsidRPr="007904C7">
        <w:rPr>
          <w:sz w:val="20"/>
        </w:rPr>
        <w:t xml:space="preserve">); </w:t>
      </w:r>
      <w:r w:rsidRPr="007904C7">
        <w:rPr>
          <w:i/>
          <w:iCs/>
          <w:snapToGrid/>
          <w:kern w:val="0"/>
          <w:sz w:val="20"/>
        </w:rPr>
        <w:t xml:space="preserve">Connect America Fund; Universal Service Reform </w:t>
      </w:r>
      <w:r w:rsidRPr="007904C7">
        <w:rPr>
          <w:snapToGrid/>
          <w:kern w:val="0"/>
          <w:sz w:val="20"/>
        </w:rPr>
        <w:t xml:space="preserve">– </w:t>
      </w:r>
      <w:r w:rsidRPr="007904C7">
        <w:rPr>
          <w:i/>
          <w:iCs/>
          <w:snapToGrid/>
          <w:kern w:val="0"/>
          <w:sz w:val="20"/>
        </w:rPr>
        <w:t>Mobility Fund II</w:t>
      </w:r>
      <w:r w:rsidRPr="007904C7">
        <w:rPr>
          <w:snapToGrid/>
          <w:kern w:val="0"/>
          <w:sz w:val="20"/>
        </w:rPr>
        <w:t xml:space="preserve">, Report and Order and Further Notice of </w:t>
      </w:r>
      <w:r w:rsidRPr="007904C7">
        <w:rPr>
          <w:sz w:val="20"/>
        </w:rPr>
        <w:t>Proposed Rulemaking, 32 FCC Rcd 2152, 2269-73, Appx. C, Initial Regulatory Flexibility Analysis (2017) (</w:t>
      </w:r>
      <w:r w:rsidRPr="007904C7">
        <w:rPr>
          <w:i/>
          <w:sz w:val="20"/>
        </w:rPr>
        <w:t>MF-II Order</w:t>
      </w:r>
      <w:r w:rsidRPr="007904C7">
        <w:rPr>
          <w:sz w:val="20"/>
        </w:rPr>
        <w:t xml:space="preserve"> or </w:t>
      </w:r>
      <w:r w:rsidRPr="007904C7">
        <w:rPr>
          <w:i/>
          <w:sz w:val="20"/>
        </w:rPr>
        <w:t>MF-II FNPRM</w:t>
      </w:r>
      <w:r w:rsidRPr="007904C7">
        <w:rPr>
          <w:sz w:val="20"/>
        </w:rPr>
        <w:t>).</w:t>
      </w:r>
    </w:p>
  </w:footnote>
  <w:footnote w:id="43">
    <w:p w:rsidR="007520ED" w:rsidRPr="007904C7" w:rsidP="007520ED">
      <w:pPr>
        <w:pStyle w:val="FootnoteText"/>
      </w:pPr>
      <w:r w:rsidRPr="007904C7">
        <w:rPr>
          <w:rStyle w:val="FootnoteReference"/>
        </w:rPr>
        <w:footnoteRef/>
      </w:r>
      <w:r w:rsidRPr="007904C7">
        <w:t xml:space="preserve"> </w:t>
      </w:r>
      <w:r w:rsidRPr="007904C7">
        <w:rPr>
          <w:i/>
        </w:rPr>
        <w:t>MF-II Challenge Process Comment Public Notice</w:t>
      </w:r>
      <w:r w:rsidRPr="007904C7">
        <w:t>, 32 FCC Rcd at 7596-610, paras. 1-42.</w:t>
      </w:r>
    </w:p>
  </w:footnote>
  <w:footnote w:id="44">
    <w:p w:rsidR="007520ED" w:rsidRPr="007904C7" w:rsidP="007520ED">
      <w:pPr>
        <w:autoSpaceDE w:val="0"/>
        <w:autoSpaceDN w:val="0"/>
        <w:adjustRightInd w:val="0"/>
        <w:spacing w:after="120"/>
        <w:rPr>
          <w:sz w:val="20"/>
        </w:rPr>
      </w:pPr>
      <w:r w:rsidRPr="007904C7">
        <w:rPr>
          <w:rStyle w:val="FootnoteReference"/>
        </w:rPr>
        <w:footnoteRef/>
      </w:r>
      <w:r w:rsidRPr="007904C7">
        <w:rPr>
          <w:sz w:val="20"/>
        </w:rPr>
        <w:t xml:space="preserve"> </w:t>
      </w:r>
      <w:r w:rsidRPr="007904C7">
        <w:rPr>
          <w:i/>
          <w:iCs/>
          <w:sz w:val="20"/>
        </w:rPr>
        <w:t>2014 CAF Order</w:t>
      </w:r>
      <w:r w:rsidRPr="007904C7">
        <w:rPr>
          <w:sz w:val="20"/>
        </w:rPr>
        <w:t xml:space="preserve">, 29 FCC Rcd at 7190-215, Appx. C, Final Regulatory Flexibility Analysis; </w:t>
      </w:r>
      <w:r w:rsidRPr="007904C7">
        <w:rPr>
          <w:i/>
          <w:iCs/>
          <w:sz w:val="20"/>
        </w:rPr>
        <w:t>MF-II Order</w:t>
      </w:r>
      <w:r w:rsidRPr="007904C7">
        <w:rPr>
          <w:sz w:val="20"/>
        </w:rPr>
        <w:t xml:space="preserve">, 32 FCC Rcd at 2258-68, Appx. B, Final Regulatory Flexibility Analysis; </w:t>
      </w:r>
      <w:r w:rsidRPr="007904C7">
        <w:rPr>
          <w:i/>
          <w:iCs/>
          <w:sz w:val="20"/>
        </w:rPr>
        <w:t>MF-II Challenge Process Order</w:t>
      </w:r>
      <w:r w:rsidRPr="007904C7">
        <w:rPr>
          <w:sz w:val="20"/>
        </w:rPr>
        <w:t>, 32 FCC Rcd at 6317-25, Appx. A, Final Regulatory Flexibility Analysis.</w:t>
      </w:r>
    </w:p>
  </w:footnote>
  <w:footnote w:id="45">
    <w:p w:rsidR="007520ED" w:rsidRPr="007904C7" w:rsidP="007520ED">
      <w:pPr>
        <w:pStyle w:val="FootnoteText"/>
        <w:tabs>
          <w:tab w:val="left" w:pos="3365"/>
        </w:tabs>
      </w:pPr>
      <w:r w:rsidRPr="007904C7">
        <w:rPr>
          <w:rStyle w:val="FootnoteReference"/>
        </w:rPr>
        <w:footnoteRef/>
      </w:r>
      <w:r w:rsidRPr="007904C7">
        <w:t xml:space="preserve"> </w:t>
      </w:r>
      <w:r w:rsidRPr="007904C7">
        <w:rPr>
          <w:i/>
          <w:iCs/>
        </w:rPr>
        <w:t xml:space="preserve">See </w:t>
      </w:r>
      <w:r w:rsidRPr="007904C7">
        <w:t>5 U.S.C. § 604.</w:t>
      </w:r>
      <w:r w:rsidRPr="007904C7">
        <w:tab/>
      </w:r>
    </w:p>
  </w:footnote>
  <w:footnote w:id="46">
    <w:p w:rsidR="007520ED" w:rsidRPr="007904C7" w:rsidP="007520ED">
      <w:pPr>
        <w:pStyle w:val="FootnoteText"/>
      </w:pPr>
      <w:r w:rsidRPr="007904C7">
        <w:rPr>
          <w:rStyle w:val="FootnoteReference"/>
        </w:rPr>
        <w:footnoteRef/>
      </w:r>
      <w:r w:rsidRPr="007904C7">
        <w:t xml:space="preserve"> </w:t>
      </w:r>
      <w:r w:rsidRPr="007904C7">
        <w:rPr>
          <w:i/>
        </w:rPr>
        <w:t>MF-II Challenge Process Comment Public Notice</w:t>
      </w:r>
      <w:r w:rsidRPr="007904C7">
        <w:t xml:space="preserve">, 32 FCC Rcd at 7596-610, paras. 1-42. </w:t>
      </w:r>
    </w:p>
  </w:footnote>
  <w:footnote w:id="47">
    <w:p w:rsidR="007520ED" w:rsidRPr="007904C7" w:rsidP="007520ED">
      <w:pPr>
        <w:pStyle w:val="FootnoteText"/>
        <w:rPr>
          <w:vertAlign w:val="superscript"/>
        </w:rPr>
      </w:pPr>
      <w:r w:rsidRPr="007904C7">
        <w:rPr>
          <w:rStyle w:val="FootnoteReference"/>
        </w:rPr>
        <w:footnoteRef/>
      </w:r>
      <w:r w:rsidRPr="007904C7">
        <w:rPr>
          <w:i/>
        </w:rPr>
        <w:t xml:space="preserve"> </w:t>
      </w:r>
      <w:r w:rsidRPr="007904C7" w:rsidR="00E02512">
        <w:rPr>
          <w:i/>
        </w:rPr>
        <w:t>Id.</w:t>
      </w:r>
      <w:r w:rsidRPr="007904C7">
        <w:t xml:space="preserve"> at 7596-97, para. 1.  </w:t>
      </w:r>
    </w:p>
  </w:footnote>
  <w:footnote w:id="48">
    <w:p w:rsidR="007520ED" w:rsidRPr="007904C7" w:rsidP="007520ED">
      <w:pPr>
        <w:pStyle w:val="FootnoteText"/>
        <w:rPr>
          <w:vertAlign w:val="superscript"/>
        </w:rPr>
      </w:pPr>
      <w:r w:rsidRPr="007904C7">
        <w:rPr>
          <w:rStyle w:val="FootnoteReference"/>
        </w:rPr>
        <w:footnoteRef/>
      </w:r>
      <w:r w:rsidRPr="007904C7">
        <w:rPr>
          <w:vertAlign w:val="superscript"/>
        </w:rPr>
        <w:t xml:space="preserve"> </w:t>
      </w:r>
      <w:r w:rsidR="00116763">
        <w:t>5 U.S.C. § 604</w:t>
      </w:r>
      <w:r w:rsidRPr="007904C7">
        <w:t>(a)(3).</w:t>
      </w:r>
      <w:r w:rsidRPr="007904C7">
        <w:rPr>
          <w:vertAlign w:val="superscript"/>
        </w:rPr>
        <w:t xml:space="preserve">  </w:t>
      </w:r>
    </w:p>
  </w:footnote>
  <w:footnote w:id="49">
    <w:p w:rsidR="007520ED" w:rsidRPr="007904C7" w:rsidP="007520ED">
      <w:pPr>
        <w:pStyle w:val="FootnoteText"/>
      </w:pPr>
      <w:r w:rsidRPr="007904C7">
        <w:rPr>
          <w:rStyle w:val="FootnoteReference"/>
        </w:rPr>
        <w:footnoteRef/>
      </w:r>
      <w:r w:rsidRPr="007904C7">
        <w:t xml:space="preserve"> </w:t>
      </w:r>
      <w:r w:rsidRPr="007904C7">
        <w:rPr>
          <w:i/>
        </w:rPr>
        <w:t>Id.</w:t>
      </w:r>
      <w:r w:rsidRPr="007904C7">
        <w:t xml:space="preserve"> § 603(a)(4).</w:t>
      </w:r>
    </w:p>
  </w:footnote>
  <w:footnote w:id="50">
    <w:p w:rsidR="007520ED" w:rsidRPr="007904C7" w:rsidP="007520ED">
      <w:pPr>
        <w:pStyle w:val="FootnoteText"/>
      </w:pPr>
      <w:r w:rsidRPr="007904C7">
        <w:rPr>
          <w:rStyle w:val="FootnoteReference"/>
        </w:rPr>
        <w:footnoteRef/>
      </w:r>
      <w:r w:rsidRPr="007904C7">
        <w:t xml:space="preserve"> </w:t>
      </w:r>
      <w:r w:rsidRPr="007904C7">
        <w:rPr>
          <w:i/>
        </w:rPr>
        <w:t xml:space="preserve">Id. </w:t>
      </w:r>
      <w:r w:rsidRPr="007904C7">
        <w:t>§ 601(6).</w:t>
      </w:r>
    </w:p>
  </w:footnote>
  <w:footnote w:id="51">
    <w:p w:rsidR="007520ED" w:rsidRPr="007904C7" w:rsidP="007520ED">
      <w:pPr>
        <w:pStyle w:val="FootnoteText"/>
      </w:pPr>
      <w:r w:rsidRPr="007904C7">
        <w:rPr>
          <w:rStyle w:val="FootnoteReference"/>
        </w:rPr>
        <w:footnoteRef/>
      </w:r>
      <w:r w:rsidRPr="007904C7">
        <w:t xml:space="preserve"> </w:t>
      </w:r>
      <w:r w:rsidRPr="007904C7">
        <w:rPr>
          <w:i/>
        </w:rPr>
        <w:t xml:space="preserve">Id. </w:t>
      </w:r>
      <w:r w:rsidRPr="007904C7">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2">
    <w:p w:rsidR="007520ED" w:rsidRPr="007904C7" w:rsidP="007520ED">
      <w:pPr>
        <w:pStyle w:val="FootnoteText"/>
      </w:pPr>
      <w:r w:rsidRPr="007904C7">
        <w:rPr>
          <w:rStyle w:val="FootnoteReference"/>
        </w:rPr>
        <w:footnoteRef/>
      </w:r>
      <w:r w:rsidRPr="007904C7">
        <w:t xml:space="preserve"> 15 U.S.C. § 632.</w:t>
      </w:r>
    </w:p>
  </w:footnote>
  <w:footnote w:id="53">
    <w:p w:rsidR="00A939BB" w:rsidRPr="007904C7">
      <w:pPr>
        <w:pStyle w:val="FootnoteText"/>
      </w:pPr>
      <w:r w:rsidRPr="007904C7">
        <w:rPr>
          <w:rStyle w:val="FootnoteReference"/>
        </w:rPr>
        <w:footnoteRef/>
      </w:r>
      <w:r w:rsidRPr="007904C7">
        <w:t xml:space="preserve"> </w:t>
      </w:r>
      <w:r w:rsidRPr="007904C7">
        <w:rPr>
          <w:i/>
        </w:rPr>
        <w:t>2014 CAF</w:t>
      </w:r>
      <w:r w:rsidRPr="007904C7">
        <w:t xml:space="preserve"> </w:t>
      </w:r>
      <w:r w:rsidRPr="007904C7">
        <w:rPr>
          <w:i/>
        </w:rPr>
        <w:t>Order</w:t>
      </w:r>
      <w:r w:rsidRPr="007904C7">
        <w:t>, 29 FCC Rcd at 7</w:t>
      </w:r>
      <w:r w:rsidRPr="007904C7" w:rsidR="00FA5A7F">
        <w:t>191-213</w:t>
      </w:r>
      <w:r w:rsidRPr="007904C7">
        <w:t xml:space="preserve">, paras. </w:t>
      </w:r>
      <w:r w:rsidRPr="007904C7" w:rsidR="00FA5A7F">
        <w:t>9-64</w:t>
      </w:r>
      <w:r w:rsidRPr="007904C7">
        <w:t xml:space="preserve">; </w:t>
      </w:r>
      <w:r w:rsidRPr="007904C7">
        <w:rPr>
          <w:i/>
        </w:rPr>
        <w:t>MF-II</w:t>
      </w:r>
      <w:r w:rsidRPr="007904C7">
        <w:t xml:space="preserve"> </w:t>
      </w:r>
      <w:r w:rsidRPr="007904C7">
        <w:rPr>
          <w:i/>
        </w:rPr>
        <w:t>Order</w:t>
      </w:r>
      <w:r w:rsidRPr="007904C7" w:rsidR="00FA5A7F">
        <w:t>, 32 FCC Rcd at</w:t>
      </w:r>
      <w:r w:rsidRPr="007904C7">
        <w:t xml:space="preserve"> </w:t>
      </w:r>
      <w:r w:rsidRPr="007904C7" w:rsidR="002661F2">
        <w:t>2259-61, paras. 7-10</w:t>
      </w:r>
      <w:r w:rsidRPr="007904C7">
        <w:t>;</w:t>
      </w:r>
      <w:r w:rsidRPr="007904C7" w:rsidR="00FA5A7F">
        <w:t xml:space="preserve"> </w:t>
      </w:r>
      <w:r w:rsidRPr="007904C7">
        <w:rPr>
          <w:i/>
        </w:rPr>
        <w:t>MF-II Challenge Process Order</w:t>
      </w:r>
      <w:r w:rsidRPr="007904C7" w:rsidR="00FA5A7F">
        <w:t>, 32 FCC Rcd at 631</w:t>
      </w:r>
      <w:r w:rsidRPr="007904C7" w:rsidR="002661F2">
        <w:t>8-20, paras. 8-12.</w:t>
      </w:r>
    </w:p>
  </w:footnote>
  <w:footnote w:id="54">
    <w:p w:rsidR="002661F2" w:rsidRPr="007904C7">
      <w:pPr>
        <w:pStyle w:val="FootnoteText"/>
      </w:pPr>
      <w:r w:rsidRPr="007904C7">
        <w:rPr>
          <w:rStyle w:val="FootnoteReference"/>
        </w:rPr>
        <w:footnoteRef/>
      </w:r>
      <w:r w:rsidRPr="007904C7">
        <w:t xml:space="preserve"> </w:t>
      </w:r>
      <w:r w:rsidRPr="007904C7">
        <w:rPr>
          <w:i/>
        </w:rPr>
        <w:t>2014 CAF</w:t>
      </w:r>
      <w:r w:rsidRPr="007904C7">
        <w:t xml:space="preserve"> </w:t>
      </w:r>
      <w:r w:rsidRPr="007904C7">
        <w:rPr>
          <w:i/>
        </w:rPr>
        <w:t>Order</w:t>
      </w:r>
      <w:r w:rsidRPr="007904C7">
        <w:t xml:space="preserve">, 29 FCC Rcd at 7213, paras. 65-66; </w:t>
      </w:r>
      <w:r w:rsidRPr="007904C7">
        <w:rPr>
          <w:i/>
        </w:rPr>
        <w:t>MF-II</w:t>
      </w:r>
      <w:r w:rsidRPr="007904C7">
        <w:t xml:space="preserve"> </w:t>
      </w:r>
      <w:r w:rsidRPr="007904C7">
        <w:rPr>
          <w:i/>
        </w:rPr>
        <w:t>Order</w:t>
      </w:r>
      <w:r w:rsidRPr="007904C7">
        <w:t>, 32 FCC Rcd at 2261</w:t>
      </w:r>
      <w:r w:rsidRPr="007904C7" w:rsidR="00581F94">
        <w:t>-65</w:t>
      </w:r>
      <w:r w:rsidRPr="007904C7">
        <w:t>, paras. 11-</w:t>
      </w:r>
      <w:r w:rsidRPr="007904C7" w:rsidR="00581F94">
        <w:t>28</w:t>
      </w:r>
      <w:r w:rsidRPr="007904C7">
        <w:t xml:space="preserve">; </w:t>
      </w:r>
      <w:r w:rsidRPr="007904C7">
        <w:rPr>
          <w:i/>
        </w:rPr>
        <w:t>MF-II Challenge Process Order</w:t>
      </w:r>
      <w:r w:rsidRPr="007904C7">
        <w:t xml:space="preserve">, </w:t>
      </w:r>
      <w:r w:rsidRPr="007904C7" w:rsidR="00581F94">
        <w:t>32 FCC Rcd at 63</w:t>
      </w:r>
      <w:r w:rsidRPr="007904C7">
        <w:t>20</w:t>
      </w:r>
      <w:r w:rsidRPr="007904C7" w:rsidR="00581F94">
        <w:t>-23</w:t>
      </w:r>
      <w:r w:rsidRPr="007904C7">
        <w:t xml:space="preserve">, paras. </w:t>
      </w:r>
      <w:r w:rsidRPr="007904C7" w:rsidR="00581F94">
        <w:t xml:space="preserve">13-22; </w:t>
      </w:r>
      <w:r w:rsidRPr="007904C7" w:rsidR="00581F94">
        <w:rPr>
          <w:i/>
        </w:rPr>
        <w:t>MF-II Challenge Process Comment Public Notice</w:t>
      </w:r>
      <w:r w:rsidRPr="007904C7" w:rsidR="00581F94">
        <w:t>, 32 FCC Rcd at 7607-09, paras. 32-34.</w:t>
      </w:r>
    </w:p>
  </w:footnote>
  <w:footnote w:id="55">
    <w:p w:rsidR="007520ED" w:rsidRPr="007904C7" w:rsidP="007520ED">
      <w:pPr>
        <w:pStyle w:val="FootnoteText"/>
      </w:pPr>
      <w:r w:rsidRPr="007904C7">
        <w:rPr>
          <w:rStyle w:val="FootnoteReference"/>
        </w:rPr>
        <w:footnoteRef/>
      </w:r>
      <w:r w:rsidRPr="007904C7">
        <w:t xml:space="preserve"> 5 U.S.C. § 603(c)(1)-(4). </w:t>
      </w:r>
    </w:p>
  </w:footnote>
  <w:footnote w:id="56">
    <w:p w:rsidR="00E02512" w:rsidRPr="007904C7">
      <w:pPr>
        <w:pStyle w:val="FootnoteText"/>
      </w:pPr>
      <w:r w:rsidRPr="007904C7">
        <w:rPr>
          <w:rStyle w:val="FootnoteReference"/>
        </w:rPr>
        <w:footnoteRef/>
      </w:r>
      <w:r w:rsidRPr="007904C7">
        <w:t xml:space="preserve"> </w:t>
      </w:r>
      <w:r w:rsidRPr="007904C7">
        <w:rPr>
          <w:i/>
        </w:rPr>
        <w:t>2014 CAF</w:t>
      </w:r>
      <w:r w:rsidRPr="007904C7">
        <w:t xml:space="preserve"> </w:t>
      </w:r>
      <w:r w:rsidRPr="007904C7">
        <w:rPr>
          <w:i/>
        </w:rPr>
        <w:t>Order</w:t>
      </w:r>
      <w:r w:rsidRPr="007904C7">
        <w:t xml:space="preserve">, 29 FCC Rcd at 7213-15, paras. 67-72; </w:t>
      </w:r>
      <w:r w:rsidRPr="007904C7">
        <w:rPr>
          <w:i/>
        </w:rPr>
        <w:t>MF-II</w:t>
      </w:r>
      <w:r w:rsidRPr="007904C7">
        <w:t xml:space="preserve"> </w:t>
      </w:r>
      <w:r w:rsidRPr="007904C7">
        <w:rPr>
          <w:i/>
        </w:rPr>
        <w:t>Order</w:t>
      </w:r>
      <w:r w:rsidRPr="007904C7">
        <w:t xml:space="preserve">, 32 FCC Rcd at 2265-68, paras. 29-39; </w:t>
      </w:r>
      <w:r w:rsidRPr="007904C7">
        <w:rPr>
          <w:i/>
        </w:rPr>
        <w:t>MF-II Challenge Process Order</w:t>
      </w:r>
      <w:r w:rsidRPr="007904C7">
        <w:t>, 32 FCC Rcd at 6323-25, paras. 23-34.</w:t>
      </w:r>
    </w:p>
  </w:footnote>
  <w:footnote w:id="57">
    <w:p w:rsidR="007520ED" w:rsidRPr="007904C7" w:rsidP="007520ED">
      <w:pPr>
        <w:pStyle w:val="FootnoteText"/>
      </w:pPr>
      <w:r w:rsidRPr="007904C7">
        <w:rPr>
          <w:rStyle w:val="FootnoteReference"/>
        </w:rPr>
        <w:footnoteRef/>
      </w:r>
      <w:r w:rsidRPr="007904C7">
        <w:t xml:space="preserve"> </w:t>
      </w:r>
      <w:r w:rsidRPr="007904C7">
        <w:rPr>
          <w:i/>
        </w:rPr>
        <w:t>See</w:t>
      </w:r>
      <w:r w:rsidRPr="007904C7">
        <w:t xml:space="preserve"> 5 U.S.C. § 604(b).</w:t>
      </w:r>
    </w:p>
  </w:footnote>
  <w:footnote w:id="58">
    <w:p w:rsidR="005828DE" w:rsidRPr="007904C7">
      <w:pPr>
        <w:pStyle w:val="FootnoteText"/>
      </w:pPr>
      <w:r w:rsidRPr="007904C7">
        <w:rPr>
          <w:rStyle w:val="FootnoteReference"/>
        </w:rPr>
        <w:footnoteRef/>
      </w:r>
      <w:r w:rsidRPr="007904C7">
        <w:t xml:space="preserve"> </w:t>
      </w:r>
      <w:r w:rsidRPr="007904C7">
        <w:rPr>
          <w:i/>
        </w:rPr>
        <w:t>4G LTE Collection Instructions Public Notice</w:t>
      </w:r>
      <w:r w:rsidRPr="007904C7">
        <w:t xml:space="preserve">, 32 FCC Rcd </w:t>
      </w:r>
      <w:r w:rsidRPr="007904C7" w:rsidR="00E61B50">
        <w:t xml:space="preserve">at </w:t>
      </w:r>
      <w:r w:rsidRPr="007904C7">
        <w:t>7023.</w:t>
      </w:r>
    </w:p>
  </w:footnote>
  <w:footnote w:id="59">
    <w:p w:rsidR="005828DE" w:rsidRPr="007904C7">
      <w:pPr>
        <w:pStyle w:val="FootnoteText"/>
      </w:pPr>
      <w:r w:rsidRPr="007904C7">
        <w:rPr>
          <w:rStyle w:val="FootnoteReference"/>
        </w:rPr>
        <w:footnoteRef/>
      </w:r>
      <w:r w:rsidRPr="007904C7">
        <w:t xml:space="preserve"> </w:t>
      </w:r>
      <w:r w:rsidRPr="007904C7">
        <w:rPr>
          <w:i/>
        </w:rPr>
        <w:t>Responses to the Mobility Fund Phase II 4G LTE Data Collection Are Due by January 4, 2018</w:t>
      </w:r>
      <w:r w:rsidRPr="007904C7">
        <w:t xml:space="preserve">, 32 FCC Rcd </w:t>
      </w:r>
      <w:r w:rsidRPr="007904C7" w:rsidR="00E61B50">
        <w:t xml:space="preserve">at </w:t>
      </w:r>
      <w:r w:rsidRPr="007904C7">
        <w:t>7431.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pPr>
      <w:tabs>
        <w:tab w:val="center" w:pos="4680"/>
        <w:tab w:val="right" w:pos="9360"/>
      </w:tabs>
      <w:rPr>
        <w:b/>
      </w:rPr>
    </w:pPr>
    <w:r w:rsidRPr="009A1493">
      <w:rPr>
        <w:b/>
      </w:rPr>
      <w:tab/>
    </w:r>
    <w:r>
      <w:rPr>
        <w:noProof/>
      </w:rPr>
      <w:pict>
        <v:line id="Straight Connector 11" o:spid="_x0000_s2049" style="mso-wrap-distance-bottom:0pt;mso-wrap-distance-top:0pt;position:absolute;visibility:visible;z-index:251661312" from="0,16.2pt" to="468pt,16.2pt" o:allowincell="f"/>
      </w:pict>
    </w:r>
    <w:r w:rsidRPr="009A1493">
      <w:rPr>
        <w:b/>
      </w:rPr>
      <w:t>Federal Communications Commission</w:t>
    </w:r>
    <w:r w:rsidRPr="009A1493">
      <w:rPr>
        <w:b/>
      </w:rPr>
      <w:tab/>
    </w:r>
    <w:r>
      <w:rPr>
        <w:b/>
      </w:rPr>
      <w:t>DA</w:t>
    </w:r>
    <w:r w:rsidRPr="009A1493">
      <w:rPr>
        <w:b/>
      </w:rPr>
      <w:t xml:space="preserve"> 1</w:t>
    </w:r>
    <w:r>
      <w:rPr>
        <w:b/>
      </w:rPr>
      <w:t>7</w:t>
    </w:r>
    <w:r w:rsidRPr="009A1493">
      <w:rPr>
        <w:b/>
      </w:rPr>
      <w:t>-</w:t>
    </w:r>
    <w:r w:rsidR="00EE615A">
      <w:rPr>
        <w:b/>
      </w:rPr>
      <w:t>1218</w:t>
    </w:r>
  </w:p>
  <w:p w:rsidR="005828DE" w:rsidRPr="009F74DB" w:rsidP="00F22BD2">
    <w:pPr>
      <w:pStyle w:val="Header"/>
    </w:pPr>
  </w:p>
  <w:p w:rsidR="005828DE" w:rsidP="003E04C6">
    <w:pPr>
      <w:pStyle w:val="Header"/>
      <w:rPr>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3" o:spid="_x0000_s2050" type="#_x0000_t202" style="width:244.8pt;height:50.4pt;margin-top:58.35pt;margin-left:-4.5pt;mso-position-horizontal-relative:margin;position:absolute;visibility:visible;z-index:251658240" o:allowincell="f" stroked="f">
          <v:textbo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28DE" w:rsidP="009D11BE">
                <w:pPr>
                  <w:rPr>
                    <w:rFonts w:ascii="Arial" w:hAnsi="Arial"/>
                    <w:sz w:val="24"/>
                  </w:rPr>
                </w:pPr>
                <w:r>
                  <w:rPr>
                    <w:rFonts w:ascii="Arial" w:hAnsi="Arial"/>
                    <w:b/>
                  </w:rPr>
                  <w:t>Washington, D.C. 20554</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2051" type="#_x0000_t75" alt="fcc_logo" style="width:42pt;height:42pt;visibility:visible" o:allowincell="f">
          <v:imagedata r:id="rId1" o:title="fcc_logo"/>
        </v:shape>
      </w:pict>
    </w:r>
    <w:r w:rsidRPr="009D11BE">
      <w:rPr>
        <w:rFonts w:ascii="Arial" w:hAnsi="Arial" w:cs="Arial"/>
        <w:sz w:val="96"/>
        <w:szCs w:val="96"/>
      </w:rPr>
      <w:t xml:space="preserve"> </w:t>
    </w:r>
    <w:r>
      <w:rPr>
        <w:rFonts w:ascii="Arial" w:hAnsi="Arial" w:cs="Arial"/>
        <w:b/>
        <w:sz w:val="96"/>
      </w:rPr>
      <w:t>PUBLIC NOTICE</w:t>
    </w:r>
  </w:p>
  <w:p w:rsidR="005828DE" w:rsidRPr="009D11BE" w:rsidP="009D11BE">
    <w:pPr>
      <w:spacing w:before="40"/>
      <w:rPr>
        <w:rFonts w:ascii="Arial" w:hAnsi="Arial" w:cs="Arial"/>
        <w:b/>
        <w:sz w:val="96"/>
      </w:rPr>
    </w:pPr>
    <w:r>
      <w:rPr>
        <w:noProof/>
      </w:rPr>
      <w:pict>
        <v:line id="Line 4" o:spid="_x0000_s2052" style="mso-position-horizontal:right;mso-position-horizontal-relative:margin;position:absolute;visibility:visible;z-index:251659264" from="2084pt,56.7pt" to="2552pt,56.7pt" o:allowincell="f">
          <w10:wrap anchorx="margin"/>
        </v:line>
      </w:pict>
    </w:r>
    <w:r>
      <w:rPr>
        <w:noProof/>
      </w:rPr>
      <w:pict>
        <v:shape id="Text Box 5" o:spid="_x0000_s2053" type="#_x0000_t202" style="width:207.95pt;height:35.25pt;margin-top:14.05pt;margin-left:263.25pt;position:absolute;visibility:visible;z-index:251660288" o:allowincell="f" stroked="f">
          <v:textbox inset=",0,,0">
            <w:txbxContent>
              <w:p w:rsidR="005828DE" w:rsidP="009D11BE">
                <w:pPr>
                  <w:spacing w:before="40"/>
                  <w:jc w:val="right"/>
                  <w:rPr>
                    <w:rFonts w:ascii="Arial" w:hAnsi="Arial"/>
                    <w:b/>
                    <w:sz w:val="16"/>
                  </w:rPr>
                </w:pPr>
                <w:r>
                  <w:rPr>
                    <w:rFonts w:ascii="Arial" w:hAnsi="Arial"/>
                    <w:b/>
                    <w:sz w:val="16"/>
                  </w:rPr>
                  <w:t>News Media Information 202 / 418-0500</w:t>
                </w:r>
              </w:p>
              <w:p w:rsidR="005828DE" w:rsidP="009D11BE">
                <w:pPr>
                  <w:jc w:val="right"/>
                  <w:rPr>
                    <w:rFonts w:ascii="Arial" w:hAnsi="Arial"/>
                    <w:b/>
                    <w:sz w:val="16"/>
                  </w:rPr>
                </w:pPr>
                <w:r>
                  <w:rPr>
                    <w:rFonts w:ascii="Arial" w:hAnsi="Arial"/>
                    <w:b/>
                    <w:sz w:val="16"/>
                  </w:rPr>
                  <w:t xml:space="preserve">Internet: </w:t>
                </w:r>
                <w:r w:rsidRPr="005C5914">
                  <w:rPr>
                    <w:rFonts w:ascii="Arial" w:hAnsi="Arial"/>
                    <w:b/>
                    <w:sz w:val="16"/>
                  </w:rPr>
                  <w:t>https://www.fcc.gov</w:t>
                </w:r>
              </w:p>
              <w:p w:rsidR="005828DE" w:rsidP="009D11BE">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C"/>
    <w:rsid w:val="00001AF8"/>
    <w:rsid w:val="0000340C"/>
    <w:rsid w:val="00005C2D"/>
    <w:rsid w:val="00007A2F"/>
    <w:rsid w:val="0001251F"/>
    <w:rsid w:val="00012F28"/>
    <w:rsid w:val="000147DF"/>
    <w:rsid w:val="00021568"/>
    <w:rsid w:val="00021A83"/>
    <w:rsid w:val="00026589"/>
    <w:rsid w:val="000331CD"/>
    <w:rsid w:val="00035DA0"/>
    <w:rsid w:val="00036039"/>
    <w:rsid w:val="00036E3D"/>
    <w:rsid w:val="00037F90"/>
    <w:rsid w:val="00044C9A"/>
    <w:rsid w:val="00045EC3"/>
    <w:rsid w:val="0005222F"/>
    <w:rsid w:val="00055B63"/>
    <w:rsid w:val="00063DE6"/>
    <w:rsid w:val="00064E88"/>
    <w:rsid w:val="0006775F"/>
    <w:rsid w:val="00067897"/>
    <w:rsid w:val="000712B5"/>
    <w:rsid w:val="00071CA8"/>
    <w:rsid w:val="00073DB2"/>
    <w:rsid w:val="000767F1"/>
    <w:rsid w:val="00080322"/>
    <w:rsid w:val="000850CB"/>
    <w:rsid w:val="0008606E"/>
    <w:rsid w:val="000875BF"/>
    <w:rsid w:val="00094029"/>
    <w:rsid w:val="00096D8C"/>
    <w:rsid w:val="000A04B7"/>
    <w:rsid w:val="000A1301"/>
    <w:rsid w:val="000A3950"/>
    <w:rsid w:val="000A523C"/>
    <w:rsid w:val="000A6104"/>
    <w:rsid w:val="000B4C7F"/>
    <w:rsid w:val="000C0B65"/>
    <w:rsid w:val="000C1A39"/>
    <w:rsid w:val="000C21A9"/>
    <w:rsid w:val="000C4452"/>
    <w:rsid w:val="000C5BB8"/>
    <w:rsid w:val="000C6A31"/>
    <w:rsid w:val="000D13EE"/>
    <w:rsid w:val="000D309C"/>
    <w:rsid w:val="000D3CD0"/>
    <w:rsid w:val="000E044C"/>
    <w:rsid w:val="000E05FE"/>
    <w:rsid w:val="000E1268"/>
    <w:rsid w:val="000E24C8"/>
    <w:rsid w:val="000E3D42"/>
    <w:rsid w:val="000E6678"/>
    <w:rsid w:val="000E730B"/>
    <w:rsid w:val="000E7E85"/>
    <w:rsid w:val="000F2CAD"/>
    <w:rsid w:val="000F2EFF"/>
    <w:rsid w:val="00101A0A"/>
    <w:rsid w:val="00102026"/>
    <w:rsid w:val="00104367"/>
    <w:rsid w:val="00106EF3"/>
    <w:rsid w:val="001079A7"/>
    <w:rsid w:val="00112C8B"/>
    <w:rsid w:val="001159C1"/>
    <w:rsid w:val="00116763"/>
    <w:rsid w:val="00122BD5"/>
    <w:rsid w:val="001252AE"/>
    <w:rsid w:val="00131489"/>
    <w:rsid w:val="00133F79"/>
    <w:rsid w:val="00136F58"/>
    <w:rsid w:val="00140B9F"/>
    <w:rsid w:val="00141545"/>
    <w:rsid w:val="00143E28"/>
    <w:rsid w:val="00144549"/>
    <w:rsid w:val="00147009"/>
    <w:rsid w:val="0015305F"/>
    <w:rsid w:val="001532F4"/>
    <w:rsid w:val="00154666"/>
    <w:rsid w:val="001551AC"/>
    <w:rsid w:val="00156B0B"/>
    <w:rsid w:val="00157912"/>
    <w:rsid w:val="00157B74"/>
    <w:rsid w:val="001615D1"/>
    <w:rsid w:val="001645A7"/>
    <w:rsid w:val="0016533F"/>
    <w:rsid w:val="00181D42"/>
    <w:rsid w:val="00182A3C"/>
    <w:rsid w:val="001848FD"/>
    <w:rsid w:val="001854C8"/>
    <w:rsid w:val="001864B4"/>
    <w:rsid w:val="00194A66"/>
    <w:rsid w:val="00196FBB"/>
    <w:rsid w:val="001A1BB7"/>
    <w:rsid w:val="001A7D5C"/>
    <w:rsid w:val="001B0199"/>
    <w:rsid w:val="001B2E5C"/>
    <w:rsid w:val="001B308D"/>
    <w:rsid w:val="001B49F0"/>
    <w:rsid w:val="001C288C"/>
    <w:rsid w:val="001C41B3"/>
    <w:rsid w:val="001C4C5F"/>
    <w:rsid w:val="001D00BA"/>
    <w:rsid w:val="001D342E"/>
    <w:rsid w:val="001D46E4"/>
    <w:rsid w:val="001D67F7"/>
    <w:rsid w:val="001D6BCF"/>
    <w:rsid w:val="001D721D"/>
    <w:rsid w:val="001D741B"/>
    <w:rsid w:val="001E01CA"/>
    <w:rsid w:val="001E0F85"/>
    <w:rsid w:val="001E1C43"/>
    <w:rsid w:val="001E4FB4"/>
    <w:rsid w:val="001E5E21"/>
    <w:rsid w:val="001E795D"/>
    <w:rsid w:val="001F202F"/>
    <w:rsid w:val="001F2744"/>
    <w:rsid w:val="001F3C4F"/>
    <w:rsid w:val="001F3D83"/>
    <w:rsid w:val="001F40F8"/>
    <w:rsid w:val="00203D78"/>
    <w:rsid w:val="00205C99"/>
    <w:rsid w:val="00206F45"/>
    <w:rsid w:val="00207107"/>
    <w:rsid w:val="002074E8"/>
    <w:rsid w:val="002105B6"/>
    <w:rsid w:val="002117D2"/>
    <w:rsid w:val="00213C0C"/>
    <w:rsid w:val="00214C00"/>
    <w:rsid w:val="00215FAF"/>
    <w:rsid w:val="00221674"/>
    <w:rsid w:val="002226B2"/>
    <w:rsid w:val="002233A4"/>
    <w:rsid w:val="00223FB1"/>
    <w:rsid w:val="002252FF"/>
    <w:rsid w:val="00231D72"/>
    <w:rsid w:val="0023445D"/>
    <w:rsid w:val="002414A4"/>
    <w:rsid w:val="00241F42"/>
    <w:rsid w:val="00242948"/>
    <w:rsid w:val="00242CC4"/>
    <w:rsid w:val="00242F61"/>
    <w:rsid w:val="002447A0"/>
    <w:rsid w:val="002450DA"/>
    <w:rsid w:val="00246759"/>
    <w:rsid w:val="00247558"/>
    <w:rsid w:val="00251463"/>
    <w:rsid w:val="00251960"/>
    <w:rsid w:val="0025415D"/>
    <w:rsid w:val="0025696E"/>
    <w:rsid w:val="00263AAD"/>
    <w:rsid w:val="00264331"/>
    <w:rsid w:val="002653CF"/>
    <w:rsid w:val="002661F2"/>
    <w:rsid w:val="00266C29"/>
    <w:rsid w:val="00271039"/>
    <w:rsid w:val="00272F58"/>
    <w:rsid w:val="00274030"/>
    <w:rsid w:val="00274B98"/>
    <w:rsid w:val="00275CF5"/>
    <w:rsid w:val="00280058"/>
    <w:rsid w:val="0028301F"/>
    <w:rsid w:val="00283274"/>
    <w:rsid w:val="00285017"/>
    <w:rsid w:val="00285F9B"/>
    <w:rsid w:val="00286D9C"/>
    <w:rsid w:val="00287783"/>
    <w:rsid w:val="00287CE9"/>
    <w:rsid w:val="002923D8"/>
    <w:rsid w:val="0029550F"/>
    <w:rsid w:val="00296530"/>
    <w:rsid w:val="002A2D2E"/>
    <w:rsid w:val="002A4463"/>
    <w:rsid w:val="002B04F2"/>
    <w:rsid w:val="002B1520"/>
    <w:rsid w:val="002B47F1"/>
    <w:rsid w:val="002B7130"/>
    <w:rsid w:val="002B720B"/>
    <w:rsid w:val="002C00E8"/>
    <w:rsid w:val="002C3C8C"/>
    <w:rsid w:val="002C4F43"/>
    <w:rsid w:val="002C678D"/>
    <w:rsid w:val="002C6840"/>
    <w:rsid w:val="002D3F5E"/>
    <w:rsid w:val="002D5071"/>
    <w:rsid w:val="002D582F"/>
    <w:rsid w:val="002E1264"/>
    <w:rsid w:val="002E24DA"/>
    <w:rsid w:val="002E2D0D"/>
    <w:rsid w:val="002E2DBE"/>
    <w:rsid w:val="002E53B7"/>
    <w:rsid w:val="002E55EA"/>
    <w:rsid w:val="002E566B"/>
    <w:rsid w:val="002F0528"/>
    <w:rsid w:val="002F14B8"/>
    <w:rsid w:val="002F37F1"/>
    <w:rsid w:val="002F3B7F"/>
    <w:rsid w:val="002F3C0E"/>
    <w:rsid w:val="002F44A1"/>
    <w:rsid w:val="002F4779"/>
    <w:rsid w:val="002F4884"/>
    <w:rsid w:val="002F5C82"/>
    <w:rsid w:val="002F6952"/>
    <w:rsid w:val="002F7034"/>
    <w:rsid w:val="0030090D"/>
    <w:rsid w:val="003024D9"/>
    <w:rsid w:val="003044EA"/>
    <w:rsid w:val="00304B6E"/>
    <w:rsid w:val="00307897"/>
    <w:rsid w:val="00310A92"/>
    <w:rsid w:val="003111CB"/>
    <w:rsid w:val="00311ACB"/>
    <w:rsid w:val="003136C4"/>
    <w:rsid w:val="00314AD1"/>
    <w:rsid w:val="003176D0"/>
    <w:rsid w:val="00330210"/>
    <w:rsid w:val="00330D88"/>
    <w:rsid w:val="00332473"/>
    <w:rsid w:val="0033297B"/>
    <w:rsid w:val="003343DC"/>
    <w:rsid w:val="003414AF"/>
    <w:rsid w:val="003414BD"/>
    <w:rsid w:val="00343749"/>
    <w:rsid w:val="00347C16"/>
    <w:rsid w:val="003500D7"/>
    <w:rsid w:val="00350D13"/>
    <w:rsid w:val="00350FEE"/>
    <w:rsid w:val="003518FB"/>
    <w:rsid w:val="0035499F"/>
    <w:rsid w:val="00355328"/>
    <w:rsid w:val="00355CFC"/>
    <w:rsid w:val="00355E8A"/>
    <w:rsid w:val="00357018"/>
    <w:rsid w:val="00362DA5"/>
    <w:rsid w:val="00363EA0"/>
    <w:rsid w:val="003647B7"/>
    <w:rsid w:val="003660ED"/>
    <w:rsid w:val="00366B81"/>
    <w:rsid w:val="003702FE"/>
    <w:rsid w:val="003773CA"/>
    <w:rsid w:val="00377D71"/>
    <w:rsid w:val="0038631E"/>
    <w:rsid w:val="0038690E"/>
    <w:rsid w:val="003877B8"/>
    <w:rsid w:val="003A18E7"/>
    <w:rsid w:val="003B0108"/>
    <w:rsid w:val="003B0550"/>
    <w:rsid w:val="003B119A"/>
    <w:rsid w:val="003B3104"/>
    <w:rsid w:val="003B6818"/>
    <w:rsid w:val="003B694F"/>
    <w:rsid w:val="003C1D1D"/>
    <w:rsid w:val="003C49DD"/>
    <w:rsid w:val="003C5C6B"/>
    <w:rsid w:val="003D08DD"/>
    <w:rsid w:val="003D2814"/>
    <w:rsid w:val="003E04C6"/>
    <w:rsid w:val="003E2248"/>
    <w:rsid w:val="003E2888"/>
    <w:rsid w:val="003E2A4C"/>
    <w:rsid w:val="003E367A"/>
    <w:rsid w:val="003F0263"/>
    <w:rsid w:val="003F171C"/>
    <w:rsid w:val="003F366E"/>
    <w:rsid w:val="003F59D7"/>
    <w:rsid w:val="003F6550"/>
    <w:rsid w:val="00400E37"/>
    <w:rsid w:val="00402E24"/>
    <w:rsid w:val="00403AD5"/>
    <w:rsid w:val="0040619A"/>
    <w:rsid w:val="00411B93"/>
    <w:rsid w:val="00412FC5"/>
    <w:rsid w:val="004137A4"/>
    <w:rsid w:val="00415B6D"/>
    <w:rsid w:val="00416BC6"/>
    <w:rsid w:val="00417457"/>
    <w:rsid w:val="00420DC5"/>
    <w:rsid w:val="00422276"/>
    <w:rsid w:val="00423703"/>
    <w:rsid w:val="004242F1"/>
    <w:rsid w:val="00424C05"/>
    <w:rsid w:val="00425079"/>
    <w:rsid w:val="004257FA"/>
    <w:rsid w:val="00425A93"/>
    <w:rsid w:val="00434947"/>
    <w:rsid w:val="0043705C"/>
    <w:rsid w:val="0043781C"/>
    <w:rsid w:val="00442CB8"/>
    <w:rsid w:val="00445A00"/>
    <w:rsid w:val="004474F9"/>
    <w:rsid w:val="0045027F"/>
    <w:rsid w:val="00450F8E"/>
    <w:rsid w:val="00451756"/>
    <w:rsid w:val="00451B0F"/>
    <w:rsid w:val="004537C7"/>
    <w:rsid w:val="004556D9"/>
    <w:rsid w:val="004618C5"/>
    <w:rsid w:val="00463E14"/>
    <w:rsid w:val="00475D40"/>
    <w:rsid w:val="0047670D"/>
    <w:rsid w:val="004773A0"/>
    <w:rsid w:val="004828F2"/>
    <w:rsid w:val="004830BF"/>
    <w:rsid w:val="004870D8"/>
    <w:rsid w:val="00490D36"/>
    <w:rsid w:val="00490DD8"/>
    <w:rsid w:val="00491E15"/>
    <w:rsid w:val="00494674"/>
    <w:rsid w:val="00495CDF"/>
    <w:rsid w:val="004973E7"/>
    <w:rsid w:val="004A2B81"/>
    <w:rsid w:val="004A4BD7"/>
    <w:rsid w:val="004B2D0A"/>
    <w:rsid w:val="004B6ECA"/>
    <w:rsid w:val="004C2EE3"/>
    <w:rsid w:val="004C5CDF"/>
    <w:rsid w:val="004C6BD8"/>
    <w:rsid w:val="004C6E4B"/>
    <w:rsid w:val="004D2234"/>
    <w:rsid w:val="004D799A"/>
    <w:rsid w:val="004E0831"/>
    <w:rsid w:val="004E1261"/>
    <w:rsid w:val="004E2232"/>
    <w:rsid w:val="004E2668"/>
    <w:rsid w:val="004E2750"/>
    <w:rsid w:val="004E4A22"/>
    <w:rsid w:val="004F0DD6"/>
    <w:rsid w:val="004F1E9A"/>
    <w:rsid w:val="004F2892"/>
    <w:rsid w:val="004F7727"/>
    <w:rsid w:val="004F7AFF"/>
    <w:rsid w:val="00500118"/>
    <w:rsid w:val="00511968"/>
    <w:rsid w:val="005139BF"/>
    <w:rsid w:val="005139DC"/>
    <w:rsid w:val="0052563F"/>
    <w:rsid w:val="00526A10"/>
    <w:rsid w:val="00526EF8"/>
    <w:rsid w:val="00527057"/>
    <w:rsid w:val="00527656"/>
    <w:rsid w:val="0053017B"/>
    <w:rsid w:val="005303D3"/>
    <w:rsid w:val="00533019"/>
    <w:rsid w:val="005359B8"/>
    <w:rsid w:val="00542246"/>
    <w:rsid w:val="005435D4"/>
    <w:rsid w:val="0054588D"/>
    <w:rsid w:val="00545B32"/>
    <w:rsid w:val="00545D93"/>
    <w:rsid w:val="00552982"/>
    <w:rsid w:val="00552A9B"/>
    <w:rsid w:val="0055614C"/>
    <w:rsid w:val="005569B3"/>
    <w:rsid w:val="005604A4"/>
    <w:rsid w:val="0056655D"/>
    <w:rsid w:val="00566A3D"/>
    <w:rsid w:val="00577CD6"/>
    <w:rsid w:val="0058131D"/>
    <w:rsid w:val="00581F94"/>
    <w:rsid w:val="005826DC"/>
    <w:rsid w:val="005828DE"/>
    <w:rsid w:val="00582CDC"/>
    <w:rsid w:val="00583352"/>
    <w:rsid w:val="00583DE4"/>
    <w:rsid w:val="0058461A"/>
    <w:rsid w:val="00584D2A"/>
    <w:rsid w:val="005854C3"/>
    <w:rsid w:val="005875FD"/>
    <w:rsid w:val="00590E51"/>
    <w:rsid w:val="00591124"/>
    <w:rsid w:val="00591FCF"/>
    <w:rsid w:val="00592916"/>
    <w:rsid w:val="00594A1B"/>
    <w:rsid w:val="005A49B9"/>
    <w:rsid w:val="005B0321"/>
    <w:rsid w:val="005B58EE"/>
    <w:rsid w:val="005C153F"/>
    <w:rsid w:val="005C4842"/>
    <w:rsid w:val="005C5914"/>
    <w:rsid w:val="005C5F7F"/>
    <w:rsid w:val="005D3EF0"/>
    <w:rsid w:val="005D712D"/>
    <w:rsid w:val="005E14C2"/>
    <w:rsid w:val="005E1F62"/>
    <w:rsid w:val="005E720D"/>
    <w:rsid w:val="005E7EDB"/>
    <w:rsid w:val="005F14E4"/>
    <w:rsid w:val="005F2CB7"/>
    <w:rsid w:val="005F3BA3"/>
    <w:rsid w:val="005F4133"/>
    <w:rsid w:val="005F6FBF"/>
    <w:rsid w:val="00600F32"/>
    <w:rsid w:val="00601907"/>
    <w:rsid w:val="00601B8A"/>
    <w:rsid w:val="00607BA5"/>
    <w:rsid w:val="0061180A"/>
    <w:rsid w:val="00617BC6"/>
    <w:rsid w:val="00620E83"/>
    <w:rsid w:val="0062170A"/>
    <w:rsid w:val="0062435C"/>
    <w:rsid w:val="00624D5A"/>
    <w:rsid w:val="00626EB6"/>
    <w:rsid w:val="006304C4"/>
    <w:rsid w:val="006323D2"/>
    <w:rsid w:val="00632923"/>
    <w:rsid w:val="00632B53"/>
    <w:rsid w:val="0063418E"/>
    <w:rsid w:val="00635162"/>
    <w:rsid w:val="00636917"/>
    <w:rsid w:val="00641290"/>
    <w:rsid w:val="006443C8"/>
    <w:rsid w:val="00652B56"/>
    <w:rsid w:val="00652C88"/>
    <w:rsid w:val="0065429C"/>
    <w:rsid w:val="0065502F"/>
    <w:rsid w:val="00655D03"/>
    <w:rsid w:val="00657022"/>
    <w:rsid w:val="006571DD"/>
    <w:rsid w:val="00664E9E"/>
    <w:rsid w:val="00666068"/>
    <w:rsid w:val="00671F42"/>
    <w:rsid w:val="00675393"/>
    <w:rsid w:val="0067561A"/>
    <w:rsid w:val="006801EC"/>
    <w:rsid w:val="00681F6A"/>
    <w:rsid w:val="00683388"/>
    <w:rsid w:val="00683F84"/>
    <w:rsid w:val="0068506E"/>
    <w:rsid w:val="006875BF"/>
    <w:rsid w:val="00687AA7"/>
    <w:rsid w:val="006A2216"/>
    <w:rsid w:val="006A4556"/>
    <w:rsid w:val="006A6A81"/>
    <w:rsid w:val="006B2B50"/>
    <w:rsid w:val="006B6C23"/>
    <w:rsid w:val="006C0414"/>
    <w:rsid w:val="006C0642"/>
    <w:rsid w:val="006C195D"/>
    <w:rsid w:val="006C1F55"/>
    <w:rsid w:val="006C6AEB"/>
    <w:rsid w:val="006D2261"/>
    <w:rsid w:val="006D3349"/>
    <w:rsid w:val="006D769B"/>
    <w:rsid w:val="006E24B8"/>
    <w:rsid w:val="006E5485"/>
    <w:rsid w:val="006E7CE5"/>
    <w:rsid w:val="006F002E"/>
    <w:rsid w:val="006F100D"/>
    <w:rsid w:val="006F4823"/>
    <w:rsid w:val="006F60E4"/>
    <w:rsid w:val="006F7393"/>
    <w:rsid w:val="00700519"/>
    <w:rsid w:val="007016EC"/>
    <w:rsid w:val="0070224F"/>
    <w:rsid w:val="00702BD9"/>
    <w:rsid w:val="007064BF"/>
    <w:rsid w:val="007115F7"/>
    <w:rsid w:val="00712409"/>
    <w:rsid w:val="007125D8"/>
    <w:rsid w:val="007131F7"/>
    <w:rsid w:val="0071390C"/>
    <w:rsid w:val="0071474B"/>
    <w:rsid w:val="00715793"/>
    <w:rsid w:val="0071632F"/>
    <w:rsid w:val="007245BD"/>
    <w:rsid w:val="00724847"/>
    <w:rsid w:val="00725E0C"/>
    <w:rsid w:val="00726FD8"/>
    <w:rsid w:val="0072706D"/>
    <w:rsid w:val="00730798"/>
    <w:rsid w:val="00734897"/>
    <w:rsid w:val="00736EEB"/>
    <w:rsid w:val="00745DDF"/>
    <w:rsid w:val="007520ED"/>
    <w:rsid w:val="00752DF7"/>
    <w:rsid w:val="00754713"/>
    <w:rsid w:val="00756AAE"/>
    <w:rsid w:val="00760EE7"/>
    <w:rsid w:val="0076114E"/>
    <w:rsid w:val="00763CF1"/>
    <w:rsid w:val="00763FA8"/>
    <w:rsid w:val="007644D1"/>
    <w:rsid w:val="00766082"/>
    <w:rsid w:val="00770199"/>
    <w:rsid w:val="0077395F"/>
    <w:rsid w:val="0077683E"/>
    <w:rsid w:val="007825C5"/>
    <w:rsid w:val="00782FEC"/>
    <w:rsid w:val="00785689"/>
    <w:rsid w:val="007874FB"/>
    <w:rsid w:val="007904C7"/>
    <w:rsid w:val="00790D76"/>
    <w:rsid w:val="00792512"/>
    <w:rsid w:val="00792F94"/>
    <w:rsid w:val="0079300A"/>
    <w:rsid w:val="0079754B"/>
    <w:rsid w:val="007A0158"/>
    <w:rsid w:val="007A1E6D"/>
    <w:rsid w:val="007B0EB2"/>
    <w:rsid w:val="007B222C"/>
    <w:rsid w:val="007B25EE"/>
    <w:rsid w:val="007B5842"/>
    <w:rsid w:val="007B5FB2"/>
    <w:rsid w:val="007B6B33"/>
    <w:rsid w:val="007B71E4"/>
    <w:rsid w:val="007B7770"/>
    <w:rsid w:val="007C04FF"/>
    <w:rsid w:val="007C0863"/>
    <w:rsid w:val="007D0B28"/>
    <w:rsid w:val="007D3912"/>
    <w:rsid w:val="007D7AD0"/>
    <w:rsid w:val="007E16AF"/>
    <w:rsid w:val="007E1EE6"/>
    <w:rsid w:val="007E341B"/>
    <w:rsid w:val="007E6259"/>
    <w:rsid w:val="007E6DF4"/>
    <w:rsid w:val="007F08D8"/>
    <w:rsid w:val="007F3B7B"/>
    <w:rsid w:val="007F5AA8"/>
    <w:rsid w:val="007F7790"/>
    <w:rsid w:val="007F7849"/>
    <w:rsid w:val="00803C14"/>
    <w:rsid w:val="00810B6F"/>
    <w:rsid w:val="00810EC9"/>
    <w:rsid w:val="0081274E"/>
    <w:rsid w:val="00822CE0"/>
    <w:rsid w:val="00824F66"/>
    <w:rsid w:val="00827641"/>
    <w:rsid w:val="00833819"/>
    <w:rsid w:val="00836E13"/>
    <w:rsid w:val="008372FD"/>
    <w:rsid w:val="0083762A"/>
    <w:rsid w:val="008377F6"/>
    <w:rsid w:val="00841AB1"/>
    <w:rsid w:val="00843850"/>
    <w:rsid w:val="00845FBA"/>
    <w:rsid w:val="00846949"/>
    <w:rsid w:val="008514DC"/>
    <w:rsid w:val="00851B46"/>
    <w:rsid w:val="00852F8B"/>
    <w:rsid w:val="00853DAD"/>
    <w:rsid w:val="008541AA"/>
    <w:rsid w:val="008570AC"/>
    <w:rsid w:val="0086349B"/>
    <w:rsid w:val="00867EF0"/>
    <w:rsid w:val="00871C44"/>
    <w:rsid w:val="00873829"/>
    <w:rsid w:val="00875F6E"/>
    <w:rsid w:val="00881677"/>
    <w:rsid w:val="00882972"/>
    <w:rsid w:val="00884180"/>
    <w:rsid w:val="008926EB"/>
    <w:rsid w:val="008940CA"/>
    <w:rsid w:val="00895E5A"/>
    <w:rsid w:val="00897DFF"/>
    <w:rsid w:val="008A20F6"/>
    <w:rsid w:val="008A3215"/>
    <w:rsid w:val="008A363E"/>
    <w:rsid w:val="008A64D0"/>
    <w:rsid w:val="008B30C5"/>
    <w:rsid w:val="008B3C29"/>
    <w:rsid w:val="008B5E5C"/>
    <w:rsid w:val="008C68F1"/>
    <w:rsid w:val="008D0DFD"/>
    <w:rsid w:val="008D406B"/>
    <w:rsid w:val="008D56CB"/>
    <w:rsid w:val="008E5739"/>
    <w:rsid w:val="008E66F4"/>
    <w:rsid w:val="008E6B3E"/>
    <w:rsid w:val="008F2FA4"/>
    <w:rsid w:val="008F36CE"/>
    <w:rsid w:val="008F3B21"/>
    <w:rsid w:val="008F3E1D"/>
    <w:rsid w:val="008F68CB"/>
    <w:rsid w:val="008F6EB3"/>
    <w:rsid w:val="00902570"/>
    <w:rsid w:val="00902BE5"/>
    <w:rsid w:val="009060B3"/>
    <w:rsid w:val="00911751"/>
    <w:rsid w:val="009136B6"/>
    <w:rsid w:val="00921803"/>
    <w:rsid w:val="00922145"/>
    <w:rsid w:val="00926503"/>
    <w:rsid w:val="009278A7"/>
    <w:rsid w:val="009302EC"/>
    <w:rsid w:val="0093426E"/>
    <w:rsid w:val="009360DE"/>
    <w:rsid w:val="009361BA"/>
    <w:rsid w:val="00941672"/>
    <w:rsid w:val="00946648"/>
    <w:rsid w:val="00952888"/>
    <w:rsid w:val="00953E86"/>
    <w:rsid w:val="009540AE"/>
    <w:rsid w:val="009606DF"/>
    <w:rsid w:val="00960D6C"/>
    <w:rsid w:val="009618F2"/>
    <w:rsid w:val="00961DA0"/>
    <w:rsid w:val="00963642"/>
    <w:rsid w:val="009655B2"/>
    <w:rsid w:val="009701C9"/>
    <w:rsid w:val="00971C83"/>
    <w:rsid w:val="009726D8"/>
    <w:rsid w:val="00972726"/>
    <w:rsid w:val="00973AA5"/>
    <w:rsid w:val="00973BC7"/>
    <w:rsid w:val="00976D08"/>
    <w:rsid w:val="009969C7"/>
    <w:rsid w:val="00996B92"/>
    <w:rsid w:val="009A1493"/>
    <w:rsid w:val="009A1846"/>
    <w:rsid w:val="009A18CC"/>
    <w:rsid w:val="009A1F33"/>
    <w:rsid w:val="009A38A3"/>
    <w:rsid w:val="009A435D"/>
    <w:rsid w:val="009A589E"/>
    <w:rsid w:val="009A6C73"/>
    <w:rsid w:val="009B2BCF"/>
    <w:rsid w:val="009B2D43"/>
    <w:rsid w:val="009C0456"/>
    <w:rsid w:val="009C2804"/>
    <w:rsid w:val="009C2A25"/>
    <w:rsid w:val="009C52FB"/>
    <w:rsid w:val="009D0EE5"/>
    <w:rsid w:val="009D11BE"/>
    <w:rsid w:val="009D1D9F"/>
    <w:rsid w:val="009D552D"/>
    <w:rsid w:val="009E51F5"/>
    <w:rsid w:val="009F2742"/>
    <w:rsid w:val="009F5835"/>
    <w:rsid w:val="009F66BA"/>
    <w:rsid w:val="009F7074"/>
    <w:rsid w:val="009F74DB"/>
    <w:rsid w:val="009F76DB"/>
    <w:rsid w:val="00A0074C"/>
    <w:rsid w:val="00A03330"/>
    <w:rsid w:val="00A04C12"/>
    <w:rsid w:val="00A24A8C"/>
    <w:rsid w:val="00A31D87"/>
    <w:rsid w:val="00A32448"/>
    <w:rsid w:val="00A32C3B"/>
    <w:rsid w:val="00A33B2B"/>
    <w:rsid w:val="00A350B1"/>
    <w:rsid w:val="00A376ED"/>
    <w:rsid w:val="00A40126"/>
    <w:rsid w:val="00A401C9"/>
    <w:rsid w:val="00A42D08"/>
    <w:rsid w:val="00A43739"/>
    <w:rsid w:val="00A45F4F"/>
    <w:rsid w:val="00A46D71"/>
    <w:rsid w:val="00A50537"/>
    <w:rsid w:val="00A50A19"/>
    <w:rsid w:val="00A5117C"/>
    <w:rsid w:val="00A5385C"/>
    <w:rsid w:val="00A53BD6"/>
    <w:rsid w:val="00A553C5"/>
    <w:rsid w:val="00A600A9"/>
    <w:rsid w:val="00A623D5"/>
    <w:rsid w:val="00A62EC1"/>
    <w:rsid w:val="00A65919"/>
    <w:rsid w:val="00A65E25"/>
    <w:rsid w:val="00A727EF"/>
    <w:rsid w:val="00A80DEB"/>
    <w:rsid w:val="00A825E1"/>
    <w:rsid w:val="00A939BB"/>
    <w:rsid w:val="00AA0094"/>
    <w:rsid w:val="00AA4423"/>
    <w:rsid w:val="00AA53A5"/>
    <w:rsid w:val="00AA54D5"/>
    <w:rsid w:val="00AA555E"/>
    <w:rsid w:val="00AA55B7"/>
    <w:rsid w:val="00AA5B9E"/>
    <w:rsid w:val="00AA6917"/>
    <w:rsid w:val="00AB2407"/>
    <w:rsid w:val="00AB53DF"/>
    <w:rsid w:val="00AB54B3"/>
    <w:rsid w:val="00AB6408"/>
    <w:rsid w:val="00AB6DB5"/>
    <w:rsid w:val="00AC7C29"/>
    <w:rsid w:val="00AD14E9"/>
    <w:rsid w:val="00AD23AD"/>
    <w:rsid w:val="00AD2707"/>
    <w:rsid w:val="00AD7344"/>
    <w:rsid w:val="00AE043F"/>
    <w:rsid w:val="00AE0F62"/>
    <w:rsid w:val="00AE249F"/>
    <w:rsid w:val="00AE3CC5"/>
    <w:rsid w:val="00AE430E"/>
    <w:rsid w:val="00AE630F"/>
    <w:rsid w:val="00AE6A33"/>
    <w:rsid w:val="00AE7426"/>
    <w:rsid w:val="00AF227B"/>
    <w:rsid w:val="00AF754F"/>
    <w:rsid w:val="00B020A6"/>
    <w:rsid w:val="00B07E5C"/>
    <w:rsid w:val="00B10BB3"/>
    <w:rsid w:val="00B14CE2"/>
    <w:rsid w:val="00B1518E"/>
    <w:rsid w:val="00B15BD3"/>
    <w:rsid w:val="00B15DF1"/>
    <w:rsid w:val="00B16390"/>
    <w:rsid w:val="00B164A0"/>
    <w:rsid w:val="00B20629"/>
    <w:rsid w:val="00B206EF"/>
    <w:rsid w:val="00B21461"/>
    <w:rsid w:val="00B21818"/>
    <w:rsid w:val="00B27492"/>
    <w:rsid w:val="00B30CAB"/>
    <w:rsid w:val="00B33932"/>
    <w:rsid w:val="00B34BC4"/>
    <w:rsid w:val="00B36F72"/>
    <w:rsid w:val="00B43952"/>
    <w:rsid w:val="00B44073"/>
    <w:rsid w:val="00B501D3"/>
    <w:rsid w:val="00B52C8B"/>
    <w:rsid w:val="00B558FB"/>
    <w:rsid w:val="00B564F3"/>
    <w:rsid w:val="00B60811"/>
    <w:rsid w:val="00B641FF"/>
    <w:rsid w:val="00B65A8D"/>
    <w:rsid w:val="00B66ACD"/>
    <w:rsid w:val="00B66FB4"/>
    <w:rsid w:val="00B67F7D"/>
    <w:rsid w:val="00B74DD5"/>
    <w:rsid w:val="00B80DDA"/>
    <w:rsid w:val="00B811F7"/>
    <w:rsid w:val="00B82BAE"/>
    <w:rsid w:val="00B878E5"/>
    <w:rsid w:val="00B9112A"/>
    <w:rsid w:val="00B93AF1"/>
    <w:rsid w:val="00B972C3"/>
    <w:rsid w:val="00B97B3E"/>
    <w:rsid w:val="00BA0DB0"/>
    <w:rsid w:val="00BA446A"/>
    <w:rsid w:val="00BA4EEB"/>
    <w:rsid w:val="00BA5947"/>
    <w:rsid w:val="00BA594D"/>
    <w:rsid w:val="00BA5DC6"/>
    <w:rsid w:val="00BA6196"/>
    <w:rsid w:val="00BA6CE8"/>
    <w:rsid w:val="00BA6F76"/>
    <w:rsid w:val="00BB2819"/>
    <w:rsid w:val="00BB3C4F"/>
    <w:rsid w:val="00BB585E"/>
    <w:rsid w:val="00BB5889"/>
    <w:rsid w:val="00BB67D1"/>
    <w:rsid w:val="00BB7DC9"/>
    <w:rsid w:val="00BC3E2F"/>
    <w:rsid w:val="00BC649F"/>
    <w:rsid w:val="00BC6D8C"/>
    <w:rsid w:val="00BD4D84"/>
    <w:rsid w:val="00BD622F"/>
    <w:rsid w:val="00BE0510"/>
    <w:rsid w:val="00BF0D43"/>
    <w:rsid w:val="00BF2EF3"/>
    <w:rsid w:val="00BF441D"/>
    <w:rsid w:val="00C01371"/>
    <w:rsid w:val="00C01F5A"/>
    <w:rsid w:val="00C03668"/>
    <w:rsid w:val="00C05EC8"/>
    <w:rsid w:val="00C07D15"/>
    <w:rsid w:val="00C07EC9"/>
    <w:rsid w:val="00C126FB"/>
    <w:rsid w:val="00C15F36"/>
    <w:rsid w:val="00C23711"/>
    <w:rsid w:val="00C23EA9"/>
    <w:rsid w:val="00C2758E"/>
    <w:rsid w:val="00C3230E"/>
    <w:rsid w:val="00C34006"/>
    <w:rsid w:val="00C35445"/>
    <w:rsid w:val="00C3725F"/>
    <w:rsid w:val="00C426B1"/>
    <w:rsid w:val="00C46847"/>
    <w:rsid w:val="00C55E23"/>
    <w:rsid w:val="00C56283"/>
    <w:rsid w:val="00C56B50"/>
    <w:rsid w:val="00C5766E"/>
    <w:rsid w:val="00C64B0D"/>
    <w:rsid w:val="00C66160"/>
    <w:rsid w:val="00C721AC"/>
    <w:rsid w:val="00C72AF5"/>
    <w:rsid w:val="00C74F43"/>
    <w:rsid w:val="00C750D9"/>
    <w:rsid w:val="00C758D4"/>
    <w:rsid w:val="00C77756"/>
    <w:rsid w:val="00C806DC"/>
    <w:rsid w:val="00C807AE"/>
    <w:rsid w:val="00C857F7"/>
    <w:rsid w:val="00C865D4"/>
    <w:rsid w:val="00C90D6A"/>
    <w:rsid w:val="00C93485"/>
    <w:rsid w:val="00C93567"/>
    <w:rsid w:val="00CA0CBC"/>
    <w:rsid w:val="00CA247E"/>
    <w:rsid w:val="00CA254C"/>
    <w:rsid w:val="00CA4820"/>
    <w:rsid w:val="00CA6FE0"/>
    <w:rsid w:val="00CA71C5"/>
    <w:rsid w:val="00CB084C"/>
    <w:rsid w:val="00CB0E10"/>
    <w:rsid w:val="00CB1036"/>
    <w:rsid w:val="00CB1754"/>
    <w:rsid w:val="00CB2D95"/>
    <w:rsid w:val="00CB2F1B"/>
    <w:rsid w:val="00CB37C5"/>
    <w:rsid w:val="00CB4BFF"/>
    <w:rsid w:val="00CB5B77"/>
    <w:rsid w:val="00CB6195"/>
    <w:rsid w:val="00CB717F"/>
    <w:rsid w:val="00CC4D7D"/>
    <w:rsid w:val="00CC657F"/>
    <w:rsid w:val="00CC72B6"/>
    <w:rsid w:val="00CC7571"/>
    <w:rsid w:val="00CD4FD2"/>
    <w:rsid w:val="00CD7593"/>
    <w:rsid w:val="00CE403F"/>
    <w:rsid w:val="00CE5E4D"/>
    <w:rsid w:val="00CF3D2B"/>
    <w:rsid w:val="00D0218D"/>
    <w:rsid w:val="00D023CD"/>
    <w:rsid w:val="00D029CF"/>
    <w:rsid w:val="00D07A4C"/>
    <w:rsid w:val="00D1026B"/>
    <w:rsid w:val="00D1053A"/>
    <w:rsid w:val="00D13591"/>
    <w:rsid w:val="00D13A4E"/>
    <w:rsid w:val="00D1580D"/>
    <w:rsid w:val="00D218BA"/>
    <w:rsid w:val="00D24CF3"/>
    <w:rsid w:val="00D25FB5"/>
    <w:rsid w:val="00D35674"/>
    <w:rsid w:val="00D35BAE"/>
    <w:rsid w:val="00D37C66"/>
    <w:rsid w:val="00D40910"/>
    <w:rsid w:val="00D41546"/>
    <w:rsid w:val="00D41F8A"/>
    <w:rsid w:val="00D42503"/>
    <w:rsid w:val="00D42C35"/>
    <w:rsid w:val="00D44223"/>
    <w:rsid w:val="00D449AD"/>
    <w:rsid w:val="00D45807"/>
    <w:rsid w:val="00D4591C"/>
    <w:rsid w:val="00D45C4B"/>
    <w:rsid w:val="00D52D87"/>
    <w:rsid w:val="00D53D0A"/>
    <w:rsid w:val="00D557AE"/>
    <w:rsid w:val="00D56575"/>
    <w:rsid w:val="00D61F5D"/>
    <w:rsid w:val="00D62960"/>
    <w:rsid w:val="00D63146"/>
    <w:rsid w:val="00D639F2"/>
    <w:rsid w:val="00D64CC9"/>
    <w:rsid w:val="00D71585"/>
    <w:rsid w:val="00D721FF"/>
    <w:rsid w:val="00D72CEB"/>
    <w:rsid w:val="00D778FB"/>
    <w:rsid w:val="00D81966"/>
    <w:rsid w:val="00D82581"/>
    <w:rsid w:val="00D86DE6"/>
    <w:rsid w:val="00D87FA6"/>
    <w:rsid w:val="00D921C4"/>
    <w:rsid w:val="00D92524"/>
    <w:rsid w:val="00D93C22"/>
    <w:rsid w:val="00D95256"/>
    <w:rsid w:val="00D96A56"/>
    <w:rsid w:val="00DA2529"/>
    <w:rsid w:val="00DA4A88"/>
    <w:rsid w:val="00DA7527"/>
    <w:rsid w:val="00DA7625"/>
    <w:rsid w:val="00DB130A"/>
    <w:rsid w:val="00DB2EBB"/>
    <w:rsid w:val="00DB3FA9"/>
    <w:rsid w:val="00DC10A1"/>
    <w:rsid w:val="00DC2F9D"/>
    <w:rsid w:val="00DC3595"/>
    <w:rsid w:val="00DC56C7"/>
    <w:rsid w:val="00DC5E88"/>
    <w:rsid w:val="00DC655F"/>
    <w:rsid w:val="00DD0B59"/>
    <w:rsid w:val="00DD2764"/>
    <w:rsid w:val="00DD3C04"/>
    <w:rsid w:val="00DD6791"/>
    <w:rsid w:val="00DD7965"/>
    <w:rsid w:val="00DD7EBD"/>
    <w:rsid w:val="00DE108C"/>
    <w:rsid w:val="00DE1F9C"/>
    <w:rsid w:val="00DE45DD"/>
    <w:rsid w:val="00DE5149"/>
    <w:rsid w:val="00DF62B6"/>
    <w:rsid w:val="00E00B16"/>
    <w:rsid w:val="00E01EF7"/>
    <w:rsid w:val="00E02512"/>
    <w:rsid w:val="00E025AB"/>
    <w:rsid w:val="00E06A33"/>
    <w:rsid w:val="00E07225"/>
    <w:rsid w:val="00E07BA0"/>
    <w:rsid w:val="00E10754"/>
    <w:rsid w:val="00E126F8"/>
    <w:rsid w:val="00E164BF"/>
    <w:rsid w:val="00E2063C"/>
    <w:rsid w:val="00E230C2"/>
    <w:rsid w:val="00E24A2B"/>
    <w:rsid w:val="00E26BDD"/>
    <w:rsid w:val="00E3423E"/>
    <w:rsid w:val="00E379D3"/>
    <w:rsid w:val="00E45673"/>
    <w:rsid w:val="00E46BE0"/>
    <w:rsid w:val="00E50619"/>
    <w:rsid w:val="00E515A1"/>
    <w:rsid w:val="00E52F82"/>
    <w:rsid w:val="00E5409F"/>
    <w:rsid w:val="00E55ABF"/>
    <w:rsid w:val="00E60F64"/>
    <w:rsid w:val="00E61B50"/>
    <w:rsid w:val="00E6279B"/>
    <w:rsid w:val="00E63706"/>
    <w:rsid w:val="00E64476"/>
    <w:rsid w:val="00E65D24"/>
    <w:rsid w:val="00E71251"/>
    <w:rsid w:val="00E71D22"/>
    <w:rsid w:val="00E828C2"/>
    <w:rsid w:val="00E86E2E"/>
    <w:rsid w:val="00E904D3"/>
    <w:rsid w:val="00E92A77"/>
    <w:rsid w:val="00E93613"/>
    <w:rsid w:val="00E9423B"/>
    <w:rsid w:val="00E97BAF"/>
    <w:rsid w:val="00EA29CB"/>
    <w:rsid w:val="00EA316B"/>
    <w:rsid w:val="00EA6410"/>
    <w:rsid w:val="00EB114B"/>
    <w:rsid w:val="00EB11B5"/>
    <w:rsid w:val="00EB43F0"/>
    <w:rsid w:val="00EB78D5"/>
    <w:rsid w:val="00EB7A31"/>
    <w:rsid w:val="00EC027A"/>
    <w:rsid w:val="00EC2399"/>
    <w:rsid w:val="00EC4E65"/>
    <w:rsid w:val="00ED1C0A"/>
    <w:rsid w:val="00ED397A"/>
    <w:rsid w:val="00ED7A18"/>
    <w:rsid w:val="00EE329E"/>
    <w:rsid w:val="00EE50EA"/>
    <w:rsid w:val="00EE615A"/>
    <w:rsid w:val="00EE6488"/>
    <w:rsid w:val="00EF0285"/>
    <w:rsid w:val="00EF35B3"/>
    <w:rsid w:val="00F004D3"/>
    <w:rsid w:val="00F021FA"/>
    <w:rsid w:val="00F0587B"/>
    <w:rsid w:val="00F07B2C"/>
    <w:rsid w:val="00F123DC"/>
    <w:rsid w:val="00F1311F"/>
    <w:rsid w:val="00F139B2"/>
    <w:rsid w:val="00F13F64"/>
    <w:rsid w:val="00F15571"/>
    <w:rsid w:val="00F16C5F"/>
    <w:rsid w:val="00F22BD2"/>
    <w:rsid w:val="00F31C06"/>
    <w:rsid w:val="00F35990"/>
    <w:rsid w:val="00F37F9C"/>
    <w:rsid w:val="00F40080"/>
    <w:rsid w:val="00F4434D"/>
    <w:rsid w:val="00F44393"/>
    <w:rsid w:val="00F45CE1"/>
    <w:rsid w:val="00F50558"/>
    <w:rsid w:val="00F511AC"/>
    <w:rsid w:val="00F52A31"/>
    <w:rsid w:val="00F53E36"/>
    <w:rsid w:val="00F56972"/>
    <w:rsid w:val="00F577BF"/>
    <w:rsid w:val="00F60048"/>
    <w:rsid w:val="00F62E97"/>
    <w:rsid w:val="00F6329C"/>
    <w:rsid w:val="00F64209"/>
    <w:rsid w:val="00F66D39"/>
    <w:rsid w:val="00F703B7"/>
    <w:rsid w:val="00F80C07"/>
    <w:rsid w:val="00F8116A"/>
    <w:rsid w:val="00F833DB"/>
    <w:rsid w:val="00F86653"/>
    <w:rsid w:val="00F93010"/>
    <w:rsid w:val="00F93BF5"/>
    <w:rsid w:val="00F96545"/>
    <w:rsid w:val="00F9672C"/>
    <w:rsid w:val="00F96D0F"/>
    <w:rsid w:val="00FA3229"/>
    <w:rsid w:val="00FA5A7F"/>
    <w:rsid w:val="00FA5BBB"/>
    <w:rsid w:val="00FB1CA9"/>
    <w:rsid w:val="00FB1E76"/>
    <w:rsid w:val="00FC0A27"/>
    <w:rsid w:val="00FC56B2"/>
    <w:rsid w:val="00FC7F61"/>
    <w:rsid w:val="00FD22C4"/>
    <w:rsid w:val="00FD2E1F"/>
    <w:rsid w:val="00FE088A"/>
    <w:rsid w:val="00FE1466"/>
    <w:rsid w:val="00FE1784"/>
    <w:rsid w:val="00FE27DD"/>
    <w:rsid w:val="00FE5EF2"/>
    <w:rsid w:val="00FF16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3"/>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8"/>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8"/>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8"/>
      </w:numPr>
      <w:spacing w:before="120" w:after="120" w:line="360" w:lineRule="auto"/>
      <w:jc w:val="center"/>
      <w:outlineLvl w:val="0"/>
    </w:pPr>
    <w:rPr>
      <w:b/>
    </w:rPr>
  </w:style>
  <w:style w:type="numbering" w:customStyle="1" w:styleId="AppendixHeadings">
    <w:name w:val="Appendix Headings"/>
    <w:uiPriority w:val="99"/>
    <w:rsid w:val="00973BC7"/>
    <w:pPr>
      <w:numPr>
        <w:numId w:val="7"/>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8"/>
      </w:numPr>
      <w:spacing w:before="120" w:after="120"/>
      <w:ind w:left="720" w:hanging="720"/>
      <w:outlineLvl w:val="3"/>
    </w:pPr>
    <w:rPr>
      <w:b/>
      <w:bCs/>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EF3F-0EF3-4545-B863-1A1FC987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2017-12-20T16:56:18Z</dcterms:created>
  <dcterms:modified xsi:type="dcterms:W3CDTF">2017-12-20T16:56:18Z</dcterms:modified>
</cp:coreProperties>
</file>