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80943" w:rsidRPr="005D496E" w:rsidP="00280943">
      <w:pPr>
        <w:tabs>
          <w:tab w:val="center" w:pos="4680"/>
          <w:tab w:val="right" w:pos="9360"/>
        </w:tabs>
        <w:jc w:val="right"/>
        <w:rPr>
          <w:b/>
          <w:szCs w:val="22"/>
          <w:highlight w:val="yellow"/>
        </w:rPr>
      </w:pPr>
      <w:bookmarkStart w:id="0" w:name="_GoBack"/>
      <w:bookmarkEnd w:id="0"/>
      <w:r>
        <w:rPr>
          <w:b/>
          <w:szCs w:val="22"/>
        </w:rPr>
        <w:t xml:space="preserve">DA </w:t>
      </w:r>
      <w:r w:rsidRPr="007C17A7" w:rsidR="007C17A7">
        <w:rPr>
          <w:b/>
          <w:szCs w:val="22"/>
        </w:rPr>
        <w:t>17-1221</w:t>
      </w:r>
    </w:p>
    <w:p w:rsidR="00280943" w:rsidRPr="008568E5" w:rsidP="00280943">
      <w:pPr>
        <w:spacing w:before="60"/>
        <w:jc w:val="right"/>
        <w:rPr>
          <w:b/>
          <w:szCs w:val="22"/>
        </w:rPr>
      </w:pPr>
      <w:r w:rsidRPr="008568E5">
        <w:rPr>
          <w:b/>
          <w:szCs w:val="22"/>
        </w:rPr>
        <w:t>December 19, 201</w:t>
      </w:r>
      <w:r w:rsidRPr="008568E5" w:rsidR="00662966">
        <w:rPr>
          <w:b/>
          <w:szCs w:val="22"/>
        </w:rPr>
        <w:t>7</w:t>
      </w:r>
    </w:p>
    <w:p w:rsidR="00280943" w:rsidRPr="008568E5" w:rsidP="00280943">
      <w:pPr>
        <w:jc w:val="right"/>
        <w:rPr>
          <w:szCs w:val="22"/>
        </w:rPr>
      </w:pPr>
    </w:p>
    <w:p w:rsidR="00280943" w:rsidRPr="008568E5" w:rsidP="00280943">
      <w:pPr>
        <w:spacing w:after="240"/>
        <w:jc w:val="center"/>
        <w:rPr>
          <w:b/>
          <w:szCs w:val="22"/>
        </w:rPr>
      </w:pPr>
      <w:r w:rsidRPr="008568E5">
        <w:rPr>
          <w:b/>
          <w:szCs w:val="22"/>
        </w:rPr>
        <w:t xml:space="preserve"> </w:t>
      </w:r>
      <w:r w:rsidRPr="008568E5" w:rsidR="00662966">
        <w:rPr>
          <w:b/>
          <w:szCs w:val="22"/>
        </w:rPr>
        <w:t xml:space="preserve">ZOO COMMUNICATIONS, LLC AND ANCO MEDIA GROUP, LLC SEEK </w:t>
      </w:r>
      <w:r w:rsidRPr="008568E5">
        <w:rPr>
          <w:b/>
          <w:szCs w:val="22"/>
        </w:rPr>
        <w:t xml:space="preserve">FOREIGN OWNERSHIP RULING PURSUANT TO SECTION 310(b)(4) OF THE COMMUNICATIONS ACT OF 1934, AS AMENDED </w:t>
      </w:r>
    </w:p>
    <w:p w:rsidR="00280943" w:rsidRPr="008568E5" w:rsidP="00280943">
      <w:pPr>
        <w:spacing w:line="480" w:lineRule="auto"/>
        <w:jc w:val="center"/>
        <w:rPr>
          <w:b/>
          <w:szCs w:val="22"/>
        </w:rPr>
      </w:pPr>
      <w:r w:rsidRPr="008568E5">
        <w:rPr>
          <w:b/>
          <w:szCs w:val="22"/>
        </w:rPr>
        <w:t xml:space="preserve">PLEADING CYCLE ESTABLISHED </w:t>
      </w:r>
    </w:p>
    <w:p w:rsidR="00280943" w:rsidRPr="008568E5" w:rsidP="00280943">
      <w:pPr>
        <w:spacing w:line="480" w:lineRule="auto"/>
        <w:jc w:val="center"/>
        <w:rPr>
          <w:b/>
          <w:szCs w:val="22"/>
        </w:rPr>
      </w:pPr>
      <w:r w:rsidRPr="008568E5">
        <w:rPr>
          <w:b/>
          <w:szCs w:val="22"/>
        </w:rPr>
        <w:t xml:space="preserve">MB Docket No. </w:t>
      </w:r>
      <w:r w:rsidRPr="008568E5" w:rsidR="00812291">
        <w:rPr>
          <w:b/>
          <w:szCs w:val="22"/>
        </w:rPr>
        <w:t>1</w:t>
      </w:r>
      <w:r w:rsidRPr="008568E5" w:rsidR="005D496E">
        <w:rPr>
          <w:b/>
          <w:szCs w:val="22"/>
        </w:rPr>
        <w:t>7-</w:t>
      </w:r>
      <w:r w:rsidRPr="008568E5" w:rsidR="007C17A7">
        <w:rPr>
          <w:b/>
          <w:szCs w:val="22"/>
        </w:rPr>
        <w:t>359</w:t>
      </w:r>
    </w:p>
    <w:p w:rsidR="00280943" w:rsidRPr="008568E5" w:rsidP="00280943">
      <w:pPr>
        <w:jc w:val="center"/>
        <w:rPr>
          <w:b/>
          <w:szCs w:val="22"/>
        </w:rPr>
      </w:pPr>
    </w:p>
    <w:p w:rsidR="00280943" w:rsidRPr="008568E5" w:rsidP="00280943">
      <w:pPr>
        <w:rPr>
          <w:szCs w:val="22"/>
        </w:rPr>
      </w:pPr>
      <w:r w:rsidRPr="008568E5">
        <w:rPr>
          <w:b/>
          <w:szCs w:val="22"/>
        </w:rPr>
        <w:t>Comments Due:</w:t>
      </w:r>
      <w:r w:rsidRPr="008568E5" w:rsidR="00C332D2">
        <w:rPr>
          <w:b/>
          <w:szCs w:val="22"/>
        </w:rPr>
        <w:t xml:space="preserve"> </w:t>
      </w:r>
      <w:r w:rsidRPr="008568E5" w:rsidR="007C17A7">
        <w:rPr>
          <w:b/>
          <w:szCs w:val="22"/>
        </w:rPr>
        <w:t>January 18, 2018</w:t>
      </w:r>
    </w:p>
    <w:p w:rsidR="00280943" w:rsidRPr="00644B15" w:rsidP="00280943">
      <w:pPr>
        <w:rPr>
          <w:b/>
          <w:szCs w:val="22"/>
        </w:rPr>
      </w:pPr>
      <w:r w:rsidRPr="008568E5">
        <w:rPr>
          <w:b/>
          <w:szCs w:val="22"/>
        </w:rPr>
        <w:t>Replies Due:</w:t>
      </w:r>
      <w:r w:rsidRPr="008568E5">
        <w:rPr>
          <w:szCs w:val="22"/>
        </w:rPr>
        <w:t xml:space="preserve"> </w:t>
      </w:r>
      <w:r w:rsidRPr="008568E5" w:rsidR="007C17A7">
        <w:rPr>
          <w:b/>
          <w:szCs w:val="22"/>
        </w:rPr>
        <w:t>February 2</w:t>
      </w:r>
      <w:r w:rsidRPr="008568E5" w:rsidR="00C332D2">
        <w:rPr>
          <w:b/>
          <w:szCs w:val="22"/>
        </w:rPr>
        <w:t>, 201</w:t>
      </w:r>
      <w:r w:rsidRPr="008568E5" w:rsidR="005D496E">
        <w:rPr>
          <w:b/>
          <w:szCs w:val="22"/>
        </w:rPr>
        <w:t>8</w:t>
      </w:r>
    </w:p>
    <w:p w:rsidR="00280943" w:rsidRPr="00644B15" w:rsidP="00280943">
      <w:pPr>
        <w:rPr>
          <w:b/>
          <w:szCs w:val="22"/>
        </w:rPr>
      </w:pPr>
    </w:p>
    <w:p w:rsidR="00280943" w:rsidRPr="00644B15" w:rsidP="00280943">
      <w:pPr>
        <w:rPr>
          <w:szCs w:val="22"/>
        </w:rPr>
      </w:pPr>
      <w:r w:rsidRPr="00644B15">
        <w:rPr>
          <w:szCs w:val="22"/>
        </w:rPr>
        <w:tab/>
      </w:r>
    </w:p>
    <w:p w:rsidR="00280943" w:rsidRPr="00644B15" w:rsidP="00280943">
      <w:pPr>
        <w:rPr>
          <w:szCs w:val="22"/>
          <w:lang w:val="fr-FR"/>
        </w:rPr>
      </w:pPr>
      <w:r w:rsidRPr="00644B15">
        <w:rPr>
          <w:b/>
          <w:szCs w:val="22"/>
          <w:lang w:val="fr-FR"/>
        </w:rPr>
        <w:t>I.</w:t>
      </w:r>
      <w:r w:rsidRPr="00644B15">
        <w:rPr>
          <w:b/>
          <w:szCs w:val="22"/>
          <w:lang w:val="fr-FR"/>
        </w:rPr>
        <w:tab/>
        <w:t>INTRODUCTION</w:t>
      </w:r>
      <w:r w:rsidRPr="00644B15">
        <w:rPr>
          <w:szCs w:val="22"/>
          <w:lang w:val="fr-FR"/>
        </w:rPr>
        <w:tab/>
      </w:r>
    </w:p>
    <w:p w:rsidR="00280943" w:rsidRPr="00644B15" w:rsidP="00280943">
      <w:pPr>
        <w:rPr>
          <w:szCs w:val="22"/>
          <w:lang w:val="fr-FR"/>
        </w:rPr>
      </w:pPr>
    </w:p>
    <w:p w:rsidR="00280943" w:rsidRPr="00B039CF" w:rsidP="00280943">
      <w:pPr>
        <w:ind w:firstLine="720"/>
        <w:rPr>
          <w:szCs w:val="22"/>
        </w:rPr>
      </w:pPr>
      <w:r>
        <w:rPr>
          <w:szCs w:val="22"/>
          <w:lang w:val="fr-FR"/>
        </w:rPr>
        <w:t>Zoo Communications, LLC</w:t>
      </w:r>
      <w:r w:rsidRPr="00B039CF">
        <w:rPr>
          <w:szCs w:val="22"/>
          <w:lang w:val="fr-FR"/>
        </w:rPr>
        <w:t xml:space="preserve"> (</w:t>
      </w:r>
      <w:r>
        <w:rPr>
          <w:szCs w:val="22"/>
        </w:rPr>
        <w:t>Zoo</w:t>
      </w:r>
      <w:r w:rsidRPr="00B039CF">
        <w:rPr>
          <w:szCs w:val="22"/>
        </w:rPr>
        <w:t xml:space="preserve">) </w:t>
      </w:r>
      <w:r>
        <w:rPr>
          <w:szCs w:val="22"/>
        </w:rPr>
        <w:t xml:space="preserve">and Anco Media Group, LLC (Anco Media) </w:t>
      </w:r>
      <w:r w:rsidR="001E1CAA">
        <w:rPr>
          <w:szCs w:val="22"/>
        </w:rPr>
        <w:t xml:space="preserve">(collectively, the Petitioners) </w:t>
      </w:r>
      <w:r w:rsidRPr="00B039CF">
        <w:rPr>
          <w:szCs w:val="22"/>
        </w:rPr>
        <w:t>ha</w:t>
      </w:r>
      <w:r>
        <w:rPr>
          <w:szCs w:val="22"/>
        </w:rPr>
        <w:t>ve</w:t>
      </w:r>
      <w:r w:rsidRPr="00B039CF">
        <w:rPr>
          <w:szCs w:val="22"/>
        </w:rPr>
        <w:t xml:space="preserve"> filed a petition for declaratory ruling (Petition) with the Commission requesting that the Commission find, pursuant to Section 310(b)(4) of the Communications Act of 1934, as amended,</w:t>
      </w:r>
      <w:r>
        <w:rPr>
          <w:rStyle w:val="FootnoteReference"/>
          <w:szCs w:val="22"/>
        </w:rPr>
        <w:footnoteReference w:id="3"/>
      </w:r>
      <w:r w:rsidRPr="00B039CF">
        <w:rPr>
          <w:szCs w:val="22"/>
        </w:rPr>
        <w:t xml:space="preserve"> </w:t>
      </w:r>
      <w:r w:rsidR="00126BF0">
        <w:rPr>
          <w:szCs w:val="22"/>
        </w:rPr>
        <w:t xml:space="preserve">the Commission’s </w:t>
      </w:r>
      <w:r w:rsidR="00E75BAA">
        <w:rPr>
          <w:szCs w:val="22"/>
        </w:rPr>
        <w:t xml:space="preserve">recent </w:t>
      </w:r>
      <w:r w:rsidR="00E75BAA">
        <w:rPr>
          <w:i/>
          <w:szCs w:val="22"/>
        </w:rPr>
        <w:t xml:space="preserve">Foreign Ownership </w:t>
      </w:r>
      <w:r w:rsidRPr="00E75BAA" w:rsidR="00E75BAA">
        <w:rPr>
          <w:i/>
          <w:szCs w:val="22"/>
        </w:rPr>
        <w:t>Order</w:t>
      </w:r>
      <w:r w:rsidR="00E75BAA">
        <w:rPr>
          <w:szCs w:val="22"/>
        </w:rPr>
        <w:t>,</w:t>
      </w:r>
      <w:r>
        <w:rPr>
          <w:rStyle w:val="FootnoteReference"/>
          <w:szCs w:val="22"/>
        </w:rPr>
        <w:footnoteReference w:id="4"/>
      </w:r>
      <w:r w:rsidR="00E75BAA">
        <w:rPr>
          <w:szCs w:val="22"/>
        </w:rPr>
        <w:t xml:space="preserve"> and Section 1.5000(a)(1) of the FCC</w:t>
      </w:r>
      <w:r w:rsidR="004C51A3">
        <w:rPr>
          <w:szCs w:val="22"/>
        </w:rPr>
        <w:t>’s</w:t>
      </w:r>
      <w:r w:rsidR="00E75BAA">
        <w:rPr>
          <w:szCs w:val="22"/>
        </w:rPr>
        <w:t xml:space="preserve"> </w:t>
      </w:r>
      <w:r w:rsidR="00046544">
        <w:rPr>
          <w:szCs w:val="22"/>
        </w:rPr>
        <w:t>r</w:t>
      </w:r>
      <w:r w:rsidR="00E75BAA">
        <w:rPr>
          <w:szCs w:val="22"/>
        </w:rPr>
        <w:t>ules,</w:t>
      </w:r>
      <w:r>
        <w:rPr>
          <w:rStyle w:val="FootnoteReference"/>
          <w:szCs w:val="22"/>
        </w:rPr>
        <w:footnoteReference w:id="5"/>
      </w:r>
      <w:r w:rsidR="00E75BAA">
        <w:rPr>
          <w:szCs w:val="22"/>
        </w:rPr>
        <w:t xml:space="preserve"> </w:t>
      </w:r>
      <w:r w:rsidRPr="00E75BAA">
        <w:rPr>
          <w:szCs w:val="22"/>
        </w:rPr>
        <w:t>that</w:t>
      </w:r>
      <w:r w:rsidRPr="00B039CF">
        <w:rPr>
          <w:szCs w:val="22"/>
        </w:rPr>
        <w:t xml:space="preserve"> it would serve the public interest to permit </w:t>
      </w:r>
      <w:r w:rsidR="00F30658">
        <w:rPr>
          <w:szCs w:val="22"/>
        </w:rPr>
        <w:t>Anco</w:t>
      </w:r>
      <w:r w:rsidRPr="00B039CF">
        <w:rPr>
          <w:szCs w:val="22"/>
        </w:rPr>
        <w:t xml:space="preserve"> Media</w:t>
      </w:r>
      <w:r w:rsidR="00F30658">
        <w:rPr>
          <w:szCs w:val="22"/>
        </w:rPr>
        <w:t xml:space="preserve">, a </w:t>
      </w:r>
      <w:r w:rsidR="0053137B">
        <w:rPr>
          <w:szCs w:val="22"/>
        </w:rPr>
        <w:t>Florida</w:t>
      </w:r>
      <w:r w:rsidR="00177719">
        <w:rPr>
          <w:szCs w:val="22"/>
        </w:rPr>
        <w:t xml:space="preserve"> limited liability company</w:t>
      </w:r>
      <w:r w:rsidR="00F30658">
        <w:rPr>
          <w:szCs w:val="22"/>
        </w:rPr>
        <w:t xml:space="preserve"> owned by</w:t>
      </w:r>
      <w:r w:rsidRPr="00B039CF">
        <w:rPr>
          <w:szCs w:val="22"/>
        </w:rPr>
        <w:t xml:space="preserve"> </w:t>
      </w:r>
      <w:r w:rsidR="00F30658">
        <w:rPr>
          <w:szCs w:val="22"/>
        </w:rPr>
        <w:t>four Italian</w:t>
      </w:r>
      <w:r w:rsidRPr="00B039CF">
        <w:rPr>
          <w:szCs w:val="22"/>
        </w:rPr>
        <w:t xml:space="preserve"> </w:t>
      </w:r>
      <w:r w:rsidR="0053137B">
        <w:rPr>
          <w:szCs w:val="22"/>
        </w:rPr>
        <w:t>members</w:t>
      </w:r>
      <w:r w:rsidRPr="00B039CF">
        <w:rPr>
          <w:szCs w:val="22"/>
        </w:rPr>
        <w:t xml:space="preserve">, to </w:t>
      </w:r>
      <w:r w:rsidR="00F10AB8">
        <w:rPr>
          <w:szCs w:val="22"/>
        </w:rPr>
        <w:t>acquire</w:t>
      </w:r>
      <w:r w:rsidR="00F30658">
        <w:rPr>
          <w:szCs w:val="22"/>
        </w:rPr>
        <w:t xml:space="preserve"> </w:t>
      </w:r>
      <w:r w:rsidR="00A61ED5">
        <w:rPr>
          <w:szCs w:val="22"/>
        </w:rPr>
        <w:t xml:space="preserve">a </w:t>
      </w:r>
      <w:r w:rsidR="00F30658">
        <w:rPr>
          <w:szCs w:val="22"/>
        </w:rPr>
        <w:t xml:space="preserve">100 percent voting and equity interest in </w:t>
      </w:r>
      <w:r w:rsidR="009D6EF3">
        <w:rPr>
          <w:szCs w:val="22"/>
        </w:rPr>
        <w:t xml:space="preserve">the licensee, </w:t>
      </w:r>
      <w:r w:rsidR="00F30658">
        <w:rPr>
          <w:szCs w:val="22"/>
        </w:rPr>
        <w:t>Zoo.</w:t>
      </w:r>
    </w:p>
    <w:p w:rsidR="00280943" w:rsidRPr="00B039CF" w:rsidP="00280943">
      <w:pPr>
        <w:ind w:firstLine="720"/>
        <w:rPr>
          <w:szCs w:val="22"/>
        </w:rPr>
      </w:pPr>
    </w:p>
    <w:p w:rsidR="00E20147" w:rsidP="00575F17">
      <w:pPr>
        <w:pStyle w:val="FootnoteText"/>
        <w:spacing w:after="0"/>
        <w:jc w:val="left"/>
        <w:rPr>
          <w:sz w:val="22"/>
          <w:szCs w:val="22"/>
        </w:rPr>
      </w:pPr>
      <w:r w:rsidRPr="00B039CF">
        <w:rPr>
          <w:sz w:val="22"/>
          <w:szCs w:val="22"/>
        </w:rPr>
        <w:tab/>
        <w:t xml:space="preserve">The Petition is filed in connection with </w:t>
      </w:r>
      <w:r w:rsidR="00D42DF5">
        <w:rPr>
          <w:sz w:val="22"/>
          <w:szCs w:val="22"/>
        </w:rPr>
        <w:t>an</w:t>
      </w:r>
      <w:r w:rsidRPr="00B039CF">
        <w:rPr>
          <w:sz w:val="22"/>
          <w:szCs w:val="22"/>
        </w:rPr>
        <w:t xml:space="preserve"> application, filed on </w:t>
      </w:r>
      <w:r w:rsidR="00D42DF5">
        <w:rPr>
          <w:sz w:val="22"/>
          <w:szCs w:val="22"/>
        </w:rPr>
        <w:t>November 28</w:t>
      </w:r>
      <w:r w:rsidRPr="00B039CF">
        <w:rPr>
          <w:sz w:val="22"/>
          <w:szCs w:val="22"/>
        </w:rPr>
        <w:t>,</w:t>
      </w:r>
      <w:r w:rsidR="00D42DF5">
        <w:rPr>
          <w:sz w:val="22"/>
          <w:szCs w:val="22"/>
        </w:rPr>
        <w:t xml:space="preserve"> 2017,</w:t>
      </w:r>
      <w:r w:rsidRPr="00B039CF">
        <w:rPr>
          <w:sz w:val="22"/>
          <w:szCs w:val="22"/>
        </w:rPr>
        <w:t xml:space="preserve"> seeking </w:t>
      </w:r>
      <w:r w:rsidR="00D42DF5">
        <w:rPr>
          <w:sz w:val="22"/>
          <w:szCs w:val="22"/>
        </w:rPr>
        <w:t xml:space="preserve">Commission </w:t>
      </w:r>
      <w:r w:rsidRPr="00B039CF">
        <w:rPr>
          <w:sz w:val="22"/>
          <w:szCs w:val="22"/>
        </w:rPr>
        <w:t xml:space="preserve">consent to the transfer of control of </w:t>
      </w:r>
      <w:r w:rsidR="00040586">
        <w:rPr>
          <w:sz w:val="22"/>
          <w:szCs w:val="22"/>
        </w:rPr>
        <w:t xml:space="preserve">Zoo, the </w:t>
      </w:r>
      <w:r w:rsidR="00DC37AA">
        <w:rPr>
          <w:sz w:val="22"/>
          <w:szCs w:val="22"/>
        </w:rPr>
        <w:t xml:space="preserve">licensee of four </w:t>
      </w:r>
      <w:r w:rsidR="001D30C8">
        <w:rPr>
          <w:sz w:val="22"/>
          <w:szCs w:val="22"/>
        </w:rPr>
        <w:t xml:space="preserve">Florida </w:t>
      </w:r>
      <w:r w:rsidR="00DC37AA">
        <w:rPr>
          <w:sz w:val="22"/>
          <w:szCs w:val="22"/>
        </w:rPr>
        <w:t>stations (2 FMs and 2 FM translators)</w:t>
      </w:r>
      <w:r>
        <w:rPr>
          <w:rStyle w:val="FootnoteReference"/>
          <w:sz w:val="22"/>
          <w:szCs w:val="22"/>
        </w:rPr>
        <w:footnoteReference w:id="6"/>
      </w:r>
      <w:r w:rsidR="00FE579B">
        <w:rPr>
          <w:sz w:val="22"/>
          <w:szCs w:val="22"/>
        </w:rPr>
        <w:t xml:space="preserve"> from </w:t>
      </w:r>
      <w:r w:rsidR="00EE4D4A">
        <w:rPr>
          <w:sz w:val="22"/>
          <w:szCs w:val="22"/>
        </w:rPr>
        <w:t xml:space="preserve">the </w:t>
      </w:r>
      <w:r w:rsidR="00FE579B">
        <w:rPr>
          <w:sz w:val="22"/>
          <w:szCs w:val="22"/>
        </w:rPr>
        <w:t xml:space="preserve">four </w:t>
      </w:r>
      <w:r w:rsidR="00EE4D4A">
        <w:rPr>
          <w:sz w:val="22"/>
          <w:szCs w:val="22"/>
        </w:rPr>
        <w:t>current members,</w:t>
      </w:r>
      <w:r w:rsidR="00993254">
        <w:rPr>
          <w:sz w:val="22"/>
          <w:szCs w:val="22"/>
        </w:rPr>
        <w:t xml:space="preserve"> including </w:t>
      </w:r>
      <w:r w:rsidR="00EE4D4A">
        <w:rPr>
          <w:sz w:val="22"/>
          <w:szCs w:val="22"/>
        </w:rPr>
        <w:t xml:space="preserve">Italian Claudio </w:t>
      </w:r>
      <w:r w:rsidR="00600E89">
        <w:rPr>
          <w:sz w:val="22"/>
          <w:szCs w:val="22"/>
        </w:rPr>
        <w:t xml:space="preserve">Castiglioni </w:t>
      </w:r>
      <w:r w:rsidR="00EE4D4A">
        <w:rPr>
          <w:sz w:val="22"/>
          <w:szCs w:val="22"/>
        </w:rPr>
        <w:t>Dompe</w:t>
      </w:r>
      <w:r w:rsidR="00993254">
        <w:rPr>
          <w:sz w:val="22"/>
          <w:szCs w:val="22"/>
        </w:rPr>
        <w:t>,</w:t>
      </w:r>
      <w:r w:rsidR="00FE579B">
        <w:rPr>
          <w:sz w:val="22"/>
          <w:szCs w:val="22"/>
        </w:rPr>
        <w:t xml:space="preserve"> to Anco Media.</w:t>
      </w:r>
      <w:r>
        <w:rPr>
          <w:rStyle w:val="FootnoteReference"/>
          <w:sz w:val="22"/>
          <w:szCs w:val="22"/>
        </w:rPr>
        <w:footnoteReference w:id="7"/>
      </w:r>
      <w:r w:rsidRPr="00B039CF">
        <w:rPr>
          <w:sz w:val="22"/>
          <w:szCs w:val="22"/>
        </w:rPr>
        <w:t xml:space="preserve">  </w:t>
      </w:r>
      <w:r w:rsidR="00FE579B">
        <w:rPr>
          <w:sz w:val="22"/>
          <w:szCs w:val="22"/>
        </w:rPr>
        <w:t xml:space="preserve">Anco Media is </w:t>
      </w:r>
      <w:r w:rsidR="006F4368">
        <w:rPr>
          <w:sz w:val="22"/>
          <w:szCs w:val="22"/>
        </w:rPr>
        <w:t>a Florida limited liability company</w:t>
      </w:r>
      <w:r w:rsidR="009F41AC">
        <w:rPr>
          <w:sz w:val="22"/>
          <w:szCs w:val="22"/>
        </w:rPr>
        <w:t xml:space="preserve"> </w:t>
      </w:r>
      <w:r w:rsidR="00600E89">
        <w:rPr>
          <w:sz w:val="22"/>
          <w:szCs w:val="22"/>
        </w:rPr>
        <w:t>owned</w:t>
      </w:r>
      <w:r w:rsidR="00FE579B">
        <w:rPr>
          <w:sz w:val="22"/>
          <w:szCs w:val="22"/>
        </w:rPr>
        <w:t xml:space="preserve"> by</w:t>
      </w:r>
      <w:r w:rsidR="001561BB">
        <w:rPr>
          <w:sz w:val="22"/>
          <w:szCs w:val="22"/>
        </w:rPr>
        <w:t xml:space="preserve"> four </w:t>
      </w:r>
      <w:r w:rsidR="00600E89">
        <w:rPr>
          <w:sz w:val="22"/>
          <w:szCs w:val="22"/>
        </w:rPr>
        <w:t>m</w:t>
      </w:r>
      <w:r w:rsidR="001561BB">
        <w:rPr>
          <w:sz w:val="22"/>
          <w:szCs w:val="22"/>
        </w:rPr>
        <w:t>embers</w:t>
      </w:r>
      <w:r w:rsidR="00600E89">
        <w:rPr>
          <w:sz w:val="22"/>
          <w:szCs w:val="22"/>
        </w:rPr>
        <w:t>, who are citizens of Italy</w:t>
      </w:r>
      <w:r w:rsidR="00EE4D4A">
        <w:rPr>
          <w:sz w:val="22"/>
          <w:szCs w:val="22"/>
        </w:rPr>
        <w:t xml:space="preserve">: Claudio </w:t>
      </w:r>
      <w:r w:rsidR="00600E89">
        <w:rPr>
          <w:sz w:val="22"/>
          <w:szCs w:val="22"/>
        </w:rPr>
        <w:t xml:space="preserve">Castiglioni </w:t>
      </w:r>
      <w:r w:rsidR="00EE4D4A">
        <w:rPr>
          <w:sz w:val="22"/>
          <w:szCs w:val="22"/>
        </w:rPr>
        <w:t>Dompe (40</w:t>
      </w:r>
      <w:r w:rsidR="00A76FD5">
        <w:rPr>
          <w:sz w:val="22"/>
          <w:szCs w:val="22"/>
        </w:rPr>
        <w:t xml:space="preserve"> percent</w:t>
      </w:r>
      <w:r w:rsidR="00EE4D4A">
        <w:rPr>
          <w:sz w:val="22"/>
          <w:szCs w:val="22"/>
        </w:rPr>
        <w:t xml:space="preserve"> voting and equity interest); Marco Mazzoli (40</w:t>
      </w:r>
      <w:r w:rsidR="00A76FD5">
        <w:rPr>
          <w:sz w:val="22"/>
          <w:szCs w:val="22"/>
        </w:rPr>
        <w:t xml:space="preserve"> percent</w:t>
      </w:r>
      <w:r w:rsidR="00EE4D4A">
        <w:rPr>
          <w:sz w:val="22"/>
          <w:szCs w:val="22"/>
        </w:rPr>
        <w:t xml:space="preserve"> voting and </w:t>
      </w:r>
      <w:r w:rsidR="00EE4D4A">
        <w:rPr>
          <w:sz w:val="22"/>
          <w:szCs w:val="22"/>
        </w:rPr>
        <w:t xml:space="preserve">equity interest); Claudia </w:t>
      </w:r>
      <w:r w:rsidR="00600E89">
        <w:rPr>
          <w:sz w:val="22"/>
          <w:szCs w:val="22"/>
        </w:rPr>
        <w:t xml:space="preserve">Castiglioni </w:t>
      </w:r>
      <w:r w:rsidR="00EE4D4A">
        <w:rPr>
          <w:sz w:val="22"/>
          <w:szCs w:val="22"/>
        </w:rPr>
        <w:t>Dompe (10</w:t>
      </w:r>
      <w:r w:rsidR="00A76FD5">
        <w:rPr>
          <w:sz w:val="22"/>
          <w:szCs w:val="22"/>
        </w:rPr>
        <w:t xml:space="preserve"> percent </w:t>
      </w:r>
      <w:r w:rsidR="00EE4D4A">
        <w:rPr>
          <w:sz w:val="22"/>
          <w:szCs w:val="22"/>
        </w:rPr>
        <w:t>voting and equity interest); and Stefania Pittaluga (10</w:t>
      </w:r>
      <w:r w:rsidR="00A76FD5">
        <w:rPr>
          <w:sz w:val="22"/>
          <w:szCs w:val="22"/>
        </w:rPr>
        <w:t xml:space="preserve"> percent </w:t>
      </w:r>
      <w:r w:rsidR="00EE4D4A">
        <w:rPr>
          <w:sz w:val="22"/>
          <w:szCs w:val="22"/>
        </w:rPr>
        <w:t>voting and equity interest).</w:t>
      </w:r>
      <w:r>
        <w:rPr>
          <w:rStyle w:val="FootnoteReference"/>
          <w:sz w:val="22"/>
          <w:szCs w:val="22"/>
        </w:rPr>
        <w:footnoteReference w:id="8"/>
      </w:r>
      <w:r w:rsidR="00EE4D4A">
        <w:rPr>
          <w:sz w:val="22"/>
          <w:szCs w:val="22"/>
        </w:rPr>
        <w:t xml:space="preserve"> </w:t>
      </w:r>
      <w:r w:rsidR="00FE579B">
        <w:rPr>
          <w:sz w:val="22"/>
          <w:szCs w:val="22"/>
        </w:rPr>
        <w:t xml:space="preserve"> </w:t>
      </w:r>
      <w:r w:rsidR="00EE4D4A">
        <w:rPr>
          <w:sz w:val="22"/>
          <w:szCs w:val="22"/>
        </w:rPr>
        <w:t>The Petitioners</w:t>
      </w:r>
      <w:r w:rsidRPr="00B039CF">
        <w:rPr>
          <w:sz w:val="22"/>
          <w:szCs w:val="22"/>
        </w:rPr>
        <w:t xml:space="preserve"> </w:t>
      </w:r>
      <w:r w:rsidR="00EE4D4A">
        <w:rPr>
          <w:sz w:val="22"/>
          <w:szCs w:val="22"/>
        </w:rPr>
        <w:t>assert</w:t>
      </w:r>
      <w:r w:rsidRPr="00B039CF">
        <w:rPr>
          <w:sz w:val="22"/>
          <w:szCs w:val="22"/>
        </w:rPr>
        <w:t xml:space="preserve"> that grant of the Petition would serve the public interest because it would </w:t>
      </w:r>
      <w:r w:rsidR="00357500">
        <w:rPr>
          <w:sz w:val="22"/>
          <w:szCs w:val="22"/>
        </w:rPr>
        <w:t xml:space="preserve">facilitate foreign investment </w:t>
      </w:r>
      <w:r w:rsidR="00BB6A78">
        <w:rPr>
          <w:sz w:val="22"/>
          <w:szCs w:val="22"/>
        </w:rPr>
        <w:t>from a new source of capital</w:t>
      </w:r>
      <w:r w:rsidR="001D30C8">
        <w:rPr>
          <w:sz w:val="22"/>
          <w:szCs w:val="22"/>
        </w:rPr>
        <w:t xml:space="preserve"> “to a recent entrant in an important U.S. broadcast radio market, which listenership is composed of a substantial number of minority individuals.”</w:t>
      </w:r>
      <w:r>
        <w:rPr>
          <w:rStyle w:val="FootnoteReference"/>
          <w:sz w:val="22"/>
          <w:szCs w:val="22"/>
        </w:rPr>
        <w:footnoteReference w:id="9"/>
      </w:r>
      <w:r w:rsidR="001D30C8">
        <w:rPr>
          <w:sz w:val="22"/>
          <w:szCs w:val="22"/>
        </w:rPr>
        <w:t xml:space="preserve">   </w:t>
      </w:r>
      <w:r w:rsidRPr="00B039CF">
        <w:rPr>
          <w:sz w:val="22"/>
          <w:szCs w:val="22"/>
        </w:rPr>
        <w:t xml:space="preserve">  </w:t>
      </w:r>
    </w:p>
    <w:p w:rsidR="00E20147" w:rsidP="00280943">
      <w:pPr>
        <w:pStyle w:val="FootnoteText"/>
        <w:spacing w:after="0"/>
        <w:rPr>
          <w:sz w:val="22"/>
          <w:szCs w:val="22"/>
        </w:rPr>
      </w:pPr>
    </w:p>
    <w:p w:rsidR="00280943" w:rsidP="00A70D8C">
      <w:pPr>
        <w:pStyle w:val="FootnoteText"/>
        <w:spacing w:after="0"/>
        <w:jc w:val="left"/>
        <w:rPr>
          <w:sz w:val="22"/>
          <w:szCs w:val="22"/>
        </w:rPr>
      </w:pPr>
      <w:r>
        <w:rPr>
          <w:sz w:val="22"/>
          <w:szCs w:val="22"/>
        </w:rPr>
        <w:tab/>
        <w:t xml:space="preserve">In support of the Petition, </w:t>
      </w:r>
      <w:r w:rsidR="00F30658">
        <w:rPr>
          <w:sz w:val="22"/>
          <w:szCs w:val="22"/>
        </w:rPr>
        <w:t>Zoo and Anco Media</w:t>
      </w:r>
      <w:r w:rsidRPr="00B039CF">
        <w:rPr>
          <w:sz w:val="22"/>
          <w:szCs w:val="22"/>
        </w:rPr>
        <w:t xml:space="preserve"> </w:t>
      </w:r>
      <w:r w:rsidR="00F30658">
        <w:rPr>
          <w:sz w:val="22"/>
          <w:szCs w:val="22"/>
        </w:rPr>
        <w:t>note</w:t>
      </w:r>
      <w:r w:rsidRPr="00B039CF">
        <w:rPr>
          <w:sz w:val="22"/>
          <w:szCs w:val="22"/>
        </w:rPr>
        <w:t xml:space="preserve"> that </w:t>
      </w:r>
      <w:r w:rsidR="001D30C8">
        <w:rPr>
          <w:sz w:val="22"/>
          <w:szCs w:val="22"/>
        </w:rPr>
        <w:t>Marco Mazzol</w:t>
      </w:r>
      <w:r w:rsidR="008C1BA3">
        <w:rPr>
          <w:sz w:val="22"/>
          <w:szCs w:val="22"/>
        </w:rPr>
        <w:t>i</w:t>
      </w:r>
      <w:r w:rsidR="001D30C8">
        <w:rPr>
          <w:sz w:val="22"/>
          <w:szCs w:val="22"/>
        </w:rPr>
        <w:t xml:space="preserve"> </w:t>
      </w:r>
      <w:r w:rsidR="001E20B5">
        <w:rPr>
          <w:sz w:val="22"/>
          <w:szCs w:val="22"/>
        </w:rPr>
        <w:t xml:space="preserve">currently serves as General Manager and Marketing Director for Zoo’s stations, programs a popular radio show he created in Italy (The 105 Zoo) on the stations for his Italian audience, </w:t>
      </w:r>
      <w:r w:rsidRPr="00B039CF">
        <w:rPr>
          <w:sz w:val="22"/>
          <w:szCs w:val="22"/>
        </w:rPr>
        <w:t xml:space="preserve">and thus, is </w:t>
      </w:r>
      <w:r w:rsidR="001E20B5">
        <w:rPr>
          <w:sz w:val="22"/>
          <w:szCs w:val="22"/>
        </w:rPr>
        <w:t xml:space="preserve">the </w:t>
      </w:r>
      <w:r w:rsidRPr="00B039CF">
        <w:rPr>
          <w:sz w:val="22"/>
          <w:szCs w:val="22"/>
        </w:rPr>
        <w:t>“</w:t>
      </w:r>
      <w:r w:rsidR="001E20B5">
        <w:rPr>
          <w:sz w:val="22"/>
          <w:szCs w:val="22"/>
        </w:rPr>
        <w:t>creative genius behind the success of the company’s stations.</w:t>
      </w:r>
      <w:r w:rsidRPr="00B039CF">
        <w:rPr>
          <w:sz w:val="22"/>
          <w:szCs w:val="22"/>
        </w:rPr>
        <w:t>”</w:t>
      </w:r>
      <w:r>
        <w:rPr>
          <w:rStyle w:val="FootnoteReference"/>
          <w:sz w:val="22"/>
          <w:szCs w:val="22"/>
        </w:rPr>
        <w:footnoteReference w:id="10"/>
      </w:r>
      <w:r w:rsidRPr="00B039CF">
        <w:rPr>
          <w:sz w:val="22"/>
          <w:szCs w:val="22"/>
        </w:rPr>
        <w:t xml:space="preserve">  </w:t>
      </w:r>
      <w:r w:rsidR="00B3787D">
        <w:rPr>
          <w:sz w:val="22"/>
          <w:szCs w:val="22"/>
        </w:rPr>
        <w:t>T</w:t>
      </w:r>
      <w:r w:rsidR="00FD679F">
        <w:rPr>
          <w:sz w:val="22"/>
          <w:szCs w:val="22"/>
        </w:rPr>
        <w:t>he Petitioners</w:t>
      </w:r>
      <w:r w:rsidR="00177719">
        <w:rPr>
          <w:sz w:val="22"/>
          <w:szCs w:val="22"/>
        </w:rPr>
        <w:t xml:space="preserve"> </w:t>
      </w:r>
      <w:r w:rsidRPr="00B039CF">
        <w:rPr>
          <w:sz w:val="22"/>
          <w:szCs w:val="22"/>
        </w:rPr>
        <w:t xml:space="preserve">maintain that </w:t>
      </w:r>
      <w:r w:rsidR="00DC04F5">
        <w:rPr>
          <w:sz w:val="22"/>
          <w:szCs w:val="22"/>
        </w:rPr>
        <w:t>Italian</w:t>
      </w:r>
      <w:r w:rsidRPr="00B039CF">
        <w:rPr>
          <w:sz w:val="22"/>
          <w:szCs w:val="22"/>
        </w:rPr>
        <w:t xml:space="preserve"> ownership poses no national security or other threat to the United States, given the </w:t>
      </w:r>
      <w:r w:rsidR="00177719">
        <w:rPr>
          <w:sz w:val="22"/>
          <w:szCs w:val="22"/>
        </w:rPr>
        <w:t>“friendly, non-threatening relationship between the United States and Italy over the past 60 years.”</w:t>
      </w:r>
      <w:r>
        <w:rPr>
          <w:rStyle w:val="FootnoteReference"/>
          <w:sz w:val="22"/>
          <w:szCs w:val="22"/>
        </w:rPr>
        <w:footnoteReference w:id="11"/>
      </w:r>
      <w:r w:rsidRPr="00B039CF">
        <w:rPr>
          <w:sz w:val="22"/>
          <w:szCs w:val="22"/>
        </w:rPr>
        <w:t xml:space="preserve">  </w:t>
      </w:r>
      <w:r w:rsidR="00FD679F">
        <w:rPr>
          <w:sz w:val="22"/>
          <w:szCs w:val="22"/>
        </w:rPr>
        <w:t>Further, t</w:t>
      </w:r>
      <w:r w:rsidR="0053137B">
        <w:rPr>
          <w:sz w:val="22"/>
          <w:szCs w:val="22"/>
        </w:rPr>
        <w:t>he Petitioners</w:t>
      </w:r>
      <w:r w:rsidR="00F10AB8">
        <w:rPr>
          <w:sz w:val="22"/>
          <w:szCs w:val="22"/>
        </w:rPr>
        <w:t xml:space="preserve"> contend</w:t>
      </w:r>
      <w:r w:rsidRPr="00B039CF">
        <w:rPr>
          <w:sz w:val="22"/>
          <w:szCs w:val="22"/>
        </w:rPr>
        <w:t xml:space="preserve"> that grant of the Petition would further the Commission’s goals of encouraging foreign investment and ownership diversity in U.S. broadcast stations</w:t>
      </w:r>
      <w:r w:rsidR="004073B9">
        <w:rPr>
          <w:sz w:val="22"/>
          <w:szCs w:val="22"/>
        </w:rPr>
        <w:t xml:space="preserve"> while also potentially encouraging reciprocal investment opportunities for U.S. companies in foreign markets.</w:t>
      </w:r>
      <w:r>
        <w:rPr>
          <w:rStyle w:val="FootnoteReference"/>
          <w:sz w:val="22"/>
          <w:szCs w:val="22"/>
        </w:rPr>
        <w:footnoteReference w:id="12"/>
      </w:r>
      <w:r w:rsidRPr="00B039CF">
        <w:rPr>
          <w:sz w:val="22"/>
          <w:szCs w:val="22"/>
        </w:rPr>
        <w:t xml:space="preserve"> </w:t>
      </w:r>
      <w:r w:rsidR="004073B9">
        <w:rPr>
          <w:sz w:val="22"/>
          <w:szCs w:val="22"/>
        </w:rPr>
        <w:t xml:space="preserve"> Finally, the Petitioners assert that it</w:t>
      </w:r>
      <w:r w:rsidRPr="00B039CF">
        <w:rPr>
          <w:sz w:val="22"/>
          <w:szCs w:val="22"/>
        </w:rPr>
        <w:t xml:space="preserve"> </w:t>
      </w:r>
      <w:r w:rsidR="004073B9">
        <w:rPr>
          <w:sz w:val="22"/>
          <w:szCs w:val="22"/>
        </w:rPr>
        <w:t xml:space="preserve">would </w:t>
      </w:r>
      <w:r w:rsidRPr="00B039CF">
        <w:rPr>
          <w:sz w:val="22"/>
          <w:szCs w:val="22"/>
        </w:rPr>
        <w:t>not implicate any homeland security</w:t>
      </w:r>
      <w:r w:rsidR="004073B9">
        <w:rPr>
          <w:sz w:val="22"/>
          <w:szCs w:val="22"/>
        </w:rPr>
        <w:t xml:space="preserve"> issues or</w:t>
      </w:r>
      <w:r w:rsidRPr="00B039CF">
        <w:rPr>
          <w:sz w:val="22"/>
          <w:szCs w:val="22"/>
        </w:rPr>
        <w:t xml:space="preserve"> concerns </w:t>
      </w:r>
      <w:r w:rsidR="00A90348">
        <w:rPr>
          <w:sz w:val="22"/>
          <w:szCs w:val="22"/>
        </w:rPr>
        <w:t>to</w:t>
      </w:r>
      <w:r w:rsidRPr="00B039CF">
        <w:rPr>
          <w:sz w:val="22"/>
          <w:szCs w:val="22"/>
        </w:rPr>
        <w:t xml:space="preserve"> allow</w:t>
      </w:r>
      <w:r w:rsidR="001D30C8">
        <w:rPr>
          <w:sz w:val="22"/>
          <w:szCs w:val="22"/>
        </w:rPr>
        <w:t xml:space="preserve"> </w:t>
      </w:r>
      <w:r w:rsidR="00E8173C">
        <w:rPr>
          <w:sz w:val="22"/>
          <w:szCs w:val="22"/>
        </w:rPr>
        <w:t xml:space="preserve">the indirect ownership </w:t>
      </w:r>
      <w:r w:rsidR="00A90348">
        <w:rPr>
          <w:sz w:val="22"/>
          <w:szCs w:val="22"/>
        </w:rPr>
        <w:t xml:space="preserve">of stations by only </w:t>
      </w:r>
      <w:r w:rsidR="001D30C8">
        <w:rPr>
          <w:sz w:val="22"/>
          <w:szCs w:val="22"/>
        </w:rPr>
        <w:t>four</w:t>
      </w:r>
      <w:r w:rsidRPr="00B039CF">
        <w:rPr>
          <w:sz w:val="22"/>
          <w:szCs w:val="22"/>
        </w:rPr>
        <w:t xml:space="preserve"> </w:t>
      </w:r>
      <w:r w:rsidR="00DC04F5">
        <w:rPr>
          <w:sz w:val="22"/>
          <w:szCs w:val="22"/>
        </w:rPr>
        <w:t>Italian</w:t>
      </w:r>
      <w:r w:rsidRPr="00B039CF">
        <w:rPr>
          <w:sz w:val="22"/>
          <w:szCs w:val="22"/>
        </w:rPr>
        <w:t xml:space="preserve"> </w:t>
      </w:r>
      <w:r w:rsidR="00A90348">
        <w:rPr>
          <w:sz w:val="22"/>
          <w:szCs w:val="22"/>
        </w:rPr>
        <w:t>citizens,</w:t>
      </w:r>
      <w:r w:rsidRPr="00B039CF">
        <w:rPr>
          <w:sz w:val="22"/>
          <w:szCs w:val="22"/>
        </w:rPr>
        <w:t xml:space="preserve"> </w:t>
      </w:r>
      <w:r w:rsidR="00A90348">
        <w:rPr>
          <w:sz w:val="22"/>
          <w:szCs w:val="22"/>
        </w:rPr>
        <w:t>“including one who stands ready and able to operate the stations based on his knowledge and expertise in broadcasting achieved over a lifetime</w:t>
      </w:r>
      <w:r w:rsidR="008338A1">
        <w:rPr>
          <w:sz w:val="22"/>
          <w:szCs w:val="22"/>
        </w:rPr>
        <w:t>,</w:t>
      </w:r>
      <w:r w:rsidR="00A90348">
        <w:rPr>
          <w:sz w:val="22"/>
          <w:szCs w:val="22"/>
        </w:rPr>
        <w:t xml:space="preserve"> … </w:t>
      </w:r>
      <w:r w:rsidR="008338A1">
        <w:rPr>
          <w:sz w:val="22"/>
          <w:szCs w:val="22"/>
        </w:rPr>
        <w:t>[</w:t>
      </w:r>
      <w:r w:rsidR="00A90348">
        <w:rPr>
          <w:sz w:val="22"/>
          <w:szCs w:val="22"/>
        </w:rPr>
        <w:t>and</w:t>
      </w:r>
      <w:r w:rsidR="008338A1">
        <w:rPr>
          <w:sz w:val="22"/>
          <w:szCs w:val="22"/>
        </w:rPr>
        <w:t>]</w:t>
      </w:r>
      <w:r w:rsidR="00A90348">
        <w:rPr>
          <w:sz w:val="22"/>
          <w:szCs w:val="22"/>
        </w:rPr>
        <w:t xml:space="preserve"> immediate experience </w:t>
      </w:r>
      <w:r w:rsidR="008338A1">
        <w:rPr>
          <w:sz w:val="22"/>
          <w:szCs w:val="22"/>
        </w:rPr>
        <w:t xml:space="preserve">successfully </w:t>
      </w:r>
      <w:r w:rsidR="00A90348">
        <w:rPr>
          <w:sz w:val="22"/>
          <w:szCs w:val="22"/>
        </w:rPr>
        <w:t>operating these very stations</w:t>
      </w:r>
      <w:r w:rsidRPr="00B039CF">
        <w:rPr>
          <w:sz w:val="22"/>
          <w:szCs w:val="22"/>
        </w:rPr>
        <w:t>.</w:t>
      </w:r>
      <w:r w:rsidR="00A90348">
        <w:rPr>
          <w:sz w:val="22"/>
          <w:szCs w:val="22"/>
        </w:rPr>
        <w:t>”</w:t>
      </w:r>
      <w:r>
        <w:rPr>
          <w:rStyle w:val="FootnoteReference"/>
          <w:sz w:val="22"/>
          <w:szCs w:val="22"/>
        </w:rPr>
        <w:footnoteReference w:id="13"/>
      </w:r>
    </w:p>
    <w:p w:rsidR="00280943" w:rsidRPr="00B039CF" w:rsidP="00280943">
      <w:pPr>
        <w:rPr>
          <w:szCs w:val="22"/>
        </w:rPr>
      </w:pPr>
      <w:r w:rsidRPr="00B039CF">
        <w:rPr>
          <w:szCs w:val="22"/>
        </w:rPr>
        <w:t xml:space="preserve"> </w:t>
      </w:r>
    </w:p>
    <w:p w:rsidR="00280943" w:rsidRPr="00B039CF" w:rsidP="00280943">
      <w:pPr>
        <w:rPr>
          <w:rStyle w:val="Normal1"/>
          <w:b/>
          <w:sz w:val="22"/>
          <w:szCs w:val="22"/>
        </w:rPr>
      </w:pPr>
      <w:r w:rsidRPr="00B039CF">
        <w:rPr>
          <w:b/>
          <w:szCs w:val="22"/>
        </w:rPr>
        <w:t>II</w:t>
      </w:r>
      <w:r w:rsidRPr="00B039CF">
        <w:rPr>
          <w:szCs w:val="22"/>
        </w:rPr>
        <w:t>.</w:t>
      </w:r>
      <w:r w:rsidRPr="00B039CF">
        <w:rPr>
          <w:szCs w:val="22"/>
        </w:rPr>
        <w:tab/>
      </w:r>
      <w:r w:rsidRPr="00B039CF">
        <w:rPr>
          <w:rStyle w:val="Normal1"/>
          <w:b/>
          <w:i/>
          <w:sz w:val="22"/>
          <w:szCs w:val="22"/>
        </w:rPr>
        <w:t>EX PARTE</w:t>
      </w:r>
      <w:r w:rsidRPr="00B039CF">
        <w:rPr>
          <w:rStyle w:val="Normal1"/>
          <w:b/>
          <w:sz w:val="22"/>
          <w:szCs w:val="22"/>
        </w:rPr>
        <w:t xml:space="preserve"> STATUS OF THIS PROCEEDING</w:t>
      </w:r>
    </w:p>
    <w:p w:rsidR="00280943" w:rsidRPr="00B039CF" w:rsidP="00280943">
      <w:pPr>
        <w:rPr>
          <w:rStyle w:val="Normal1"/>
          <w:sz w:val="22"/>
          <w:szCs w:val="22"/>
        </w:rPr>
      </w:pPr>
    </w:p>
    <w:p w:rsidR="00280943" w:rsidRPr="00B039CF" w:rsidP="00280943">
      <w:pPr>
        <w:rPr>
          <w:rStyle w:val="Normal1"/>
          <w:b/>
          <w:sz w:val="22"/>
          <w:szCs w:val="22"/>
        </w:rPr>
      </w:pPr>
      <w:r w:rsidRPr="00B039CF">
        <w:rPr>
          <w:rStyle w:val="Normal1"/>
          <w:b/>
          <w:sz w:val="22"/>
          <w:szCs w:val="22"/>
        </w:rPr>
        <w:tab/>
      </w:r>
      <w:r w:rsidRPr="00B039CF">
        <w:rPr>
          <w:rStyle w:val="Normal1"/>
          <w:sz w:val="22"/>
          <w:szCs w:val="22"/>
        </w:rPr>
        <w:t>Pursuant to Section 1.1200(a) of the Commission’s rules,</w:t>
      </w:r>
      <w:r>
        <w:rPr>
          <w:rStyle w:val="FootnoteReference"/>
          <w:szCs w:val="22"/>
        </w:rPr>
        <w:footnoteReference w:id="14"/>
      </w:r>
      <w:r w:rsidRPr="00B039CF">
        <w:rPr>
          <w:rStyle w:val="Normal1"/>
          <w:sz w:val="22"/>
          <w:szCs w:val="22"/>
        </w:rPr>
        <w:t xml:space="preserve"> the Commission may adopt modified or more stringent </w:t>
      </w:r>
      <w:r w:rsidRPr="00B039CF">
        <w:rPr>
          <w:rStyle w:val="Normal1"/>
          <w:i/>
          <w:sz w:val="22"/>
          <w:szCs w:val="22"/>
        </w:rPr>
        <w:t>ex parte</w:t>
      </w:r>
      <w:r w:rsidRPr="00B039CF">
        <w:rPr>
          <w:rStyle w:val="Normal1"/>
          <w:sz w:val="22"/>
          <w:szCs w:val="22"/>
        </w:rPr>
        <w:t xml:space="preserve"> procedures in particular proceedings if the public interest so requires.  We announce that this proceeding will be governed by permit-but-disclose </w:t>
      </w:r>
      <w:r w:rsidRPr="00B039CF">
        <w:rPr>
          <w:rStyle w:val="Normal1"/>
          <w:i/>
          <w:sz w:val="22"/>
          <w:szCs w:val="22"/>
        </w:rPr>
        <w:t>ex parte</w:t>
      </w:r>
      <w:r w:rsidRPr="00B039CF">
        <w:rPr>
          <w:rStyle w:val="Normal1"/>
          <w:sz w:val="22"/>
          <w:szCs w:val="22"/>
        </w:rPr>
        <w:t xml:space="preserve"> procedures that are applicable to non-restricted proceedings under Section 1.1206 of the Commission’s rules.</w:t>
      </w:r>
      <w:r>
        <w:rPr>
          <w:rStyle w:val="FootnoteReference"/>
          <w:szCs w:val="22"/>
        </w:rPr>
        <w:footnoteReference w:id="15"/>
      </w:r>
    </w:p>
    <w:p w:rsidR="00280943" w:rsidRPr="00B039CF" w:rsidP="00280943">
      <w:pPr>
        <w:rPr>
          <w:rStyle w:val="Normal1"/>
          <w:b/>
          <w:sz w:val="22"/>
          <w:szCs w:val="22"/>
        </w:rPr>
      </w:pPr>
    </w:p>
    <w:p w:rsidR="00280943" w:rsidRPr="00B039CF" w:rsidP="00280943">
      <w:pPr>
        <w:rPr>
          <w:b/>
          <w:szCs w:val="22"/>
        </w:rPr>
      </w:pPr>
      <w:r w:rsidRPr="00B039CF">
        <w:rPr>
          <w:rStyle w:val="Normal1"/>
          <w:sz w:val="22"/>
          <w:szCs w:val="22"/>
        </w:rPr>
        <w:tab/>
        <w:t xml:space="preserve">Parties making oral </w:t>
      </w:r>
      <w:r w:rsidRPr="00B039CF">
        <w:rPr>
          <w:rStyle w:val="Normal1"/>
          <w:i/>
          <w:sz w:val="22"/>
          <w:szCs w:val="22"/>
        </w:rPr>
        <w:t>ex parte</w:t>
      </w:r>
      <w:r w:rsidRPr="00B039CF">
        <w:rPr>
          <w:rStyle w:val="Normal1"/>
          <w:sz w:val="22"/>
          <w:szCs w:val="22"/>
        </w:rPr>
        <w:t xml:space="preserve"> presentations are directed to the Commission’s </w:t>
      </w:r>
      <w:r w:rsidRPr="00B039CF">
        <w:rPr>
          <w:rStyle w:val="Normal1"/>
          <w:i/>
          <w:sz w:val="22"/>
          <w:szCs w:val="22"/>
        </w:rPr>
        <w:t>ex parte</w:t>
      </w:r>
      <w:r w:rsidRPr="00B039CF">
        <w:rPr>
          <w:rStyle w:val="Normal1"/>
          <w:sz w:val="22"/>
          <w:szCs w:val="22"/>
        </w:rPr>
        <w:t xml:space="preserve"> rules.  Parties are reminded that memoranda summarizing the presentation must contain the presentation’s substance and not merely list the subjects discussed.</w:t>
      </w:r>
      <w:r>
        <w:rPr>
          <w:rStyle w:val="FootnoteReference"/>
          <w:szCs w:val="22"/>
        </w:rPr>
        <w:footnoteReference w:id="16"/>
      </w:r>
      <w:r w:rsidRPr="00B039CF">
        <w:rPr>
          <w:rStyle w:val="Normal1"/>
          <w:sz w:val="22"/>
          <w:szCs w:val="22"/>
        </w:rPr>
        <w:t xml:space="preserve">  More than a one- or two-sentence description of the views and </w:t>
      </w:r>
      <w:r w:rsidRPr="00B039CF">
        <w:rPr>
          <w:rStyle w:val="Normal1"/>
          <w:sz w:val="22"/>
          <w:szCs w:val="22"/>
        </w:rPr>
        <w:t>arguments presented is generally required.</w:t>
      </w:r>
      <w:r>
        <w:rPr>
          <w:rStyle w:val="FootnoteReference"/>
          <w:szCs w:val="22"/>
        </w:rPr>
        <w:footnoteReference w:id="17"/>
      </w:r>
      <w:r w:rsidRPr="00B039CF">
        <w:rPr>
          <w:rStyle w:val="Normal1"/>
          <w:sz w:val="22"/>
          <w:szCs w:val="22"/>
        </w:rPr>
        <w:t xml:space="preserve">  Other rules pertaining to oral and written presentations are set forth in Section 1.1206(b) as well.</w:t>
      </w:r>
      <w:r>
        <w:rPr>
          <w:rStyle w:val="FootnoteReference"/>
          <w:szCs w:val="22"/>
        </w:rPr>
        <w:footnoteReference w:id="18"/>
      </w:r>
    </w:p>
    <w:p w:rsidR="00280943" w:rsidRPr="00B039CF" w:rsidP="00280943">
      <w:pPr>
        <w:tabs>
          <w:tab w:val="left" w:pos="2970"/>
        </w:tabs>
        <w:rPr>
          <w:szCs w:val="22"/>
        </w:rPr>
      </w:pPr>
      <w:r w:rsidRPr="00B039CF">
        <w:rPr>
          <w:szCs w:val="22"/>
        </w:rPr>
        <w:tab/>
      </w:r>
    </w:p>
    <w:p w:rsidR="00280943" w:rsidRPr="00B039CF" w:rsidP="00280943">
      <w:pPr>
        <w:keepNext/>
        <w:spacing w:after="220"/>
        <w:outlineLvl w:val="0"/>
        <w:rPr>
          <w:b/>
          <w:szCs w:val="22"/>
        </w:rPr>
      </w:pPr>
      <w:r w:rsidRPr="00B039CF">
        <w:rPr>
          <w:b/>
          <w:szCs w:val="22"/>
        </w:rPr>
        <w:t>III.</w:t>
      </w:r>
      <w:r w:rsidRPr="00B039CF">
        <w:rPr>
          <w:b/>
          <w:szCs w:val="22"/>
        </w:rPr>
        <w:tab/>
        <w:t>GENERAL INFORMATION</w:t>
      </w:r>
    </w:p>
    <w:p w:rsidR="00280943" w:rsidRPr="006E11A8" w:rsidP="00280943">
      <w:pPr>
        <w:ind w:firstLine="720"/>
        <w:rPr>
          <w:szCs w:val="22"/>
        </w:rPr>
      </w:pPr>
      <w:r w:rsidRPr="00B039CF">
        <w:rPr>
          <w:szCs w:val="22"/>
        </w:rPr>
        <w:t xml:space="preserve">The Petition has been found, upon initial review, to be acceptable for filing.  The Commission may require </w:t>
      </w:r>
      <w:r w:rsidR="00DC37AA">
        <w:rPr>
          <w:szCs w:val="22"/>
        </w:rPr>
        <w:t>Zoo</w:t>
      </w:r>
      <w:r w:rsidRPr="00B039CF">
        <w:rPr>
          <w:szCs w:val="22"/>
        </w:rPr>
        <w:t xml:space="preserve"> </w:t>
      </w:r>
      <w:r w:rsidR="00FE579B">
        <w:rPr>
          <w:szCs w:val="22"/>
        </w:rPr>
        <w:t xml:space="preserve">and Anco Media </w:t>
      </w:r>
      <w:r w:rsidRPr="00B039CF">
        <w:rPr>
          <w:szCs w:val="22"/>
        </w:rPr>
        <w:t>to submit additional documents or statements of fact that in its judgment may be necessary, or to amend the underlying application so as to make it “more definite and certain.”</w:t>
      </w:r>
      <w:r>
        <w:rPr>
          <w:rStyle w:val="FootnoteReference"/>
          <w:szCs w:val="22"/>
        </w:rPr>
        <w:footnoteReference w:id="19"/>
      </w:r>
      <w:r w:rsidRPr="00B039CF">
        <w:rPr>
          <w:szCs w:val="22"/>
        </w:rPr>
        <w:t xml:space="preserve">  The Commission also </w:t>
      </w:r>
      <w:r w:rsidRPr="006E11A8">
        <w:rPr>
          <w:szCs w:val="22"/>
        </w:rPr>
        <w:t xml:space="preserve">reserves the right to return the Petition if, upon further examination, it is determined to be defective and not in conformance with the Commission’s rules or policies. </w:t>
      </w:r>
    </w:p>
    <w:p w:rsidR="00280943" w:rsidRPr="006E11A8" w:rsidP="00280943">
      <w:pPr>
        <w:rPr>
          <w:szCs w:val="22"/>
        </w:rPr>
      </w:pPr>
    </w:p>
    <w:p w:rsidR="00280943" w:rsidRPr="006E11A8" w:rsidP="00280943">
      <w:pPr>
        <w:rPr>
          <w:szCs w:val="22"/>
        </w:rPr>
      </w:pPr>
      <w:r w:rsidRPr="006E11A8">
        <w:rPr>
          <w:szCs w:val="22"/>
        </w:rPr>
        <w:tab/>
        <w:t>Interested parties must</w:t>
      </w:r>
      <w:r w:rsidRPr="006E11A8" w:rsidR="00C332D2">
        <w:rPr>
          <w:szCs w:val="22"/>
        </w:rPr>
        <w:t xml:space="preserve"> file comments no later than </w:t>
      </w:r>
      <w:r w:rsidRPr="006E11A8" w:rsidR="007C17A7">
        <w:rPr>
          <w:szCs w:val="22"/>
        </w:rPr>
        <w:t>January 18</w:t>
      </w:r>
      <w:r w:rsidRPr="006E11A8">
        <w:rPr>
          <w:szCs w:val="22"/>
        </w:rPr>
        <w:t>, 201</w:t>
      </w:r>
      <w:r w:rsidRPr="006E11A8" w:rsidR="00662966">
        <w:rPr>
          <w:szCs w:val="22"/>
        </w:rPr>
        <w:t>8</w:t>
      </w:r>
      <w:r w:rsidRPr="006E11A8">
        <w:rPr>
          <w:szCs w:val="22"/>
        </w:rPr>
        <w:t>.  Persons and entities that file comments become parties to the proceeding.  They may participate fully in the proceeding, including seeking access to any confidential information that may be filed under a protective order, seeking reconsideration of decisions, and filing appeals of a final decision to the courts.  Replies to such pleadings</w:t>
      </w:r>
      <w:r w:rsidRPr="006E11A8" w:rsidR="00C332D2">
        <w:rPr>
          <w:szCs w:val="22"/>
        </w:rPr>
        <w:t xml:space="preserve"> must be filed no later than </w:t>
      </w:r>
      <w:r w:rsidRPr="006E11A8" w:rsidR="007C17A7">
        <w:rPr>
          <w:szCs w:val="22"/>
        </w:rPr>
        <w:t>February 2</w:t>
      </w:r>
      <w:r w:rsidRPr="006E11A8">
        <w:rPr>
          <w:szCs w:val="22"/>
        </w:rPr>
        <w:t>, 201</w:t>
      </w:r>
      <w:r w:rsidRPr="006E11A8" w:rsidR="00662966">
        <w:rPr>
          <w:szCs w:val="22"/>
        </w:rPr>
        <w:t>8</w:t>
      </w:r>
      <w:r w:rsidRPr="006E11A8">
        <w:rPr>
          <w:szCs w:val="22"/>
        </w:rPr>
        <w:t>.  All filings concerning matters referenced in this Public Notice shou</w:t>
      </w:r>
      <w:r w:rsidRPr="006E11A8" w:rsidR="00EA5B13">
        <w:rPr>
          <w:szCs w:val="22"/>
        </w:rPr>
        <w:t>ld refer to MB Docket No.</w:t>
      </w:r>
      <w:r w:rsidRPr="006E11A8" w:rsidR="007C17A7">
        <w:rPr>
          <w:szCs w:val="22"/>
        </w:rPr>
        <w:t xml:space="preserve"> 17-359</w:t>
      </w:r>
      <w:r w:rsidRPr="006E11A8">
        <w:rPr>
          <w:szCs w:val="22"/>
        </w:rPr>
        <w:t>.</w:t>
      </w:r>
    </w:p>
    <w:p w:rsidR="00280943" w:rsidRPr="006E11A8" w:rsidP="00280943">
      <w:pPr>
        <w:rPr>
          <w:szCs w:val="22"/>
        </w:rPr>
      </w:pPr>
    </w:p>
    <w:p w:rsidR="00280943" w:rsidRPr="00B039CF" w:rsidP="00280943">
      <w:pPr>
        <w:ind w:firstLine="720"/>
        <w:rPr>
          <w:szCs w:val="22"/>
        </w:rPr>
      </w:pPr>
      <w:r w:rsidRPr="006E11A8">
        <w:rPr>
          <w:spacing w:val="-2"/>
          <w:szCs w:val="22"/>
        </w:rPr>
        <w:t xml:space="preserve">To allow the Commission to consider fully all substantive issues regarding the applications in as timely and efficient a manner as possible, </w:t>
      </w:r>
      <w:r w:rsidRPr="006E11A8">
        <w:rPr>
          <w:szCs w:val="22"/>
        </w:rPr>
        <w:t>commenters should raise all issues in their initial filings.  New issues may not be raised in responses or replies.</w:t>
      </w:r>
      <w:r>
        <w:rPr>
          <w:rStyle w:val="FootnoteReference"/>
          <w:szCs w:val="22"/>
        </w:rPr>
        <w:footnoteReference w:id="20"/>
      </w:r>
      <w:r w:rsidRPr="006E11A8">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80943" w:rsidRPr="00B039CF" w:rsidP="00280943">
      <w:pPr>
        <w:rPr>
          <w:szCs w:val="22"/>
        </w:rPr>
      </w:pPr>
    </w:p>
    <w:p w:rsidR="00280943" w:rsidRPr="00B039CF" w:rsidP="00280943">
      <w:pPr>
        <w:spacing w:after="220"/>
        <w:ind w:firstLine="720"/>
        <w:rPr>
          <w:szCs w:val="22"/>
        </w:rPr>
      </w:pPr>
      <w:r w:rsidRPr="00B039CF">
        <w:rPr>
          <w:szCs w:val="22"/>
        </w:rPr>
        <w:t>Under the Commission’s current procedures for the submission of filings and other documents,</w:t>
      </w:r>
      <w:r>
        <w:rPr>
          <w:rStyle w:val="FootnoteReference"/>
          <w:szCs w:val="22"/>
        </w:rPr>
        <w:footnoteReference w:id="21"/>
      </w:r>
      <w:r w:rsidRPr="00B039CF">
        <w:rPr>
          <w:szCs w:val="22"/>
        </w:rPr>
        <w:t xml:space="preserve"> submissions in this matter may be filed electronically though the Commission’s Electronic Comment Filing System (ECFS) or by </w:t>
      </w:r>
      <w:r w:rsidR="00203869">
        <w:rPr>
          <w:szCs w:val="22"/>
        </w:rPr>
        <w:t>filing paper copies</w:t>
      </w:r>
      <w:r w:rsidRPr="00B039CF">
        <w:rPr>
          <w:szCs w:val="22"/>
        </w:rPr>
        <w:t xml:space="preserve">.  </w:t>
      </w:r>
    </w:p>
    <w:p w:rsidR="00280943" w:rsidRPr="00B039CF" w:rsidP="00280943">
      <w:pPr>
        <w:numPr>
          <w:ilvl w:val="0"/>
          <w:numId w:val="13"/>
        </w:numPr>
        <w:rPr>
          <w:szCs w:val="22"/>
        </w:rPr>
      </w:pPr>
      <w:r w:rsidRPr="00B039CF">
        <w:rPr>
          <w:b/>
          <w:szCs w:val="22"/>
        </w:rPr>
        <w:t>If filed by ECFS</w:t>
      </w:r>
      <w:r w:rsidRPr="00B039CF">
        <w:rPr>
          <w:szCs w:val="22"/>
        </w:rPr>
        <w:t>,</w:t>
      </w:r>
      <w:r>
        <w:rPr>
          <w:szCs w:val="22"/>
          <w:vertAlign w:val="superscript"/>
        </w:rPr>
        <w:footnoteReference w:id="22"/>
      </w:r>
      <w:r w:rsidRPr="00B039CF">
        <w:rPr>
          <w:szCs w:val="22"/>
        </w:rPr>
        <w:t xml:space="preserve"> comments shall be sent as an electronic file via the Internet to</w:t>
      </w:r>
      <w:r w:rsidR="00AB5707">
        <w:rPr>
          <w:szCs w:val="22"/>
        </w:rPr>
        <w:t xml:space="preserve"> http://apps.fcc.gov/ecfs</w:t>
      </w:r>
      <w:r w:rsidRPr="00B039CF">
        <w:rPr>
          <w:szCs w:val="22"/>
        </w:rPr>
        <w:t xml:space="preserve">.  In completing the transmittal screen, commenters should include their full name, U.S. Postal Service mailing address, and the applicable docket number.  </w:t>
      </w:r>
    </w:p>
    <w:p w:rsidR="00280943" w:rsidRPr="00B039CF" w:rsidP="00280943">
      <w:pPr>
        <w:autoSpaceDE w:val="0"/>
        <w:autoSpaceDN w:val="0"/>
        <w:adjustRightInd w:val="0"/>
        <w:rPr>
          <w:szCs w:val="22"/>
        </w:rPr>
      </w:pPr>
    </w:p>
    <w:p w:rsidR="00280943" w:rsidRPr="00B039CF" w:rsidP="00280943">
      <w:pPr>
        <w:numPr>
          <w:ilvl w:val="0"/>
          <w:numId w:val="13"/>
        </w:numPr>
        <w:autoSpaceDE w:val="0"/>
        <w:autoSpaceDN w:val="0"/>
        <w:adjustRightInd w:val="0"/>
        <w:rPr>
          <w:szCs w:val="22"/>
        </w:rPr>
      </w:pPr>
      <w:r w:rsidRPr="00B039CF">
        <w:rPr>
          <w:rFonts w:cs="TmsRmn"/>
          <w:b/>
          <w:bCs/>
          <w:color w:val="000000"/>
          <w:szCs w:val="22"/>
        </w:rPr>
        <w:t>If filed by paper</w:t>
      </w:r>
      <w:r w:rsidRPr="00B039CF">
        <w:rPr>
          <w:rFonts w:cs="TmsRmn"/>
          <w:color w:val="000000"/>
          <w:szCs w:val="22"/>
        </w:rPr>
        <w:t xml:space="preserve">, the original and </w:t>
      </w:r>
      <w:r w:rsidR="008F59C9">
        <w:rPr>
          <w:rFonts w:cs="TmsRmn"/>
          <w:color w:val="000000"/>
          <w:szCs w:val="22"/>
        </w:rPr>
        <w:t>one copy</w:t>
      </w:r>
      <w:r w:rsidRPr="00B039CF">
        <w:rPr>
          <w:rFonts w:cs="TmsRmn"/>
          <w:color w:val="000000"/>
          <w:szCs w:val="22"/>
        </w:rPr>
        <w:t xml:space="preserve"> of each filing must be filed by hand or messenger delivery, by commercial overnight courier, or by first-class or overnight U.S. Postal Service mail.  </w:t>
      </w:r>
      <w:r w:rsidRPr="00B039CF" w:rsidR="005A00D0">
        <w:rPr>
          <w:rFonts w:cs="TmsRmn"/>
          <w:color w:val="000000"/>
          <w:szCs w:val="22"/>
        </w:rPr>
        <w:t>All filings must be addressed to the Commission’s Secretary, Office of the Secretary, Federal Communications Commission</w:t>
      </w:r>
      <w:r w:rsidR="005A00D0">
        <w:rPr>
          <w:rFonts w:cs="TmsRmn"/>
          <w:color w:val="000000"/>
          <w:szCs w:val="22"/>
        </w:rPr>
        <w:t xml:space="preserve">. </w:t>
      </w:r>
      <w:r w:rsidRPr="00B039CF" w:rsidR="005A00D0">
        <w:rPr>
          <w:szCs w:val="22"/>
        </w:rPr>
        <w:t xml:space="preserve"> </w:t>
      </w:r>
      <w:r w:rsidRPr="00B039CF">
        <w:rPr>
          <w:szCs w:val="22"/>
        </w:rPr>
        <w:t>All hand-delivered or messenger-delivered paper filings for the Commission’s Secretary must be delivered to FCC Headquarters at 445 12th St., SW, Room TW-A325, Washington, DC 20554.  The filing hours at this location are 8:00 a.m. to 7:00 p.m.</w:t>
      </w:r>
      <w:r w:rsidR="005A00D0">
        <w:rPr>
          <w:szCs w:val="22"/>
        </w:rPr>
        <w:t xml:space="preserve"> Eastern Time (ET).</w:t>
      </w:r>
      <w:r w:rsidRPr="00B039CF">
        <w:rPr>
          <w:szCs w:val="22"/>
        </w:rPr>
        <w:t xml:space="preserve">  All hand deliveries must be held together with rubber bands or fasteners.  Any envelopes must be disposed of before entering the building.  </w:t>
      </w:r>
      <w:r w:rsidRPr="00B039CF">
        <w:rPr>
          <w:rFonts w:cs="TmsRmn"/>
          <w:color w:val="000000"/>
          <w:szCs w:val="22"/>
        </w:rPr>
        <w:t xml:space="preserve">Commercial overnight mail (other than U.S. Postal Service Express Mail and Priority Mail) must be sent to </w:t>
      </w:r>
      <w:r w:rsidR="005A00D0">
        <w:rPr>
          <w:rFonts w:cs="TmsRmn"/>
          <w:color w:val="000000"/>
          <w:szCs w:val="22"/>
        </w:rPr>
        <w:t>9050 Junction Drive, Annapolis Junction, MD 20701</w:t>
      </w:r>
      <w:r w:rsidRPr="00B039CF">
        <w:rPr>
          <w:rFonts w:cs="TmsRmn"/>
          <w:color w:val="000000"/>
          <w:szCs w:val="22"/>
        </w:rPr>
        <w:t xml:space="preserve">.  U.S. Postal Service first-class, Express, and Priority mail </w:t>
      </w:r>
      <w:r w:rsidR="00FA43C5">
        <w:rPr>
          <w:rFonts w:cs="TmsRmn"/>
          <w:color w:val="000000"/>
          <w:szCs w:val="22"/>
        </w:rPr>
        <w:t>must</w:t>
      </w:r>
      <w:r w:rsidRPr="00B039CF">
        <w:rPr>
          <w:rFonts w:cs="TmsRmn"/>
          <w:color w:val="000000"/>
          <w:szCs w:val="22"/>
        </w:rPr>
        <w:t xml:space="preserve"> be addressed to 445 12th Street, S.W., Washington, D.C. 20554.  </w:t>
      </w:r>
    </w:p>
    <w:p w:rsidR="00280943" w:rsidRPr="00B039CF" w:rsidP="00280943">
      <w:pPr>
        <w:ind w:firstLine="720"/>
        <w:rPr>
          <w:szCs w:val="22"/>
        </w:rPr>
      </w:pPr>
    </w:p>
    <w:p w:rsidR="00280943" w:rsidRPr="006E11A8" w:rsidP="00280943">
      <w:pPr>
        <w:pStyle w:val="BodyText"/>
        <w:widowControl/>
        <w:spacing w:after="220"/>
        <w:rPr>
          <w:szCs w:val="22"/>
        </w:rPr>
      </w:pPr>
      <w:r w:rsidRPr="00B039CF">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Pr="00B039CF">
        <w:rPr>
          <w:szCs w:val="22"/>
        </w:rPr>
        <w:t xml:space="preserve">Peter Doyle, Audio Division, Media Bureau, at </w:t>
      </w:r>
      <w:r>
        <w:fldChar w:fldCharType="begin"/>
      </w:r>
      <w:r>
        <w:instrText xml:space="preserve"> HYPERLINK "mailto:peter.doyle@fcc.gov" </w:instrText>
      </w:r>
      <w:r>
        <w:fldChar w:fldCharType="separate"/>
      </w:r>
      <w:r w:rsidRPr="00B039CF">
        <w:rPr>
          <w:rStyle w:val="Hyperlink"/>
          <w:szCs w:val="22"/>
        </w:rPr>
        <w:t>peter.doyle@fcc.gov</w:t>
      </w:r>
      <w:r>
        <w:fldChar w:fldCharType="end"/>
      </w:r>
      <w:r w:rsidRPr="00B039CF">
        <w:rPr>
          <w:szCs w:val="22"/>
        </w:rPr>
        <w:t xml:space="preserve"> or (202) 418-1410 (facsimile); (2) Lisa Scanlan, Audio Division, Media Bureau, at </w:t>
      </w:r>
      <w:r>
        <w:fldChar w:fldCharType="begin"/>
      </w:r>
      <w:r>
        <w:instrText xml:space="preserve"> HYPERLINK "mailto:lisa.scanlan@fcc.gov" </w:instrText>
      </w:r>
      <w:r>
        <w:fldChar w:fldCharType="separate"/>
      </w:r>
      <w:r w:rsidRPr="00B039CF">
        <w:rPr>
          <w:rStyle w:val="Hyperlink"/>
          <w:szCs w:val="22"/>
        </w:rPr>
        <w:t>lisa.scanlan@fcc.gov</w:t>
      </w:r>
      <w:r>
        <w:fldChar w:fldCharType="end"/>
      </w:r>
      <w:r w:rsidRPr="00B039CF">
        <w:rPr>
          <w:szCs w:val="22"/>
        </w:rPr>
        <w:t xml:space="preserve"> (202) 418-1410 (facsimile); (3) Rolanda F. Smith, Audio Division, Media Bureau, at </w:t>
      </w:r>
      <w:r>
        <w:fldChar w:fldCharType="begin"/>
      </w:r>
      <w:r>
        <w:instrText xml:space="preserve"> HYPERLINK "mailto:rolanda-faye.smith@fcc.gov" </w:instrText>
      </w:r>
      <w:r>
        <w:fldChar w:fldCharType="separate"/>
      </w:r>
      <w:r w:rsidRPr="00B039CF">
        <w:rPr>
          <w:rStyle w:val="Hyperlink"/>
          <w:szCs w:val="22"/>
        </w:rPr>
        <w:t>rolanda-faye.smith@fcc.gov</w:t>
      </w:r>
      <w:r>
        <w:fldChar w:fldCharType="end"/>
      </w:r>
      <w:r w:rsidRPr="00B039CF">
        <w:rPr>
          <w:szCs w:val="22"/>
        </w:rPr>
        <w:t xml:space="preserve"> or 202 418-1410 (facsimile); and (4) </w:t>
      </w:r>
      <w:r w:rsidR="00DC37AA">
        <w:rPr>
          <w:szCs w:val="22"/>
        </w:rPr>
        <w:t>Amy Van de Kerckhove</w:t>
      </w:r>
      <w:r w:rsidRPr="00B039CF">
        <w:rPr>
          <w:szCs w:val="22"/>
        </w:rPr>
        <w:t xml:space="preserve">, Audio Division, Media Bureau, at </w:t>
      </w:r>
      <w:r>
        <w:fldChar w:fldCharType="begin"/>
      </w:r>
      <w:r>
        <w:instrText xml:space="preserve"> HYPERLINK "mailto:amy.vandekerckhove@fcc.gov" </w:instrText>
      </w:r>
      <w:r>
        <w:fldChar w:fldCharType="separate"/>
      </w:r>
      <w:r w:rsidRPr="002E388F" w:rsidR="00DC37AA">
        <w:rPr>
          <w:rStyle w:val="Hyperlink"/>
          <w:szCs w:val="22"/>
        </w:rPr>
        <w:t>amy.vandekerckhove@fcc.gov</w:t>
      </w:r>
      <w:r>
        <w:fldChar w:fldCharType="end"/>
      </w:r>
      <w:r w:rsidR="00DC37AA">
        <w:rPr>
          <w:szCs w:val="22"/>
        </w:rPr>
        <w:t xml:space="preserve"> </w:t>
      </w:r>
      <w:r w:rsidRPr="00B039CF">
        <w:rPr>
          <w:szCs w:val="22"/>
        </w:rPr>
        <w:t xml:space="preserve">or (202) 418-1410 (facsimile).  </w:t>
      </w:r>
      <w:r w:rsidRPr="00B039CF">
        <w:rPr>
          <w:spacing w:val="-2"/>
          <w:szCs w:val="22"/>
        </w:rPr>
        <w:t xml:space="preserve">Any </w:t>
      </w:r>
      <w:r w:rsidRPr="006E11A8">
        <w:rPr>
          <w:spacing w:val="-2"/>
          <w:szCs w:val="22"/>
        </w:rPr>
        <w:t xml:space="preserve">submission that is e-mailed to Peter Doyle, Lisa Scanlan, Rolanda F. Smith, and </w:t>
      </w:r>
      <w:r w:rsidRPr="006E11A8" w:rsidR="005C18ED">
        <w:rPr>
          <w:spacing w:val="-2"/>
          <w:szCs w:val="22"/>
        </w:rPr>
        <w:t>Amy Van de Kerckhove</w:t>
      </w:r>
      <w:r w:rsidRPr="006E11A8">
        <w:rPr>
          <w:spacing w:val="-2"/>
          <w:szCs w:val="22"/>
        </w:rPr>
        <w:t xml:space="preserve"> should include in the subject line of the e-mail:  (1) MB </w:t>
      </w:r>
      <w:r w:rsidRPr="006E11A8" w:rsidR="00C332D2">
        <w:rPr>
          <w:szCs w:val="22"/>
        </w:rPr>
        <w:t>Docket No. 1</w:t>
      </w:r>
      <w:r w:rsidRPr="006E11A8" w:rsidR="005C18ED">
        <w:rPr>
          <w:szCs w:val="22"/>
        </w:rPr>
        <w:t>7</w:t>
      </w:r>
      <w:r w:rsidRPr="006E11A8" w:rsidR="00C332D2">
        <w:rPr>
          <w:szCs w:val="22"/>
        </w:rPr>
        <w:t>-</w:t>
      </w:r>
      <w:r w:rsidRPr="006E11A8" w:rsidR="007C17A7">
        <w:rPr>
          <w:szCs w:val="22"/>
        </w:rPr>
        <w:t>359</w:t>
      </w:r>
      <w:r w:rsidRPr="006E11A8">
        <w:rPr>
          <w:szCs w:val="22"/>
        </w:rPr>
        <w:t>; (2) the name of the submitting party; and (3) a brief description or title identifying the type of document being submitted (</w:t>
      </w:r>
      <w:r w:rsidRPr="006E11A8">
        <w:rPr>
          <w:i/>
          <w:szCs w:val="22"/>
        </w:rPr>
        <w:t>e.g</w:t>
      </w:r>
      <w:r w:rsidRPr="006E11A8" w:rsidR="00C332D2">
        <w:rPr>
          <w:szCs w:val="22"/>
        </w:rPr>
        <w:t>., MB Docket No. 1</w:t>
      </w:r>
      <w:r w:rsidRPr="006E11A8" w:rsidR="005C18ED">
        <w:rPr>
          <w:szCs w:val="22"/>
        </w:rPr>
        <w:t>7</w:t>
      </w:r>
      <w:r w:rsidRPr="006E11A8" w:rsidR="00C332D2">
        <w:rPr>
          <w:szCs w:val="22"/>
        </w:rPr>
        <w:t>-</w:t>
      </w:r>
      <w:r w:rsidRPr="006E11A8" w:rsidR="007C17A7">
        <w:rPr>
          <w:szCs w:val="22"/>
        </w:rPr>
        <w:t>359</w:t>
      </w:r>
      <w:r w:rsidRPr="006E11A8">
        <w:rPr>
          <w:szCs w:val="22"/>
        </w:rPr>
        <w:t>, [name of submitting party], Comments).</w:t>
      </w:r>
    </w:p>
    <w:p w:rsidR="00280943" w:rsidRPr="00B039CF" w:rsidP="00280943">
      <w:pPr>
        <w:pStyle w:val="BodyText"/>
        <w:widowControl/>
        <w:spacing w:after="220"/>
        <w:rPr>
          <w:szCs w:val="22"/>
        </w:rPr>
      </w:pPr>
      <w:r w:rsidRPr="006E11A8">
        <w:rPr>
          <w:color w:val="000000"/>
          <w:szCs w:val="22"/>
        </w:rPr>
        <w:t xml:space="preserve">Copies of the Petition and any subsequently-filed documents in this matter are available for public inspection and copying during normal reference room hours at the following Commission office:  FCC Reference Information Center, 445 12th Street, S.W., Room CY-A257, Washington, D.C. 20554.  </w:t>
      </w:r>
      <w:r w:rsidRPr="006E11A8">
        <w:rPr>
          <w:szCs w:val="22"/>
        </w:rPr>
        <w:t>In addition, the Petition is available electronically through the Media Bureau’s Consolidated Database System (CDBS), which may be accessed on the</w:t>
      </w:r>
      <w:r w:rsidRPr="00B039CF">
        <w:rPr>
          <w:szCs w:val="22"/>
        </w:rPr>
        <w:t xml:space="preserve"> Commission’s Internet website.</w:t>
      </w:r>
      <w:r>
        <w:rPr>
          <w:rStyle w:val="FootnoteReference"/>
          <w:szCs w:val="22"/>
        </w:rPr>
        <w:footnoteReference w:id="23"/>
      </w:r>
    </w:p>
    <w:p w:rsidR="00280943" w:rsidRPr="00B039CF" w:rsidP="00280943">
      <w:pPr>
        <w:pStyle w:val="BodyText"/>
        <w:widowControl/>
        <w:spacing w:after="220"/>
        <w:rPr>
          <w:szCs w:val="22"/>
        </w:rPr>
      </w:pPr>
      <w:r w:rsidRPr="00B039CF">
        <w:rPr>
          <w:szCs w:val="22"/>
        </w:rP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w:t>
      </w:r>
      <w:r w:rsidRPr="00B039CF" w:rsidR="000764E5">
        <w:rPr>
          <w:szCs w:val="22"/>
        </w:rPr>
        <w:t>: (</w:t>
      </w:r>
      <w:r w:rsidRPr="00B039CF">
        <w:rPr>
          <w:szCs w:val="22"/>
        </w:rPr>
        <w:t>202) 418-0530 or TTY</w:t>
      </w:r>
      <w:r w:rsidRPr="00B039CF" w:rsidR="000764E5">
        <w:rPr>
          <w:szCs w:val="22"/>
        </w:rPr>
        <w:t>: (</w:t>
      </w:r>
      <w:r w:rsidRPr="00B039CF">
        <w:rPr>
          <w:szCs w:val="22"/>
        </w:rPr>
        <w:t>202) 418-0432.</w:t>
      </w:r>
    </w:p>
    <w:p w:rsidR="00280943" w:rsidRPr="00B039CF" w:rsidP="00280943">
      <w:pPr>
        <w:spacing w:after="220"/>
        <w:ind w:firstLine="720"/>
        <w:rPr>
          <w:szCs w:val="22"/>
        </w:rPr>
      </w:pPr>
      <w:r w:rsidRPr="00B039CF">
        <w:rPr>
          <w:szCs w:val="22"/>
        </w:rPr>
        <w:t xml:space="preserve">For further information, contact Rolanda F. Smith, Audio Division, Media Bureau, at (202) 418-2054, Lisa Scanlan, Audio Division, Media Bureau, at (202) 418-2700, or </w:t>
      </w:r>
      <w:r w:rsidR="00463BB5">
        <w:rPr>
          <w:szCs w:val="22"/>
        </w:rPr>
        <w:t>Amy Van de Kerckhove</w:t>
      </w:r>
      <w:r w:rsidRPr="00B039CF">
        <w:rPr>
          <w:szCs w:val="22"/>
        </w:rPr>
        <w:t>, Audio Division, Media Bureau, at (202) 418-</w:t>
      </w:r>
      <w:r w:rsidR="00463BB5">
        <w:rPr>
          <w:szCs w:val="22"/>
        </w:rPr>
        <w:t>2726</w:t>
      </w:r>
      <w:r w:rsidRPr="00B039CF">
        <w:rPr>
          <w:szCs w:val="22"/>
        </w:rPr>
        <w:t>.  Press inquiries should be directed to Janice Wise, Media Bureau, (202) 418-</w:t>
      </w:r>
      <w:r>
        <w:rPr>
          <w:szCs w:val="22"/>
        </w:rPr>
        <w:t>8165</w:t>
      </w:r>
      <w:r w:rsidRPr="00B039CF">
        <w:rPr>
          <w:szCs w:val="22"/>
        </w:rPr>
        <w:t xml:space="preserve"> or (888) 835-5322.  </w:t>
      </w:r>
    </w:p>
    <w:p w:rsidR="00280943" w:rsidRPr="00B039CF" w:rsidP="00280943">
      <w:pPr>
        <w:spacing w:after="220"/>
        <w:ind w:firstLine="720"/>
        <w:rPr>
          <w:szCs w:val="22"/>
        </w:rPr>
      </w:pPr>
    </w:p>
    <w:p w:rsidR="00280943" w:rsidRPr="00B039CF" w:rsidP="00280943">
      <w:pPr>
        <w:spacing w:after="220"/>
        <w:ind w:firstLine="720"/>
        <w:jc w:val="center"/>
        <w:rPr>
          <w:szCs w:val="22"/>
        </w:rPr>
      </w:pPr>
      <w:r w:rsidRPr="00B039CF">
        <w:rPr>
          <w:szCs w:val="22"/>
        </w:rPr>
        <w:t>-FCC-</w:t>
      </w:r>
    </w:p>
    <w:p w:rsidR="0004196D" w:rsidRPr="00B039CF" w:rsidP="0036693F">
      <w:pPr>
        <w:rPr>
          <w:szCs w:val="22"/>
        </w:rPr>
      </w:pPr>
    </w:p>
    <w:sectPr w:rsidSect="00B039C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1152"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Rmn">
    <w:altName w:val="Courier New"/>
    <w:panose1 w:val="00000000000000000000"/>
    <w:charset w:val="00"/>
    <w:family w:val="decorative"/>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B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425" w:rsidP="005B44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394E">
      <w:rPr>
        <w:rStyle w:val="PageNumber"/>
        <w:noProof/>
      </w:rPr>
      <w:t>2</w:t>
    </w:r>
    <w:r>
      <w:rPr>
        <w:rStyle w:val="PageNumber"/>
      </w:rPr>
      <w:fldChar w:fldCharType="end"/>
    </w:r>
  </w:p>
  <w:p w:rsidR="005B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5C29">
      <w:r>
        <w:separator/>
      </w:r>
    </w:p>
  </w:footnote>
  <w:footnote w:type="continuationSeparator" w:id="1">
    <w:p w:rsidR="00525C29" w:rsidRPr="007924E8" w:rsidP="007924E8">
      <w:pPr>
        <w:rPr>
          <w:sz w:val="20"/>
        </w:rPr>
      </w:pPr>
      <w:r w:rsidRPr="007924E8">
        <w:rPr>
          <w:sz w:val="20"/>
        </w:rPr>
        <w:separator/>
      </w:r>
    </w:p>
    <w:p w:rsidR="00525C29" w:rsidRPr="007924E8" w:rsidP="007924E8">
      <w:pPr>
        <w:pStyle w:val="Footer"/>
        <w:rPr>
          <w:sz w:val="20"/>
        </w:rPr>
      </w:pPr>
      <w:r w:rsidRPr="007924E8">
        <w:rPr>
          <w:sz w:val="20"/>
        </w:rPr>
        <w:t>(…continued from previous page)</w:t>
      </w:r>
    </w:p>
  </w:footnote>
  <w:footnote w:type="continuationNotice" w:id="2">
    <w:p w:rsidR="00525C29" w:rsidRPr="007924E8" w:rsidP="007924E8">
      <w:pPr>
        <w:jc w:val="right"/>
        <w:rPr>
          <w:sz w:val="20"/>
        </w:rPr>
      </w:pPr>
      <w:r w:rsidRPr="007924E8">
        <w:rPr>
          <w:sz w:val="20"/>
        </w:rPr>
        <w:t>(continued….)</w:t>
      </w:r>
    </w:p>
  </w:footnote>
  <w:footnote w:id="3">
    <w:p w:rsidR="00280943" w:rsidP="00B039CF">
      <w:pPr>
        <w:pStyle w:val="FootnoteText"/>
        <w:spacing w:after="0"/>
      </w:pPr>
      <w:r w:rsidRPr="00BC03BD">
        <w:rPr>
          <w:rStyle w:val="FootnoteReference"/>
        </w:rPr>
        <w:footnoteRef/>
      </w:r>
      <w:r w:rsidRPr="00BC03BD">
        <w:t xml:space="preserve"> 47 U.S.C. § 310(b)(4); </w:t>
      </w:r>
      <w:r w:rsidRPr="00BC03BD">
        <w:rPr>
          <w:i/>
        </w:rPr>
        <w:t>see also Commission Policies and Procedures Under Section 310(b)(4) of the Communications Act, Foreign Investment in Broadcast Licensees</w:t>
      </w:r>
      <w:r w:rsidRPr="00BC03BD">
        <w:t xml:space="preserve">, Declaratory Ruling, 28 FCC Rcd 16244 (2013).  </w:t>
      </w:r>
    </w:p>
    <w:p w:rsidR="00280943" w:rsidRPr="00BC03BD" w:rsidP="00280943">
      <w:pPr>
        <w:pStyle w:val="FootnoteText"/>
        <w:spacing w:after="0"/>
        <w:ind w:left="720"/>
      </w:pPr>
    </w:p>
  </w:footnote>
  <w:footnote w:id="4">
    <w:p w:rsidR="00E75BAA" w:rsidRPr="00CC61C6">
      <w:pPr>
        <w:pStyle w:val="FootnoteText"/>
        <w:rPr>
          <w:i/>
        </w:rPr>
      </w:pPr>
      <w:r>
        <w:rPr>
          <w:rStyle w:val="FootnoteReference"/>
        </w:rPr>
        <w:footnoteRef/>
      </w:r>
      <w:r>
        <w:t xml:space="preserve"> </w:t>
      </w:r>
      <w:r>
        <w:rPr>
          <w:i/>
        </w:rPr>
        <w:t>Review of Foreign Ownership Policies for Broadcast, Common Carrier, and Aeronautical Radio Licensees Under Section 310(b)(4) of the Communications Act of 1934</w:t>
      </w:r>
      <w:r>
        <w:t xml:space="preserve">, </w:t>
      </w:r>
      <w:r>
        <w:rPr>
          <w:i/>
        </w:rPr>
        <w:t>as Amended</w:t>
      </w:r>
      <w:r>
        <w:t>, Report and Order, 31 FCC Rcd 11272 (2016) (</w:t>
      </w:r>
      <w:r>
        <w:rPr>
          <w:i/>
        </w:rPr>
        <w:t>Foreign Ownership Order</w:t>
      </w:r>
      <w:r>
        <w:t>).</w:t>
      </w:r>
      <w:r>
        <w:rPr>
          <w:i/>
        </w:rPr>
        <w:t xml:space="preserve"> </w:t>
      </w:r>
    </w:p>
  </w:footnote>
  <w:footnote w:id="5">
    <w:p w:rsidR="00E75BAA">
      <w:pPr>
        <w:pStyle w:val="FootnoteText"/>
      </w:pPr>
      <w:r>
        <w:rPr>
          <w:rStyle w:val="FootnoteReference"/>
        </w:rPr>
        <w:footnoteRef/>
      </w:r>
      <w:r>
        <w:t xml:space="preserve"> 47 CFR § 1.5000(a)(1).</w:t>
      </w:r>
    </w:p>
  </w:footnote>
  <w:footnote w:id="6">
    <w:p w:rsidR="00280943" w:rsidRPr="0038139E" w:rsidP="00B039CF">
      <w:pPr>
        <w:pStyle w:val="FootnoteText"/>
      </w:pPr>
      <w:r w:rsidRPr="0038139E">
        <w:rPr>
          <w:rStyle w:val="FootnoteReference"/>
        </w:rPr>
        <w:footnoteRef/>
      </w:r>
      <w:r>
        <w:t xml:space="preserve"> </w:t>
      </w:r>
      <w:r w:rsidR="00DC37AA">
        <w:t xml:space="preserve">Zoo is the licensee of </w:t>
      </w:r>
      <w:r w:rsidR="00FC1837">
        <w:t xml:space="preserve">stations </w:t>
      </w:r>
      <w:r w:rsidR="00DC37AA">
        <w:t>WZFL(FM), Islamorado, Florida, WBGF(FM), Belle Glade, Florida, W228BV, Fort Lauderdale, Florida, and W228BY, Miami, Florida.</w:t>
      </w:r>
      <w:r w:rsidRPr="0038139E">
        <w:t xml:space="preserve">  </w:t>
      </w:r>
      <w:r w:rsidRPr="0038139E">
        <w:rPr>
          <w:i/>
        </w:rPr>
        <w:t xml:space="preserve">See </w:t>
      </w:r>
      <w:r w:rsidRPr="0038139E">
        <w:t>File No. BTCH-201</w:t>
      </w:r>
      <w:r w:rsidR="00DC37AA">
        <w:t>71128AAW</w:t>
      </w:r>
      <w:r>
        <w:t xml:space="preserve">, </w:t>
      </w:r>
      <w:r w:rsidR="00DC37AA">
        <w:t>WZFL(FM)</w:t>
      </w:r>
      <w:r>
        <w:t xml:space="preserve">, </w:t>
      </w:r>
      <w:r w:rsidR="00DC37AA">
        <w:t>Islamorado, Florida</w:t>
      </w:r>
      <w:r>
        <w:t>, et seq.</w:t>
      </w:r>
      <w:r w:rsidRPr="0038139E">
        <w:t xml:space="preserve"> </w:t>
      </w:r>
    </w:p>
  </w:footnote>
  <w:footnote w:id="7">
    <w:p w:rsidR="00800764">
      <w:pPr>
        <w:pStyle w:val="FootnoteText"/>
      </w:pPr>
      <w:r>
        <w:rPr>
          <w:rStyle w:val="FootnoteReference"/>
        </w:rPr>
        <w:footnoteRef/>
      </w:r>
      <w:r>
        <w:t xml:space="preserve"> Claudio Castiglioni Dompe, a current 20 percent owner of Zoo, founded Anco Media with Marco Mazzoli in 2015.</w:t>
      </w:r>
    </w:p>
  </w:footnote>
  <w:footnote w:id="8">
    <w:p w:rsidR="00AB114F" w:rsidRPr="00191B61">
      <w:pPr>
        <w:pStyle w:val="FootnoteText"/>
      </w:pPr>
      <w:r>
        <w:rPr>
          <w:rStyle w:val="FootnoteReference"/>
        </w:rPr>
        <w:footnoteRef/>
      </w:r>
      <w:r>
        <w:t xml:space="preserve"> </w:t>
      </w:r>
      <w:r w:rsidR="00191B61">
        <w:t>Claudia Castiglioni Dompe is the daughter of Claudio Castiglioni Dompe; Stefania Pittaluga is the wife of Marco Mazzoli.</w:t>
      </w:r>
      <w:r w:rsidR="00191B61">
        <w:rPr>
          <w:i/>
        </w:rPr>
        <w:t xml:space="preserve">  See </w:t>
      </w:r>
      <w:r w:rsidR="00191B61">
        <w:t>Petition at 10.</w:t>
      </w:r>
    </w:p>
  </w:footnote>
  <w:footnote w:id="9">
    <w:p w:rsidR="001D30C8">
      <w:pPr>
        <w:pStyle w:val="FootnoteText"/>
      </w:pPr>
      <w:r>
        <w:rPr>
          <w:rStyle w:val="FootnoteReference"/>
        </w:rPr>
        <w:footnoteRef/>
      </w:r>
      <w:r>
        <w:t xml:space="preserve"> Petition at 19.</w:t>
      </w:r>
    </w:p>
  </w:footnote>
  <w:footnote w:id="10">
    <w:p w:rsidR="00280943" w:rsidRPr="00003031" w:rsidP="00280943">
      <w:pPr>
        <w:pStyle w:val="FootnoteText"/>
      </w:pPr>
      <w:r w:rsidRPr="00003031">
        <w:rPr>
          <w:rStyle w:val="FootnoteReference"/>
        </w:rPr>
        <w:footnoteRef/>
      </w:r>
      <w:r w:rsidRPr="00003031">
        <w:t xml:space="preserve"> </w:t>
      </w:r>
      <w:r w:rsidR="005743F8">
        <w:rPr>
          <w:i/>
        </w:rPr>
        <w:t>Id.</w:t>
      </w:r>
      <w:r w:rsidRPr="00003031">
        <w:t xml:space="preserve"> at 8.</w:t>
      </w:r>
      <w:r w:rsidRPr="00662966" w:rsidR="00662966">
        <w:rPr>
          <w:szCs w:val="22"/>
        </w:rPr>
        <w:t xml:space="preserve"> </w:t>
      </w:r>
    </w:p>
  </w:footnote>
  <w:footnote w:id="11">
    <w:p w:rsidR="00280943" w:rsidRPr="00F170F2" w:rsidP="00280943">
      <w:pPr>
        <w:pStyle w:val="FootnoteText"/>
      </w:pPr>
      <w:r>
        <w:rPr>
          <w:rStyle w:val="FootnoteReference"/>
        </w:rPr>
        <w:footnoteRef/>
      </w:r>
      <w:r>
        <w:t xml:space="preserve"> </w:t>
      </w:r>
      <w:r w:rsidR="005743F8">
        <w:rPr>
          <w:i/>
        </w:rPr>
        <w:t>Id</w:t>
      </w:r>
      <w:r w:rsidR="00542231">
        <w:rPr>
          <w:i/>
        </w:rPr>
        <w:t>.</w:t>
      </w:r>
      <w:r w:rsidRPr="00F170F2">
        <w:t xml:space="preserve"> at </w:t>
      </w:r>
      <w:r w:rsidR="00177719">
        <w:t>18</w:t>
      </w:r>
      <w:r w:rsidRPr="00F170F2">
        <w:t>.</w:t>
      </w:r>
    </w:p>
  </w:footnote>
  <w:footnote w:id="12">
    <w:p w:rsidR="004073B9" w:rsidRPr="004073B9">
      <w:pPr>
        <w:pStyle w:val="FootnoteText"/>
      </w:pPr>
      <w:r>
        <w:rPr>
          <w:rStyle w:val="FootnoteReference"/>
        </w:rPr>
        <w:footnoteRef/>
      </w:r>
      <w:r>
        <w:t xml:space="preserve"> </w:t>
      </w:r>
      <w:r>
        <w:rPr>
          <w:i/>
        </w:rPr>
        <w:t xml:space="preserve">Id. </w:t>
      </w:r>
      <w:r>
        <w:t>at 20.</w:t>
      </w:r>
    </w:p>
  </w:footnote>
  <w:footnote w:id="13">
    <w:p w:rsidR="00280943" w:rsidRPr="00292C7B" w:rsidP="002249A4">
      <w:pPr>
        <w:spacing w:after="120"/>
        <w:rPr>
          <w:sz w:val="20"/>
        </w:rPr>
      </w:pPr>
      <w:r w:rsidRPr="00292C7B">
        <w:rPr>
          <w:rStyle w:val="FootnoteReference"/>
          <w:sz w:val="20"/>
        </w:rPr>
        <w:footnoteRef/>
      </w:r>
      <w:r w:rsidRPr="00292C7B">
        <w:rPr>
          <w:sz w:val="20"/>
        </w:rPr>
        <w:t xml:space="preserve"> </w:t>
      </w:r>
      <w:r w:rsidR="00191B61">
        <w:rPr>
          <w:sz w:val="20"/>
        </w:rPr>
        <w:t xml:space="preserve">As noted above, Marco Mazzoli created the radio show “Lo Zoo di </w:t>
      </w:r>
      <w:r w:rsidR="00CD20A5">
        <w:rPr>
          <w:sz w:val="20"/>
        </w:rPr>
        <w:t>105” (</w:t>
      </w:r>
      <w:r w:rsidR="00191B61">
        <w:rPr>
          <w:sz w:val="20"/>
        </w:rPr>
        <w:t>The 105 Zoo), which became “the most popular radio show in Italy, achieving the highest ratings in Italian radio history” and has extensive experience in producing radio and television shows.  Petition at 12.  Mr. Mazzoli holds permanent residence status in the United States</w:t>
      </w:r>
      <w:r w:rsidR="00800764">
        <w:rPr>
          <w:sz w:val="20"/>
        </w:rPr>
        <w:t>, along with his wife Stefania Pittaluga,</w:t>
      </w:r>
      <w:r w:rsidR="00786BA3">
        <w:rPr>
          <w:sz w:val="20"/>
        </w:rPr>
        <w:t xml:space="preserve"> since moving back to the states in 2011 to create his own studio to broadcast The 105 Zoo for his Italian audience.  </w:t>
      </w:r>
      <w:r w:rsidR="006C1994">
        <w:rPr>
          <w:i/>
          <w:sz w:val="20"/>
        </w:rPr>
        <w:t>Id.</w:t>
      </w:r>
      <w:r w:rsidR="00786BA3">
        <w:rPr>
          <w:sz w:val="20"/>
        </w:rPr>
        <w:t xml:space="preserve"> at 11-12. </w:t>
      </w:r>
      <w:r w:rsidR="00CF3EE3">
        <w:rPr>
          <w:sz w:val="20"/>
        </w:rPr>
        <w:t xml:space="preserve"> Claudio Castiglioni Dompe has been </w:t>
      </w:r>
      <w:r w:rsidR="00E60AE5">
        <w:rPr>
          <w:sz w:val="20"/>
        </w:rPr>
        <w:t xml:space="preserve">a </w:t>
      </w:r>
      <w:r w:rsidR="00CF3EE3">
        <w:rPr>
          <w:sz w:val="20"/>
        </w:rPr>
        <w:t xml:space="preserve">“successful businessman,” founding both an insurance brokerage firm, which “developed rapidly and became an industry leader,” and a real estate investment and consulting company.  </w:t>
      </w:r>
      <w:r w:rsidR="006C1994">
        <w:rPr>
          <w:i/>
          <w:sz w:val="20"/>
        </w:rPr>
        <w:t>Id.</w:t>
      </w:r>
      <w:r w:rsidR="00800764">
        <w:rPr>
          <w:sz w:val="20"/>
        </w:rPr>
        <w:t xml:space="preserve"> at 14.</w:t>
      </w:r>
      <w:r w:rsidR="00A362D1">
        <w:rPr>
          <w:sz w:val="20"/>
        </w:rPr>
        <w:t xml:space="preserve">  Claudia Castiglioni Dompe has “considerable business experience” in real estate investment and sales and currently attends the Miami Ad School as a full-time student “in order to improve her marketing skills.</w:t>
      </w:r>
      <w:r w:rsidR="006C1994">
        <w:rPr>
          <w:sz w:val="20"/>
        </w:rPr>
        <w:t>”</w:t>
      </w:r>
      <w:r w:rsidR="00A362D1">
        <w:rPr>
          <w:sz w:val="20"/>
        </w:rPr>
        <w:t xml:space="preserve">  </w:t>
      </w:r>
      <w:r w:rsidR="006C1994">
        <w:rPr>
          <w:i/>
          <w:sz w:val="20"/>
        </w:rPr>
        <w:t>Id.</w:t>
      </w:r>
      <w:r w:rsidR="00A362D1">
        <w:rPr>
          <w:sz w:val="20"/>
        </w:rPr>
        <w:t xml:space="preserve"> at 15. </w:t>
      </w:r>
      <w:r w:rsidR="00800764">
        <w:rPr>
          <w:sz w:val="20"/>
        </w:rPr>
        <w:t xml:space="preserve">   </w:t>
      </w:r>
    </w:p>
  </w:footnote>
  <w:footnote w:id="14">
    <w:p w:rsidR="00280943" w:rsidRPr="00BC03BD" w:rsidP="002249A4">
      <w:pPr>
        <w:spacing w:after="120"/>
        <w:rPr>
          <w:sz w:val="20"/>
        </w:rPr>
      </w:pPr>
      <w:r w:rsidRPr="00BC03BD">
        <w:rPr>
          <w:rStyle w:val="FootnoteReference"/>
          <w:sz w:val="20"/>
        </w:rPr>
        <w:footnoteRef/>
      </w:r>
      <w:r w:rsidR="006F4721">
        <w:rPr>
          <w:sz w:val="20"/>
        </w:rPr>
        <w:t xml:space="preserve"> 47 CF</w:t>
      </w:r>
      <w:r w:rsidRPr="00BC03BD">
        <w:rPr>
          <w:sz w:val="20"/>
        </w:rPr>
        <w:t xml:space="preserve">R § 1.1200(a).  </w:t>
      </w:r>
    </w:p>
  </w:footnote>
  <w:footnote w:id="15">
    <w:p w:rsidR="00280943" w:rsidRPr="00BC03BD" w:rsidP="00280943">
      <w:pPr>
        <w:pStyle w:val="FootnoteText"/>
      </w:pPr>
      <w:r w:rsidRPr="00BC03BD">
        <w:rPr>
          <w:rStyle w:val="FootnoteReference"/>
        </w:rPr>
        <w:footnoteRef/>
      </w:r>
      <w:r w:rsidR="006F4721">
        <w:t xml:space="preserve"> 47 CFR</w:t>
      </w:r>
      <w:r w:rsidRPr="00BC03BD">
        <w:t xml:space="preserve"> § 1.1206.</w:t>
      </w:r>
    </w:p>
  </w:footnote>
  <w:footnote w:id="16">
    <w:p w:rsidR="00280943" w:rsidRPr="00BC03BD" w:rsidP="00280943">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17">
    <w:p w:rsidR="00280943" w:rsidRPr="00BC03BD" w:rsidP="00280943">
      <w:pPr>
        <w:pStyle w:val="FootnoteText"/>
      </w:pPr>
      <w:r w:rsidRPr="00BC03BD">
        <w:rPr>
          <w:rStyle w:val="FootnoteReference"/>
        </w:rPr>
        <w:footnoteRef/>
      </w:r>
      <w:r w:rsidRPr="00BC03BD">
        <w:t xml:space="preserve"> </w:t>
      </w:r>
      <w:r w:rsidRPr="00BC03BD">
        <w:rPr>
          <w:i/>
        </w:rPr>
        <w:t>See id</w:t>
      </w:r>
      <w:r w:rsidRPr="00BC03BD">
        <w:t>.</w:t>
      </w:r>
    </w:p>
  </w:footnote>
  <w:footnote w:id="18">
    <w:p w:rsidR="00280943" w:rsidRPr="00BC03BD" w:rsidP="00280943">
      <w:pPr>
        <w:pStyle w:val="FootnoteText"/>
      </w:pPr>
      <w:r w:rsidRPr="00BC03BD">
        <w:rPr>
          <w:rStyle w:val="FootnoteReference"/>
        </w:rPr>
        <w:footnoteRef/>
      </w:r>
      <w:r w:rsidRPr="00BC03BD">
        <w:t xml:space="preserve"> 47 CFR § 1.1206(b).</w:t>
      </w:r>
    </w:p>
  </w:footnote>
  <w:footnote w:id="19">
    <w:p w:rsidR="00280943" w:rsidRPr="00BC03BD" w:rsidP="00280943">
      <w:pPr>
        <w:pStyle w:val="FootnoteText"/>
      </w:pPr>
      <w:r w:rsidRPr="00BC03BD">
        <w:rPr>
          <w:rStyle w:val="FootnoteReference"/>
        </w:rPr>
        <w:footnoteRef/>
      </w:r>
      <w:r w:rsidRPr="00BC03BD">
        <w:t xml:space="preserve"> 47 CFR § 73.3514(b); </w:t>
      </w:r>
      <w:r w:rsidRPr="00BC03BD">
        <w:rPr>
          <w:i/>
        </w:rPr>
        <w:t xml:space="preserve">see also BBC License Subsidiary, L.P., </w:t>
      </w:r>
      <w:r w:rsidRPr="00BC03BD">
        <w:t>Order, 10 FCC Rcd 2458, 2461 (MMB 1994).</w:t>
      </w:r>
    </w:p>
  </w:footnote>
  <w:footnote w:id="20">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47 CFR § 1.45(c).</w:t>
      </w:r>
    </w:p>
  </w:footnote>
  <w:footnote w:id="21">
    <w:p w:rsidR="00280943" w:rsidRPr="00BC03BD" w:rsidP="00280943">
      <w:pPr>
        <w:pStyle w:val="FootnoteText"/>
      </w:pPr>
      <w:r w:rsidRPr="00BC03BD">
        <w:rPr>
          <w:rStyle w:val="FootnoteReference"/>
        </w:rPr>
        <w:footnoteRef/>
      </w:r>
      <w:r w:rsidRPr="00BC03BD">
        <w:t xml:space="preserve"> </w:t>
      </w:r>
      <w:r w:rsidRPr="00BC03BD">
        <w:rPr>
          <w:i/>
        </w:rPr>
        <w:t xml:space="preserve">See </w:t>
      </w:r>
      <w:bookmarkStart w:id="1" w:name="SR;2766"/>
      <w:bookmarkStart w:id="2" w:name="SearchTerm"/>
      <w:bookmarkEnd w:id="1"/>
      <w:r w:rsidRPr="00BC03BD">
        <w:rPr>
          <w:bCs/>
          <w:i/>
        </w:rPr>
        <w:t>FCC</w:t>
      </w:r>
      <w:r w:rsidRPr="00BC03BD">
        <w:rPr>
          <w:i/>
        </w:rPr>
        <w:t xml:space="preserve"> </w:t>
      </w:r>
      <w:bookmarkStart w:id="3" w:name="SR;2767"/>
      <w:bookmarkEnd w:id="3"/>
      <w:r w:rsidRPr="00BC03BD">
        <w:rPr>
          <w:bCs/>
          <w:i/>
        </w:rPr>
        <w:t>Announces</w:t>
      </w:r>
      <w:r w:rsidRPr="00BC03BD">
        <w:rPr>
          <w:i/>
        </w:rPr>
        <w:t xml:space="preserve"> </w:t>
      </w:r>
      <w:bookmarkStart w:id="4" w:name="SR;2768"/>
      <w:bookmarkEnd w:id="4"/>
      <w:r w:rsidRPr="00BC03BD">
        <w:rPr>
          <w:bCs/>
          <w:i/>
        </w:rPr>
        <w:t>Change</w:t>
      </w:r>
      <w:r w:rsidRPr="00BC03BD">
        <w:rPr>
          <w:i/>
        </w:rPr>
        <w:t xml:space="preserve"> in </w:t>
      </w:r>
      <w:bookmarkStart w:id="5" w:name="SR;2770"/>
      <w:bookmarkEnd w:id="5"/>
      <w:r w:rsidRPr="00BC03BD">
        <w:rPr>
          <w:bCs/>
          <w:i/>
        </w:rPr>
        <w:t>Filing</w:t>
      </w:r>
      <w:r w:rsidRPr="00BC03BD">
        <w:rPr>
          <w:i/>
        </w:rPr>
        <w:t xml:space="preserve"> </w:t>
      </w:r>
      <w:bookmarkStart w:id="6" w:name="SR;2771"/>
      <w:bookmarkEnd w:id="6"/>
      <w:r w:rsidRPr="00BC03BD">
        <w:rPr>
          <w:bCs/>
          <w:i/>
        </w:rPr>
        <w:t>Location</w:t>
      </w:r>
      <w:r w:rsidRPr="00BC03BD">
        <w:rPr>
          <w:i/>
        </w:rPr>
        <w:t xml:space="preserve"> for </w:t>
      </w:r>
      <w:bookmarkStart w:id="7" w:name="SR;2773"/>
      <w:bookmarkEnd w:id="7"/>
      <w:r w:rsidRPr="00BC03BD">
        <w:rPr>
          <w:bCs/>
          <w:i/>
        </w:rPr>
        <w:t>Paper</w:t>
      </w:r>
      <w:r w:rsidRPr="00BC03BD">
        <w:rPr>
          <w:i/>
        </w:rPr>
        <w:t xml:space="preserve"> </w:t>
      </w:r>
      <w:bookmarkStart w:id="8" w:name="SR;2774"/>
      <w:bookmarkEnd w:id="2"/>
      <w:bookmarkEnd w:id="8"/>
      <w:r w:rsidRPr="00BC03BD">
        <w:rPr>
          <w:bCs/>
          <w:i/>
        </w:rPr>
        <w:t>Documents</w:t>
      </w:r>
      <w:r w:rsidRPr="00BC03BD">
        <w:t xml:space="preserve">, </w:t>
      </w:r>
      <w:r w:rsidRPr="00BC03BD">
        <w:rPr>
          <w:iCs/>
        </w:rPr>
        <w:t>Public Notice</w:t>
      </w:r>
      <w:r w:rsidRPr="00BC03BD">
        <w:t xml:space="preserve">, 24 FCC Rcd 14312 (2009). </w:t>
      </w:r>
    </w:p>
  </w:footnote>
  <w:footnote w:id="22">
    <w:p w:rsidR="00280943" w:rsidRPr="00BC03BD" w:rsidP="00280943">
      <w:pPr>
        <w:pStyle w:val="FootnoteText"/>
      </w:pPr>
      <w:r w:rsidRPr="00BC03BD">
        <w:rPr>
          <w:rStyle w:val="FootnoteReference"/>
        </w:rPr>
        <w:footnoteRef/>
      </w:r>
      <w:r w:rsidRPr="00BC03BD">
        <w:t xml:space="preserve"> </w:t>
      </w:r>
      <w:r w:rsidRPr="00BC03BD">
        <w:rPr>
          <w:i/>
        </w:rPr>
        <w:t>See</w:t>
      </w:r>
      <w:r w:rsidRPr="00BC03BD">
        <w:t xml:space="preserve"> </w:t>
      </w:r>
      <w:r w:rsidRPr="00BC03BD">
        <w:rPr>
          <w:i/>
        </w:rPr>
        <w:t>Electronic Filing of Documents in Rulemaking Proceedings</w:t>
      </w:r>
      <w:r w:rsidRPr="00BC03BD">
        <w:t>, GC Docket No. 97-113, Report and Order, 13 FCC Rcd 11322 (1998).</w:t>
      </w:r>
    </w:p>
  </w:footnote>
  <w:footnote w:id="23">
    <w:p w:rsidR="009849D0" w:rsidRPr="0038139E" w:rsidP="009849D0">
      <w:pPr>
        <w:pStyle w:val="FootnoteText"/>
      </w:pPr>
      <w:r w:rsidRPr="0038139E">
        <w:rPr>
          <w:rStyle w:val="FootnoteReference"/>
        </w:rPr>
        <w:footnoteRef/>
      </w:r>
      <w:r w:rsidRPr="0038139E">
        <w:t xml:space="preserve"> </w:t>
      </w:r>
      <w:r w:rsidR="00BD5351">
        <w:t>Petitioners</w:t>
      </w:r>
      <w:r w:rsidRPr="0038139E">
        <w:t xml:space="preserve"> filed the Petition </w:t>
      </w:r>
      <w:r w:rsidR="00606766">
        <w:t>with the Office of the Secretary and as</w:t>
      </w:r>
      <w:r w:rsidRPr="0038139E">
        <w:t xml:space="preserve"> an exhibit to the transfer of control</w:t>
      </w:r>
      <w:r>
        <w:t xml:space="preserve"> application</w:t>
      </w:r>
      <w:r w:rsidRPr="0038139E">
        <w:t xml:space="preserve">.  </w:t>
      </w:r>
      <w:r w:rsidRPr="0038139E">
        <w:rPr>
          <w:i/>
        </w:rPr>
        <w:t xml:space="preserve">See </w:t>
      </w:r>
      <w:r>
        <w:t xml:space="preserve">lead application </w:t>
      </w:r>
      <w:r w:rsidRPr="0038139E">
        <w:t>File No. BTCH-201</w:t>
      </w:r>
      <w:r>
        <w:t>7112</w:t>
      </w:r>
      <w:r w:rsidR="00606766">
        <w:t>8AAW</w:t>
      </w:r>
      <w:r w:rsidRPr="0038139E">
        <w:t>.</w:t>
      </w:r>
    </w:p>
    <w:p w:rsidR="00280943" w:rsidRPr="0038139E" w:rsidP="009849D0">
      <w:pPr>
        <w:pStyle w:val="FootnoteText"/>
      </w:pPr>
    </w:p>
    <w:p w:rsidR="00280943" w:rsidRPr="0038139E" w:rsidP="0028094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3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2BE4" w:rsidP="00C41407">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drawing>
        <wp:inline distT="0" distB="0" distL="0" distR="0">
          <wp:extent cx="457200" cy="457200"/>
          <wp:effectExtent l="0" t="0" r="0" b="0"/>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841542" name="Picture 6" descr="fcc_logo"/>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57200" cy="457200"/>
                  </a:xfrm>
                  <a:prstGeom prst="rect">
                    <a:avLst/>
                  </a:prstGeom>
                  <a:noFill/>
                  <a:ln>
                    <a:noFill/>
                  </a:ln>
                </pic:spPr>
              </pic:pic>
            </a:graphicData>
          </a:graphic>
        </wp:inline>
      </w:drawing>
    </w:r>
    <w:r w:rsidR="00B039CF">
      <w:rPr>
        <w:rFonts w:ascii="News Gothic MT" w:hAnsi="News Gothic MT"/>
        <w:b/>
        <w:kern w:val="28"/>
        <w:sz w:val="96"/>
      </w:rPr>
      <w:t xml:space="preserve"> </w:t>
    </w:r>
    <w:r>
      <w:rPr>
        <w:rFonts w:ascii="News Gothic MT" w:hAnsi="News Gothic MT"/>
        <w:b/>
        <w:kern w:val="28"/>
        <w:sz w:val="96"/>
      </w:rPr>
      <w:t>PUBLIC NOTICE</w:t>
    </w:r>
  </w:p>
  <w:p w:rsidR="00362BE4">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3411855</wp:posOffset>
              </wp:positionH>
              <wp:positionV relativeFrom="paragraph">
                <wp:posOffset>76200</wp:posOffset>
              </wp:positionV>
              <wp:extent cx="2640965" cy="548640"/>
              <wp:effectExtent l="1905" t="0" r="0" b="3810"/>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49" type="#_x0000_t202" style="width:207.95pt;height:43.2pt;margin-top:6pt;margin-left:268.6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362BE4">
                    <w:pPr>
                      <w:spacing w:before="40"/>
                      <w:jc w:val="right"/>
                      <w:rPr>
                        <w:rFonts w:ascii="Arial" w:hAnsi="Arial"/>
                        <w:b/>
                        <w:sz w:val="16"/>
                      </w:rPr>
                    </w:pPr>
                    <w:r>
                      <w:rPr>
                        <w:rFonts w:ascii="Arial" w:hAnsi="Arial"/>
                        <w:b/>
                        <w:sz w:val="16"/>
                      </w:rPr>
                      <w:t>News Media Information 202 / 418-0500</w:t>
                    </w:r>
                  </w:p>
                  <w:p w:rsidR="00362BE4">
                    <w:pPr>
                      <w:jc w:val="right"/>
                      <w:rPr>
                        <w:rFonts w:ascii="Arial" w:hAnsi="Arial"/>
                        <w:b/>
                        <w:sz w:val="16"/>
                      </w:rPr>
                    </w:pPr>
                    <w:r>
                      <w:rPr>
                        <w:rFonts w:ascii="Arial" w:hAnsi="Arial"/>
                        <w:b/>
                        <w:sz w:val="16"/>
                      </w:rPr>
                      <w:tab/>
                      <w:t xml:space="preserve">Internet: </w:t>
                    </w:r>
                    <w:bookmarkStart w:id="9" w:name="_Hlt233824"/>
                    <w:r>
                      <w:rPr>
                        <w:rFonts w:ascii="Arial" w:hAnsi="Arial"/>
                        <w:b/>
                        <w:sz w:val="16"/>
                      </w:rPr>
                      <w:t>h</w:t>
                    </w:r>
                    <w:bookmarkEnd w:id="9"/>
                    <w:r>
                      <w:rPr>
                        <w:rFonts w:ascii="Arial" w:hAnsi="Arial"/>
                        <w:b/>
                        <w:sz w:val="16"/>
                      </w:rPr>
                      <w:t>ttp://www.fcc.gov</w:t>
                    </w:r>
                  </w:p>
                  <w:p w:rsidR="00362BE4">
                    <w:pPr>
                      <w:jc w:val="right"/>
                      <w:rPr>
                        <w:rFonts w:ascii="Arial" w:hAnsi="Arial"/>
                        <w:b/>
                        <w:sz w:val="16"/>
                      </w:rPr>
                    </w:pPr>
                    <w:r>
                      <w:rPr>
                        <w:rFonts w:ascii="Arial" w:hAnsi="Arial"/>
                        <w:b/>
                        <w:sz w:val="16"/>
                      </w:rPr>
                      <w:t>TTY: 1-888-835-5322</w:t>
                    </w:r>
                  </w:p>
                  <w:p w:rsidR="00362BE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76200</wp:posOffset>
              </wp:positionV>
              <wp:extent cx="3108960" cy="640080"/>
              <wp:effectExtent l="3810" t="0" r="1905"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2" o:spid="_x0000_s2050" type="#_x0000_t202" style="width:244.8pt;height:50.4pt;margin-top:6pt;margin-left:-4.9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362BE4">
                    <w:pPr>
                      <w:rPr>
                        <w:rFonts w:ascii="Arial" w:hAnsi="Arial"/>
                        <w:b/>
                      </w:rPr>
                    </w:pPr>
                    <w:r>
                      <w:rPr>
                        <w:rFonts w:ascii="Arial" w:hAnsi="Arial"/>
                        <w:b/>
                      </w:rPr>
                      <w:t>Federal Communications Commission</w:t>
                    </w:r>
                  </w:p>
                  <w:p w:rsidR="00362BE4">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362BE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5943600" cy="2540"/>
              <wp:effectExtent l="9525" t="12065" r="9525" b="1397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468pt,55.15pt" o:allowincell="f"/>
          </w:pict>
        </mc:Fallback>
      </mc:AlternateContent>
    </w:r>
  </w:p>
  <w:p w:rsidR="00362BE4">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94545"/>
    <w:multiLevelType w:val="hybridMultilevel"/>
    <w:tmpl w:val="6B005A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spaceForUL/>
    <w:balanceSingleByteDoubleByteWidth/>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42"/>
    <w:rsid w:val="00003031"/>
    <w:rsid w:val="00040586"/>
    <w:rsid w:val="0004196D"/>
    <w:rsid w:val="00046544"/>
    <w:rsid w:val="00050A04"/>
    <w:rsid w:val="000764E5"/>
    <w:rsid w:val="000A7E4D"/>
    <w:rsid w:val="000D21B4"/>
    <w:rsid w:val="000D32F6"/>
    <w:rsid w:val="000D394E"/>
    <w:rsid w:val="0011123D"/>
    <w:rsid w:val="00126BF0"/>
    <w:rsid w:val="00132BCA"/>
    <w:rsid w:val="001561BB"/>
    <w:rsid w:val="001655E4"/>
    <w:rsid w:val="00177719"/>
    <w:rsid w:val="001871C4"/>
    <w:rsid w:val="00187C05"/>
    <w:rsid w:val="00191B61"/>
    <w:rsid w:val="001A3499"/>
    <w:rsid w:val="001D30C8"/>
    <w:rsid w:val="001E1661"/>
    <w:rsid w:val="001E1CAA"/>
    <w:rsid w:val="001E20B5"/>
    <w:rsid w:val="001E6FA2"/>
    <w:rsid w:val="00203869"/>
    <w:rsid w:val="002216AF"/>
    <w:rsid w:val="00222ADF"/>
    <w:rsid w:val="002249A4"/>
    <w:rsid w:val="002455AB"/>
    <w:rsid w:val="00250EC0"/>
    <w:rsid w:val="0026592D"/>
    <w:rsid w:val="00280943"/>
    <w:rsid w:val="00292342"/>
    <w:rsid w:val="00292C7B"/>
    <w:rsid w:val="00297B9A"/>
    <w:rsid w:val="002A4DDA"/>
    <w:rsid w:val="002E388F"/>
    <w:rsid w:val="002E7FFB"/>
    <w:rsid w:val="003002C5"/>
    <w:rsid w:val="003142D6"/>
    <w:rsid w:val="00336162"/>
    <w:rsid w:val="003508CB"/>
    <w:rsid w:val="00357500"/>
    <w:rsid w:val="0035779A"/>
    <w:rsid w:val="00362BE4"/>
    <w:rsid w:val="0036693F"/>
    <w:rsid w:val="0038139E"/>
    <w:rsid w:val="003F549F"/>
    <w:rsid w:val="004073B9"/>
    <w:rsid w:val="00457EEB"/>
    <w:rsid w:val="00463BB5"/>
    <w:rsid w:val="004932EC"/>
    <w:rsid w:val="004A57F8"/>
    <w:rsid w:val="004C4216"/>
    <w:rsid w:val="004C51A3"/>
    <w:rsid w:val="00525C29"/>
    <w:rsid w:val="0053137B"/>
    <w:rsid w:val="00542231"/>
    <w:rsid w:val="00542ABA"/>
    <w:rsid w:val="005443A6"/>
    <w:rsid w:val="005743F8"/>
    <w:rsid w:val="00575F17"/>
    <w:rsid w:val="005A00D0"/>
    <w:rsid w:val="005B4425"/>
    <w:rsid w:val="005C18ED"/>
    <w:rsid w:val="005C4DA7"/>
    <w:rsid w:val="005D496E"/>
    <w:rsid w:val="005E25EE"/>
    <w:rsid w:val="005F0B6C"/>
    <w:rsid w:val="00600E89"/>
    <w:rsid w:val="00606766"/>
    <w:rsid w:val="006125DE"/>
    <w:rsid w:val="00644B15"/>
    <w:rsid w:val="00662966"/>
    <w:rsid w:val="006714F2"/>
    <w:rsid w:val="006B1A4C"/>
    <w:rsid w:val="006C1994"/>
    <w:rsid w:val="006D0731"/>
    <w:rsid w:val="006D7092"/>
    <w:rsid w:val="006E11A8"/>
    <w:rsid w:val="006F1DFC"/>
    <w:rsid w:val="006F42EC"/>
    <w:rsid w:val="006F4368"/>
    <w:rsid w:val="006F4721"/>
    <w:rsid w:val="0070526B"/>
    <w:rsid w:val="00723946"/>
    <w:rsid w:val="00741DCE"/>
    <w:rsid w:val="00751100"/>
    <w:rsid w:val="00785E4D"/>
    <w:rsid w:val="00786BA3"/>
    <w:rsid w:val="007924E8"/>
    <w:rsid w:val="007926E8"/>
    <w:rsid w:val="007C17A7"/>
    <w:rsid w:val="007D4701"/>
    <w:rsid w:val="00800764"/>
    <w:rsid w:val="00801F3E"/>
    <w:rsid w:val="00803032"/>
    <w:rsid w:val="00812291"/>
    <w:rsid w:val="008338A1"/>
    <w:rsid w:val="008568E5"/>
    <w:rsid w:val="0087727E"/>
    <w:rsid w:val="00877A57"/>
    <w:rsid w:val="008B0B6C"/>
    <w:rsid w:val="008C1BA3"/>
    <w:rsid w:val="008C4856"/>
    <w:rsid w:val="008F59C9"/>
    <w:rsid w:val="00957314"/>
    <w:rsid w:val="009815FD"/>
    <w:rsid w:val="009849D0"/>
    <w:rsid w:val="00993254"/>
    <w:rsid w:val="009A78A8"/>
    <w:rsid w:val="009D6EF3"/>
    <w:rsid w:val="009D725A"/>
    <w:rsid w:val="009F41AC"/>
    <w:rsid w:val="00A20E34"/>
    <w:rsid w:val="00A30EEA"/>
    <w:rsid w:val="00A362D1"/>
    <w:rsid w:val="00A61ED5"/>
    <w:rsid w:val="00A70D8C"/>
    <w:rsid w:val="00A7254A"/>
    <w:rsid w:val="00A76FD5"/>
    <w:rsid w:val="00A84F77"/>
    <w:rsid w:val="00A90348"/>
    <w:rsid w:val="00AB114F"/>
    <w:rsid w:val="00AB5707"/>
    <w:rsid w:val="00AE3BA7"/>
    <w:rsid w:val="00AE4768"/>
    <w:rsid w:val="00B039CF"/>
    <w:rsid w:val="00B236BE"/>
    <w:rsid w:val="00B30BAE"/>
    <w:rsid w:val="00B3787D"/>
    <w:rsid w:val="00B41B8B"/>
    <w:rsid w:val="00B81B05"/>
    <w:rsid w:val="00BA67EC"/>
    <w:rsid w:val="00BB6A78"/>
    <w:rsid w:val="00BC03BD"/>
    <w:rsid w:val="00BC4B44"/>
    <w:rsid w:val="00BD38A5"/>
    <w:rsid w:val="00BD5351"/>
    <w:rsid w:val="00BE1B34"/>
    <w:rsid w:val="00BE2F04"/>
    <w:rsid w:val="00BE41E5"/>
    <w:rsid w:val="00BF5545"/>
    <w:rsid w:val="00BF6A0F"/>
    <w:rsid w:val="00C0765E"/>
    <w:rsid w:val="00C13928"/>
    <w:rsid w:val="00C332D2"/>
    <w:rsid w:val="00C364F3"/>
    <w:rsid w:val="00C41407"/>
    <w:rsid w:val="00C74E76"/>
    <w:rsid w:val="00C840DC"/>
    <w:rsid w:val="00C8750F"/>
    <w:rsid w:val="00CC61C6"/>
    <w:rsid w:val="00CD20A5"/>
    <w:rsid w:val="00CE6AA8"/>
    <w:rsid w:val="00CF3EE3"/>
    <w:rsid w:val="00CF6AE1"/>
    <w:rsid w:val="00D17ED4"/>
    <w:rsid w:val="00D20DF5"/>
    <w:rsid w:val="00D21E2B"/>
    <w:rsid w:val="00D24D28"/>
    <w:rsid w:val="00D24E47"/>
    <w:rsid w:val="00D36E0F"/>
    <w:rsid w:val="00D42DF5"/>
    <w:rsid w:val="00D675B2"/>
    <w:rsid w:val="00D77993"/>
    <w:rsid w:val="00D81B5B"/>
    <w:rsid w:val="00DB78BA"/>
    <w:rsid w:val="00DC04F5"/>
    <w:rsid w:val="00DC37AA"/>
    <w:rsid w:val="00E20147"/>
    <w:rsid w:val="00E25E94"/>
    <w:rsid w:val="00E4550D"/>
    <w:rsid w:val="00E60AE5"/>
    <w:rsid w:val="00E743C9"/>
    <w:rsid w:val="00E75BAA"/>
    <w:rsid w:val="00E77F6F"/>
    <w:rsid w:val="00E80762"/>
    <w:rsid w:val="00E8173C"/>
    <w:rsid w:val="00EA5B13"/>
    <w:rsid w:val="00EB0FE8"/>
    <w:rsid w:val="00ED681F"/>
    <w:rsid w:val="00EE4D4A"/>
    <w:rsid w:val="00F10AB8"/>
    <w:rsid w:val="00F11ED6"/>
    <w:rsid w:val="00F15A29"/>
    <w:rsid w:val="00F170F2"/>
    <w:rsid w:val="00F26CE5"/>
    <w:rsid w:val="00F30658"/>
    <w:rsid w:val="00F30C46"/>
    <w:rsid w:val="00FA43C5"/>
    <w:rsid w:val="00FC1837"/>
    <w:rsid w:val="00FC5B83"/>
    <w:rsid w:val="00FC689A"/>
    <w:rsid w:val="00FD679F"/>
    <w:rsid w:val="00FE5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basedOn w:val="DefaultParagraphFont"/>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basedOn w:val="Normal"/>
    <w:link w:val="FootnoteTextChar"/>
    <w:rsid w:val="002455AB"/>
    <w:pPr>
      <w:tabs>
        <w:tab w:val="left" w:pos="720"/>
      </w:tabs>
      <w:spacing w:after="120"/>
      <w:jc w:val="both"/>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character" w:styleId="PageNumber">
    <w:name w:val="page number"/>
    <w:basedOn w:val="DefaultParagraphFont"/>
    <w:rsid w:val="005B4425"/>
  </w:style>
  <w:style w:type="paragraph" w:styleId="BalloonText">
    <w:name w:val="Balloon Text"/>
    <w:basedOn w:val="Normal"/>
    <w:semiHidden/>
    <w:rsid w:val="009815FD"/>
    <w:rPr>
      <w:rFonts w:ascii="Tahoma" w:hAnsi="Tahoma" w:cs="Tahoma"/>
      <w:sz w:val="16"/>
      <w:szCs w:val="16"/>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f Char,fn Char"/>
    <w:link w:val="FootnoteText"/>
    <w:rsid w:val="00280943"/>
  </w:style>
  <w:style w:type="character" w:customStyle="1" w:styleId="Normal1">
    <w:name w:val="Normal1"/>
    <w:rsid w:val="00280943"/>
    <w:rPr>
      <w:rFonts w:ascii="Times New Roman" w:hAnsi="Times New Roman"/>
      <w:noProof w:val="0"/>
      <w:sz w:val="20"/>
      <w:lang w:val="en-US"/>
    </w:rPr>
  </w:style>
  <w:style w:type="paragraph" w:styleId="BodyText">
    <w:name w:val="Body Text"/>
    <w:aliases w:val="b"/>
    <w:basedOn w:val="Normal"/>
    <w:link w:val="BodyTextChar"/>
    <w:rsid w:val="00280943"/>
    <w:pPr>
      <w:widowControl w:val="0"/>
      <w:spacing w:after="240"/>
      <w:ind w:firstLine="720"/>
    </w:pPr>
    <w:rPr>
      <w:snapToGrid w:val="0"/>
    </w:rPr>
  </w:style>
  <w:style w:type="character" w:customStyle="1" w:styleId="BodyTextChar">
    <w:name w:val="Body Text Char"/>
    <w:aliases w:val="b Char"/>
    <w:basedOn w:val="DefaultParagraphFont"/>
    <w:link w:val="BodyText"/>
    <w:rsid w:val="00280943"/>
    <w:rPr>
      <w:snapToGrid w:val="0"/>
      <w:sz w:val="22"/>
    </w:rPr>
  </w:style>
  <w:style w:type="character" w:customStyle="1" w:styleId="UnresolvedMention1">
    <w:name w:val="Unresolved Mention1"/>
    <w:basedOn w:val="DefaultParagraphFont"/>
    <w:uiPriority w:val="99"/>
    <w:semiHidden/>
    <w:unhideWhenUsed/>
    <w:rsid w:val="00DC37AA"/>
    <w:rPr>
      <w:color w:val="808080"/>
      <w:shd w:val="clear" w:color="auto" w:fill="E6E6E6"/>
    </w:rPr>
  </w:style>
  <w:style w:type="character" w:styleId="CommentReference">
    <w:name w:val="annotation reference"/>
    <w:basedOn w:val="DefaultParagraphFont"/>
    <w:uiPriority w:val="99"/>
    <w:semiHidden/>
    <w:unhideWhenUsed/>
    <w:rsid w:val="00BD38A5"/>
    <w:rPr>
      <w:sz w:val="16"/>
      <w:szCs w:val="16"/>
    </w:rPr>
  </w:style>
  <w:style w:type="paragraph" w:styleId="CommentText">
    <w:name w:val="annotation text"/>
    <w:basedOn w:val="Normal"/>
    <w:link w:val="CommentTextChar"/>
    <w:uiPriority w:val="99"/>
    <w:semiHidden/>
    <w:unhideWhenUsed/>
    <w:rsid w:val="00BD38A5"/>
    <w:rPr>
      <w:sz w:val="20"/>
    </w:rPr>
  </w:style>
  <w:style w:type="character" w:customStyle="1" w:styleId="CommentTextChar">
    <w:name w:val="Comment Text Char"/>
    <w:basedOn w:val="DefaultParagraphFont"/>
    <w:link w:val="CommentText"/>
    <w:uiPriority w:val="99"/>
    <w:semiHidden/>
    <w:rsid w:val="00BD38A5"/>
  </w:style>
  <w:style w:type="paragraph" w:styleId="CommentSubject">
    <w:name w:val="annotation subject"/>
    <w:basedOn w:val="CommentText"/>
    <w:next w:val="CommentText"/>
    <w:link w:val="CommentSubjectChar"/>
    <w:uiPriority w:val="99"/>
    <w:semiHidden/>
    <w:unhideWhenUsed/>
    <w:rsid w:val="00BD38A5"/>
    <w:rPr>
      <w:b/>
      <w:bCs/>
    </w:rPr>
  </w:style>
  <w:style w:type="character" w:customStyle="1" w:styleId="CommentSubjectChar">
    <w:name w:val="Comment Subject Char"/>
    <w:basedOn w:val="CommentTextChar"/>
    <w:link w:val="CommentSubject"/>
    <w:uiPriority w:val="99"/>
    <w:semiHidden/>
    <w:rsid w:val="00BD38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9B399-3610-413D-B2BB-708DB09B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2017-12-19T15:08:45Z</dcterms:created>
  <dcterms:modified xsi:type="dcterms:W3CDTF">2017-12-19T15:08:45Z</dcterms:modified>
</cp:coreProperties>
</file>