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A7904" w:rsidRPr="00D81C6A" w:rsidP="005A7904" w14:paraId="7D20B0ED" w14:textId="77777777">
      <w:pPr>
        <w:pStyle w:val="Heading4"/>
        <w:numPr>
          <w:ilvl w:val="0"/>
          <w:numId w:val="0"/>
        </w:numPr>
        <w:tabs>
          <w:tab w:val="clear" w:pos="2880"/>
        </w:tabs>
        <w:jc w:val="center"/>
        <w:rPr>
          <w:szCs w:val="22"/>
        </w:rPr>
      </w:pPr>
      <w:bookmarkStart w:id="0" w:name="_GoBack"/>
      <w:bookmarkEnd w:id="0"/>
      <w:r w:rsidRPr="00D81C6A">
        <w:rPr>
          <w:szCs w:val="22"/>
        </w:rPr>
        <w:t>Before the</w:t>
      </w:r>
    </w:p>
    <w:p w:rsidR="005A7904" w:rsidRPr="00D81C6A" w:rsidP="005A7904" w14:paraId="6A30798B" w14:textId="77777777">
      <w:pPr>
        <w:pStyle w:val="Heading4"/>
        <w:numPr>
          <w:ilvl w:val="0"/>
          <w:numId w:val="0"/>
        </w:numPr>
        <w:tabs>
          <w:tab w:val="clear" w:pos="2880"/>
        </w:tabs>
        <w:jc w:val="center"/>
        <w:rPr>
          <w:szCs w:val="22"/>
        </w:rPr>
      </w:pPr>
      <w:r w:rsidRPr="00D81C6A">
        <w:rPr>
          <w:szCs w:val="22"/>
        </w:rPr>
        <w:t>Federal Communications Commission</w:t>
      </w:r>
    </w:p>
    <w:p w:rsidR="005A7904" w:rsidRPr="00D81C6A" w:rsidP="005A7904" w14:paraId="60B3B6AA" w14:textId="77777777">
      <w:pPr>
        <w:pStyle w:val="Heading4"/>
        <w:numPr>
          <w:ilvl w:val="0"/>
          <w:numId w:val="0"/>
        </w:numPr>
        <w:tabs>
          <w:tab w:val="clear" w:pos="2880"/>
        </w:tabs>
        <w:jc w:val="center"/>
        <w:rPr>
          <w:szCs w:val="22"/>
        </w:rPr>
      </w:pPr>
      <w:r w:rsidRPr="00D81C6A">
        <w:rPr>
          <w:szCs w:val="22"/>
        </w:rPr>
        <w:t>Washington, D.C.  20554</w:t>
      </w:r>
    </w:p>
    <w:p w:rsidR="005A7904" w:rsidRPr="00D81C6A" w:rsidP="005A7904" w14:paraId="69738A8C" w14:textId="77777777">
      <w:pPr>
        <w:jc w:val="center"/>
        <w:rPr>
          <w:szCs w:val="22"/>
        </w:rPr>
      </w:pPr>
    </w:p>
    <w:tbl>
      <w:tblPr>
        <w:tblW w:w="0" w:type="auto"/>
        <w:tblInd w:w="0" w:type="dxa"/>
        <w:tblLayout w:type="fixed"/>
        <w:tblCellMar>
          <w:top w:w="0" w:type="dxa"/>
          <w:left w:w="108" w:type="dxa"/>
          <w:bottom w:w="0" w:type="dxa"/>
          <w:right w:w="108" w:type="dxa"/>
        </w:tblCellMar>
        <w:tblLook w:val="0000"/>
      </w:tblPr>
      <w:tblGrid>
        <w:gridCol w:w="4698"/>
        <w:gridCol w:w="720"/>
        <w:gridCol w:w="4158"/>
      </w:tblGrid>
      <w:tr w14:paraId="1F82C706" w14:textId="77777777" w:rsidTr="009A7852">
        <w:tblPrEx>
          <w:tblW w:w="0" w:type="auto"/>
          <w:tblInd w:w="0" w:type="dxa"/>
          <w:tblLayout w:type="fixed"/>
          <w:tblCellMar>
            <w:top w:w="0" w:type="dxa"/>
            <w:left w:w="108" w:type="dxa"/>
            <w:bottom w:w="0" w:type="dxa"/>
            <w:right w:w="108" w:type="dxa"/>
          </w:tblCellMar>
          <w:tblLook w:val="0000"/>
        </w:tblPrEx>
        <w:tc>
          <w:tcPr>
            <w:tcW w:w="4698" w:type="dxa"/>
          </w:tcPr>
          <w:p w:rsidR="005A7904" w:rsidRPr="00D81C6A" w:rsidP="009A7852" w14:paraId="10970131" w14:textId="77777777">
            <w:pPr>
              <w:widowControl w:val="0"/>
              <w:spacing w:after="0" w:line="240" w:lineRule="auto"/>
              <w:ind w:right="-18"/>
              <w:rPr>
                <w:rStyle w:val="DefaultParagraphFont"/>
                <w:rFonts w:ascii="Times New Roman" w:eastAsia="Times New Roman" w:hAnsi="Times New Roman" w:cs="Times New Roman"/>
                <w:snapToGrid w:val="0"/>
                <w:kern w:val="28"/>
                <w:sz w:val="22"/>
                <w:szCs w:val="22"/>
                <w:lang w:val="en-US" w:eastAsia="en-US" w:bidi="ar-SA"/>
              </w:rPr>
            </w:pPr>
            <w:r w:rsidRPr="00D81C6A">
              <w:rPr>
                <w:rFonts w:ascii="Times New Roman" w:eastAsia="Times New Roman" w:hAnsi="Times New Roman" w:cs="Times New Roman"/>
                <w:snapToGrid w:val="0"/>
                <w:kern w:val="28"/>
                <w:sz w:val="22"/>
                <w:szCs w:val="22"/>
                <w:lang w:val="en-US" w:eastAsia="en-US" w:bidi="ar-SA"/>
              </w:rPr>
              <w:t>In the Matter of</w:t>
            </w:r>
          </w:p>
          <w:p w:rsidR="005A7904" w:rsidRPr="00D81C6A" w:rsidP="009A7852" w14:paraId="0C157099" w14:textId="77777777">
            <w:pPr>
              <w:widowControl w:val="0"/>
              <w:spacing w:after="0" w:line="240" w:lineRule="auto"/>
              <w:ind w:right="-18"/>
              <w:rPr>
                <w:rStyle w:val="DefaultParagraphFont"/>
                <w:rFonts w:ascii="Times New Roman" w:eastAsia="Times New Roman" w:hAnsi="Times New Roman" w:cs="Times New Roman"/>
                <w:snapToGrid w:val="0"/>
                <w:kern w:val="28"/>
                <w:sz w:val="22"/>
                <w:szCs w:val="22"/>
                <w:lang w:val="en-US" w:eastAsia="en-US" w:bidi="ar-SA"/>
              </w:rPr>
            </w:pPr>
          </w:p>
          <w:p w:rsidR="005A7904" w:rsidRPr="00D81C6A" w:rsidP="009A7852" w14:paraId="2D8D4F1C" w14:textId="77777777">
            <w:pPr>
              <w:widowControl w:val="0"/>
              <w:spacing w:after="0" w:line="240" w:lineRule="auto"/>
              <w:rPr>
                <w:rStyle w:val="DefaultParagraphFont"/>
                <w:rFonts w:ascii="Times New Roman" w:eastAsia="Times New Roman" w:hAnsi="Times New Roman" w:cs="Times New Roman"/>
                <w:snapToGrid w:val="0"/>
                <w:kern w:val="28"/>
                <w:sz w:val="22"/>
                <w:szCs w:val="22"/>
                <w:lang w:val="en-US" w:eastAsia="en-US" w:bidi="ar-SA"/>
              </w:rPr>
            </w:pPr>
            <w:r>
              <w:rPr>
                <w:rFonts w:ascii="Times New Roman" w:eastAsia="Times New Roman" w:hAnsi="Times New Roman" w:cs="Times New Roman"/>
                <w:snapToGrid w:val="0"/>
                <w:spacing w:val="-2"/>
                <w:kern w:val="28"/>
                <w:sz w:val="22"/>
                <w:szCs w:val="20"/>
                <w:lang w:val="en-US" w:eastAsia="en-US" w:bidi="ar-SA"/>
              </w:rPr>
              <w:t>UnityComm</w:t>
            </w:r>
            <w:r w:rsidRPr="00D81C6A">
              <w:rPr>
                <w:rFonts w:ascii="Times New Roman" w:eastAsia="Times New Roman" w:hAnsi="Times New Roman" w:cs="Times New Roman"/>
                <w:snapToGrid w:val="0"/>
                <w:kern w:val="28"/>
                <w:sz w:val="22"/>
                <w:szCs w:val="22"/>
                <w:lang w:val="en-US" w:eastAsia="en-US" w:bidi="ar-SA"/>
              </w:rPr>
              <w:t>, Inc.</w:t>
            </w:r>
          </w:p>
          <w:p w:rsidR="005A7904" w:rsidRPr="00D81C6A" w:rsidP="009A7852" w14:paraId="2120C17C" w14:textId="77777777">
            <w:pPr>
              <w:widowControl w:val="0"/>
              <w:spacing w:after="0" w:line="240" w:lineRule="auto"/>
              <w:ind w:right="-18"/>
              <w:rPr>
                <w:rStyle w:val="DefaultParagraphFont"/>
                <w:rFonts w:ascii="Times New Roman" w:eastAsia="Times New Roman" w:hAnsi="Times New Roman" w:cs="Times New Roman"/>
                <w:snapToGrid w:val="0"/>
                <w:kern w:val="28"/>
                <w:sz w:val="22"/>
                <w:szCs w:val="22"/>
                <w:lang w:val="en-US" w:eastAsia="en-US" w:bidi="ar-SA"/>
              </w:rPr>
            </w:pPr>
          </w:p>
          <w:p w:rsidR="005A7904" w:rsidRPr="00D81C6A" w:rsidP="009A7852" w14:paraId="00AB8380" w14:textId="77777777">
            <w:pPr>
              <w:widowControl w:val="0"/>
              <w:spacing w:after="0" w:line="240" w:lineRule="auto"/>
              <w:ind w:right="-18"/>
              <w:rPr>
                <w:rStyle w:val="DefaultParagraphFont"/>
                <w:rFonts w:ascii="Times New Roman" w:eastAsia="Times New Roman" w:hAnsi="Times New Roman" w:cs="Times New Roman"/>
                <w:snapToGrid w:val="0"/>
                <w:kern w:val="28"/>
                <w:sz w:val="22"/>
                <w:szCs w:val="22"/>
                <w:lang w:val="en-US" w:eastAsia="en-US" w:bidi="ar-SA"/>
              </w:rPr>
            </w:pPr>
          </w:p>
        </w:tc>
        <w:tc>
          <w:tcPr>
            <w:tcW w:w="720" w:type="dxa"/>
          </w:tcPr>
          <w:p w:rsidR="005A7904" w:rsidRPr="00D81C6A" w:rsidP="009A7852" w14:paraId="4EE0639F" w14:textId="77777777">
            <w:pPr>
              <w:widowControl w:val="0"/>
              <w:spacing w:after="0" w:line="240" w:lineRule="auto"/>
              <w:rPr>
                <w:rStyle w:val="DefaultParagraphFont"/>
                <w:rFonts w:ascii="Times New Roman" w:eastAsia="Times New Roman" w:hAnsi="Times New Roman" w:cs="Times New Roman"/>
                <w:b/>
                <w:snapToGrid w:val="0"/>
                <w:kern w:val="28"/>
                <w:sz w:val="22"/>
                <w:szCs w:val="22"/>
                <w:lang w:val="en-US" w:eastAsia="en-US" w:bidi="ar-SA"/>
              </w:rPr>
            </w:pPr>
            <w:r w:rsidRPr="00D81C6A">
              <w:rPr>
                <w:rFonts w:ascii="Times New Roman" w:eastAsia="Times New Roman" w:hAnsi="Times New Roman" w:cs="Times New Roman"/>
                <w:b/>
                <w:snapToGrid w:val="0"/>
                <w:kern w:val="28"/>
                <w:sz w:val="22"/>
                <w:szCs w:val="22"/>
                <w:lang w:val="en-US" w:eastAsia="en-US" w:bidi="ar-SA"/>
              </w:rPr>
              <w:t>)</w:t>
            </w:r>
          </w:p>
          <w:p w:rsidR="005A7904" w:rsidRPr="00D81C6A" w:rsidP="009A7852" w14:paraId="115AA55B" w14:textId="77777777">
            <w:pPr>
              <w:widowControl w:val="0"/>
              <w:spacing w:after="0" w:line="240" w:lineRule="auto"/>
              <w:rPr>
                <w:rStyle w:val="DefaultParagraphFont"/>
                <w:rFonts w:ascii="Times New Roman" w:eastAsia="Times New Roman" w:hAnsi="Times New Roman" w:cs="Times New Roman"/>
                <w:b/>
                <w:snapToGrid w:val="0"/>
                <w:kern w:val="28"/>
                <w:sz w:val="22"/>
                <w:szCs w:val="22"/>
                <w:lang w:val="en-US" w:eastAsia="en-US" w:bidi="ar-SA"/>
              </w:rPr>
            </w:pPr>
            <w:r w:rsidRPr="00D81C6A">
              <w:rPr>
                <w:rFonts w:ascii="Times New Roman" w:eastAsia="Times New Roman" w:hAnsi="Times New Roman" w:cs="Times New Roman"/>
                <w:b/>
                <w:snapToGrid w:val="0"/>
                <w:kern w:val="28"/>
                <w:sz w:val="22"/>
                <w:szCs w:val="22"/>
                <w:lang w:val="en-US" w:eastAsia="en-US" w:bidi="ar-SA"/>
              </w:rPr>
              <w:t>)</w:t>
            </w:r>
          </w:p>
          <w:p w:rsidR="005A7904" w:rsidRPr="00D81C6A" w:rsidP="009A7852" w14:paraId="5D8643C9" w14:textId="77777777">
            <w:pPr>
              <w:widowControl w:val="0"/>
              <w:spacing w:after="0" w:line="240" w:lineRule="auto"/>
              <w:rPr>
                <w:rStyle w:val="DefaultParagraphFont"/>
                <w:rFonts w:ascii="Times New Roman" w:eastAsia="Times New Roman" w:hAnsi="Times New Roman" w:cs="Times New Roman"/>
                <w:b/>
                <w:snapToGrid w:val="0"/>
                <w:kern w:val="28"/>
                <w:sz w:val="22"/>
                <w:szCs w:val="22"/>
                <w:lang w:val="en-US" w:eastAsia="en-US" w:bidi="ar-SA"/>
              </w:rPr>
            </w:pPr>
            <w:r w:rsidRPr="00D81C6A">
              <w:rPr>
                <w:rFonts w:ascii="Times New Roman" w:eastAsia="Times New Roman" w:hAnsi="Times New Roman" w:cs="Times New Roman"/>
                <w:b/>
                <w:snapToGrid w:val="0"/>
                <w:kern w:val="28"/>
                <w:sz w:val="22"/>
                <w:szCs w:val="22"/>
                <w:lang w:val="en-US" w:eastAsia="en-US" w:bidi="ar-SA"/>
              </w:rPr>
              <w:t>)</w:t>
            </w:r>
          </w:p>
          <w:p w:rsidR="005A7904" w:rsidP="007D1CB0" w14:paraId="02E36AE9" w14:textId="77777777">
            <w:pPr>
              <w:widowControl w:val="0"/>
              <w:spacing w:after="0" w:line="240" w:lineRule="auto"/>
              <w:rPr>
                <w:rStyle w:val="DefaultParagraphFont"/>
                <w:rFonts w:ascii="Times New Roman" w:eastAsia="Times New Roman" w:hAnsi="Times New Roman" w:cs="Times New Roman"/>
                <w:b/>
                <w:snapToGrid w:val="0"/>
                <w:kern w:val="28"/>
                <w:sz w:val="22"/>
                <w:szCs w:val="22"/>
                <w:lang w:val="en-US" w:eastAsia="en-US" w:bidi="ar-SA"/>
              </w:rPr>
            </w:pPr>
            <w:r w:rsidRPr="00D81C6A">
              <w:rPr>
                <w:rFonts w:ascii="Times New Roman" w:eastAsia="Times New Roman" w:hAnsi="Times New Roman" w:cs="Times New Roman"/>
                <w:b/>
                <w:snapToGrid w:val="0"/>
                <w:kern w:val="28"/>
                <w:sz w:val="22"/>
                <w:szCs w:val="22"/>
                <w:lang w:val="en-US" w:eastAsia="en-US" w:bidi="ar-SA"/>
              </w:rPr>
              <w:t>)</w:t>
            </w:r>
          </w:p>
          <w:p w:rsidR="007D1CB0" w:rsidRPr="00D81C6A" w:rsidP="007D1CB0" w14:paraId="69892DE8" w14:textId="77777777">
            <w:pPr>
              <w:widowControl w:val="0"/>
              <w:spacing w:after="0" w:line="240" w:lineRule="auto"/>
              <w:rPr>
                <w:rStyle w:val="DefaultParagraphFont"/>
                <w:rFonts w:ascii="Times New Roman" w:eastAsia="Times New Roman" w:hAnsi="Times New Roman" w:cs="Times New Roman"/>
                <w:b/>
                <w:snapToGrid w:val="0"/>
                <w:kern w:val="28"/>
                <w:sz w:val="22"/>
                <w:szCs w:val="22"/>
                <w:lang w:val="en-US" w:eastAsia="en-US" w:bidi="ar-SA"/>
              </w:rPr>
            </w:pPr>
            <w:r>
              <w:rPr>
                <w:rFonts w:ascii="Times New Roman" w:eastAsia="Times New Roman" w:hAnsi="Times New Roman" w:cs="Times New Roman"/>
                <w:b/>
                <w:snapToGrid w:val="0"/>
                <w:kern w:val="28"/>
                <w:sz w:val="22"/>
                <w:szCs w:val="22"/>
                <w:lang w:val="en-US" w:eastAsia="en-US" w:bidi="ar-SA"/>
              </w:rPr>
              <w:t>)</w:t>
            </w:r>
          </w:p>
        </w:tc>
        <w:tc>
          <w:tcPr>
            <w:tcW w:w="4158" w:type="dxa"/>
          </w:tcPr>
          <w:p w:rsidR="005A7904" w:rsidRPr="00D81C6A" w:rsidP="009A7852" w14:paraId="4EB2FF24" w14:textId="77777777">
            <w:pPr>
              <w:widowControl w:val="0"/>
              <w:spacing w:after="0" w:line="240" w:lineRule="auto"/>
              <w:ind w:left="-108" w:firstLine="108"/>
              <w:rPr>
                <w:rStyle w:val="DefaultParagraphFont"/>
                <w:rFonts w:ascii="Times New Roman" w:eastAsia="Times New Roman" w:hAnsi="Times New Roman" w:cs="Times New Roman"/>
                <w:snapToGrid w:val="0"/>
                <w:spacing w:val="-2"/>
                <w:kern w:val="28"/>
                <w:sz w:val="22"/>
                <w:szCs w:val="22"/>
                <w:lang w:val="en-US" w:eastAsia="en-US" w:bidi="ar-SA"/>
              </w:rPr>
            </w:pPr>
          </w:p>
          <w:p w:rsidR="005A7904" w:rsidRPr="00D81C6A" w:rsidP="009A7852" w14:paraId="43F2DB19" w14:textId="77777777">
            <w:pPr>
              <w:widowControl w:val="0"/>
              <w:spacing w:after="0" w:line="240" w:lineRule="auto"/>
              <w:ind w:left="-108" w:firstLine="108"/>
              <w:rPr>
                <w:rStyle w:val="DefaultParagraphFont"/>
                <w:rFonts w:ascii="Times New Roman" w:eastAsia="Times New Roman" w:hAnsi="Times New Roman" w:cs="Times New Roman"/>
                <w:snapToGrid w:val="0"/>
                <w:spacing w:val="-2"/>
                <w:kern w:val="28"/>
                <w:sz w:val="22"/>
                <w:szCs w:val="22"/>
                <w:lang w:val="en-US" w:eastAsia="en-US" w:bidi="ar-SA"/>
              </w:rPr>
            </w:pPr>
          </w:p>
          <w:p w:rsidR="007D1CB0" w:rsidRPr="008E64D2" w:rsidP="007D1CB0" w14:paraId="56CC31CF" w14:textId="77777777">
            <w:pPr>
              <w:widowControl w:val="0"/>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2"/>
                <w:lang w:val="en-US" w:eastAsia="en-US" w:bidi="ar-SA"/>
              </w:rPr>
            </w:pPr>
            <w:r w:rsidRPr="008E64D2">
              <w:rPr>
                <w:rFonts w:ascii="Times New Roman" w:eastAsia="Times New Roman" w:hAnsi="Times New Roman" w:cs="Times New Roman"/>
                <w:snapToGrid w:val="0"/>
                <w:spacing w:val="-2"/>
                <w:kern w:val="28"/>
                <w:sz w:val="22"/>
                <w:szCs w:val="22"/>
                <w:lang w:val="en-US" w:eastAsia="en-US" w:bidi="ar-SA"/>
              </w:rPr>
              <w:t xml:space="preserve">File No.: </w:t>
            </w:r>
            <w:r w:rsidRPr="008E64D2">
              <w:rPr>
                <w:rFonts w:ascii="Times New Roman" w:eastAsia="Times New Roman" w:hAnsi="Times New Roman" w:cs="Times New Roman"/>
                <w:snapToGrid w:val="0"/>
                <w:kern w:val="28"/>
                <w:sz w:val="22"/>
                <w:szCs w:val="22"/>
                <w:lang w:val="en-US" w:eastAsia="en-US" w:bidi="ar-SA"/>
              </w:rPr>
              <w:t>EB-IHD-15-00018959</w:t>
            </w:r>
          </w:p>
          <w:p w:rsidR="007D1CB0" w:rsidRPr="008E64D2" w:rsidP="007D1CB0" w14:paraId="729FC955" w14:textId="77777777">
            <w:pPr>
              <w:widowControl w:val="0"/>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2"/>
                <w:lang w:val="en-US" w:eastAsia="en-US" w:bidi="ar-SA"/>
              </w:rPr>
            </w:pPr>
            <w:r w:rsidRPr="008E64D2">
              <w:rPr>
                <w:rFonts w:ascii="Times New Roman" w:eastAsia="Times New Roman" w:hAnsi="Times New Roman" w:cs="Times New Roman"/>
                <w:snapToGrid w:val="0"/>
                <w:spacing w:val="-2"/>
                <w:kern w:val="28"/>
                <w:sz w:val="22"/>
                <w:szCs w:val="22"/>
                <w:lang w:val="en-US" w:eastAsia="en-US" w:bidi="ar-SA"/>
              </w:rPr>
              <w:t xml:space="preserve">NAL/Acct. No.: </w:t>
            </w:r>
            <w:r w:rsidRPr="008E64D2">
              <w:rPr>
                <w:rFonts w:ascii="Times New Roman" w:eastAsia="Times New Roman" w:hAnsi="Times New Roman" w:cs="Times New Roman"/>
                <w:snapToGrid w:val="0"/>
                <w:kern w:val="28"/>
                <w:sz w:val="22"/>
                <w:szCs w:val="22"/>
                <w:lang w:val="en-US" w:eastAsia="en-US" w:bidi="ar-SA"/>
              </w:rPr>
              <w:t>201632080011</w:t>
            </w:r>
          </w:p>
          <w:p w:rsidR="005A7904" w:rsidRPr="007D1CB0" w:rsidP="007D1CB0" w14:paraId="76FBBABC" w14:textId="77777777">
            <w:pPr>
              <w:widowControl w:val="0"/>
              <w:spacing w:after="0" w:line="240" w:lineRule="auto"/>
              <w:ind w:left="-108" w:firstLine="108"/>
              <w:rPr>
                <w:rStyle w:val="DefaultParagraphFont"/>
                <w:rFonts w:ascii="Times New Roman" w:eastAsia="Times New Roman" w:hAnsi="Times New Roman" w:cs="Times New Roman"/>
                <w:snapToGrid w:val="0"/>
                <w:spacing w:val="-2"/>
                <w:kern w:val="28"/>
                <w:sz w:val="22"/>
                <w:szCs w:val="22"/>
                <w:lang w:val="en-US" w:eastAsia="en-US" w:bidi="ar-SA"/>
              </w:rPr>
            </w:pPr>
            <w:r w:rsidRPr="008E64D2">
              <w:rPr>
                <w:rFonts w:ascii="Times New Roman" w:eastAsia="Times New Roman" w:hAnsi="Times New Roman" w:cs="Times New Roman"/>
                <w:snapToGrid w:val="0"/>
                <w:spacing w:val="-2"/>
                <w:kern w:val="28"/>
                <w:sz w:val="22"/>
                <w:szCs w:val="22"/>
                <w:lang w:val="en-US" w:eastAsia="en-US" w:bidi="ar-SA"/>
              </w:rPr>
              <w:t xml:space="preserve">FRN: </w:t>
            </w:r>
            <w:r w:rsidRPr="008E64D2">
              <w:rPr>
                <w:rFonts w:ascii="Times New Roman" w:eastAsia="Times New Roman" w:hAnsi="Times New Roman" w:cs="Times New Roman"/>
                <w:snapToGrid w:val="0"/>
                <w:kern w:val="28"/>
                <w:sz w:val="22"/>
                <w:szCs w:val="22"/>
                <w:lang w:val="en-US" w:eastAsia="en-US" w:bidi="ar-SA"/>
              </w:rPr>
              <w:t>0013349584</w:t>
            </w:r>
          </w:p>
          <w:p w:rsidR="005A7904" w:rsidRPr="00D81C6A" w:rsidP="007D1CB0" w14:paraId="3237BE0D" w14:textId="77777777">
            <w:pPr>
              <w:widowControl w:val="0"/>
              <w:spacing w:after="0" w:line="240" w:lineRule="auto"/>
              <w:rPr>
                <w:rStyle w:val="DefaultParagraphFont"/>
                <w:rFonts w:ascii="Times New Roman" w:eastAsia="Times New Roman" w:hAnsi="Times New Roman" w:cs="Times New Roman"/>
                <w:snapToGrid w:val="0"/>
                <w:kern w:val="28"/>
                <w:sz w:val="22"/>
                <w:szCs w:val="22"/>
                <w:lang w:val="en-US" w:eastAsia="en-US" w:bidi="ar-SA"/>
              </w:rPr>
            </w:pPr>
          </w:p>
        </w:tc>
      </w:tr>
    </w:tbl>
    <w:p w:rsidR="005A7904" w:rsidRPr="00D81C6A" w:rsidP="005A7904" w14:paraId="771A03E6" w14:textId="77777777">
      <w:pPr>
        <w:rPr>
          <w:szCs w:val="22"/>
        </w:rPr>
      </w:pPr>
    </w:p>
    <w:p w:rsidR="005A7904" w:rsidRPr="00D81C6A" w14:paraId="3C147CC6" w14:textId="77777777">
      <w:pPr>
        <w:jc w:val="center"/>
        <w:outlineLvl w:val="0"/>
        <w:rPr>
          <w:b/>
          <w:szCs w:val="22"/>
        </w:rPr>
      </w:pPr>
      <w:r w:rsidRPr="00D81C6A">
        <w:rPr>
          <w:b/>
          <w:szCs w:val="22"/>
        </w:rPr>
        <w:t xml:space="preserve">FORFEITURE ORDER </w:t>
      </w:r>
    </w:p>
    <w:p w:rsidR="005A7904" w:rsidRPr="00D81C6A" w:rsidP="005A7904" w14:paraId="79039942" w14:textId="77777777">
      <w:pPr>
        <w:jc w:val="center"/>
        <w:outlineLvl w:val="0"/>
        <w:rPr>
          <w:b/>
          <w:szCs w:val="22"/>
        </w:rPr>
      </w:pPr>
    </w:p>
    <w:p w:rsidR="005A7904" w:rsidRPr="00D81C6A" w:rsidP="005A7904" w14:paraId="1A1B774F" w14:textId="77777777">
      <w:pPr>
        <w:jc w:val="center"/>
        <w:rPr>
          <w:szCs w:val="22"/>
        </w:rPr>
      </w:pPr>
    </w:p>
    <w:p w:rsidR="005A7904" w:rsidRPr="00D81C6A" w:rsidP="005A7904" w14:paraId="2ABCCEC4" w14:textId="381D1A18">
      <w:pPr>
        <w:tabs>
          <w:tab w:val="left" w:pos="6480"/>
        </w:tabs>
        <w:rPr>
          <w:b/>
          <w:szCs w:val="22"/>
        </w:rPr>
      </w:pPr>
      <w:r w:rsidRPr="003C2741">
        <w:rPr>
          <w:b/>
          <w:szCs w:val="22"/>
        </w:rPr>
        <w:t xml:space="preserve">Adopted:  </w:t>
      </w:r>
      <w:r w:rsidR="00F84B10">
        <w:rPr>
          <w:b/>
          <w:szCs w:val="22"/>
        </w:rPr>
        <w:t>December 19, 2017</w:t>
      </w:r>
      <w:r w:rsidR="00F84B10">
        <w:rPr>
          <w:b/>
          <w:szCs w:val="22"/>
        </w:rPr>
        <w:tab/>
      </w:r>
      <w:r w:rsidRPr="003C2741">
        <w:rPr>
          <w:b/>
          <w:szCs w:val="22"/>
        </w:rPr>
        <w:t xml:space="preserve">Released:  </w:t>
      </w:r>
      <w:r w:rsidR="00F84B10">
        <w:rPr>
          <w:b/>
          <w:szCs w:val="22"/>
        </w:rPr>
        <w:t>December 19, 2017</w:t>
      </w:r>
    </w:p>
    <w:p w:rsidR="005A7904" w:rsidRPr="00D81C6A" w:rsidP="005A7904" w14:paraId="28551078" w14:textId="77777777">
      <w:pPr>
        <w:ind w:left="2880" w:firstLine="720"/>
        <w:rPr>
          <w:szCs w:val="22"/>
        </w:rPr>
      </w:pPr>
    </w:p>
    <w:p w:rsidR="005A7904" w:rsidRPr="00D81C6A" w:rsidP="005A7904" w14:paraId="62658835" w14:textId="77777777">
      <w:pPr>
        <w:rPr>
          <w:szCs w:val="22"/>
        </w:rPr>
      </w:pPr>
      <w:r w:rsidRPr="00D81C6A">
        <w:rPr>
          <w:szCs w:val="22"/>
        </w:rPr>
        <w:t>By the</w:t>
      </w:r>
      <w:r w:rsidR="00776167">
        <w:rPr>
          <w:szCs w:val="22"/>
        </w:rPr>
        <w:t xml:space="preserve"> </w:t>
      </w:r>
      <w:r w:rsidRPr="00D81C6A">
        <w:rPr>
          <w:szCs w:val="22"/>
        </w:rPr>
        <w:t>Chief, Enforcement</w:t>
      </w:r>
      <w:r w:rsidR="00855886">
        <w:rPr>
          <w:szCs w:val="22"/>
        </w:rPr>
        <w:t xml:space="preserve"> Bureau</w:t>
      </w:r>
      <w:r w:rsidRPr="00D81C6A">
        <w:rPr>
          <w:szCs w:val="22"/>
        </w:rPr>
        <w:t>:</w:t>
      </w:r>
    </w:p>
    <w:p w:rsidR="005A7904" w:rsidRPr="00D81C6A" w:rsidP="005A7904" w14:paraId="6C27576E" w14:textId="77777777">
      <w:pPr>
        <w:rPr>
          <w:szCs w:val="22"/>
        </w:rPr>
      </w:pPr>
    </w:p>
    <w:p w:rsidR="005A7904" w:rsidRPr="00D81C6A" w:rsidP="005707E5" w14:paraId="3C5212AB" w14:textId="77777777">
      <w:pPr>
        <w:pStyle w:val="Heading1"/>
      </w:pPr>
      <w:r w:rsidRPr="00D81C6A">
        <w:t>INTRODUCTION</w:t>
      </w:r>
    </w:p>
    <w:p w:rsidR="005A7904" w:rsidRPr="00C00713" w:rsidP="005707E5" w14:paraId="33A2FFC4" w14:textId="77777777">
      <w:pPr>
        <w:pStyle w:val="ParaNum"/>
      </w:pPr>
      <w:bookmarkStart w:id="1" w:name="_Ref113347066"/>
      <w:r w:rsidRPr="00DE79CB">
        <w:t xml:space="preserve">We </w:t>
      </w:r>
      <w:r w:rsidRPr="00DE79CB" w:rsidR="002757C0">
        <w:t>i</w:t>
      </w:r>
      <w:r w:rsidRPr="00DE79CB">
        <w:t xml:space="preserve">mpose a </w:t>
      </w:r>
      <w:r w:rsidRPr="00DE79CB" w:rsidR="00114FD8">
        <w:t xml:space="preserve">penalty </w:t>
      </w:r>
      <w:r w:rsidR="00114FD8">
        <w:t>of</w:t>
      </w:r>
      <w:r w:rsidR="00A72866">
        <w:t xml:space="preserve"> </w:t>
      </w:r>
      <w:r w:rsidRPr="00DE79CB">
        <w:t xml:space="preserve">$100,000 against </w:t>
      </w:r>
      <w:r w:rsidR="008E64D2">
        <w:rPr>
          <w:spacing w:val="-2"/>
        </w:rPr>
        <w:t>UnityComm</w:t>
      </w:r>
      <w:r w:rsidRPr="00DE79CB">
        <w:t>, Inc. (</w:t>
      </w:r>
      <w:r w:rsidR="008E64D2">
        <w:rPr>
          <w:spacing w:val="-2"/>
        </w:rPr>
        <w:t>UnityComm</w:t>
      </w:r>
      <w:r w:rsidRPr="00DE79CB">
        <w:t xml:space="preserve"> or Company)</w:t>
      </w:r>
      <w:r w:rsidRPr="00DE79CB" w:rsidR="002757C0">
        <w:t xml:space="preserve"> </w:t>
      </w:r>
      <w:r w:rsidRPr="000E3F12" w:rsidR="008E64D2">
        <w:rPr>
          <w:szCs w:val="22"/>
        </w:rPr>
        <w:t xml:space="preserve">for </w:t>
      </w:r>
      <w:r w:rsidR="008E64D2">
        <w:rPr>
          <w:szCs w:val="22"/>
        </w:rPr>
        <w:t>failing</w:t>
      </w:r>
      <w:r w:rsidR="008E64D2">
        <w:t xml:space="preserve"> to timely file </w:t>
      </w:r>
      <w:r w:rsidRPr="00F347DA" w:rsidR="008E64D2">
        <w:rPr>
          <w:szCs w:val="22"/>
        </w:rPr>
        <w:t>Telecommunications Reporting Worksheets (Worksheet</w:t>
      </w:r>
      <w:r w:rsidR="008E64D2">
        <w:rPr>
          <w:szCs w:val="22"/>
        </w:rPr>
        <w:t>s</w:t>
      </w:r>
      <w:r w:rsidRPr="00F347DA" w:rsidR="008E64D2">
        <w:rPr>
          <w:szCs w:val="22"/>
        </w:rPr>
        <w:t xml:space="preserve">) with </w:t>
      </w:r>
      <w:r w:rsidRPr="00F347DA" w:rsidR="008E64D2">
        <w:rPr>
          <w:snapToGrid/>
        </w:rPr>
        <w:t xml:space="preserve">the </w:t>
      </w:r>
      <w:r w:rsidRPr="005E00E0" w:rsidR="008E64D2">
        <w:rPr>
          <w:noProof/>
        </w:rPr>
        <w:t>Universal Service Administrative Company (USAC)</w:t>
      </w:r>
      <w:r w:rsidR="008E64D2">
        <w:rPr>
          <w:szCs w:val="22"/>
        </w:rPr>
        <w:t xml:space="preserve">.  </w:t>
      </w:r>
      <w:r w:rsidR="002E3735">
        <w:t xml:space="preserve">In the </w:t>
      </w:r>
      <w:r w:rsidRPr="008E64D2" w:rsidR="008E64D2">
        <w:rPr>
          <w:i/>
          <w:spacing w:val="-2"/>
        </w:rPr>
        <w:t>UnityComm</w:t>
      </w:r>
      <w:r w:rsidR="008E64D2">
        <w:rPr>
          <w:i/>
        </w:rPr>
        <w:t xml:space="preserve"> </w:t>
      </w:r>
      <w:r w:rsidR="002E3735">
        <w:rPr>
          <w:i/>
        </w:rPr>
        <w:t>NAL</w:t>
      </w:r>
      <w:r w:rsidR="002E3735">
        <w:t>, we found that</w:t>
      </w:r>
      <w:r w:rsidRPr="00DE79CB">
        <w:t xml:space="preserve"> </w:t>
      </w:r>
      <w:r w:rsidR="008E64D2">
        <w:rPr>
          <w:spacing w:val="-2"/>
        </w:rPr>
        <w:t>UnityComm</w:t>
      </w:r>
      <w:r w:rsidRPr="00DE79CB" w:rsidR="002757C0">
        <w:t xml:space="preserve">’s failure to </w:t>
      </w:r>
      <w:r w:rsidR="008E64D2">
        <w:t>timely file Worksheets</w:t>
      </w:r>
      <w:r w:rsidRPr="00DE79CB" w:rsidR="002757C0">
        <w:t xml:space="preserve"> allowed the Company to avoid making </w:t>
      </w:r>
      <w:r w:rsidR="008E64D2">
        <w:t>full</w:t>
      </w:r>
      <w:r w:rsidRPr="00DE79CB" w:rsidR="002757C0">
        <w:t xml:space="preserve"> payments to important federal programs</w:t>
      </w:r>
      <w:r w:rsidRPr="00DE79CB" w:rsidR="009E639D">
        <w:t>, which gave it an unfair economic advantage over competing companies that complied with the Rules</w:t>
      </w:r>
      <w:r w:rsidRPr="00DE79CB" w:rsidR="002757C0">
        <w:t>.</w:t>
      </w:r>
      <w:r w:rsidRPr="00DE79CB" w:rsidR="00390C47">
        <w:t xml:space="preserve"> </w:t>
      </w:r>
      <w:r w:rsidRPr="00DE79CB" w:rsidR="00DE79CB">
        <w:t xml:space="preserve"> </w:t>
      </w:r>
      <w:r w:rsidRPr="00C00713" w:rsidR="00C00713">
        <w:t xml:space="preserve">The Company has not responded to the </w:t>
      </w:r>
      <w:r w:rsidRPr="00C00713" w:rsidR="00C00713">
        <w:rPr>
          <w:i/>
        </w:rPr>
        <w:t>NAL</w:t>
      </w:r>
      <w:r w:rsidRPr="00C00713" w:rsidR="00C00713">
        <w:t xml:space="preserve">.  We </w:t>
      </w:r>
      <w:r w:rsidRPr="00C00713" w:rsidR="00435CB8">
        <w:t xml:space="preserve">assess the $100,000 forfeiture the </w:t>
      </w:r>
      <w:r w:rsidRPr="00C00713" w:rsidR="002408E5">
        <w:t xml:space="preserve">Bureau previously </w:t>
      </w:r>
      <w:r w:rsidRPr="00C00713" w:rsidR="00245C63">
        <w:t>proposed</w:t>
      </w:r>
      <w:r w:rsidRPr="00C00713" w:rsidR="002408E5">
        <w:t>.</w:t>
      </w:r>
      <w:r w:rsidRPr="00C00713">
        <w:t xml:space="preserve"> </w:t>
      </w:r>
      <w:bookmarkEnd w:id="1"/>
    </w:p>
    <w:p w:rsidR="005A7904" w:rsidRPr="00D81C6A" w:rsidP="005707E5" w14:paraId="0F3ACD49" w14:textId="77777777">
      <w:pPr>
        <w:pStyle w:val="Heading1"/>
      </w:pPr>
      <w:r w:rsidRPr="00D81C6A">
        <w:t>BACKGROUND</w:t>
      </w:r>
    </w:p>
    <w:p w:rsidR="00D72E63" w:rsidP="005707E5" w14:paraId="5DE21D25" w14:textId="77777777">
      <w:pPr>
        <w:pStyle w:val="ParaNum"/>
      </w:pPr>
      <w:r>
        <w:t>T</w:t>
      </w:r>
      <w:r w:rsidRPr="00D81C6A" w:rsidR="005A7904">
        <w:t xml:space="preserve">he </w:t>
      </w:r>
      <w:r w:rsidR="002C2F1A">
        <w:t xml:space="preserve">underlying </w:t>
      </w:r>
      <w:r w:rsidRPr="00D81C6A" w:rsidR="005A7904">
        <w:t xml:space="preserve">facts and circumstances </w:t>
      </w:r>
      <w:r w:rsidR="002C2F1A">
        <w:t xml:space="preserve">for </w:t>
      </w:r>
      <w:r>
        <w:t xml:space="preserve">this Forfeiture Order </w:t>
      </w:r>
      <w:r w:rsidRPr="00D81C6A" w:rsidR="005A7904">
        <w:t xml:space="preserve">are set forth in the </w:t>
      </w:r>
      <w:r w:rsidR="00C00713">
        <w:rPr>
          <w:i/>
        </w:rPr>
        <w:t>UnityComm</w:t>
      </w:r>
      <w:r w:rsidR="00D00FC0">
        <w:rPr>
          <w:i/>
        </w:rPr>
        <w:t xml:space="preserve"> </w:t>
      </w:r>
      <w:r w:rsidRPr="00D81C6A" w:rsidR="005A7904">
        <w:rPr>
          <w:i/>
        </w:rPr>
        <w:t>NAL</w:t>
      </w:r>
      <w:r w:rsidRPr="00D81C6A" w:rsidR="005A7904">
        <w:t>, and need not be reiterated here at length.</w:t>
      </w:r>
      <w:r>
        <w:rPr>
          <w:rStyle w:val="FootnoteReference"/>
          <w:sz w:val="22"/>
          <w:szCs w:val="22"/>
        </w:rPr>
        <w:footnoteReference w:id="3"/>
      </w:r>
      <w:r w:rsidRPr="00D81C6A" w:rsidR="005A7904">
        <w:t xml:space="preserve">  </w:t>
      </w:r>
      <w:r w:rsidRPr="00C00713" w:rsidR="00C00713">
        <w:t xml:space="preserve">UnityComm </w:t>
      </w:r>
      <w:r w:rsidRPr="00C00713" w:rsidR="00C00713">
        <w:rPr>
          <w:snapToGrid/>
          <w:szCs w:val="22"/>
        </w:rPr>
        <w:t>is an Indiana limited liability corporation, which provides local reseller, toll reseller, interconnected voice over Internet protocol (VoIP), and interexchange carrier services in Indiana, Kentucky, Missouri, North Carolina, Ohio, Tennessee, and Texas.</w:t>
      </w:r>
      <w:r>
        <w:rPr>
          <w:snapToGrid/>
          <w:sz w:val="20"/>
          <w:szCs w:val="22"/>
          <w:vertAlign w:val="superscript"/>
        </w:rPr>
        <w:footnoteReference w:id="4"/>
      </w:r>
    </w:p>
    <w:p w:rsidR="008A06CB" w:rsidP="005707E5" w14:paraId="4684F40D" w14:textId="3BCC36DA">
      <w:pPr>
        <w:pStyle w:val="ParaNum"/>
      </w:pPr>
      <w:r w:rsidRPr="008F1F0A">
        <w:t xml:space="preserve">On </w:t>
      </w:r>
      <w:r w:rsidR="00EC7C2F">
        <w:t>September 14, 2016</w:t>
      </w:r>
      <w:r w:rsidRPr="008F1F0A">
        <w:t xml:space="preserve">, we released the </w:t>
      </w:r>
      <w:r w:rsidR="00EC7C2F">
        <w:rPr>
          <w:i/>
        </w:rPr>
        <w:t>UnityComm</w:t>
      </w:r>
      <w:r w:rsidRPr="008F1F0A">
        <w:rPr>
          <w:i/>
        </w:rPr>
        <w:t xml:space="preserve"> NAL</w:t>
      </w:r>
      <w:r w:rsidR="003662D2">
        <w:rPr>
          <w:i/>
        </w:rPr>
        <w:t xml:space="preserve">, </w:t>
      </w:r>
      <w:r w:rsidRPr="00672E17" w:rsidR="003662D2">
        <w:t>which</w:t>
      </w:r>
      <w:r w:rsidRPr="00694655" w:rsidR="003662D2">
        <w:rPr>
          <w:i/>
        </w:rPr>
        <w:t xml:space="preserve"> </w:t>
      </w:r>
      <w:r w:rsidRPr="008F1F0A">
        <w:t>proposed a forfeiture of $100,0</w:t>
      </w:r>
      <w:r w:rsidR="004E6486">
        <w:t>0</w:t>
      </w:r>
      <w:r w:rsidRPr="008F1F0A">
        <w:t xml:space="preserve">0 against </w:t>
      </w:r>
      <w:r w:rsidR="00EC7C2F">
        <w:t>UnityComm</w:t>
      </w:r>
      <w:r w:rsidR="004E6486">
        <w:t xml:space="preserve"> for its violation</w:t>
      </w:r>
      <w:r w:rsidR="00EC7C2F">
        <w:t>s</w:t>
      </w:r>
      <w:r w:rsidRPr="008F1F0A">
        <w:t xml:space="preserve"> </w:t>
      </w:r>
      <w:r w:rsidR="00EC7C2F">
        <w:t>of Section</w:t>
      </w:r>
      <w:r w:rsidRPr="0006535D" w:rsidR="00EC7C2F">
        <w:t xml:space="preserve"> </w:t>
      </w:r>
      <w:r w:rsidRPr="0018326B" w:rsidR="00EC7C2F">
        <w:t>54.711(a)</w:t>
      </w:r>
      <w:r w:rsidR="00EC7C2F">
        <w:t xml:space="preserve"> </w:t>
      </w:r>
      <w:r w:rsidRPr="00F47258" w:rsidR="00EC7C2F">
        <w:t>of the Rules</w:t>
      </w:r>
      <w:r w:rsidR="00EC7C2F">
        <w:t xml:space="preserve"> by </w:t>
      </w:r>
      <w:r w:rsidRPr="00F47258" w:rsidR="00EC7C2F">
        <w:t>willfully and</w:t>
      </w:r>
      <w:r w:rsidR="00EC7C2F">
        <w:t xml:space="preserve"> repeatedly failing</w:t>
      </w:r>
      <w:r w:rsidRPr="00F47258" w:rsidR="00EC7C2F">
        <w:t xml:space="preserve"> to timely file Worksheet</w:t>
      </w:r>
      <w:r w:rsidR="00EC7C2F">
        <w:t>s with USAC</w:t>
      </w:r>
      <w:r w:rsidR="004E6486">
        <w:t>.</w:t>
      </w:r>
      <w:r>
        <w:rPr>
          <w:vertAlign w:val="superscript"/>
        </w:rPr>
        <w:footnoteReference w:id="5"/>
      </w:r>
      <w:r w:rsidRPr="008F1F0A" w:rsidR="00DF354A">
        <w:t xml:space="preserve"> </w:t>
      </w:r>
      <w:r w:rsidR="00D667B0">
        <w:t xml:space="preserve"> </w:t>
      </w:r>
      <w:r w:rsidRPr="008A4B6A">
        <w:rPr>
          <w:szCs w:val="22"/>
        </w:rPr>
        <w:t xml:space="preserve">UnityComm’s failures to timely file Worksheets precluded federal program administrators from fully invoicing UnityComm for its required payment obligations and has enabled the Company to temporarily avoid making full payments required of interstate and international telecommunications services providers for the Universal Service Fund (USF), Telecommunications Relay Service (TRS) Fund, Local Number Portability (LNP) and North American </w:t>
      </w:r>
      <w:r w:rsidRPr="008A4B6A">
        <w:rPr>
          <w:szCs w:val="22"/>
        </w:rPr>
        <w:t xml:space="preserve">Numbering Plan (NANP) administration, and federal regulatory fees.  The filing failures gave the </w:t>
      </w:r>
      <w:r w:rsidRPr="008A4B6A">
        <w:rPr>
          <w:color w:val="000000"/>
          <w:szCs w:val="22"/>
        </w:rPr>
        <w:t xml:space="preserve">Company an unfair economic advantage over its competitors who, because of </w:t>
      </w:r>
      <w:r>
        <w:t>UnityComm</w:t>
      </w:r>
      <w:r w:rsidRPr="008A4B6A">
        <w:rPr>
          <w:color w:val="000000"/>
          <w:szCs w:val="22"/>
        </w:rPr>
        <w:t>’s filing violations, had to pay more than their fair share of the costs of these important</w:t>
      </w:r>
      <w:r w:rsidRPr="008A4B6A">
        <w:rPr>
          <w:color w:val="000000"/>
        </w:rPr>
        <w:t xml:space="preserve"> </w:t>
      </w:r>
      <w:r w:rsidRPr="00895843">
        <w:t xml:space="preserve">federal </w:t>
      </w:r>
      <w:r w:rsidRPr="008A4B6A">
        <w:rPr>
          <w:szCs w:val="22"/>
        </w:rPr>
        <w:t>programs.</w:t>
      </w:r>
      <w:r>
        <w:rPr>
          <w:rStyle w:val="FootnoteReference"/>
          <w:szCs w:val="22"/>
        </w:rPr>
        <w:footnoteReference w:id="6"/>
      </w:r>
    </w:p>
    <w:p w:rsidR="0081428E" w:rsidRPr="005371DB" w:rsidP="005707E5" w14:paraId="759367DE" w14:textId="77777777">
      <w:pPr>
        <w:pStyle w:val="ParaNum"/>
        <w:widowControl/>
      </w:pPr>
      <w:r>
        <w:t>On September 14, 2016, t</w:t>
      </w:r>
      <w:r w:rsidR="006217D6">
        <w:t>he</w:t>
      </w:r>
      <w:r>
        <w:t xml:space="preserve"> Bureau sent the</w:t>
      </w:r>
      <w:r w:rsidR="006217D6">
        <w:t xml:space="preserve"> </w:t>
      </w:r>
      <w:r w:rsidRPr="006217D6" w:rsidR="006217D6">
        <w:rPr>
          <w:i/>
        </w:rPr>
        <w:t>UnityComm NAL</w:t>
      </w:r>
      <w:r w:rsidR="006217D6">
        <w:t xml:space="preserve"> </w:t>
      </w:r>
      <w:r w:rsidRPr="00981F23" w:rsidR="00C14926">
        <w:t xml:space="preserve">by first class mail and certified mail, return receipt requested, to </w:t>
      </w:r>
      <w:r w:rsidR="00F00C74">
        <w:t>c</w:t>
      </w:r>
      <w:r w:rsidRPr="0062131B" w:rsidR="00C14926">
        <w:rPr>
          <w:szCs w:val="22"/>
        </w:rPr>
        <w:t>ounsel to UnityComm</w:t>
      </w:r>
      <w:r>
        <w:t>.</w:t>
      </w:r>
      <w:r>
        <w:rPr>
          <w:rStyle w:val="FootnoteReference"/>
        </w:rPr>
        <w:footnoteReference w:id="7"/>
      </w:r>
      <w:r>
        <w:t xml:space="preserve">  On September </w:t>
      </w:r>
      <w:r w:rsidR="000D112E">
        <w:t>26</w:t>
      </w:r>
      <w:r>
        <w:t xml:space="preserve">, 2016, </w:t>
      </w:r>
      <w:r w:rsidR="00F00C74">
        <w:t>c</w:t>
      </w:r>
      <w:r w:rsidRPr="0062131B" w:rsidR="00F00C74">
        <w:rPr>
          <w:szCs w:val="22"/>
        </w:rPr>
        <w:t>ounsel to UnityComm</w:t>
      </w:r>
      <w:r>
        <w:t xml:space="preserve"> withdr</w:t>
      </w:r>
      <w:r w:rsidR="000D112E">
        <w:t>ew</w:t>
      </w:r>
      <w:r>
        <w:t xml:space="preserve"> as </w:t>
      </w:r>
      <w:r w:rsidRPr="0062131B" w:rsidR="00DF6DD6">
        <w:rPr>
          <w:szCs w:val="22"/>
        </w:rPr>
        <w:t>UnityComm</w:t>
      </w:r>
      <w:r>
        <w:t>’s counsel.</w:t>
      </w:r>
      <w:r>
        <w:rPr>
          <w:rStyle w:val="FootnoteReference"/>
        </w:rPr>
        <w:footnoteReference w:id="8"/>
      </w:r>
      <w:r>
        <w:t xml:space="preserve">  On September 27, 2016, the Bureau sent the </w:t>
      </w:r>
      <w:r w:rsidRPr="006217D6">
        <w:rPr>
          <w:i/>
        </w:rPr>
        <w:t>UnityComm NAL</w:t>
      </w:r>
      <w:r w:rsidR="00C14926">
        <w:t xml:space="preserve"> </w:t>
      </w:r>
      <w:r>
        <w:t xml:space="preserve">to </w:t>
      </w:r>
      <w:r w:rsidR="006217D6">
        <w:t xml:space="preserve">the Company by </w:t>
      </w:r>
      <w:r w:rsidRPr="00981F23" w:rsidR="006217D6">
        <w:t>certified mail, return receipt requested</w:t>
      </w:r>
      <w:r w:rsidRPr="005371DB" w:rsidR="00655915">
        <w:t>.</w:t>
      </w:r>
      <w:r w:rsidR="006217D6">
        <w:t xml:space="preserve">  UnityComm signed the certified mail receipt on October 3, 2016.</w:t>
      </w:r>
      <w:r>
        <w:rPr>
          <w:rStyle w:val="FootnoteReference"/>
        </w:rPr>
        <w:footnoteReference w:id="9"/>
      </w:r>
      <w:r w:rsidR="006217D6">
        <w:t xml:space="preserve">  The Company has not responded to the </w:t>
      </w:r>
      <w:r w:rsidRPr="006217D6" w:rsidR="006217D6">
        <w:rPr>
          <w:i/>
        </w:rPr>
        <w:t>NAL</w:t>
      </w:r>
      <w:r w:rsidR="006217D6">
        <w:t>.</w:t>
      </w:r>
      <w:r w:rsidRPr="005371DB" w:rsidR="00655915">
        <w:t xml:space="preserve">  </w:t>
      </w:r>
    </w:p>
    <w:p w:rsidR="005A7904" w:rsidRPr="00D81C6A" w:rsidP="005707E5" w14:paraId="3304A4FD" w14:textId="77777777">
      <w:pPr>
        <w:pStyle w:val="Heading1"/>
      </w:pPr>
      <w:r w:rsidRPr="00D81C6A">
        <w:t>DISCUSSION</w:t>
      </w:r>
    </w:p>
    <w:p w:rsidR="005F42CB" w:rsidRPr="00A00366" w:rsidP="005707E5" w14:paraId="543A42C5" w14:textId="77777777">
      <w:pPr>
        <w:pStyle w:val="ParaNum"/>
        <w:rPr>
          <w:szCs w:val="22"/>
        </w:rPr>
      </w:pPr>
      <w:r>
        <w:t>The Bureau proposed a forfeiture in this case in accordance with Section 503(b) of the Communications Act of 1934, as amended (Act),</w:t>
      </w:r>
      <w:r>
        <w:rPr>
          <w:rStyle w:val="FootnoteReference"/>
          <w:szCs w:val="22"/>
        </w:rPr>
        <w:footnoteReference w:id="10"/>
      </w:r>
      <w:r>
        <w:t xml:space="preserve"> Section 1.80 of the Rules,</w:t>
      </w:r>
      <w:r>
        <w:rPr>
          <w:rStyle w:val="FootnoteReference"/>
          <w:szCs w:val="22"/>
        </w:rPr>
        <w:footnoteReference w:id="11"/>
      </w:r>
      <w:r>
        <w:t xml:space="preserve"> and the Commission’s </w:t>
      </w:r>
      <w:r w:rsidRPr="005371DB">
        <w:rPr>
          <w:i/>
        </w:rPr>
        <w:t>Forfeiture Policy Statement</w:t>
      </w:r>
      <w:r>
        <w:t>.</w:t>
      </w:r>
      <w:r>
        <w:rPr>
          <w:rStyle w:val="FootnoteReference"/>
          <w:szCs w:val="22"/>
        </w:rPr>
        <w:footnoteReference w:id="12"/>
      </w:r>
      <w:r w:rsidR="00674E95">
        <w:t xml:space="preserve">  </w:t>
      </w:r>
      <w:r w:rsidR="00F00C74">
        <w:t>Under</w:t>
      </w:r>
      <w:r w:rsidR="00674E95">
        <w:t xml:space="preserve"> Section 503(b)(2)(E)</w:t>
      </w:r>
      <w:r w:rsidR="00F00C74">
        <w:t xml:space="preserve"> of the Act, the Bureau considered</w:t>
      </w:r>
      <w:r w:rsidR="00674E95">
        <w:t xml:space="preserve"> the “nature, circumstances, extent, and gravity of the violation and, with respect to the violator, the degree of </w:t>
      </w:r>
      <w:r w:rsidR="00E12F3A">
        <w:t xml:space="preserve">culpability, </w:t>
      </w:r>
      <w:r w:rsidR="005E69AB">
        <w:t>any history of prior offenses, ability to pay, and such other matters as justice may require.”</w:t>
      </w:r>
      <w:r>
        <w:rPr>
          <w:rStyle w:val="FootnoteReference"/>
          <w:szCs w:val="22"/>
        </w:rPr>
        <w:footnoteReference w:id="13"/>
      </w:r>
      <w:r w:rsidR="005E69AB">
        <w:t xml:space="preserve">  </w:t>
      </w:r>
      <w:r w:rsidR="00F00C74">
        <w:t xml:space="preserve">UnityComm has not responded to the </w:t>
      </w:r>
      <w:r w:rsidRPr="00F00C74" w:rsidR="00F00C74">
        <w:rPr>
          <w:i/>
        </w:rPr>
        <w:t>NAL</w:t>
      </w:r>
      <w:r w:rsidRPr="005371DB" w:rsidR="005371DB">
        <w:t>.  We therefore affirm the $</w:t>
      </w:r>
      <w:r w:rsidR="005371DB">
        <w:t>100,000</w:t>
      </w:r>
      <w:r w:rsidRPr="005371DB" w:rsidR="005371DB">
        <w:t xml:space="preserve"> forfeiture proposed in the </w:t>
      </w:r>
      <w:r w:rsidRPr="005371DB" w:rsidR="005371DB">
        <w:rPr>
          <w:i/>
        </w:rPr>
        <w:t>NAL</w:t>
      </w:r>
      <w:r w:rsidRPr="00245C63" w:rsidR="005371DB">
        <w:t>.</w:t>
      </w:r>
      <w:r w:rsidRPr="00A00366">
        <w:rPr>
          <w:szCs w:val="22"/>
        </w:rPr>
        <w:t xml:space="preserve"> </w:t>
      </w:r>
    </w:p>
    <w:p w:rsidR="00AE1B1D" w:rsidRPr="00AE1B1D" w:rsidP="00594D02" w14:paraId="5A2056A2" w14:textId="0917F8F1">
      <w:pPr>
        <w:pStyle w:val="ParaNum"/>
        <w:widowControl/>
        <w:rPr>
          <w:szCs w:val="22"/>
        </w:rPr>
      </w:pPr>
      <w:r>
        <w:rPr>
          <w:noProof/>
          <w:szCs w:val="22"/>
        </w:rPr>
        <w:t>We find that UnityComm</w:t>
      </w:r>
      <w:r w:rsidRPr="00563BB8">
        <w:rPr>
          <w:noProof/>
          <w:szCs w:val="22"/>
        </w:rPr>
        <w:t xml:space="preserve"> </w:t>
      </w:r>
      <w:r w:rsidR="001E3E3C">
        <w:rPr>
          <w:szCs w:val="22"/>
        </w:rPr>
        <w:t xml:space="preserve">failed to file </w:t>
      </w:r>
      <w:r>
        <w:rPr>
          <w:noProof/>
          <w:szCs w:val="22"/>
        </w:rPr>
        <w:t>two Worksheets, which were due May 1 and August 1, 2016</w:t>
      </w:r>
      <w:r>
        <w:rPr>
          <w:szCs w:val="22"/>
        </w:rPr>
        <w:t>.</w:t>
      </w:r>
      <w:r w:rsidRPr="009B7BBF">
        <w:t xml:space="preserve">  </w:t>
      </w:r>
      <w:r>
        <w:rPr>
          <w:szCs w:val="22"/>
        </w:rPr>
        <w:t>W</w:t>
      </w:r>
      <w:r w:rsidRPr="00554E1D">
        <w:rPr>
          <w:szCs w:val="22"/>
        </w:rPr>
        <w:t xml:space="preserve">e </w:t>
      </w:r>
      <w:r>
        <w:rPr>
          <w:szCs w:val="22"/>
        </w:rPr>
        <w:t>thus</w:t>
      </w:r>
      <w:r w:rsidRPr="00554E1D">
        <w:rPr>
          <w:szCs w:val="22"/>
        </w:rPr>
        <w:t xml:space="preserve"> </w:t>
      </w:r>
      <w:r>
        <w:rPr>
          <w:szCs w:val="22"/>
        </w:rPr>
        <w:t xml:space="preserve">conclude </w:t>
      </w:r>
      <w:r w:rsidRPr="00554E1D">
        <w:rPr>
          <w:szCs w:val="22"/>
        </w:rPr>
        <w:t xml:space="preserve">that UnityComm willfully </w:t>
      </w:r>
      <w:r>
        <w:rPr>
          <w:szCs w:val="22"/>
        </w:rPr>
        <w:t xml:space="preserve">and repeatedly </w:t>
      </w:r>
      <w:r w:rsidRPr="00554E1D">
        <w:rPr>
          <w:szCs w:val="22"/>
        </w:rPr>
        <w:t xml:space="preserve">violated Section </w:t>
      </w:r>
      <w:r w:rsidRPr="0018326B">
        <w:t>54.711(a)</w:t>
      </w:r>
      <w:r>
        <w:t xml:space="preserve"> </w:t>
      </w:r>
      <w:r w:rsidRPr="00554E1D">
        <w:rPr>
          <w:szCs w:val="22"/>
        </w:rPr>
        <w:t>of the Rules by failing to timely file its Worksheet</w:t>
      </w:r>
      <w:r>
        <w:rPr>
          <w:szCs w:val="22"/>
        </w:rPr>
        <w:t>s</w:t>
      </w:r>
      <w:r w:rsidRPr="00554E1D">
        <w:rPr>
          <w:szCs w:val="22"/>
        </w:rPr>
        <w:t xml:space="preserve"> due by </w:t>
      </w:r>
      <w:r>
        <w:rPr>
          <w:noProof/>
          <w:szCs w:val="22"/>
        </w:rPr>
        <w:t>May 1 and August 1, 2016</w:t>
      </w:r>
      <w:r w:rsidRPr="00554E1D">
        <w:rPr>
          <w:szCs w:val="22"/>
        </w:rPr>
        <w:t>.</w:t>
      </w:r>
      <w:r>
        <w:rPr>
          <w:szCs w:val="22"/>
        </w:rPr>
        <w:t xml:space="preserve">  </w:t>
      </w:r>
      <w:r w:rsidRPr="00AE1B1D">
        <w:rPr>
          <w:szCs w:val="22"/>
        </w:rPr>
        <w:t>Consistent with Commission precedent, we impose a forfeiture of $50,000 for each failure to timely file a Worksheet.</w:t>
      </w:r>
      <w:r>
        <w:rPr>
          <w:szCs w:val="22"/>
          <w:vertAlign w:val="superscript"/>
        </w:rPr>
        <w:footnoteReference w:id="14"/>
      </w:r>
      <w:r w:rsidRPr="00AE1B1D">
        <w:rPr>
          <w:szCs w:val="22"/>
        </w:rPr>
        <w:t xml:space="preserve">  This forfeiture amount, as applied to UnityComm, is consistent with </w:t>
      </w:r>
      <w:r w:rsidRPr="00AE1B1D">
        <w:rPr>
          <w:snapToGrid/>
          <w:kern w:val="0"/>
          <w:szCs w:val="22"/>
        </w:rPr>
        <w:t>the statutory factors in the Act and the Commission’s forfeiture guidelines</w:t>
      </w:r>
      <w:r w:rsidRPr="00AE1B1D">
        <w:rPr>
          <w:szCs w:val="22"/>
        </w:rPr>
        <w:t xml:space="preserve">.  </w:t>
      </w:r>
      <w:r w:rsidR="0060481E">
        <w:rPr>
          <w:szCs w:val="22"/>
        </w:rPr>
        <w:t>The failure to timely file accurate Worksheets is an egregious violation</w:t>
      </w:r>
      <w:r w:rsidR="0015700E">
        <w:rPr>
          <w:szCs w:val="22"/>
        </w:rPr>
        <w:t xml:space="preserve"> </w:t>
      </w:r>
      <w:r w:rsidR="00C21E7C">
        <w:rPr>
          <w:szCs w:val="22"/>
        </w:rPr>
        <w:t xml:space="preserve">and warrants a substantial </w:t>
      </w:r>
      <w:r w:rsidR="00AB4C6C">
        <w:rPr>
          <w:szCs w:val="22"/>
        </w:rPr>
        <w:t xml:space="preserve">upward </w:t>
      </w:r>
      <w:r w:rsidR="00C21E7C">
        <w:rPr>
          <w:szCs w:val="22"/>
        </w:rPr>
        <w:t xml:space="preserve">adjustment from the $3,000 base forfeiture </w:t>
      </w:r>
      <w:r w:rsidR="0015700E">
        <w:rPr>
          <w:szCs w:val="22"/>
        </w:rPr>
        <w:t xml:space="preserve">under Section 1.80 </w:t>
      </w:r>
      <w:r w:rsidR="0015700E">
        <w:rPr>
          <w:szCs w:val="22"/>
        </w:rPr>
        <w:t xml:space="preserve">of the Rules </w:t>
      </w:r>
      <w:r w:rsidR="00AB4C6C">
        <w:rPr>
          <w:szCs w:val="22"/>
        </w:rPr>
        <w:t xml:space="preserve">for failure to file </w:t>
      </w:r>
      <w:r w:rsidR="00C45BAB">
        <w:rPr>
          <w:szCs w:val="22"/>
        </w:rPr>
        <w:t xml:space="preserve">required </w:t>
      </w:r>
      <w:r w:rsidR="00AB4C6C">
        <w:rPr>
          <w:szCs w:val="22"/>
        </w:rPr>
        <w:t>forms</w:t>
      </w:r>
      <w:r w:rsidR="00C21E7C">
        <w:rPr>
          <w:szCs w:val="22"/>
        </w:rPr>
        <w:t>.</w:t>
      </w:r>
      <w:r>
        <w:rPr>
          <w:rStyle w:val="FootnoteReference"/>
          <w:szCs w:val="22"/>
        </w:rPr>
        <w:footnoteReference w:id="15"/>
      </w:r>
      <w:r w:rsidR="00C21E7C">
        <w:rPr>
          <w:szCs w:val="22"/>
        </w:rPr>
        <w:t xml:space="preserve">  A </w:t>
      </w:r>
      <w:r w:rsidR="0015700E">
        <w:rPr>
          <w:szCs w:val="22"/>
        </w:rPr>
        <w:t>violator’</w:t>
      </w:r>
      <w:r w:rsidR="00C21E7C">
        <w:rPr>
          <w:szCs w:val="22"/>
        </w:rPr>
        <w:t xml:space="preserve">s failure to timely submit the </w:t>
      </w:r>
      <w:r w:rsidR="00AB4C6C">
        <w:rPr>
          <w:szCs w:val="22"/>
        </w:rPr>
        <w:t xml:space="preserve">necessary </w:t>
      </w:r>
      <w:r w:rsidR="00C21E7C">
        <w:rPr>
          <w:szCs w:val="22"/>
        </w:rPr>
        <w:t xml:space="preserve">data hinders the administrator of the USF from determining the </w:t>
      </w:r>
      <w:r w:rsidR="0015700E">
        <w:rPr>
          <w:szCs w:val="22"/>
        </w:rPr>
        <w:t>violator</w:t>
      </w:r>
      <w:r w:rsidR="00C21E7C">
        <w:rPr>
          <w:szCs w:val="22"/>
        </w:rPr>
        <w:t xml:space="preserve">’s required contributions to the USF.  This results in substantial economic gain to the </w:t>
      </w:r>
      <w:r w:rsidR="0015700E">
        <w:rPr>
          <w:szCs w:val="22"/>
        </w:rPr>
        <w:t>violator</w:t>
      </w:r>
      <w:r w:rsidR="00C21E7C">
        <w:rPr>
          <w:szCs w:val="22"/>
        </w:rPr>
        <w:t xml:space="preserve">, which is not paying its share for the administration of important USF programs, and substantially harms the </w:t>
      </w:r>
      <w:r w:rsidR="0015700E">
        <w:rPr>
          <w:szCs w:val="22"/>
        </w:rPr>
        <w:t>violator</w:t>
      </w:r>
      <w:r w:rsidR="00C21E7C">
        <w:rPr>
          <w:szCs w:val="22"/>
        </w:rPr>
        <w:t xml:space="preserve">’s competitors, which as a result of the </w:t>
      </w:r>
      <w:r w:rsidR="0015700E">
        <w:rPr>
          <w:szCs w:val="22"/>
        </w:rPr>
        <w:t>violator</w:t>
      </w:r>
      <w:r w:rsidR="00C21E7C">
        <w:rPr>
          <w:szCs w:val="22"/>
        </w:rPr>
        <w:t>’s filing failures,</w:t>
      </w:r>
      <w:r w:rsidR="00121D20">
        <w:rPr>
          <w:szCs w:val="22"/>
        </w:rPr>
        <w:t xml:space="preserve"> must pay a greater share to fund USF programs.</w:t>
      </w:r>
      <w:r>
        <w:rPr>
          <w:rStyle w:val="FootnoteReference"/>
          <w:szCs w:val="22"/>
        </w:rPr>
        <w:footnoteReference w:id="16"/>
      </w:r>
      <w:r w:rsidR="00121D20">
        <w:rPr>
          <w:szCs w:val="22"/>
        </w:rPr>
        <w:t xml:space="preserve">  Non-compliance with the filing requirement is thus a matter of grave concern to the </w:t>
      </w:r>
      <w:r w:rsidR="00E237BB">
        <w:rPr>
          <w:szCs w:val="22"/>
        </w:rPr>
        <w:t xml:space="preserve">“equitable and nondiscriminatory” </w:t>
      </w:r>
      <w:r w:rsidR="00121D20">
        <w:rPr>
          <w:szCs w:val="22"/>
        </w:rPr>
        <w:t xml:space="preserve">implementation of </w:t>
      </w:r>
      <w:r w:rsidR="00E237BB">
        <w:rPr>
          <w:szCs w:val="22"/>
        </w:rPr>
        <w:t>Congressionally-mandated</w:t>
      </w:r>
      <w:r w:rsidR="00121D20">
        <w:rPr>
          <w:szCs w:val="22"/>
        </w:rPr>
        <w:t xml:space="preserve"> programs that are vital to all Americans.</w:t>
      </w:r>
      <w:r>
        <w:rPr>
          <w:rStyle w:val="FootnoteReference"/>
          <w:szCs w:val="22"/>
        </w:rPr>
        <w:footnoteReference w:id="17"/>
      </w:r>
      <w:r w:rsidR="00C21E7C">
        <w:rPr>
          <w:szCs w:val="22"/>
        </w:rPr>
        <w:t xml:space="preserve">  </w:t>
      </w:r>
      <w:r w:rsidR="00121D20">
        <w:rPr>
          <w:szCs w:val="22"/>
        </w:rPr>
        <w:t xml:space="preserve">UnityComm’s </w:t>
      </w:r>
      <w:r w:rsidR="009315E0">
        <w:rPr>
          <w:szCs w:val="22"/>
        </w:rPr>
        <w:t xml:space="preserve">degree of </w:t>
      </w:r>
      <w:r w:rsidR="00121D20">
        <w:rPr>
          <w:szCs w:val="22"/>
        </w:rPr>
        <w:t xml:space="preserve">culpability is demonstrated through its history of substantial </w:t>
      </w:r>
      <w:r w:rsidR="009315E0">
        <w:rPr>
          <w:szCs w:val="22"/>
        </w:rPr>
        <w:t xml:space="preserve">and repeated </w:t>
      </w:r>
      <w:r w:rsidR="00121D20">
        <w:rPr>
          <w:szCs w:val="22"/>
        </w:rPr>
        <w:t xml:space="preserve">non-compliance.  In its response to the Commission’s Letter of Inquiry, the Company </w:t>
      </w:r>
      <w:r w:rsidR="00746C81">
        <w:rPr>
          <w:szCs w:val="22"/>
        </w:rPr>
        <w:t xml:space="preserve">admitted it </w:t>
      </w:r>
      <w:r w:rsidR="00081C92">
        <w:rPr>
          <w:szCs w:val="22"/>
        </w:rPr>
        <w:t>did not timely file</w:t>
      </w:r>
      <w:r w:rsidR="00121D20">
        <w:rPr>
          <w:szCs w:val="22"/>
        </w:rPr>
        <w:t xml:space="preserve"> its 2013 </w:t>
      </w:r>
      <w:r w:rsidR="00081C92">
        <w:rPr>
          <w:szCs w:val="22"/>
        </w:rPr>
        <w:t>or</w:t>
      </w:r>
      <w:r w:rsidR="00121D20">
        <w:rPr>
          <w:szCs w:val="22"/>
        </w:rPr>
        <w:t xml:space="preserve"> 2014 </w:t>
      </w:r>
      <w:r w:rsidR="0015700E">
        <w:rPr>
          <w:szCs w:val="22"/>
        </w:rPr>
        <w:t>A</w:t>
      </w:r>
      <w:r w:rsidR="00081C92">
        <w:rPr>
          <w:szCs w:val="22"/>
        </w:rPr>
        <w:t>nnual Worksheets</w:t>
      </w:r>
      <w:r w:rsidR="0015700E">
        <w:rPr>
          <w:szCs w:val="22"/>
        </w:rPr>
        <w:t>, and it did not file four Q</w:t>
      </w:r>
      <w:r w:rsidR="00081C92">
        <w:rPr>
          <w:szCs w:val="22"/>
        </w:rPr>
        <w:t xml:space="preserve">uarterly Worksheets </w:t>
      </w:r>
      <w:r w:rsidR="0015700E">
        <w:rPr>
          <w:szCs w:val="22"/>
        </w:rPr>
        <w:t>in 2014 or its Q</w:t>
      </w:r>
      <w:r w:rsidR="00081C92">
        <w:rPr>
          <w:szCs w:val="22"/>
        </w:rPr>
        <w:t xml:space="preserve">uarterly Worksheets </w:t>
      </w:r>
      <w:r w:rsidR="0015700E">
        <w:rPr>
          <w:szCs w:val="22"/>
        </w:rPr>
        <w:t xml:space="preserve">due </w:t>
      </w:r>
      <w:r w:rsidR="00081C92">
        <w:rPr>
          <w:szCs w:val="22"/>
        </w:rPr>
        <w:t xml:space="preserve">in </w:t>
      </w:r>
      <w:r w:rsidR="0015700E">
        <w:rPr>
          <w:szCs w:val="22"/>
        </w:rPr>
        <w:t xml:space="preserve">February or May </w:t>
      </w:r>
      <w:r w:rsidR="00081C92">
        <w:rPr>
          <w:szCs w:val="22"/>
        </w:rPr>
        <w:t>2015.</w:t>
      </w:r>
      <w:r>
        <w:rPr>
          <w:rStyle w:val="FootnoteReference"/>
          <w:szCs w:val="22"/>
        </w:rPr>
        <w:footnoteReference w:id="18"/>
      </w:r>
      <w:r w:rsidR="0015700E">
        <w:rPr>
          <w:szCs w:val="22"/>
        </w:rPr>
        <w:t xml:space="preserve"> </w:t>
      </w:r>
      <w:r w:rsidR="00081C92">
        <w:rPr>
          <w:szCs w:val="22"/>
        </w:rPr>
        <w:t xml:space="preserve"> </w:t>
      </w:r>
      <w:r w:rsidR="00746C81">
        <w:rPr>
          <w:szCs w:val="22"/>
        </w:rPr>
        <w:t xml:space="preserve">UnityComm </w:t>
      </w:r>
      <w:r w:rsidR="0015700E">
        <w:rPr>
          <w:szCs w:val="22"/>
        </w:rPr>
        <w:t>has not rai</w:t>
      </w:r>
      <w:r w:rsidR="00746C81">
        <w:rPr>
          <w:szCs w:val="22"/>
        </w:rPr>
        <w:t xml:space="preserve">sed an ability to pay argument, and the Company’s tax returns demonstrate </w:t>
      </w:r>
      <w:r w:rsidR="0015700E">
        <w:rPr>
          <w:szCs w:val="22"/>
        </w:rPr>
        <w:t>that the</w:t>
      </w:r>
      <w:r w:rsidR="00746C81">
        <w:rPr>
          <w:szCs w:val="22"/>
        </w:rPr>
        <w:t xml:space="preserve"> forfeiture </w:t>
      </w:r>
      <w:r w:rsidR="0015700E">
        <w:rPr>
          <w:szCs w:val="22"/>
        </w:rPr>
        <w:t xml:space="preserve">imposed here </w:t>
      </w:r>
      <w:r w:rsidR="00746C81">
        <w:rPr>
          <w:szCs w:val="22"/>
        </w:rPr>
        <w:t>is consistent with the Commission’s ability to pay precedent.</w:t>
      </w:r>
      <w:r>
        <w:rPr>
          <w:rStyle w:val="FootnoteReference"/>
          <w:szCs w:val="22"/>
        </w:rPr>
        <w:footnoteReference w:id="19"/>
      </w:r>
      <w:r w:rsidR="00746C81">
        <w:rPr>
          <w:szCs w:val="22"/>
        </w:rPr>
        <w:t xml:space="preserve">  </w:t>
      </w:r>
      <w:r w:rsidR="001E3E3C">
        <w:rPr>
          <w:szCs w:val="22"/>
        </w:rPr>
        <w:t xml:space="preserve">Accordingly, </w:t>
      </w:r>
      <w:r w:rsidRPr="00AE1B1D">
        <w:rPr>
          <w:szCs w:val="22"/>
        </w:rPr>
        <w:t xml:space="preserve">the Company is liable for a forfeiture of one hundred thousand dollars ($100,000) for its willful and repeated failures to timely file two Worksheets due </w:t>
      </w:r>
      <w:r w:rsidRPr="00AE1B1D">
        <w:rPr>
          <w:noProof/>
          <w:szCs w:val="22"/>
        </w:rPr>
        <w:t>May 1, and August 1, 2016</w:t>
      </w:r>
      <w:r w:rsidR="00D024CC">
        <w:rPr>
          <w:noProof/>
          <w:szCs w:val="22"/>
        </w:rPr>
        <w:t>.</w:t>
      </w:r>
    </w:p>
    <w:p w:rsidR="00E4400D" w:rsidP="005707E5" w14:paraId="25A8613D" w14:textId="77777777">
      <w:pPr>
        <w:pStyle w:val="Heading1"/>
      </w:pPr>
      <w:r>
        <w:t>conclusion</w:t>
      </w:r>
    </w:p>
    <w:p w:rsidR="005A7904" w:rsidRPr="008C4872" w:rsidP="005707E5" w14:paraId="47A73993" w14:textId="4C70ACF9">
      <w:pPr>
        <w:pStyle w:val="ParaNum"/>
      </w:pPr>
      <w:r w:rsidRPr="000E3F12">
        <w:rPr>
          <w:color w:val="000000" w:themeColor="text1"/>
          <w:szCs w:val="22"/>
        </w:rPr>
        <w:t xml:space="preserve">We have determined that </w:t>
      </w:r>
      <w:r>
        <w:t xml:space="preserve">UnityComm </w:t>
      </w:r>
      <w:r w:rsidRPr="000E3F12">
        <w:rPr>
          <w:szCs w:val="22"/>
        </w:rPr>
        <w:t xml:space="preserve">willfully and repeatedly violated </w:t>
      </w:r>
      <w:r w:rsidRPr="0006535D">
        <w:t xml:space="preserve">Section </w:t>
      </w:r>
      <w:r>
        <w:t xml:space="preserve">54.711(a) </w:t>
      </w:r>
      <w:r w:rsidRPr="00F47258">
        <w:t>of the Rules</w:t>
      </w:r>
      <w:r w:rsidRPr="000E3F12">
        <w:rPr>
          <w:szCs w:val="22"/>
        </w:rPr>
        <w:t xml:space="preserve">.  As such, </w:t>
      </w:r>
      <w:r>
        <w:t xml:space="preserve">UnityComm </w:t>
      </w:r>
      <w:r w:rsidRPr="000E3F12">
        <w:rPr>
          <w:szCs w:val="22"/>
        </w:rPr>
        <w:t xml:space="preserve">is </w:t>
      </w:r>
      <w:r>
        <w:rPr>
          <w:szCs w:val="22"/>
        </w:rPr>
        <w:t>liable for a forfeiture of $100</w:t>
      </w:r>
      <w:r w:rsidRPr="000E3F12">
        <w:rPr>
          <w:szCs w:val="22"/>
        </w:rPr>
        <w:t xml:space="preserve">,000.  </w:t>
      </w:r>
      <w:r>
        <w:rPr>
          <w:szCs w:val="22"/>
        </w:rPr>
        <w:t xml:space="preserve">We note this is a limited action that does not necessarily reflect the full extent of </w:t>
      </w:r>
      <w:r>
        <w:t>UnityComm</w:t>
      </w:r>
      <w:r>
        <w:rPr>
          <w:szCs w:val="22"/>
        </w:rPr>
        <w:t xml:space="preserve">’s potential forfeiture liability and that </w:t>
      </w:r>
      <w:r w:rsidR="001E3E3C">
        <w:rPr>
          <w:szCs w:val="22"/>
        </w:rPr>
        <w:t xml:space="preserve">it </w:t>
      </w:r>
      <w:r>
        <w:rPr>
          <w:szCs w:val="22"/>
        </w:rPr>
        <w:t xml:space="preserve">does not preclude the Commission from imposing additional forfeitures against </w:t>
      </w:r>
      <w:r>
        <w:t>UnityComm in the future</w:t>
      </w:r>
      <w:r w:rsidR="00BB0641">
        <w:t>.</w:t>
      </w:r>
    </w:p>
    <w:p w:rsidR="005A7904" w:rsidRPr="00D81C6A" w:rsidP="005707E5" w14:paraId="7558A320" w14:textId="77777777">
      <w:pPr>
        <w:pStyle w:val="Heading1"/>
      </w:pPr>
      <w:r w:rsidRPr="00D81C6A">
        <w:t>ORDERING CLAUSES</w:t>
      </w:r>
    </w:p>
    <w:p w:rsidR="005A7904" w:rsidRPr="00D81C6A" w:rsidP="005707E5" w14:paraId="647703F3" w14:textId="77777777">
      <w:pPr>
        <w:pStyle w:val="ParaNum"/>
      </w:pPr>
      <w:r w:rsidRPr="00D81C6A">
        <w:t xml:space="preserve">Accordingly, </w:t>
      </w:r>
      <w:r w:rsidRPr="00BB0641">
        <w:rPr>
          <w:b/>
        </w:rPr>
        <w:t>IT IS ORDERED</w:t>
      </w:r>
      <w:r w:rsidRPr="00D81C6A">
        <w:t xml:space="preserve"> </w:t>
      </w:r>
      <w:r w:rsidR="00BB0641">
        <w:t>that,</w:t>
      </w:r>
      <w:r w:rsidRPr="00D81C6A">
        <w:t xml:space="preserve"> pursuant t</w:t>
      </w:r>
      <w:r w:rsidR="00BB0641">
        <w:t>o S</w:t>
      </w:r>
      <w:r w:rsidRPr="00D81C6A">
        <w:t xml:space="preserve">ection 503(b) of the </w:t>
      </w:r>
      <w:r w:rsidR="00BB0641">
        <w:t>Act</w:t>
      </w:r>
      <w:r w:rsidRPr="00D81C6A">
        <w:t>,</w:t>
      </w:r>
      <w:r>
        <w:rPr>
          <w:rStyle w:val="FootnoteReference"/>
          <w:sz w:val="22"/>
          <w:szCs w:val="22"/>
        </w:rPr>
        <w:footnoteReference w:id="20"/>
      </w:r>
      <w:r w:rsidR="00BB0641">
        <w:t xml:space="preserve"> and S</w:t>
      </w:r>
      <w:r w:rsidRPr="00D81C6A">
        <w:t xml:space="preserve">ection 1.80 of the </w:t>
      </w:r>
      <w:r w:rsidR="00BB0641">
        <w:t>R</w:t>
      </w:r>
      <w:r w:rsidRPr="00D81C6A">
        <w:t>ules,</w:t>
      </w:r>
      <w:r>
        <w:rPr>
          <w:rStyle w:val="FootnoteReference"/>
          <w:sz w:val="22"/>
          <w:szCs w:val="22"/>
        </w:rPr>
        <w:footnoteReference w:id="21"/>
      </w:r>
      <w:r w:rsidRPr="00D81C6A">
        <w:t xml:space="preserve"> </w:t>
      </w:r>
      <w:r w:rsidR="00AE1B1D">
        <w:t>UnityComm, LLC</w:t>
      </w:r>
      <w:r w:rsidRPr="0087510B" w:rsidR="00AE1B1D">
        <w:t xml:space="preserve"> </w:t>
      </w:r>
      <w:r w:rsidRPr="00BB0641">
        <w:rPr>
          <w:b/>
        </w:rPr>
        <w:t>IS LIABLE FOR A MONETARY FORFEITURE</w:t>
      </w:r>
      <w:r w:rsidRPr="00D81C6A">
        <w:t xml:space="preserve"> in the amount of </w:t>
      </w:r>
      <w:r w:rsidRPr="00D81C6A">
        <w:rPr>
          <w:bCs/>
        </w:rPr>
        <w:t>$</w:t>
      </w:r>
      <w:r w:rsidRPr="00D81C6A">
        <w:t>100,000 for willfully and repeatedly violating</w:t>
      </w:r>
      <w:r w:rsidR="00BB0641">
        <w:t xml:space="preserve"> Section </w:t>
      </w:r>
      <w:r w:rsidR="00AE1B1D">
        <w:t xml:space="preserve">54.711(a) </w:t>
      </w:r>
      <w:r w:rsidR="00BB0641">
        <w:t>of the Rules</w:t>
      </w:r>
      <w:r w:rsidRPr="00D81C6A">
        <w:t>.</w:t>
      </w:r>
    </w:p>
    <w:p w:rsidR="005A7904" w:rsidRPr="00D81C6A" w:rsidP="005707E5" w14:paraId="44DF6EE6" w14:textId="77777777">
      <w:pPr>
        <w:pStyle w:val="ParaNum"/>
      </w:pPr>
      <w:r w:rsidRPr="00D81C6A">
        <w:t>Payment of the forfeiture shall be made in the manner provided for in Section 1.80 of the Rules within thirty (30) calendar days after the release of this Forfeiture Order.   If the forfeiture is not paid within the period specified, the case may be referred to the U.S. Department of Justice for enforcement of the forfeiture pursuant to Section 504(a) of the Act.</w:t>
      </w:r>
    </w:p>
    <w:p w:rsidR="005A7904" w:rsidRPr="0073102E" w:rsidP="005707E5" w14:paraId="4AAE3D6E" w14:textId="77777777">
      <w:pPr>
        <w:pStyle w:val="ParaNum"/>
      </w:pPr>
      <w:r w:rsidRPr="00D81C6A">
        <w:t xml:space="preserve">Payment of the forfeiture must be made by check or similar instrument, wire transfer, or credit card, and must include the NAL/Account Number and FRN referenced above.  </w:t>
      </w:r>
      <w:r w:rsidR="00AE1B1D">
        <w:t>UnityComm, LLC</w:t>
      </w:r>
      <w:r w:rsidRPr="0087510B" w:rsidR="00AE1B1D">
        <w:t xml:space="preserve"> </w:t>
      </w:r>
      <w:r w:rsidRPr="00D81C6A">
        <w:t xml:space="preserve">shall send electronic notification of payment to </w:t>
      </w:r>
      <w:r w:rsidR="00594D02">
        <w:t xml:space="preserve">Jeffrey Gee at </w:t>
      </w:r>
      <w:r>
        <w:fldChar w:fldCharType="begin"/>
      </w:r>
      <w:r>
        <w:instrText xml:space="preserve"> HYPERLINK "mailto:David.Janas@fcc.gov" </w:instrText>
      </w:r>
      <w:r>
        <w:fldChar w:fldCharType="separate"/>
      </w:r>
      <w:r w:rsidR="00594D02">
        <w:rPr>
          <w:rStyle w:val="Hyperlink"/>
          <w:color w:val="auto"/>
          <w:u w:val="none"/>
        </w:rPr>
        <w:t>Jeffrey</w:t>
      </w:r>
      <w:r w:rsidRPr="00594D02" w:rsidR="00594D02">
        <w:rPr>
          <w:rStyle w:val="Hyperlink"/>
          <w:color w:val="auto"/>
          <w:u w:val="none"/>
        </w:rPr>
        <w:t>.</w:t>
      </w:r>
      <w:r w:rsidR="00594D02">
        <w:rPr>
          <w:rStyle w:val="Hyperlink"/>
          <w:color w:val="auto"/>
          <w:u w:val="none"/>
        </w:rPr>
        <w:t>Gee</w:t>
      </w:r>
      <w:r w:rsidRPr="00594D02" w:rsidR="00594D02">
        <w:rPr>
          <w:rStyle w:val="Hyperlink"/>
          <w:color w:val="auto"/>
          <w:u w:val="none"/>
        </w:rPr>
        <w:t>@fcc.gov</w:t>
      </w:r>
      <w:r>
        <w:fldChar w:fldCharType="end"/>
      </w:r>
      <w:r w:rsidR="00594D02">
        <w:t xml:space="preserve">, Kalun Lee at </w:t>
      </w:r>
      <w:r>
        <w:fldChar w:fldCharType="begin"/>
      </w:r>
      <w:r>
        <w:instrText xml:space="preserve"> HYPERLINK "mailto:David.Janas@fcc.gov" </w:instrText>
      </w:r>
      <w:r>
        <w:fldChar w:fldCharType="separate"/>
      </w:r>
      <w:r w:rsidR="00594D02">
        <w:rPr>
          <w:rStyle w:val="Hyperlink"/>
          <w:color w:val="auto"/>
          <w:u w:val="none"/>
        </w:rPr>
        <w:t>Kalun</w:t>
      </w:r>
      <w:r w:rsidRPr="00594D02" w:rsidR="00594D02">
        <w:rPr>
          <w:rStyle w:val="Hyperlink"/>
          <w:color w:val="auto"/>
          <w:u w:val="none"/>
        </w:rPr>
        <w:t>.</w:t>
      </w:r>
      <w:r w:rsidR="00594D02">
        <w:rPr>
          <w:rStyle w:val="Hyperlink"/>
          <w:color w:val="auto"/>
          <w:u w:val="none"/>
        </w:rPr>
        <w:t>Lee</w:t>
      </w:r>
      <w:r w:rsidRPr="00594D02" w:rsidR="00594D02">
        <w:rPr>
          <w:rStyle w:val="Hyperlink"/>
          <w:color w:val="auto"/>
          <w:u w:val="none"/>
        </w:rPr>
        <w:t>@fcc.gov</w:t>
      </w:r>
      <w:r>
        <w:fldChar w:fldCharType="end"/>
      </w:r>
      <w:r w:rsidR="00594D02">
        <w:t xml:space="preserve">, and </w:t>
      </w:r>
      <w:r w:rsidR="00AE1B1D">
        <w:t>David Janas</w:t>
      </w:r>
      <w:r w:rsidRPr="004105FB">
        <w:t xml:space="preserve"> at </w:t>
      </w:r>
      <w:r>
        <w:fldChar w:fldCharType="begin"/>
      </w:r>
      <w:r>
        <w:instrText xml:space="preserve"> HYPERLINK "mailto:David.Janas@fcc.gov" </w:instrText>
      </w:r>
      <w:r>
        <w:fldChar w:fldCharType="separate"/>
      </w:r>
      <w:r w:rsidRPr="00594D02" w:rsidR="00AE1B1D">
        <w:rPr>
          <w:rStyle w:val="Hyperlink"/>
          <w:color w:val="auto"/>
          <w:u w:val="none"/>
        </w:rPr>
        <w:t>David.Janas@fcc.gov</w:t>
      </w:r>
      <w:r>
        <w:fldChar w:fldCharType="end"/>
      </w:r>
      <w:r w:rsidR="00C710EC">
        <w:t xml:space="preserve"> </w:t>
      </w:r>
      <w:r w:rsidRPr="00D81C6A">
        <w:t>on the date said payment is made.  Regardless of the form of payment, a completed FCC Form 159 (Remittance Advice) must be submitted.   When completing the Form 159, enter the Account Number in block number 23A (call sign/other ID) and enter the letters “FORF” in block number 24A (payment type code).  Below are additional instructions that should be followed based on the form of payment selected:</w:t>
      </w:r>
    </w:p>
    <w:p w:rsidR="005A7904" w:rsidRPr="00AD034A" w:rsidP="00AD034A" w14:paraId="19777091" w14:textId="77777777">
      <w:pPr>
        <w:pStyle w:val="par1"/>
        <w:numPr>
          <w:ilvl w:val="0"/>
          <w:numId w:val="4"/>
        </w:numPr>
        <w:spacing w:after="120"/>
        <w:rPr>
          <w:szCs w:val="22"/>
        </w:rPr>
      </w:pPr>
      <w:r w:rsidRPr="00D81C6A">
        <w:rPr>
          <w:szCs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 MO-C2-GL, 1005 Convention Plaza, St. Louis, MO 63101.</w:t>
      </w:r>
    </w:p>
    <w:p w:rsidR="005A7904" w:rsidRPr="00D81C6A" w:rsidP="00482BEC" w14:paraId="162628B8" w14:textId="77777777">
      <w:pPr>
        <w:pStyle w:val="par1"/>
        <w:widowControl/>
        <w:numPr>
          <w:ilvl w:val="0"/>
          <w:numId w:val="4"/>
        </w:numPr>
        <w:rPr>
          <w:szCs w:val="22"/>
        </w:rPr>
      </w:pPr>
      <w:r w:rsidRPr="00D81C6A">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5A7904" w:rsidRPr="00D81C6A" w:rsidP="005A7904" w14:paraId="50F4DD9B" w14:textId="77777777">
      <w:pPr>
        <w:pStyle w:val="ListParagraph"/>
        <w:rPr>
          <w:szCs w:val="22"/>
        </w:rPr>
      </w:pPr>
    </w:p>
    <w:p w:rsidR="005A7904" w:rsidRPr="00D81C6A" w:rsidP="00694655" w14:paraId="5CE65714" w14:textId="77777777">
      <w:pPr>
        <w:pStyle w:val="par1"/>
        <w:widowControl/>
        <w:numPr>
          <w:ilvl w:val="0"/>
          <w:numId w:val="4"/>
        </w:numPr>
        <w:rPr>
          <w:szCs w:val="22"/>
        </w:rPr>
      </w:pPr>
      <w:r w:rsidRPr="00D81C6A">
        <w:rPr>
          <w:szCs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5A7904" w:rsidRPr="00D81C6A" w:rsidP="005A7904" w14:paraId="0BA776F5" w14:textId="77777777">
      <w:pPr>
        <w:pStyle w:val="ListParagraph"/>
        <w:rPr>
          <w:szCs w:val="22"/>
        </w:rPr>
      </w:pPr>
    </w:p>
    <w:p w:rsidR="005A7904" w:rsidRPr="00D81C6A" w:rsidP="008D4B1F" w14:paraId="328B3C91" w14:textId="77777777">
      <w:pPr>
        <w:pStyle w:val="ParaNum"/>
        <w:widowControl/>
      </w:pPr>
      <w:r w:rsidRPr="00D81C6A">
        <w:t xml:space="preserve">Any request for making full payment over time under an installment plan should be sent to:  Chief Financial Officer – Financial Operations, Federal Communications Commission, 445 12th Street, SW, Room 1 A625, Washington, DC 20554.   Questions regarding payment procedures should be directed to the Financial Operations Group Help Desk by telephone, 1-877-480-3201, or by e-mail, </w:t>
      </w:r>
      <w:r>
        <w:fldChar w:fldCharType="begin"/>
      </w:r>
      <w:r>
        <w:instrText xml:space="preserve"> HYPERLINK "mailto:ARINQUIRIES@fcc.gov" </w:instrText>
      </w:r>
      <w:r>
        <w:fldChar w:fldCharType="separate"/>
      </w:r>
      <w:r w:rsidRPr="008D4B1F" w:rsidR="00C710EC">
        <w:rPr>
          <w:rStyle w:val="Hyperlink"/>
          <w:color w:val="auto"/>
          <w:u w:val="none"/>
        </w:rPr>
        <w:t>ARINQUIRIES@fcc.gov</w:t>
      </w:r>
      <w:r>
        <w:fldChar w:fldCharType="end"/>
      </w:r>
      <w:r w:rsidRPr="00D81C6A">
        <w:t>.</w:t>
      </w:r>
    </w:p>
    <w:p w:rsidR="005A7904" w:rsidRPr="00D81C6A" w:rsidP="00BE4664" w14:paraId="229F5CEC" w14:textId="77777777">
      <w:pPr>
        <w:pStyle w:val="ParaNum"/>
        <w:widowControl/>
      </w:pPr>
      <w:r w:rsidRPr="00DB36AE">
        <w:rPr>
          <w:b/>
        </w:rPr>
        <w:t>IT IS FURTHER ORDERED</w:t>
      </w:r>
      <w:r w:rsidRPr="00D81C6A">
        <w:t xml:space="preserve"> that copies of this F</w:t>
      </w:r>
      <w:r w:rsidR="00DB36AE">
        <w:t>orfeiture Order sh</w:t>
      </w:r>
      <w:r w:rsidRPr="00D81C6A">
        <w:t xml:space="preserve">all be sent </w:t>
      </w:r>
      <w:r w:rsidRPr="00D81C6A" w:rsidR="00295899">
        <w:t xml:space="preserve">to </w:t>
      </w:r>
      <w:r w:rsidR="00295899">
        <w:t>Benjamin M. Plikerd, UnityComm, LLC</w:t>
      </w:r>
      <w:r w:rsidRPr="00D81C6A" w:rsidR="00295899">
        <w:t xml:space="preserve"> </w:t>
      </w:r>
      <w:r w:rsidRPr="00D81C6A">
        <w:t xml:space="preserve">by </w:t>
      </w:r>
      <w:r w:rsidR="00DB36AE">
        <w:t xml:space="preserve">first class mail </w:t>
      </w:r>
      <w:r w:rsidR="00295899">
        <w:t xml:space="preserve">to </w:t>
      </w:r>
      <w:r w:rsidRPr="00295899" w:rsidR="00295899">
        <w:t>P.O. Box 250</w:t>
      </w:r>
      <w:r w:rsidR="00295899">
        <w:t xml:space="preserve">, Syracuse, IN 46567, </w:t>
      </w:r>
      <w:r w:rsidR="00DB36AE">
        <w:t xml:space="preserve">and </w:t>
      </w:r>
      <w:r w:rsidRPr="00D81C6A">
        <w:t>certified mail, return receipt requested</w:t>
      </w:r>
      <w:r w:rsidR="00295899">
        <w:t xml:space="preserve"> to</w:t>
      </w:r>
      <w:r w:rsidR="000D112E">
        <w:t xml:space="preserve"> </w:t>
      </w:r>
      <w:r w:rsidR="00B74B8D">
        <w:t>100 E. Main Street</w:t>
      </w:r>
      <w:r w:rsidR="000D112E">
        <w:t>, Syracuse, IN 46567</w:t>
      </w:r>
      <w:r w:rsidRPr="00D81C6A">
        <w:t>.</w:t>
      </w:r>
    </w:p>
    <w:p w:rsidR="005A7904" w:rsidRPr="00D81C6A" w:rsidP="00381C17" w14:paraId="56BC7FD5" w14:textId="77777777">
      <w:pPr>
        <w:pStyle w:val="par1"/>
        <w:keepNext/>
        <w:widowControl/>
        <w:ind w:left="86" w:firstLine="720"/>
        <w:rPr>
          <w:szCs w:val="22"/>
        </w:rPr>
      </w:pPr>
    </w:p>
    <w:p w:rsidR="005A7904" w:rsidRPr="00D81C6A" w:rsidP="00381C17" w14:paraId="1880EDC4" w14:textId="77777777">
      <w:pPr>
        <w:pStyle w:val="par1"/>
        <w:keepNext/>
        <w:widowControl/>
        <w:ind w:left="3600" w:firstLine="720"/>
        <w:rPr>
          <w:szCs w:val="22"/>
        </w:rPr>
      </w:pPr>
      <w:r w:rsidRPr="00D81C6A">
        <w:rPr>
          <w:szCs w:val="22"/>
        </w:rPr>
        <w:t>FEDERAL COMMUNICATIONS COMMISSION</w:t>
      </w:r>
    </w:p>
    <w:p w:rsidR="005A7904" w:rsidRPr="00D81C6A" w:rsidP="005A7904" w14:paraId="252E3473" w14:textId="77777777">
      <w:pPr>
        <w:pStyle w:val="par1"/>
        <w:ind w:left="3600" w:firstLine="720"/>
        <w:rPr>
          <w:szCs w:val="22"/>
        </w:rPr>
      </w:pPr>
    </w:p>
    <w:p w:rsidR="005A7904" w:rsidRPr="00D81C6A" w:rsidP="005A7904" w14:paraId="789ED4C0" w14:textId="77777777">
      <w:pPr>
        <w:pStyle w:val="par1"/>
        <w:ind w:left="3600" w:firstLine="720"/>
        <w:rPr>
          <w:szCs w:val="22"/>
        </w:rPr>
      </w:pPr>
    </w:p>
    <w:p w:rsidR="005A7904" w:rsidRPr="00D81C6A" w:rsidP="005A7904" w14:paraId="0054B3B4" w14:textId="77777777">
      <w:pPr>
        <w:pStyle w:val="par1"/>
        <w:ind w:left="3600" w:firstLine="720"/>
        <w:rPr>
          <w:szCs w:val="22"/>
        </w:rPr>
      </w:pPr>
    </w:p>
    <w:p w:rsidR="005A7904" w:rsidRPr="00D81C6A" w:rsidP="005A7904" w14:paraId="4C7EADDF" w14:textId="77777777">
      <w:pPr>
        <w:pStyle w:val="par1"/>
        <w:ind w:left="3600" w:firstLine="720"/>
        <w:rPr>
          <w:szCs w:val="22"/>
        </w:rPr>
      </w:pPr>
    </w:p>
    <w:p w:rsidR="005A7904" w:rsidRPr="00BE4664" w:rsidP="005A7904" w14:paraId="32E127AB" w14:textId="3147A5DA">
      <w:pPr>
        <w:pStyle w:val="par1"/>
        <w:ind w:left="3600" w:firstLine="720"/>
        <w:rPr>
          <w:szCs w:val="22"/>
        </w:rPr>
      </w:pPr>
      <w:r w:rsidRPr="00BE4664">
        <w:rPr>
          <w:szCs w:val="22"/>
        </w:rPr>
        <w:t>Rosemary C. Harold</w:t>
      </w:r>
    </w:p>
    <w:p w:rsidR="005A7904" w:rsidRPr="00D81C6A" w:rsidP="005A7904" w14:paraId="02BBA351" w14:textId="3C42AC91">
      <w:pPr>
        <w:pStyle w:val="par1"/>
        <w:ind w:left="3600" w:firstLine="720"/>
        <w:rPr>
          <w:szCs w:val="22"/>
        </w:rPr>
      </w:pPr>
      <w:r w:rsidRPr="00D81C6A">
        <w:rPr>
          <w:szCs w:val="22"/>
        </w:rPr>
        <w:t>Chief</w:t>
      </w:r>
    </w:p>
    <w:p w:rsidR="00F72607" w:rsidRPr="00D81C6A" w:rsidP="001C4D55" w14:paraId="737505E2" w14:textId="77777777">
      <w:pPr>
        <w:pStyle w:val="par1"/>
        <w:ind w:left="3600" w:firstLine="720"/>
        <w:rPr>
          <w:szCs w:val="22"/>
        </w:rPr>
      </w:pPr>
      <w:r w:rsidRPr="00D81C6A">
        <w:rPr>
          <w:szCs w:val="22"/>
        </w:rPr>
        <w:t>Enforcement Bureau</w:t>
      </w:r>
    </w:p>
    <w:sectPr w:rsidSect="00E715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FC2" w:rsidP="00E71505" w14:paraId="40CDD758" w14:textId="77777777">
    <w:pP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5</w:t>
    </w:r>
    <w:r>
      <w:rPr>
        <w:rStyle w:val="PageNumber"/>
        <w:sz w:val="19"/>
      </w:rPr>
      <w:fldChar w:fldCharType="end"/>
    </w:r>
  </w:p>
  <w:p w:rsidR="00860FC2" w14:paraId="33CB24F5" w14:textId="77777777">
    <w:pP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FC2" w:rsidP="00E71505" w14:paraId="587F1A2E" w14:textId="059523BD">
    <w:pPr>
      <w:framePr w:wrap="around" w:vAnchor="text" w:hAnchor="margin" w:xAlign="center"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sidR="004B3B59">
      <w:rPr>
        <w:rStyle w:val="PageNumber"/>
        <w:noProof/>
        <w:szCs w:val="22"/>
      </w:rPr>
      <w:t>2</w:t>
    </w:r>
    <w:r>
      <w:rPr>
        <w:rStyle w:val="PageNumber"/>
        <w:szCs w:val="22"/>
      </w:rPr>
      <w:fldChar w:fldCharType="end"/>
    </w:r>
  </w:p>
  <w:p w:rsidR="00860FC2" w:rsidRPr="005C7B84" w:rsidP="002E0BCD" w14:paraId="1F1C4C0D"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B59" w14:paraId="1F8C01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1D5D" w:rsidP="005A7904" w14:paraId="2AC567A2" w14:textId="77777777">
      <w:r>
        <w:separator/>
      </w:r>
    </w:p>
  </w:footnote>
  <w:footnote w:type="continuationSeparator" w:id="1">
    <w:p w:rsidR="00EF1D5D" w:rsidP="005A7904" w14:paraId="228CF815" w14:textId="77777777">
      <w:r>
        <w:continuationSeparator/>
      </w:r>
    </w:p>
  </w:footnote>
  <w:footnote w:type="continuationNotice" w:id="2">
    <w:p w:rsidR="00EF1D5D" w14:paraId="08A3C9E5" w14:textId="77777777"/>
  </w:footnote>
  <w:footnote w:id="3">
    <w:p w:rsidR="00D00FC0" w:rsidRPr="00733DE7" w:rsidP="00D00FC0" w14:paraId="33D3EC72" w14:textId="77777777">
      <w:pPr>
        <w:pStyle w:val="FootnoteText"/>
      </w:pPr>
      <w:r w:rsidRPr="00733DE7">
        <w:rPr>
          <w:rStyle w:val="FootnoteReference"/>
        </w:rPr>
        <w:footnoteRef/>
      </w:r>
      <w:r w:rsidRPr="00733DE7">
        <w:t xml:space="preserve"> </w:t>
      </w:r>
      <w:r>
        <w:rPr>
          <w:i/>
        </w:rPr>
        <w:t>See</w:t>
      </w:r>
      <w:r>
        <w:t xml:space="preserve"> </w:t>
      </w:r>
      <w:r w:rsidRPr="00733DE7">
        <w:rPr>
          <w:i/>
        </w:rPr>
        <w:t>Simple Network, Inc</w:t>
      </w:r>
      <w:r w:rsidRPr="00733DE7">
        <w:t>., Notice of Apparent Liability for Forfeiture</w:t>
      </w:r>
      <w:r w:rsidR="00966379">
        <w:t xml:space="preserve">, </w:t>
      </w:r>
      <w:r w:rsidR="00C00713">
        <w:t>31</w:t>
      </w:r>
      <w:r w:rsidR="00966379">
        <w:t xml:space="preserve"> FCC Rcd </w:t>
      </w:r>
      <w:r w:rsidR="00C00713">
        <w:t>9746</w:t>
      </w:r>
      <w:r w:rsidR="00966379">
        <w:t xml:space="preserve"> (</w:t>
      </w:r>
      <w:r w:rsidR="00F57480">
        <w:t xml:space="preserve">EB </w:t>
      </w:r>
      <w:r w:rsidR="00C00713">
        <w:t>2016</w:t>
      </w:r>
      <w:r w:rsidR="00966379">
        <w:t>)</w:t>
      </w:r>
      <w:r w:rsidR="008A06CB">
        <w:t xml:space="preserve"> </w:t>
      </w:r>
      <w:r w:rsidR="00966379">
        <w:t>(</w:t>
      </w:r>
      <w:r w:rsidR="00C00713">
        <w:rPr>
          <w:i/>
        </w:rPr>
        <w:t>UnityComm</w:t>
      </w:r>
      <w:r w:rsidRPr="00733DE7">
        <w:rPr>
          <w:i/>
        </w:rPr>
        <w:t xml:space="preserve"> NAL</w:t>
      </w:r>
      <w:r w:rsidR="00966379">
        <w:t xml:space="preserve"> or </w:t>
      </w:r>
      <w:r w:rsidRPr="00733DE7">
        <w:rPr>
          <w:i/>
        </w:rPr>
        <w:t>NAL</w:t>
      </w:r>
      <w:r w:rsidRPr="00733DE7">
        <w:t>).</w:t>
      </w:r>
    </w:p>
  </w:footnote>
  <w:footnote w:id="4">
    <w:p w:rsidR="00C00713" w:rsidRPr="0085353D" w:rsidP="00C00713" w14:paraId="64228FC1" w14:textId="77777777">
      <w:pPr>
        <w:pStyle w:val="FootnoteText"/>
        <w:rPr>
          <w:rStyle w:val="FootnoteReference"/>
        </w:rPr>
      </w:pPr>
      <w:r>
        <w:rPr>
          <w:rStyle w:val="FootnoteReference"/>
        </w:rPr>
        <w:footnoteRef/>
      </w:r>
      <w:r>
        <w:t xml:space="preserve"> </w:t>
      </w:r>
      <w:r w:rsidRPr="0018326B">
        <w:rPr>
          <w:i/>
        </w:rPr>
        <w:t xml:space="preserve">See </w:t>
      </w:r>
      <w:r>
        <w:rPr>
          <w:i/>
        </w:rPr>
        <w:t xml:space="preserve">id. </w:t>
      </w:r>
      <w:r>
        <w:t>at 9746, para. 2 (citing UnityComm</w:t>
      </w:r>
      <w:r w:rsidRPr="0018326B">
        <w:t>,</w:t>
      </w:r>
      <w:r>
        <w:t xml:space="preserve"> LLC,</w:t>
      </w:r>
      <w:r w:rsidRPr="0018326B">
        <w:t xml:space="preserve"> April 2015 FCC Form 499-A (</w:t>
      </w:r>
      <w:r w:rsidRPr="0018326B">
        <w:rPr>
          <w:spacing w:val="-2"/>
        </w:rPr>
        <w:t xml:space="preserve">on file in </w:t>
      </w:r>
      <w:r w:rsidRPr="0018326B">
        <w:t>EB-IHD-15-</w:t>
      </w:r>
      <w:r w:rsidRPr="001B4629">
        <w:rPr>
          <w:szCs w:val="22"/>
        </w:rPr>
        <w:t>00018959</w:t>
      </w:r>
      <w:r w:rsidRPr="0018326B">
        <w:t>)</w:t>
      </w:r>
      <w:r>
        <w:t xml:space="preserve"> (2015 Form 499-A)</w:t>
      </w:r>
      <w:r w:rsidR="00EC7C2F">
        <w:t>)</w:t>
      </w:r>
      <w:r w:rsidRPr="0018326B">
        <w:t>.</w:t>
      </w:r>
      <w:r>
        <w:t xml:space="preserve">  </w:t>
      </w:r>
    </w:p>
  </w:footnote>
  <w:footnote w:id="5">
    <w:p w:rsidR="00DF354A" w:rsidRPr="00733DE7" w:rsidP="00DF354A" w14:paraId="1CF1BDC0" w14:textId="77777777">
      <w:pPr>
        <w:pStyle w:val="FootnoteText"/>
      </w:pPr>
      <w:r w:rsidRPr="00733DE7">
        <w:rPr>
          <w:rStyle w:val="FootnoteReference"/>
        </w:rPr>
        <w:footnoteRef/>
      </w:r>
      <w:r w:rsidRPr="00733DE7">
        <w:t xml:space="preserve"> </w:t>
      </w:r>
      <w:r w:rsidRPr="00733DE7">
        <w:rPr>
          <w:i/>
        </w:rPr>
        <w:t>See</w:t>
      </w:r>
      <w:r w:rsidR="00703217">
        <w:rPr>
          <w:i/>
        </w:rPr>
        <w:t xml:space="preserve"> </w:t>
      </w:r>
      <w:r w:rsidR="008A06CB">
        <w:rPr>
          <w:i/>
        </w:rPr>
        <w:t>UnityComm</w:t>
      </w:r>
      <w:r w:rsidRPr="00733DE7" w:rsidR="008A06CB">
        <w:rPr>
          <w:i/>
        </w:rPr>
        <w:t xml:space="preserve"> NAL</w:t>
      </w:r>
      <w:r w:rsidR="008A06CB">
        <w:t xml:space="preserve">, </w:t>
      </w:r>
      <w:r w:rsidR="008A06CB">
        <w:rPr>
          <w:i/>
        </w:rPr>
        <w:t xml:space="preserve">supra </w:t>
      </w:r>
      <w:r w:rsidR="008A06CB">
        <w:t>note 1</w:t>
      </w:r>
      <w:r w:rsidR="00703217">
        <w:t>; 47 C</w:t>
      </w:r>
      <w:r w:rsidRPr="00733DE7">
        <w:t xml:space="preserve">FR § </w:t>
      </w:r>
      <w:r w:rsidR="00EC7C2F">
        <w:t>5</w:t>
      </w:r>
      <w:r w:rsidRPr="00733DE7">
        <w:t>4.</w:t>
      </w:r>
      <w:r w:rsidR="00EC7C2F">
        <w:t>711(a)</w:t>
      </w:r>
      <w:r w:rsidRPr="00733DE7">
        <w:t>.</w:t>
      </w:r>
    </w:p>
  </w:footnote>
  <w:footnote w:id="6">
    <w:p w:rsidR="006217D6" w14:paraId="0109320A" w14:textId="77777777">
      <w:pPr>
        <w:pStyle w:val="FootnoteText"/>
      </w:pPr>
      <w:r>
        <w:rPr>
          <w:rStyle w:val="FootnoteReference"/>
        </w:rPr>
        <w:footnoteRef/>
      </w:r>
      <w:r>
        <w:t xml:space="preserve"> </w:t>
      </w:r>
      <w:bookmarkStart w:id="2" w:name="_Hlk498592181"/>
      <w:r w:rsidRPr="00733DE7">
        <w:rPr>
          <w:i/>
        </w:rPr>
        <w:t>See</w:t>
      </w:r>
      <w:r>
        <w:rPr>
          <w:i/>
        </w:rPr>
        <w:t xml:space="preserve"> UnityComm</w:t>
      </w:r>
      <w:r w:rsidRPr="00733DE7">
        <w:rPr>
          <w:i/>
        </w:rPr>
        <w:t xml:space="preserve"> NAL</w:t>
      </w:r>
      <w:r>
        <w:t xml:space="preserve">, </w:t>
      </w:r>
      <w:r>
        <w:rPr>
          <w:i/>
        </w:rPr>
        <w:t xml:space="preserve">supra </w:t>
      </w:r>
      <w:r>
        <w:t>note 1, at 9746, para. 1</w:t>
      </w:r>
      <w:r w:rsidR="00135A87">
        <w:t xml:space="preserve"> &amp; n.</w:t>
      </w:r>
      <w:bookmarkEnd w:id="2"/>
      <w:r w:rsidR="00135A87">
        <w:t>1</w:t>
      </w:r>
      <w:r>
        <w:t>.</w:t>
      </w:r>
    </w:p>
  </w:footnote>
  <w:footnote w:id="7">
    <w:p w:rsidR="00F00C74" w:rsidRPr="004E12B2" w14:paraId="58D16174" w14:textId="77777777">
      <w:pPr>
        <w:pStyle w:val="FootnoteText"/>
      </w:pPr>
      <w:r>
        <w:rPr>
          <w:rStyle w:val="FootnoteReference"/>
        </w:rPr>
        <w:footnoteRef/>
      </w:r>
      <w:r>
        <w:t xml:space="preserve"> </w:t>
      </w:r>
      <w:r w:rsidRPr="00733DE7" w:rsidR="004E12B2">
        <w:rPr>
          <w:i/>
        </w:rPr>
        <w:t>See</w:t>
      </w:r>
      <w:r w:rsidR="004E12B2">
        <w:rPr>
          <w:i/>
        </w:rPr>
        <w:t xml:space="preserve"> id. </w:t>
      </w:r>
      <w:r w:rsidR="004E12B2">
        <w:t xml:space="preserve">at </w:t>
      </w:r>
      <w:r w:rsidR="00CD3F63">
        <w:t>9751</w:t>
      </w:r>
      <w:r w:rsidR="006454FD">
        <w:t>, para. 17.</w:t>
      </w:r>
    </w:p>
  </w:footnote>
  <w:footnote w:id="8">
    <w:p w:rsidR="00F00C74" w14:paraId="73948557" w14:textId="77777777">
      <w:pPr>
        <w:pStyle w:val="FootnoteText"/>
      </w:pPr>
      <w:r>
        <w:rPr>
          <w:rStyle w:val="FootnoteReference"/>
        </w:rPr>
        <w:footnoteRef/>
      </w:r>
      <w:r>
        <w:t xml:space="preserve"> </w:t>
      </w:r>
      <w:r w:rsidRPr="00733DE7" w:rsidR="000D112E">
        <w:rPr>
          <w:i/>
        </w:rPr>
        <w:t>See</w:t>
      </w:r>
      <w:r w:rsidR="000D112E">
        <w:rPr>
          <w:i/>
        </w:rPr>
        <w:t xml:space="preserve"> </w:t>
      </w:r>
      <w:r w:rsidR="000D112E">
        <w:t xml:space="preserve">Letter to Marlene H. Dortch, Secretary, FCC from Steven A. Augustino, Kelley Drye &amp; Warren, LLP, File No. </w:t>
      </w:r>
      <w:r w:rsidRPr="0018326B" w:rsidR="000D112E">
        <w:t>EB-IHD-15-</w:t>
      </w:r>
      <w:r w:rsidRPr="001B4629" w:rsidR="000D112E">
        <w:rPr>
          <w:szCs w:val="22"/>
        </w:rPr>
        <w:t>00018959</w:t>
      </w:r>
      <w:r w:rsidR="000D112E">
        <w:t xml:space="preserve"> (Sept. 26, 2017)</w:t>
      </w:r>
      <w:r w:rsidR="00D024CC">
        <w:t xml:space="preserve"> (</w:t>
      </w:r>
      <w:r w:rsidRPr="0018326B" w:rsidR="00D024CC">
        <w:rPr>
          <w:spacing w:val="-2"/>
        </w:rPr>
        <w:t xml:space="preserve">on file in </w:t>
      </w:r>
      <w:r w:rsidRPr="0018326B" w:rsidR="00D024CC">
        <w:t>EB-IHD-15-</w:t>
      </w:r>
      <w:r w:rsidRPr="001B4629" w:rsidR="00D024CC">
        <w:rPr>
          <w:szCs w:val="22"/>
        </w:rPr>
        <w:t>00018959</w:t>
      </w:r>
      <w:r w:rsidR="00D024CC">
        <w:t>)</w:t>
      </w:r>
      <w:r w:rsidR="000D112E">
        <w:t>.</w:t>
      </w:r>
    </w:p>
  </w:footnote>
  <w:footnote w:id="9">
    <w:p w:rsidR="006217D6" w:rsidRPr="00DD6E43" w14:paraId="23CC5CFC" w14:textId="77777777">
      <w:pPr>
        <w:pStyle w:val="FootnoteText"/>
      </w:pPr>
      <w:r>
        <w:rPr>
          <w:rStyle w:val="FootnoteReference"/>
        </w:rPr>
        <w:footnoteRef/>
      </w:r>
      <w:r>
        <w:t xml:space="preserve"> </w:t>
      </w:r>
      <w:r>
        <w:rPr>
          <w:i/>
        </w:rPr>
        <w:t>See</w:t>
      </w:r>
      <w:r>
        <w:t xml:space="preserve"> United States Post Office Form 3811, Certified Mail Receipt (Delivery Date Oct. 3, 2016) (</w:t>
      </w:r>
      <w:r w:rsidRPr="0018326B">
        <w:rPr>
          <w:spacing w:val="-2"/>
        </w:rPr>
        <w:t xml:space="preserve">on file in </w:t>
      </w:r>
      <w:r w:rsidRPr="0018326B">
        <w:t>EB-IHD-15-</w:t>
      </w:r>
      <w:r w:rsidRPr="001B4629">
        <w:rPr>
          <w:szCs w:val="22"/>
        </w:rPr>
        <w:t>00018959</w:t>
      </w:r>
      <w:r>
        <w:t>).</w:t>
      </w:r>
      <w:r w:rsidR="00DD6E43">
        <w:t xml:space="preserve">  The </w:t>
      </w:r>
      <w:r w:rsidR="00DD6E43">
        <w:rPr>
          <w:i/>
        </w:rPr>
        <w:t>UnityComm</w:t>
      </w:r>
      <w:r w:rsidRPr="00733DE7" w:rsidR="00DD6E43">
        <w:rPr>
          <w:i/>
        </w:rPr>
        <w:t xml:space="preserve"> NAL</w:t>
      </w:r>
      <w:r w:rsidR="00DD6E43">
        <w:t xml:space="preserve"> was delivered to UnityComm at 1:39 p.m. on October 3, 2016.  </w:t>
      </w:r>
      <w:r w:rsidR="00DD6E43">
        <w:rPr>
          <w:i/>
        </w:rPr>
        <w:t>See</w:t>
      </w:r>
      <w:r w:rsidR="00DD6E43">
        <w:t xml:space="preserve"> United States Post Office, Product and Tracking Information</w:t>
      </w:r>
      <w:r w:rsidR="000A3ED5">
        <w:t xml:space="preserve"> (Oct. 3, 2016) (</w:t>
      </w:r>
      <w:r w:rsidRPr="0018326B" w:rsidR="000A3ED5">
        <w:rPr>
          <w:spacing w:val="-2"/>
        </w:rPr>
        <w:t xml:space="preserve">on file in </w:t>
      </w:r>
      <w:r w:rsidRPr="0018326B" w:rsidR="000A3ED5">
        <w:t>EB-IHD-15-</w:t>
      </w:r>
      <w:r w:rsidRPr="001B4629" w:rsidR="000A3ED5">
        <w:rPr>
          <w:szCs w:val="22"/>
        </w:rPr>
        <w:t>00018959</w:t>
      </w:r>
      <w:r w:rsidR="000A3ED5">
        <w:t xml:space="preserve">).  </w:t>
      </w:r>
    </w:p>
  </w:footnote>
  <w:footnote w:id="10">
    <w:p w:rsidR="00056FF1" w14:paraId="7217E51E" w14:textId="77777777">
      <w:pPr>
        <w:pStyle w:val="FootnoteText"/>
      </w:pPr>
      <w:r>
        <w:rPr>
          <w:rStyle w:val="FootnoteReference"/>
        </w:rPr>
        <w:footnoteRef/>
      </w:r>
      <w:r>
        <w:t xml:space="preserve"> 47 U.S.C. </w:t>
      </w:r>
      <w:r w:rsidRPr="00733DE7">
        <w:t>§</w:t>
      </w:r>
      <w:r>
        <w:t xml:space="preserve"> 503(b).</w:t>
      </w:r>
    </w:p>
  </w:footnote>
  <w:footnote w:id="11">
    <w:p w:rsidR="00056FF1" w14:paraId="19BDAB3C" w14:textId="77777777">
      <w:pPr>
        <w:pStyle w:val="FootnoteText"/>
      </w:pPr>
      <w:r>
        <w:rPr>
          <w:rStyle w:val="FootnoteReference"/>
        </w:rPr>
        <w:footnoteRef/>
      </w:r>
      <w:r>
        <w:t xml:space="preserve"> 47 CFR </w:t>
      </w:r>
      <w:r w:rsidRPr="00733DE7">
        <w:t>§</w:t>
      </w:r>
      <w:r>
        <w:t xml:space="preserve"> 1.80.</w:t>
      </w:r>
    </w:p>
  </w:footnote>
  <w:footnote w:id="12">
    <w:p w:rsidR="00056FF1" w:rsidRPr="00056FF1" w14:paraId="1C5ECFAD" w14:textId="77777777">
      <w:pPr>
        <w:pStyle w:val="FootnoteText"/>
      </w:pPr>
      <w:r>
        <w:rPr>
          <w:rStyle w:val="FootnoteReference"/>
        </w:rPr>
        <w:footnoteRef/>
      </w:r>
      <w:r>
        <w:t xml:space="preserve"> </w:t>
      </w:r>
      <w:r>
        <w:rPr>
          <w:i/>
        </w:rPr>
        <w:t>The Commission’s Forfeiture Policy Statement and Amendment of Section 1.80 of the Rules to Incorporate the Forfeiture Guidelines</w:t>
      </w:r>
      <w:r>
        <w:t>, Report and Order, 12 FCC Rcd 17087 (1997) (</w:t>
      </w:r>
      <w:r>
        <w:rPr>
          <w:i/>
        </w:rPr>
        <w:t>Forfeiture Policy Statement</w:t>
      </w:r>
      <w:r>
        <w:t xml:space="preserve">), </w:t>
      </w:r>
      <w:r>
        <w:rPr>
          <w:i/>
        </w:rPr>
        <w:t>recons. denied</w:t>
      </w:r>
      <w:r>
        <w:t>, Memorandum Opinion and Order, 15 FCC Rcd 303 (1999).</w:t>
      </w:r>
    </w:p>
  </w:footnote>
  <w:footnote w:id="13">
    <w:p w:rsidR="005E69AB" w14:paraId="7C51E022" w14:textId="77777777">
      <w:pPr>
        <w:pStyle w:val="FootnoteText"/>
      </w:pPr>
      <w:r>
        <w:rPr>
          <w:rStyle w:val="FootnoteReference"/>
        </w:rPr>
        <w:footnoteRef/>
      </w:r>
      <w:r>
        <w:t xml:space="preserve"> 47 U.S.C. </w:t>
      </w:r>
      <w:r w:rsidRPr="00733DE7">
        <w:t>§</w:t>
      </w:r>
      <w:r>
        <w:t xml:space="preserve"> 503(b)(2)(E).</w:t>
      </w:r>
    </w:p>
  </w:footnote>
  <w:footnote w:id="14">
    <w:p w:rsidR="00AE1B1D" w:rsidRPr="0018326B" w:rsidP="00AE1B1D" w14:paraId="6C1072B5" w14:textId="6A3489C9">
      <w:pPr>
        <w:pStyle w:val="FootnoteText"/>
      </w:pPr>
      <w:r w:rsidRPr="0018326B">
        <w:rPr>
          <w:rStyle w:val="FootnoteReference"/>
        </w:rPr>
        <w:footnoteRef/>
      </w:r>
      <w:r w:rsidRPr="0018326B">
        <w:t xml:space="preserve"> </w:t>
      </w:r>
      <w:r w:rsidRPr="0018326B">
        <w:rPr>
          <w:i/>
        </w:rPr>
        <w:t>E.g</w:t>
      </w:r>
      <w:r w:rsidRPr="0018326B">
        <w:t xml:space="preserve">., </w:t>
      </w:r>
      <w:r w:rsidRPr="0018326B">
        <w:rPr>
          <w:i/>
        </w:rPr>
        <w:t>Advanced Tel</w:t>
      </w:r>
      <w:r w:rsidRPr="0018326B">
        <w:t xml:space="preserve">, </w:t>
      </w:r>
      <w:r w:rsidRPr="0018326B">
        <w:rPr>
          <w:i/>
        </w:rPr>
        <w:t>Inc.</w:t>
      </w:r>
      <w:r w:rsidRPr="0018326B">
        <w:t>, Notice of Apparent Liability for Forfeiture, 30 FCC Rcd 833</w:t>
      </w:r>
      <w:r>
        <w:t xml:space="preserve">, </w:t>
      </w:r>
      <w:r w:rsidRPr="0018326B">
        <w:t>8441-42, paras. 27-28 (2015)</w:t>
      </w:r>
      <w:r w:rsidR="00BD4C1A">
        <w:t xml:space="preserve"> ($50,000 forfeiture for late Worksheet filing)</w:t>
      </w:r>
      <w:r>
        <w:t xml:space="preserve">, </w:t>
      </w:r>
      <w:r w:rsidRPr="0018326B">
        <w:rPr>
          <w:i/>
        </w:rPr>
        <w:t>forfeiture</w:t>
      </w:r>
      <w:r w:rsidRPr="0018326B">
        <w:t xml:space="preserve"> </w:t>
      </w:r>
      <w:r w:rsidRPr="0018326B">
        <w:rPr>
          <w:i/>
        </w:rPr>
        <w:t>issued</w:t>
      </w:r>
      <w:r w:rsidRPr="0018326B">
        <w:t xml:space="preserve">, Forfeiture Order, </w:t>
      </w:r>
      <w:r w:rsidR="00B74B8D">
        <w:t xml:space="preserve">2017 WL 2501742 </w:t>
      </w:r>
      <w:r w:rsidRPr="0018326B">
        <w:t>(20</w:t>
      </w:r>
      <w:r w:rsidR="00B74B8D">
        <w:t>17</w:t>
      </w:r>
      <w:r w:rsidRPr="0018326B">
        <w:t>)</w:t>
      </w:r>
      <w:r w:rsidR="00BD4C1A">
        <w:t xml:space="preserve"> (forfeiture reduced for inability to pay)</w:t>
      </w:r>
      <w:r w:rsidRPr="0018326B">
        <w:t xml:space="preserve">; </w:t>
      </w:r>
      <w:r w:rsidRPr="0018326B">
        <w:rPr>
          <w:i/>
        </w:rPr>
        <w:t>ADMA Telecom, Inc.</w:t>
      </w:r>
      <w:r w:rsidRPr="0018326B">
        <w:t xml:space="preserve">, </w:t>
      </w:r>
      <w:r w:rsidRPr="0018326B">
        <w:rPr>
          <w:color w:val="000000"/>
        </w:rPr>
        <w:t>Notice of Apparent Liability f</w:t>
      </w:r>
      <w:r w:rsidR="00BD4C1A">
        <w:rPr>
          <w:color w:val="000000"/>
        </w:rPr>
        <w:t>or Forfeiture, 24 FCC Rcd</w:t>
      </w:r>
      <w:r>
        <w:rPr>
          <w:color w:val="000000"/>
        </w:rPr>
        <w:t xml:space="preserve"> 838 </w:t>
      </w:r>
      <w:r w:rsidRPr="0018326B">
        <w:rPr>
          <w:color w:val="000000"/>
        </w:rPr>
        <w:t xml:space="preserve">(2009), </w:t>
      </w:r>
      <w:r w:rsidRPr="0018326B">
        <w:rPr>
          <w:i/>
        </w:rPr>
        <w:t>forfeiture</w:t>
      </w:r>
      <w:r w:rsidRPr="0018326B">
        <w:t xml:space="preserve"> </w:t>
      </w:r>
      <w:r w:rsidRPr="0018326B">
        <w:rPr>
          <w:i/>
        </w:rPr>
        <w:t>issued</w:t>
      </w:r>
      <w:r w:rsidRPr="0018326B">
        <w:t>, Forfeiture Order, 26 FCC Rcd 4152</w:t>
      </w:r>
      <w:r>
        <w:t xml:space="preserve">, </w:t>
      </w:r>
      <w:r w:rsidRPr="0018326B">
        <w:t>4155, 4162, paras. 9, 28 (2011)</w:t>
      </w:r>
      <w:r w:rsidR="00BD4C1A">
        <w:t xml:space="preserve"> ($150,000 forfeiture for three Worksheet filing failures)</w:t>
      </w:r>
      <w:r w:rsidRPr="0018326B">
        <w:t xml:space="preserve">; </w:t>
      </w:r>
      <w:r w:rsidRPr="0018326B">
        <w:rPr>
          <w:i/>
        </w:rPr>
        <w:t>Globcom, Inc.</w:t>
      </w:r>
      <w:r w:rsidRPr="0018326B">
        <w:t>,</w:t>
      </w:r>
      <w:r w:rsidRPr="0018326B">
        <w:rPr>
          <w:color w:val="000000"/>
          <w:shd w:val="clear" w:color="auto" w:fill="FFFFFF"/>
        </w:rPr>
        <w:t xml:space="preserve"> Notice of Apparent Liability for Forfeiture and Order, </w:t>
      </w:r>
      <w:r w:rsidRPr="0018326B">
        <w:t>18 FCC Rcd 19893 (2003)</w:t>
      </w:r>
      <w:r w:rsidR="00C21E7C">
        <w:t xml:space="preserve"> (</w:t>
      </w:r>
      <w:r w:rsidRPr="00C21E7C" w:rsidR="00C21E7C">
        <w:rPr>
          <w:i/>
        </w:rPr>
        <w:t>Globcom NAL</w:t>
      </w:r>
      <w:r w:rsidR="00C21E7C">
        <w:t>)</w:t>
      </w:r>
      <w:r w:rsidRPr="0018326B">
        <w:t xml:space="preserve">, </w:t>
      </w:r>
      <w:r w:rsidRPr="0018326B">
        <w:rPr>
          <w:i/>
        </w:rPr>
        <w:t>forfeiture</w:t>
      </w:r>
      <w:r w:rsidRPr="0018326B">
        <w:t xml:space="preserve"> </w:t>
      </w:r>
      <w:r w:rsidRPr="0018326B">
        <w:rPr>
          <w:i/>
        </w:rPr>
        <w:t>issued</w:t>
      </w:r>
      <w:r w:rsidRPr="0018326B">
        <w:t>, Order of Forfeiture, 21 FCC Rcd 4710, 4720–21, 4727, paras. 26–28, 31, 45 (2006)</w:t>
      </w:r>
      <w:r w:rsidR="001D344E">
        <w:t xml:space="preserve"> ($200,000 forfeiture for one inaccurate Worksheet and three other Worksheet filing failures)</w:t>
      </w:r>
      <w:r w:rsidRPr="0018326B">
        <w:t xml:space="preserve">.  </w:t>
      </w:r>
    </w:p>
  </w:footnote>
  <w:footnote w:id="15">
    <w:p w:rsidR="00C21E7C" w:rsidRPr="00C21E7C" w14:paraId="5407404C" w14:textId="58C29185">
      <w:pPr>
        <w:pStyle w:val="FootnoteText"/>
      </w:pPr>
      <w:r>
        <w:rPr>
          <w:rStyle w:val="FootnoteReference"/>
        </w:rPr>
        <w:footnoteRef/>
      </w:r>
      <w:r>
        <w:t xml:space="preserve"> </w:t>
      </w:r>
      <w:r>
        <w:rPr>
          <w:i/>
        </w:rPr>
        <w:t>See</w:t>
      </w:r>
      <w:r>
        <w:t xml:space="preserve">, </w:t>
      </w:r>
      <w:r>
        <w:rPr>
          <w:i/>
        </w:rPr>
        <w:t>e.g.</w:t>
      </w:r>
      <w:r>
        <w:t xml:space="preserve">, </w:t>
      </w:r>
      <w:r w:rsidRPr="00C21E7C">
        <w:rPr>
          <w:i/>
        </w:rPr>
        <w:t>Globcom NAL</w:t>
      </w:r>
      <w:r>
        <w:t>, 18 FCC Rcd at 19905, paras. 31-32.</w:t>
      </w:r>
    </w:p>
  </w:footnote>
  <w:footnote w:id="16">
    <w:p w:rsidR="00AB4C6C" w14:paraId="5789A02B" w14:textId="40F12B3E">
      <w:pPr>
        <w:pStyle w:val="FootnoteText"/>
      </w:pPr>
      <w:r>
        <w:rPr>
          <w:rStyle w:val="FootnoteReference"/>
        </w:rPr>
        <w:footnoteRef/>
      </w:r>
      <w:r>
        <w:t xml:space="preserve"> </w:t>
      </w:r>
      <w:r w:rsidRPr="00733DE7">
        <w:rPr>
          <w:i/>
        </w:rPr>
        <w:t>See</w:t>
      </w:r>
      <w:r>
        <w:rPr>
          <w:i/>
        </w:rPr>
        <w:t xml:space="preserve"> UnityComm</w:t>
      </w:r>
      <w:r w:rsidRPr="00733DE7">
        <w:rPr>
          <w:i/>
        </w:rPr>
        <w:t xml:space="preserve"> NAL</w:t>
      </w:r>
      <w:r>
        <w:t xml:space="preserve">, </w:t>
      </w:r>
      <w:r>
        <w:rPr>
          <w:i/>
        </w:rPr>
        <w:t xml:space="preserve">supra </w:t>
      </w:r>
      <w:r>
        <w:t>note 1, at 9746, para. 1 &amp; n.</w:t>
      </w:r>
      <w:r w:rsidR="00746C81">
        <w:t>1.</w:t>
      </w:r>
    </w:p>
  </w:footnote>
  <w:footnote w:id="17">
    <w:p w:rsidR="00E237BB" w:rsidRPr="00E237BB" w14:paraId="10E88389" w14:textId="5898D132">
      <w:pPr>
        <w:pStyle w:val="FootnoteText"/>
      </w:pPr>
      <w:r>
        <w:rPr>
          <w:rStyle w:val="FootnoteReference"/>
        </w:rPr>
        <w:footnoteRef/>
      </w:r>
      <w:r>
        <w:t xml:space="preserve"> </w:t>
      </w:r>
      <w:r>
        <w:rPr>
          <w:i/>
        </w:rPr>
        <w:t xml:space="preserve">See </w:t>
      </w:r>
      <w:r>
        <w:t xml:space="preserve">47 U.S.C. </w:t>
      </w:r>
      <w:r w:rsidRPr="00733DE7">
        <w:t>§</w:t>
      </w:r>
      <w:r>
        <w:t xml:space="preserve"> 254(d).</w:t>
      </w:r>
    </w:p>
  </w:footnote>
  <w:footnote w:id="18">
    <w:p w:rsidR="00081C92" w14:paraId="463C9BCD" w14:textId="50CBBEEC">
      <w:pPr>
        <w:pStyle w:val="FootnoteText"/>
      </w:pPr>
      <w:r>
        <w:rPr>
          <w:rStyle w:val="FootnoteReference"/>
        </w:rPr>
        <w:footnoteRef/>
      </w:r>
      <w:r>
        <w:t xml:space="preserve"> </w:t>
      </w:r>
      <w:r w:rsidRPr="00993E65">
        <w:t xml:space="preserve">Letter from </w:t>
      </w:r>
      <w:r>
        <w:t>Dawn R. Damschen</w:t>
      </w:r>
      <w:r w:rsidRPr="00993E65">
        <w:t xml:space="preserve">, </w:t>
      </w:r>
      <w:r>
        <w:t>Kelley Drye &amp; Warren LLP</w:t>
      </w:r>
      <w:r w:rsidRPr="00993E65">
        <w:t xml:space="preserve">, Counsel to </w:t>
      </w:r>
      <w:r>
        <w:t>UnityComm, LLC</w:t>
      </w:r>
      <w:r w:rsidRPr="00993E65">
        <w:t xml:space="preserve">, to </w:t>
      </w:r>
      <w:r>
        <w:t>Theodore Marcus</w:t>
      </w:r>
      <w:r w:rsidRPr="00993E65">
        <w:t xml:space="preserve">, </w:t>
      </w:r>
      <w:r>
        <w:t xml:space="preserve">Attorney Advisor, </w:t>
      </w:r>
      <w:r w:rsidRPr="00993E65">
        <w:t>Investigations and Hearings Division, FCC Enforcement Bureau</w:t>
      </w:r>
      <w:r>
        <w:t>, at 4</w:t>
      </w:r>
      <w:r w:rsidRPr="00993E65">
        <w:t xml:space="preserve"> (</w:t>
      </w:r>
      <w:r>
        <w:t>Jul</w:t>
      </w:r>
      <w:r w:rsidRPr="00993E65">
        <w:t xml:space="preserve">. </w:t>
      </w:r>
      <w:r>
        <w:t>29, 2015</w:t>
      </w:r>
      <w:r w:rsidRPr="00993E65">
        <w:t xml:space="preserve">) (on file in </w:t>
      </w:r>
      <w:r w:rsidRPr="0018326B">
        <w:t>EB-IHD-15-</w:t>
      </w:r>
      <w:r w:rsidRPr="001B4629">
        <w:rPr>
          <w:szCs w:val="22"/>
        </w:rPr>
        <w:t>00018959</w:t>
      </w:r>
      <w:r w:rsidRPr="00993E65">
        <w:t>) (LOI Response)</w:t>
      </w:r>
      <w:r>
        <w:t>.</w:t>
      </w:r>
    </w:p>
  </w:footnote>
  <w:footnote w:id="19">
    <w:p w:rsidR="00C45BAB" w:rsidRPr="00245E1C" w14:paraId="1DE4F1EE" w14:textId="53EF7772">
      <w:pPr>
        <w:pStyle w:val="FootnoteText"/>
      </w:pPr>
      <w:r>
        <w:rPr>
          <w:rStyle w:val="FootnoteReference"/>
        </w:rPr>
        <w:footnoteRef/>
      </w:r>
      <w:r>
        <w:t xml:space="preserve"> </w:t>
      </w:r>
      <w:r w:rsidR="00245E1C">
        <w:rPr>
          <w:i/>
        </w:rPr>
        <w:t>See</w:t>
      </w:r>
      <w:r w:rsidR="00990FFB">
        <w:rPr>
          <w:i/>
        </w:rPr>
        <w:t>, e.g.,</w:t>
      </w:r>
      <w:r w:rsidR="00245E1C">
        <w:t xml:space="preserve"> </w:t>
      </w:r>
      <w:r w:rsidR="00245E1C">
        <w:rPr>
          <w:i/>
        </w:rPr>
        <w:t>Advanced Tel, Inc.</w:t>
      </w:r>
      <w:r w:rsidR="00990FFB">
        <w:t xml:space="preserve">, 32 FCC Rcd 5151, 5154 &amp; n.35 (2017) (showing that under FCC precedent, forfeitures that represent approximately </w:t>
      </w:r>
      <w:r w:rsidR="00D2101F">
        <w:t>two to eight</w:t>
      </w:r>
      <w:r w:rsidR="00990FFB">
        <w:t xml:space="preserve"> percent of a violator’s gross revenues are reasonable).</w:t>
      </w:r>
    </w:p>
  </w:footnote>
  <w:footnote w:id="20">
    <w:p w:rsidR="005A7904" w:rsidRPr="00733DE7" w:rsidP="005A7904" w14:paraId="4E0D7B6B" w14:textId="77777777">
      <w:pPr>
        <w:pStyle w:val="FootnoteText"/>
      </w:pPr>
      <w:r w:rsidRPr="00733DE7">
        <w:rPr>
          <w:rStyle w:val="FootnoteReference"/>
        </w:rPr>
        <w:footnoteRef/>
      </w:r>
      <w:r w:rsidRPr="00733DE7">
        <w:t xml:space="preserve"> 47 U.S.C. § 503(b).</w:t>
      </w:r>
    </w:p>
  </w:footnote>
  <w:footnote w:id="21">
    <w:p w:rsidR="005A7904" w:rsidRPr="00733DE7" w:rsidP="005A7904" w14:paraId="7644A6D6" w14:textId="77777777">
      <w:pPr>
        <w:pStyle w:val="FootnoteText"/>
      </w:pPr>
      <w:r w:rsidRPr="00733DE7">
        <w:rPr>
          <w:rStyle w:val="FootnoteReference"/>
        </w:rPr>
        <w:footnoteRef/>
      </w:r>
      <w:r w:rsidRPr="00733DE7">
        <w:t xml:space="preserve"> 47 CFR § 1.80.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B59" w14:paraId="40D0DB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F56" w:rsidRPr="00A93A99" w:rsidP="005707E5" w14:paraId="2C4D12BD" w14:textId="68223252">
    <w:pPr>
      <w:tabs>
        <w:tab w:val="left" w:pos="4410"/>
      </w:tabs>
      <w:suppressAutoHyphens/>
      <w:ind w:left="720" w:firstLine="720"/>
      <w:rPr>
        <w:b/>
      </w:rPr>
    </w:pPr>
    <w:r w:rsidRPr="00A93A99">
      <w:rPr>
        <w:b/>
      </w:rPr>
      <w:t xml:space="preserve">                           </w:t>
    </w:r>
    <w:r w:rsidRPr="00A93A99">
      <w:rPr>
        <w:b/>
      </w:rPr>
      <w:t xml:space="preserve">Federal Communications Commission               </w:t>
    </w:r>
    <w:r w:rsidRPr="00A93A99">
      <w:rPr>
        <w:b/>
      </w:rPr>
      <w:t xml:space="preserve">               </w:t>
    </w:r>
    <w:r w:rsidRPr="00A93A99" w:rsidR="009E0F1D">
      <w:rPr>
        <w:b/>
      </w:rPr>
      <w:t xml:space="preserve">DA </w:t>
    </w:r>
    <w:r w:rsidRPr="00A93A99" w:rsidR="00C278A3">
      <w:rPr>
        <w:b/>
      </w:rPr>
      <w:t>17</w:t>
    </w:r>
    <w:r w:rsidRPr="00A93A99" w:rsidR="009E0F1D">
      <w:rPr>
        <w:b/>
      </w:rPr>
      <w:t>-</w:t>
    </w:r>
    <w:r w:rsidRPr="00A93A99" w:rsidR="00A93A99">
      <w:rPr>
        <w:b/>
      </w:rPr>
      <w:t>1222</w:t>
    </w:r>
  </w:p>
  <w:p w:rsidR="00533F56" w:rsidP="00533F56" w14:paraId="23D4972E" w14:textId="77777777">
    <w:pPr>
      <w:tabs>
        <w:tab w:val="left" w:pos="-720"/>
      </w:tabs>
      <w:suppressAutoHyphens/>
      <w:spacing w:line="19" w:lineRule="exact"/>
      <w:jc w:val="both"/>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txbx>
                      <w:txbxContent>
                        <w:p w:rsidR="00533F56" w:rsidP="00533F56"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textbox>
                <w:txbxContent>
                  <w:p w:rsidR="00533F56" w:rsidP="00533F56" w14:paraId="0F98F7F1" w14:textId="77777777"/>
                </w:txbxContent>
              </v:textbox>
              <w10:wrap anchorx="margin"/>
            </v:rect>
          </w:pict>
        </mc:Fallback>
      </mc:AlternateContent>
    </w:r>
  </w:p>
  <w:p w:rsidR="00860FC2" w:rsidP="00AD2429" w14:paraId="2DB8943B" w14:textId="77777777">
    <w:pPr>
      <w:pStyle w:val="Heading2"/>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FC2" w:rsidP="00533F56" w14:paraId="23F39275" w14:textId="271A3E05">
    <w:pPr>
      <w:tabs>
        <w:tab w:val="left" w:pos="-720"/>
      </w:tabs>
      <w:suppressAutoHyphens/>
      <w:rPr>
        <w:b/>
      </w:rPr>
    </w:pPr>
    <w:r>
      <w:rPr>
        <w:b/>
      </w:rPr>
      <w:t xml:space="preserve">                                                 </w:t>
    </w:r>
    <w:r w:rsidR="005A7904">
      <w:rPr>
        <w:b/>
      </w:rPr>
      <w:t xml:space="preserve">     Federal Communications Commission               </w:t>
    </w:r>
    <w:r w:rsidR="00533F56">
      <w:rPr>
        <w:b/>
      </w:rPr>
      <w:tab/>
    </w:r>
    <w:r>
      <w:rPr>
        <w:b/>
      </w:rPr>
      <w:t xml:space="preserve">     </w:t>
    </w:r>
    <w:r w:rsidR="005A7904">
      <w:rPr>
        <w:b/>
      </w:rPr>
      <w:t>DA</w:t>
    </w:r>
    <w:r w:rsidR="008E64D2">
      <w:rPr>
        <w:b/>
      </w:rPr>
      <w:t xml:space="preserve"> </w:t>
    </w:r>
    <w:r w:rsidRPr="00F84B10" w:rsidR="00F84B10">
      <w:rPr>
        <w:b/>
      </w:rPr>
      <w:t>17-1222</w:t>
    </w:r>
  </w:p>
  <w:p w:rsidR="00860FC2" w14:paraId="524650C5" w14:textId="77777777">
    <w:pPr>
      <w:tabs>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txbx>
                      <w:txbxContent>
                        <w:p w:rsidR="00860FC2"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860FC2" w14:paraId="33DCBC57" w14:textId="77777777"/>
                </w:txbxContent>
              </v:textbox>
              <w10:wrap anchorx="margin"/>
            </v:rect>
          </w:pict>
        </mc:Fallback>
      </mc:AlternateContent>
    </w:r>
  </w:p>
  <w:p w:rsidR="00860FC2" w14:paraId="6E956D3B" w14:textId="77777777">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9943FF0"/>
    <w:multiLevelType w:val="hybridMultilevel"/>
    <w:tmpl w:val="DFF8C5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8E1E95"/>
    <w:multiLevelType w:val="singleLevel"/>
    <w:tmpl w:val="04090001"/>
    <w:lvl w:ilvl="0">
      <w:start w:val="1"/>
      <w:numFmt w:val="bullet"/>
      <w:lvlText w:val=""/>
      <w:lvlJc w:val="left"/>
      <w:pPr>
        <w:ind w:left="1170" w:hanging="360"/>
      </w:pPr>
      <w:rPr>
        <w:rFonts w:ascii="Symbol" w:hAnsi="Symbol" w:hint="default"/>
      </w:rPr>
    </w:lvl>
  </w:abstractNum>
  <w:abstractNum w:abstractNumId="8">
    <w:nsid w:val="6734152A"/>
    <w:multiLevelType w:val="hybridMultilevel"/>
    <w:tmpl w:val="4F70D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1AA491E"/>
    <w:multiLevelType w:val="hybridMultilevel"/>
    <w:tmpl w:val="DFF8C5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6"/>
  </w:num>
  <w:num w:numId="6">
    <w:abstractNumId w:val="5"/>
  </w:num>
  <w:num w:numId="7">
    <w:abstractNumId w:val="9"/>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D2"/>
    <w:rsid w:val="00003921"/>
    <w:rsid w:val="00003ADF"/>
    <w:rsid w:val="000050C0"/>
    <w:rsid w:val="000107DE"/>
    <w:rsid w:val="00010C8F"/>
    <w:rsid w:val="0001479B"/>
    <w:rsid w:val="00025F30"/>
    <w:rsid w:val="0003521D"/>
    <w:rsid w:val="0004460E"/>
    <w:rsid w:val="00056FF1"/>
    <w:rsid w:val="00057CA5"/>
    <w:rsid w:val="00064130"/>
    <w:rsid w:val="0006535D"/>
    <w:rsid w:val="000725E3"/>
    <w:rsid w:val="00081C92"/>
    <w:rsid w:val="0009402E"/>
    <w:rsid w:val="000A21E7"/>
    <w:rsid w:val="000A3ED5"/>
    <w:rsid w:val="000A4A2E"/>
    <w:rsid w:val="000A68FF"/>
    <w:rsid w:val="000B244F"/>
    <w:rsid w:val="000B420B"/>
    <w:rsid w:val="000B7C5E"/>
    <w:rsid w:val="000C102D"/>
    <w:rsid w:val="000C3B45"/>
    <w:rsid w:val="000C7426"/>
    <w:rsid w:val="000D112E"/>
    <w:rsid w:val="000E1059"/>
    <w:rsid w:val="000E3F12"/>
    <w:rsid w:val="000E5B03"/>
    <w:rsid w:val="000E5B21"/>
    <w:rsid w:val="000E6599"/>
    <w:rsid w:val="000E710C"/>
    <w:rsid w:val="000F2CF0"/>
    <w:rsid w:val="00103ADC"/>
    <w:rsid w:val="00110D32"/>
    <w:rsid w:val="001130D3"/>
    <w:rsid w:val="00114FD8"/>
    <w:rsid w:val="00115B92"/>
    <w:rsid w:val="00121B1D"/>
    <w:rsid w:val="00121D20"/>
    <w:rsid w:val="00123B53"/>
    <w:rsid w:val="00133A9A"/>
    <w:rsid w:val="00135A87"/>
    <w:rsid w:val="001440D1"/>
    <w:rsid w:val="001522A6"/>
    <w:rsid w:val="00153B77"/>
    <w:rsid w:val="0015700E"/>
    <w:rsid w:val="00163E2A"/>
    <w:rsid w:val="00165DE8"/>
    <w:rsid w:val="0018326B"/>
    <w:rsid w:val="001A1439"/>
    <w:rsid w:val="001A16E5"/>
    <w:rsid w:val="001A7D7A"/>
    <w:rsid w:val="001B0382"/>
    <w:rsid w:val="001B07F6"/>
    <w:rsid w:val="001B4629"/>
    <w:rsid w:val="001B6B51"/>
    <w:rsid w:val="001C4D55"/>
    <w:rsid w:val="001D315C"/>
    <w:rsid w:val="001D344E"/>
    <w:rsid w:val="001D5D9C"/>
    <w:rsid w:val="001D79A6"/>
    <w:rsid w:val="001E3E3C"/>
    <w:rsid w:val="001F21A9"/>
    <w:rsid w:val="001F39F2"/>
    <w:rsid w:val="001F5479"/>
    <w:rsid w:val="00201B59"/>
    <w:rsid w:val="00202064"/>
    <w:rsid w:val="002045A3"/>
    <w:rsid w:val="0021141A"/>
    <w:rsid w:val="0022737D"/>
    <w:rsid w:val="00234166"/>
    <w:rsid w:val="00234505"/>
    <w:rsid w:val="00236618"/>
    <w:rsid w:val="002408E5"/>
    <w:rsid w:val="00241436"/>
    <w:rsid w:val="0024357A"/>
    <w:rsid w:val="00245280"/>
    <w:rsid w:val="00245C63"/>
    <w:rsid w:val="00245E1C"/>
    <w:rsid w:val="00246051"/>
    <w:rsid w:val="00247E37"/>
    <w:rsid w:val="002571D0"/>
    <w:rsid w:val="002672C0"/>
    <w:rsid w:val="00270161"/>
    <w:rsid w:val="002757C0"/>
    <w:rsid w:val="00283CE7"/>
    <w:rsid w:val="00290DFC"/>
    <w:rsid w:val="00290F37"/>
    <w:rsid w:val="002928A0"/>
    <w:rsid w:val="00295899"/>
    <w:rsid w:val="002970CD"/>
    <w:rsid w:val="002A2E26"/>
    <w:rsid w:val="002B3605"/>
    <w:rsid w:val="002B4090"/>
    <w:rsid w:val="002B7439"/>
    <w:rsid w:val="002B7C38"/>
    <w:rsid w:val="002C2F1A"/>
    <w:rsid w:val="002C6C4C"/>
    <w:rsid w:val="002D267F"/>
    <w:rsid w:val="002D7ECC"/>
    <w:rsid w:val="002E0BCD"/>
    <w:rsid w:val="002E281E"/>
    <w:rsid w:val="002E3057"/>
    <w:rsid w:val="002E3735"/>
    <w:rsid w:val="002E53D4"/>
    <w:rsid w:val="003005D2"/>
    <w:rsid w:val="003007CC"/>
    <w:rsid w:val="003015AB"/>
    <w:rsid w:val="00311B80"/>
    <w:rsid w:val="003231F0"/>
    <w:rsid w:val="0032564E"/>
    <w:rsid w:val="00333610"/>
    <w:rsid w:val="00333E4C"/>
    <w:rsid w:val="003356AB"/>
    <w:rsid w:val="00336B68"/>
    <w:rsid w:val="00350EBF"/>
    <w:rsid w:val="00351CB8"/>
    <w:rsid w:val="00363B5A"/>
    <w:rsid w:val="003662D2"/>
    <w:rsid w:val="00371594"/>
    <w:rsid w:val="00372509"/>
    <w:rsid w:val="00375144"/>
    <w:rsid w:val="00377354"/>
    <w:rsid w:val="00380735"/>
    <w:rsid w:val="00381C17"/>
    <w:rsid w:val="00383F7C"/>
    <w:rsid w:val="003864A3"/>
    <w:rsid w:val="003902F5"/>
    <w:rsid w:val="00390C47"/>
    <w:rsid w:val="003934E7"/>
    <w:rsid w:val="00394262"/>
    <w:rsid w:val="003A6852"/>
    <w:rsid w:val="003B0177"/>
    <w:rsid w:val="003B7CD5"/>
    <w:rsid w:val="003B7EF9"/>
    <w:rsid w:val="003C1353"/>
    <w:rsid w:val="003C2741"/>
    <w:rsid w:val="003C48C7"/>
    <w:rsid w:val="003C492D"/>
    <w:rsid w:val="003D0793"/>
    <w:rsid w:val="003D2983"/>
    <w:rsid w:val="003F400A"/>
    <w:rsid w:val="003F7009"/>
    <w:rsid w:val="0040064C"/>
    <w:rsid w:val="00403E48"/>
    <w:rsid w:val="004105FB"/>
    <w:rsid w:val="004125F9"/>
    <w:rsid w:val="00427900"/>
    <w:rsid w:val="004343A7"/>
    <w:rsid w:val="00435CB8"/>
    <w:rsid w:val="00445854"/>
    <w:rsid w:val="00447FB5"/>
    <w:rsid w:val="004515D1"/>
    <w:rsid w:val="0045162B"/>
    <w:rsid w:val="00453218"/>
    <w:rsid w:val="004538C1"/>
    <w:rsid w:val="00454114"/>
    <w:rsid w:val="004566C7"/>
    <w:rsid w:val="00470E7E"/>
    <w:rsid w:val="004710D7"/>
    <w:rsid w:val="00471A4D"/>
    <w:rsid w:val="00473540"/>
    <w:rsid w:val="00482BEC"/>
    <w:rsid w:val="00483616"/>
    <w:rsid w:val="00487FE5"/>
    <w:rsid w:val="004900B6"/>
    <w:rsid w:val="00494FDA"/>
    <w:rsid w:val="004962E6"/>
    <w:rsid w:val="004B3624"/>
    <w:rsid w:val="004B3B59"/>
    <w:rsid w:val="004B7FB1"/>
    <w:rsid w:val="004C61BE"/>
    <w:rsid w:val="004D3A12"/>
    <w:rsid w:val="004E12B2"/>
    <w:rsid w:val="004E144C"/>
    <w:rsid w:val="004E32BB"/>
    <w:rsid w:val="004E6486"/>
    <w:rsid w:val="00504E3D"/>
    <w:rsid w:val="00507A46"/>
    <w:rsid w:val="00514502"/>
    <w:rsid w:val="00521719"/>
    <w:rsid w:val="005255D1"/>
    <w:rsid w:val="00533F56"/>
    <w:rsid w:val="00536043"/>
    <w:rsid w:val="005361FA"/>
    <w:rsid w:val="005371DB"/>
    <w:rsid w:val="005445C1"/>
    <w:rsid w:val="005473A0"/>
    <w:rsid w:val="0055053B"/>
    <w:rsid w:val="00550D2F"/>
    <w:rsid w:val="00554E1D"/>
    <w:rsid w:val="00563BB8"/>
    <w:rsid w:val="00565522"/>
    <w:rsid w:val="005707E5"/>
    <w:rsid w:val="00572896"/>
    <w:rsid w:val="005828F9"/>
    <w:rsid w:val="00594D02"/>
    <w:rsid w:val="005962E3"/>
    <w:rsid w:val="005A6346"/>
    <w:rsid w:val="005A7602"/>
    <w:rsid w:val="005A7904"/>
    <w:rsid w:val="005B0092"/>
    <w:rsid w:val="005C0D59"/>
    <w:rsid w:val="005C2EC0"/>
    <w:rsid w:val="005C7B84"/>
    <w:rsid w:val="005E00E0"/>
    <w:rsid w:val="005E4F25"/>
    <w:rsid w:val="005E69AB"/>
    <w:rsid w:val="005F2AE5"/>
    <w:rsid w:val="005F2C55"/>
    <w:rsid w:val="005F42CB"/>
    <w:rsid w:val="0060223E"/>
    <w:rsid w:val="00602E69"/>
    <w:rsid w:val="0060481E"/>
    <w:rsid w:val="006101ED"/>
    <w:rsid w:val="006156F7"/>
    <w:rsid w:val="00616DEF"/>
    <w:rsid w:val="0062131B"/>
    <w:rsid w:val="006217D6"/>
    <w:rsid w:val="006232D8"/>
    <w:rsid w:val="0062724D"/>
    <w:rsid w:val="00630E05"/>
    <w:rsid w:val="00644134"/>
    <w:rsid w:val="006454FD"/>
    <w:rsid w:val="00655915"/>
    <w:rsid w:val="00661CAD"/>
    <w:rsid w:val="00662127"/>
    <w:rsid w:val="00663AD8"/>
    <w:rsid w:val="00663C8B"/>
    <w:rsid w:val="006708A9"/>
    <w:rsid w:val="00670DC0"/>
    <w:rsid w:val="00671FC8"/>
    <w:rsid w:val="00672E17"/>
    <w:rsid w:val="00674903"/>
    <w:rsid w:val="00674E95"/>
    <w:rsid w:val="006761B1"/>
    <w:rsid w:val="0067694C"/>
    <w:rsid w:val="00681468"/>
    <w:rsid w:val="00687D37"/>
    <w:rsid w:val="00691401"/>
    <w:rsid w:val="00693A6D"/>
    <w:rsid w:val="00693FBE"/>
    <w:rsid w:val="00694655"/>
    <w:rsid w:val="006A3EBF"/>
    <w:rsid w:val="006A4FA0"/>
    <w:rsid w:val="006A5830"/>
    <w:rsid w:val="006A605B"/>
    <w:rsid w:val="006A68F8"/>
    <w:rsid w:val="006C519D"/>
    <w:rsid w:val="006D3FC4"/>
    <w:rsid w:val="006D5461"/>
    <w:rsid w:val="006F25C6"/>
    <w:rsid w:val="0070040F"/>
    <w:rsid w:val="00703217"/>
    <w:rsid w:val="00705FF8"/>
    <w:rsid w:val="00707D39"/>
    <w:rsid w:val="007229AE"/>
    <w:rsid w:val="00723676"/>
    <w:rsid w:val="00726234"/>
    <w:rsid w:val="00726FAB"/>
    <w:rsid w:val="007274B5"/>
    <w:rsid w:val="0073102E"/>
    <w:rsid w:val="007330A7"/>
    <w:rsid w:val="00733DE7"/>
    <w:rsid w:val="0073526F"/>
    <w:rsid w:val="00735DCC"/>
    <w:rsid w:val="00743464"/>
    <w:rsid w:val="007439A7"/>
    <w:rsid w:val="00746C81"/>
    <w:rsid w:val="007540A9"/>
    <w:rsid w:val="00756B6B"/>
    <w:rsid w:val="007666FB"/>
    <w:rsid w:val="00766742"/>
    <w:rsid w:val="0077332D"/>
    <w:rsid w:val="00773F28"/>
    <w:rsid w:val="00776167"/>
    <w:rsid w:val="0078377E"/>
    <w:rsid w:val="00794496"/>
    <w:rsid w:val="00796BB8"/>
    <w:rsid w:val="007971B1"/>
    <w:rsid w:val="007A4BA5"/>
    <w:rsid w:val="007A595E"/>
    <w:rsid w:val="007B09B6"/>
    <w:rsid w:val="007B1FD3"/>
    <w:rsid w:val="007B32A2"/>
    <w:rsid w:val="007C1C14"/>
    <w:rsid w:val="007C4D13"/>
    <w:rsid w:val="007C796A"/>
    <w:rsid w:val="007D1CB0"/>
    <w:rsid w:val="007D58A5"/>
    <w:rsid w:val="007D608E"/>
    <w:rsid w:val="007D7AEE"/>
    <w:rsid w:val="007E5A79"/>
    <w:rsid w:val="007F06D6"/>
    <w:rsid w:val="007F7D95"/>
    <w:rsid w:val="00802541"/>
    <w:rsid w:val="00803376"/>
    <w:rsid w:val="00804413"/>
    <w:rsid w:val="00810795"/>
    <w:rsid w:val="0081428E"/>
    <w:rsid w:val="00814E1A"/>
    <w:rsid w:val="00817887"/>
    <w:rsid w:val="008323C8"/>
    <w:rsid w:val="008375E5"/>
    <w:rsid w:val="00837D08"/>
    <w:rsid w:val="0085000D"/>
    <w:rsid w:val="0085353D"/>
    <w:rsid w:val="00854000"/>
    <w:rsid w:val="008542BE"/>
    <w:rsid w:val="00855886"/>
    <w:rsid w:val="00860FC2"/>
    <w:rsid w:val="00864EF7"/>
    <w:rsid w:val="00870C64"/>
    <w:rsid w:val="0087510B"/>
    <w:rsid w:val="00880C7F"/>
    <w:rsid w:val="00886978"/>
    <w:rsid w:val="00887F82"/>
    <w:rsid w:val="008908FB"/>
    <w:rsid w:val="0089328A"/>
    <w:rsid w:val="00895843"/>
    <w:rsid w:val="00896775"/>
    <w:rsid w:val="008A06CB"/>
    <w:rsid w:val="008A12E9"/>
    <w:rsid w:val="008A4268"/>
    <w:rsid w:val="008A4B6A"/>
    <w:rsid w:val="008A58F3"/>
    <w:rsid w:val="008C4872"/>
    <w:rsid w:val="008D10B7"/>
    <w:rsid w:val="008D30AB"/>
    <w:rsid w:val="008D4B1F"/>
    <w:rsid w:val="008E1274"/>
    <w:rsid w:val="008E64D2"/>
    <w:rsid w:val="008F1F0A"/>
    <w:rsid w:val="008F3DFA"/>
    <w:rsid w:val="00900DE5"/>
    <w:rsid w:val="00900E0F"/>
    <w:rsid w:val="00904AF4"/>
    <w:rsid w:val="0091118D"/>
    <w:rsid w:val="009315E0"/>
    <w:rsid w:val="00936D19"/>
    <w:rsid w:val="009461DC"/>
    <w:rsid w:val="00950144"/>
    <w:rsid w:val="0095371E"/>
    <w:rsid w:val="009572AE"/>
    <w:rsid w:val="009629BE"/>
    <w:rsid w:val="00966379"/>
    <w:rsid w:val="00981F23"/>
    <w:rsid w:val="00987CA1"/>
    <w:rsid w:val="00990020"/>
    <w:rsid w:val="00990FFB"/>
    <w:rsid w:val="00993E65"/>
    <w:rsid w:val="009A0DD2"/>
    <w:rsid w:val="009A0E32"/>
    <w:rsid w:val="009A0F06"/>
    <w:rsid w:val="009A337A"/>
    <w:rsid w:val="009A7852"/>
    <w:rsid w:val="009B7BBF"/>
    <w:rsid w:val="009C00AB"/>
    <w:rsid w:val="009C7322"/>
    <w:rsid w:val="009D0777"/>
    <w:rsid w:val="009D1CA5"/>
    <w:rsid w:val="009D6653"/>
    <w:rsid w:val="009D697F"/>
    <w:rsid w:val="009D6E43"/>
    <w:rsid w:val="009E0F1D"/>
    <w:rsid w:val="009E3644"/>
    <w:rsid w:val="009E639D"/>
    <w:rsid w:val="009F667F"/>
    <w:rsid w:val="009F7DD3"/>
    <w:rsid w:val="00A00366"/>
    <w:rsid w:val="00A00C72"/>
    <w:rsid w:val="00A06B11"/>
    <w:rsid w:val="00A111F3"/>
    <w:rsid w:val="00A2164E"/>
    <w:rsid w:val="00A27CB8"/>
    <w:rsid w:val="00A309ED"/>
    <w:rsid w:val="00A31068"/>
    <w:rsid w:val="00A54CFF"/>
    <w:rsid w:val="00A57F8A"/>
    <w:rsid w:val="00A6044B"/>
    <w:rsid w:val="00A72197"/>
    <w:rsid w:val="00A72866"/>
    <w:rsid w:val="00A7350F"/>
    <w:rsid w:val="00A73B81"/>
    <w:rsid w:val="00A743DC"/>
    <w:rsid w:val="00A750C0"/>
    <w:rsid w:val="00A770FF"/>
    <w:rsid w:val="00A775AA"/>
    <w:rsid w:val="00A77C65"/>
    <w:rsid w:val="00A83297"/>
    <w:rsid w:val="00A9112A"/>
    <w:rsid w:val="00A93A99"/>
    <w:rsid w:val="00A96826"/>
    <w:rsid w:val="00A975E3"/>
    <w:rsid w:val="00A97C82"/>
    <w:rsid w:val="00AB028C"/>
    <w:rsid w:val="00AB3C11"/>
    <w:rsid w:val="00AB4C6C"/>
    <w:rsid w:val="00AB4E6B"/>
    <w:rsid w:val="00AC10C4"/>
    <w:rsid w:val="00AC5641"/>
    <w:rsid w:val="00AC74CE"/>
    <w:rsid w:val="00AD034A"/>
    <w:rsid w:val="00AD2121"/>
    <w:rsid w:val="00AD2429"/>
    <w:rsid w:val="00AD5D7E"/>
    <w:rsid w:val="00AE1B1D"/>
    <w:rsid w:val="00B02744"/>
    <w:rsid w:val="00B14D87"/>
    <w:rsid w:val="00B15F9D"/>
    <w:rsid w:val="00B20161"/>
    <w:rsid w:val="00B2055A"/>
    <w:rsid w:val="00B20A55"/>
    <w:rsid w:val="00B22B1D"/>
    <w:rsid w:val="00B40946"/>
    <w:rsid w:val="00B43B62"/>
    <w:rsid w:val="00B5590A"/>
    <w:rsid w:val="00B60B61"/>
    <w:rsid w:val="00B66CA8"/>
    <w:rsid w:val="00B74B8D"/>
    <w:rsid w:val="00B74EB3"/>
    <w:rsid w:val="00B838E3"/>
    <w:rsid w:val="00B84C9B"/>
    <w:rsid w:val="00B86018"/>
    <w:rsid w:val="00BA3FD2"/>
    <w:rsid w:val="00BB0641"/>
    <w:rsid w:val="00BB1F38"/>
    <w:rsid w:val="00BB30D8"/>
    <w:rsid w:val="00BC2CA6"/>
    <w:rsid w:val="00BC3D5E"/>
    <w:rsid w:val="00BC4DFA"/>
    <w:rsid w:val="00BD4C1A"/>
    <w:rsid w:val="00BE4664"/>
    <w:rsid w:val="00BF65C4"/>
    <w:rsid w:val="00C00713"/>
    <w:rsid w:val="00C0404D"/>
    <w:rsid w:val="00C11D19"/>
    <w:rsid w:val="00C12748"/>
    <w:rsid w:val="00C14926"/>
    <w:rsid w:val="00C21611"/>
    <w:rsid w:val="00C21E7C"/>
    <w:rsid w:val="00C267DE"/>
    <w:rsid w:val="00C278A3"/>
    <w:rsid w:val="00C35066"/>
    <w:rsid w:val="00C368ED"/>
    <w:rsid w:val="00C41D4F"/>
    <w:rsid w:val="00C45BAB"/>
    <w:rsid w:val="00C4689F"/>
    <w:rsid w:val="00C60E33"/>
    <w:rsid w:val="00C710EC"/>
    <w:rsid w:val="00C9049D"/>
    <w:rsid w:val="00CA0DEC"/>
    <w:rsid w:val="00CA3572"/>
    <w:rsid w:val="00CA6563"/>
    <w:rsid w:val="00CA74EF"/>
    <w:rsid w:val="00CB087A"/>
    <w:rsid w:val="00CC4D0A"/>
    <w:rsid w:val="00CD3F63"/>
    <w:rsid w:val="00CD71E0"/>
    <w:rsid w:val="00CE1F4A"/>
    <w:rsid w:val="00CE2A83"/>
    <w:rsid w:val="00CE2F01"/>
    <w:rsid w:val="00CE5743"/>
    <w:rsid w:val="00CF236D"/>
    <w:rsid w:val="00CF51C6"/>
    <w:rsid w:val="00D00FC0"/>
    <w:rsid w:val="00D024CC"/>
    <w:rsid w:val="00D0524B"/>
    <w:rsid w:val="00D068CE"/>
    <w:rsid w:val="00D2101F"/>
    <w:rsid w:val="00D344AF"/>
    <w:rsid w:val="00D36524"/>
    <w:rsid w:val="00D4309D"/>
    <w:rsid w:val="00D45502"/>
    <w:rsid w:val="00D4567F"/>
    <w:rsid w:val="00D5213F"/>
    <w:rsid w:val="00D60137"/>
    <w:rsid w:val="00D64ACF"/>
    <w:rsid w:val="00D667B0"/>
    <w:rsid w:val="00D70D11"/>
    <w:rsid w:val="00D72E63"/>
    <w:rsid w:val="00D81C6A"/>
    <w:rsid w:val="00D945AA"/>
    <w:rsid w:val="00D972F3"/>
    <w:rsid w:val="00D97ACE"/>
    <w:rsid w:val="00DA016D"/>
    <w:rsid w:val="00DA26C9"/>
    <w:rsid w:val="00DB065E"/>
    <w:rsid w:val="00DB36AE"/>
    <w:rsid w:val="00DC29AE"/>
    <w:rsid w:val="00DC4AFD"/>
    <w:rsid w:val="00DC641E"/>
    <w:rsid w:val="00DD612D"/>
    <w:rsid w:val="00DD6B8A"/>
    <w:rsid w:val="00DD6E43"/>
    <w:rsid w:val="00DD7562"/>
    <w:rsid w:val="00DE5CFF"/>
    <w:rsid w:val="00DE79CB"/>
    <w:rsid w:val="00DF354A"/>
    <w:rsid w:val="00DF6DD6"/>
    <w:rsid w:val="00DF7D90"/>
    <w:rsid w:val="00E00B8B"/>
    <w:rsid w:val="00E02720"/>
    <w:rsid w:val="00E03ACC"/>
    <w:rsid w:val="00E05695"/>
    <w:rsid w:val="00E06D9F"/>
    <w:rsid w:val="00E07AD2"/>
    <w:rsid w:val="00E12F3A"/>
    <w:rsid w:val="00E237BB"/>
    <w:rsid w:val="00E336B4"/>
    <w:rsid w:val="00E34B8C"/>
    <w:rsid w:val="00E4400D"/>
    <w:rsid w:val="00E466F1"/>
    <w:rsid w:val="00E53E8E"/>
    <w:rsid w:val="00E71505"/>
    <w:rsid w:val="00E723C7"/>
    <w:rsid w:val="00E85612"/>
    <w:rsid w:val="00E85D0C"/>
    <w:rsid w:val="00E963AF"/>
    <w:rsid w:val="00E96AFA"/>
    <w:rsid w:val="00EA1885"/>
    <w:rsid w:val="00EA36CC"/>
    <w:rsid w:val="00EB3478"/>
    <w:rsid w:val="00EB7FCC"/>
    <w:rsid w:val="00EC009A"/>
    <w:rsid w:val="00EC221E"/>
    <w:rsid w:val="00EC3273"/>
    <w:rsid w:val="00EC4FA8"/>
    <w:rsid w:val="00EC7C2F"/>
    <w:rsid w:val="00ED1C3F"/>
    <w:rsid w:val="00ED61A6"/>
    <w:rsid w:val="00EE2EE1"/>
    <w:rsid w:val="00EE485F"/>
    <w:rsid w:val="00EF1D5D"/>
    <w:rsid w:val="00EF41F5"/>
    <w:rsid w:val="00EF6A3B"/>
    <w:rsid w:val="00F00B32"/>
    <w:rsid w:val="00F00C74"/>
    <w:rsid w:val="00F01327"/>
    <w:rsid w:val="00F15C08"/>
    <w:rsid w:val="00F17926"/>
    <w:rsid w:val="00F207C1"/>
    <w:rsid w:val="00F347DA"/>
    <w:rsid w:val="00F365EA"/>
    <w:rsid w:val="00F45371"/>
    <w:rsid w:val="00F47258"/>
    <w:rsid w:val="00F47DDF"/>
    <w:rsid w:val="00F57480"/>
    <w:rsid w:val="00F6220D"/>
    <w:rsid w:val="00F64A02"/>
    <w:rsid w:val="00F67B8D"/>
    <w:rsid w:val="00F71172"/>
    <w:rsid w:val="00F71B03"/>
    <w:rsid w:val="00F71BE7"/>
    <w:rsid w:val="00F72607"/>
    <w:rsid w:val="00F7457A"/>
    <w:rsid w:val="00F760C2"/>
    <w:rsid w:val="00F81FD4"/>
    <w:rsid w:val="00F84AFF"/>
    <w:rsid w:val="00F84B10"/>
    <w:rsid w:val="00F86106"/>
    <w:rsid w:val="00F9300D"/>
    <w:rsid w:val="00F9419B"/>
    <w:rsid w:val="00FB472E"/>
    <w:rsid w:val="00FD30AE"/>
    <w:rsid w:val="00FE2748"/>
    <w:rsid w:val="00FE51BC"/>
    <w:rsid w:val="00FF1E7A"/>
    <w:rsid w:val="00FF50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C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723C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723C7"/>
    <w:pPr>
      <w:keepNext/>
      <w:numPr>
        <w:ilvl w:val="1"/>
        <w:numId w:val="3"/>
      </w:numPr>
      <w:spacing w:after="120"/>
      <w:outlineLvl w:val="1"/>
    </w:pPr>
    <w:rPr>
      <w:b/>
    </w:rPr>
  </w:style>
  <w:style w:type="paragraph" w:styleId="Heading3">
    <w:name w:val="heading 3"/>
    <w:basedOn w:val="Normal"/>
    <w:next w:val="ParaNum"/>
    <w:link w:val="Heading3Char"/>
    <w:qFormat/>
    <w:rsid w:val="00E723C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723C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723C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723C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723C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723C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723C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904"/>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D2429"/>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A7904"/>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A7904"/>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A7904"/>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A790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A790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A7904"/>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A7904"/>
    <w:rPr>
      <w:rFonts w:ascii="Times New Roman" w:eastAsia="Times New Roman" w:hAnsi="Times New Roman" w:cs="Times New Roman"/>
      <w:b/>
      <w:snapToGrid w:val="0"/>
      <w:kern w:val="28"/>
      <w:szCs w:val="20"/>
    </w:rPr>
  </w:style>
  <w:style w:type="paragraph" w:customStyle="1" w:styleId="par1">
    <w:name w:val="par1"/>
    <w:basedOn w:val="Normal"/>
    <w:rsid w:val="005A7904"/>
  </w:style>
  <w:style w:type="paragraph" w:styleId="FootnoteText">
    <w:name w:val="footnote text"/>
    <w:aliases w:val="Footnote Text Char Char,Footnote Text Char Char Char,Footnote Text Char Char Char Char Char Char,Footnote Text Char1,Footnote Text Char1 Char,Footnote Text Char1 Char2 Char Char Char,Footnote Text Char2,Footnote Text Char2 Char Char Char,f"/>
    <w:link w:val="FootnoteTextChar"/>
    <w:rsid w:val="00E723C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 Char Char,Footnote Text Char1 Char Char,Footnote Text Char1 Char2 Char Char Char Char,Footnote Text Char2 Char,Footnote Text Char2 Char Char Char Char,f Char"/>
    <w:basedOn w:val="DefaultParagraphFont"/>
    <w:link w:val="FootnoteText"/>
    <w:rsid w:val="005A7904"/>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E723C7"/>
    <w:rPr>
      <w:rFonts w:ascii="Times New Roman" w:hAnsi="Times New Roman"/>
      <w:dstrike w:val="0"/>
      <w:color w:val="auto"/>
      <w:sz w:val="20"/>
      <w:vertAlign w:val="superscript"/>
    </w:rPr>
  </w:style>
  <w:style w:type="paragraph" w:styleId="Header">
    <w:name w:val="header"/>
    <w:basedOn w:val="Normal"/>
    <w:link w:val="HeaderChar"/>
    <w:autoRedefine/>
    <w:rsid w:val="00E723C7"/>
    <w:pPr>
      <w:tabs>
        <w:tab w:val="center" w:pos="4680"/>
        <w:tab w:val="right" w:pos="9360"/>
      </w:tabs>
    </w:pPr>
    <w:rPr>
      <w:b/>
    </w:rPr>
  </w:style>
  <w:style w:type="character" w:customStyle="1" w:styleId="HeaderChar">
    <w:name w:val="Header Char"/>
    <w:basedOn w:val="DefaultParagraphFont"/>
    <w:link w:val="Header"/>
    <w:rsid w:val="005A7904"/>
    <w:rPr>
      <w:rFonts w:ascii="Times New Roman" w:eastAsia="Times New Roman" w:hAnsi="Times New Roman" w:cs="Times New Roman"/>
      <w:b/>
      <w:snapToGrid w:val="0"/>
      <w:kern w:val="28"/>
      <w:szCs w:val="20"/>
    </w:rPr>
  </w:style>
  <w:style w:type="character" w:styleId="PageNumber">
    <w:name w:val="page number"/>
    <w:basedOn w:val="DefaultParagraphFont"/>
    <w:rsid w:val="00E723C7"/>
  </w:style>
  <w:style w:type="paragraph" w:customStyle="1" w:styleId="ParaNum">
    <w:name w:val="ParaNum"/>
    <w:basedOn w:val="Normal"/>
    <w:link w:val="ParaNumChar"/>
    <w:rsid w:val="00E723C7"/>
    <w:pPr>
      <w:numPr>
        <w:numId w:val="2"/>
      </w:numPr>
      <w:tabs>
        <w:tab w:val="clear" w:pos="1080"/>
        <w:tab w:val="num" w:pos="1440"/>
      </w:tabs>
      <w:spacing w:after="120"/>
    </w:pPr>
  </w:style>
  <w:style w:type="character" w:styleId="Hyperlink">
    <w:name w:val="Hyperlink"/>
    <w:rsid w:val="00E723C7"/>
    <w:rPr>
      <w:color w:val="0000FF"/>
      <w:u w:val="single"/>
    </w:rPr>
  </w:style>
  <w:style w:type="character" w:customStyle="1" w:styleId="documentbody1">
    <w:name w:val="documentbody1"/>
    <w:basedOn w:val="DefaultParagraphFont"/>
    <w:rsid w:val="005A7904"/>
    <w:rPr>
      <w:rFonts w:ascii="Verdana" w:hAnsi="Verdana" w:hint="default"/>
      <w:sz w:val="19"/>
      <w:szCs w:val="19"/>
      <w:shd w:val="clear" w:color="auto" w:fill="FFFFFF"/>
    </w:rPr>
  </w:style>
  <w:style w:type="paragraph" w:styleId="ListParagraph">
    <w:name w:val="List Paragraph"/>
    <w:basedOn w:val="Normal"/>
    <w:uiPriority w:val="34"/>
    <w:qFormat/>
    <w:rsid w:val="005A7904"/>
    <w:pPr>
      <w:ind w:left="720"/>
      <w:contextualSpacing/>
    </w:pPr>
  </w:style>
  <w:style w:type="character" w:styleId="CommentReference">
    <w:name w:val="annotation reference"/>
    <w:basedOn w:val="DefaultParagraphFont"/>
    <w:rsid w:val="005A7904"/>
    <w:rPr>
      <w:sz w:val="16"/>
      <w:szCs w:val="16"/>
    </w:rPr>
  </w:style>
  <w:style w:type="paragraph" w:styleId="CommentText">
    <w:name w:val="annotation text"/>
    <w:basedOn w:val="Normal"/>
    <w:link w:val="CommentTextChar"/>
    <w:rsid w:val="005A7904"/>
  </w:style>
  <w:style w:type="character" w:customStyle="1" w:styleId="CommentTextChar">
    <w:name w:val="Comment Text Char"/>
    <w:basedOn w:val="DefaultParagraphFont"/>
    <w:link w:val="CommentText"/>
    <w:rsid w:val="005A7904"/>
    <w:rPr>
      <w:rFonts w:ascii="Times New Roman" w:eastAsia="Times New Roman" w:hAnsi="Times New Roman" w:cs="Times New Roman"/>
      <w:snapToGrid w:val="0"/>
      <w:kern w:val="28"/>
      <w:szCs w:val="20"/>
    </w:rPr>
  </w:style>
  <w:style w:type="character" w:customStyle="1" w:styleId="ParaNumChar">
    <w:name w:val="ParaNum Char"/>
    <w:link w:val="ParaNum"/>
    <w:locked/>
    <w:rsid w:val="005A7904"/>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5A7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04"/>
    <w:rPr>
      <w:rFonts w:ascii="Segoe UI" w:eastAsia="Times New Roman" w:hAnsi="Segoe UI" w:cs="Segoe UI"/>
      <w:snapToGrid w:val="0"/>
      <w:kern w:val="28"/>
      <w:sz w:val="18"/>
      <w:szCs w:val="18"/>
    </w:rPr>
  </w:style>
  <w:style w:type="paragraph" w:styleId="Footer">
    <w:name w:val="footer"/>
    <w:basedOn w:val="Normal"/>
    <w:link w:val="FooterChar"/>
    <w:rsid w:val="00E723C7"/>
    <w:pPr>
      <w:tabs>
        <w:tab w:val="center" w:pos="4320"/>
        <w:tab w:val="right" w:pos="8640"/>
      </w:tabs>
    </w:pPr>
  </w:style>
  <w:style w:type="character" w:customStyle="1" w:styleId="FooterChar">
    <w:name w:val="Footer Char"/>
    <w:basedOn w:val="DefaultParagraphFont"/>
    <w:link w:val="Footer"/>
    <w:rsid w:val="009461DC"/>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CE2A83"/>
    <w:rPr>
      <w:color w:val="800080" w:themeColor="followedHyperlink"/>
      <w:u w:val="single"/>
    </w:rPr>
  </w:style>
  <w:style w:type="character" w:customStyle="1" w:styleId="ALTSFOOTNOTEChar">
    <w:name w:val="ALTS FOOTNOTE Char"/>
    <w:aliases w:val="Footnote Text Char Char2 Char Char Char,Footnote Text Char1 Char Char Char,Footnote Text Char2 Char Char,Footnote Text Char2 Char1 Char Char Char Char Char,Footnote Text Char4 Char Char Char Char Char,fn Char"/>
    <w:basedOn w:val="DefaultParagraphFont"/>
    <w:locked/>
    <w:rsid w:val="00644134"/>
    <w:rPr>
      <w:rFonts w:ascii="Times New Roman" w:eastAsia="Times New Roman" w:hAnsi="Times New Roman" w:cs="Times New Roman"/>
      <w:sz w:val="20"/>
      <w:szCs w:val="20"/>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0E5B03"/>
    <w:rPr>
      <w:sz w:val="20"/>
      <w:szCs w:val="20"/>
    </w:rPr>
  </w:style>
  <w:style w:type="paragraph" w:styleId="CommentSubject">
    <w:name w:val="annotation subject"/>
    <w:basedOn w:val="CommentText"/>
    <w:next w:val="CommentText"/>
    <w:link w:val="CommentSubjectChar"/>
    <w:uiPriority w:val="99"/>
    <w:semiHidden/>
    <w:unhideWhenUsed/>
    <w:rsid w:val="000E5B03"/>
    <w:rPr>
      <w:b/>
      <w:bCs/>
      <w:sz w:val="20"/>
    </w:rPr>
  </w:style>
  <w:style w:type="character" w:customStyle="1" w:styleId="CommentSubjectChar">
    <w:name w:val="Comment Subject Char"/>
    <w:basedOn w:val="CommentTextChar"/>
    <w:link w:val="CommentSubject"/>
    <w:uiPriority w:val="99"/>
    <w:semiHidden/>
    <w:rsid w:val="000E5B03"/>
    <w:rPr>
      <w:rFonts w:ascii="Times New Roman" w:eastAsia="Times New Roman" w:hAnsi="Times New Roman" w:cs="Times New Roman"/>
      <w:b/>
      <w:bCs/>
      <w:snapToGrid w:val="0"/>
      <w:kern w:val="28"/>
      <w:sz w:val="20"/>
      <w:szCs w:val="20"/>
    </w:rPr>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236618"/>
    <w:rPr>
      <w:sz w:val="20"/>
      <w:szCs w:val="20"/>
    </w:rPr>
  </w:style>
  <w:style w:type="paragraph" w:styleId="EndnoteText">
    <w:name w:val="endnote text"/>
    <w:basedOn w:val="Normal"/>
    <w:link w:val="EndnoteTextChar"/>
    <w:semiHidden/>
    <w:rsid w:val="00E723C7"/>
    <w:rPr>
      <w:sz w:val="20"/>
    </w:rPr>
  </w:style>
  <w:style w:type="character" w:customStyle="1" w:styleId="EndnoteTextChar">
    <w:name w:val="Endnote Text Char"/>
    <w:basedOn w:val="DefaultParagraphFont"/>
    <w:link w:val="EndnoteText"/>
    <w:semiHidden/>
    <w:rsid w:val="00202064"/>
    <w:rPr>
      <w:rFonts w:ascii="Times New Roman" w:eastAsia="Times New Roman" w:hAnsi="Times New Roman" w:cs="Times New Roman"/>
      <w:snapToGrid w:val="0"/>
      <w:kern w:val="28"/>
      <w:sz w:val="20"/>
      <w:szCs w:val="20"/>
    </w:rPr>
  </w:style>
  <w:style w:type="character" w:styleId="EndnoteReference">
    <w:name w:val="endnote reference"/>
    <w:semiHidden/>
    <w:rsid w:val="00E723C7"/>
    <w:rPr>
      <w:vertAlign w:val="superscript"/>
    </w:rPr>
  </w:style>
  <w:style w:type="paragraph" w:styleId="TOC1">
    <w:name w:val="toc 1"/>
    <w:basedOn w:val="Normal"/>
    <w:next w:val="Normal"/>
    <w:semiHidden/>
    <w:rsid w:val="00E723C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23C7"/>
    <w:pPr>
      <w:tabs>
        <w:tab w:val="left" w:pos="720"/>
        <w:tab w:val="right" w:leader="dot" w:pos="9360"/>
      </w:tabs>
      <w:suppressAutoHyphens/>
      <w:ind w:left="720" w:right="720" w:hanging="360"/>
    </w:pPr>
    <w:rPr>
      <w:noProof/>
    </w:rPr>
  </w:style>
  <w:style w:type="paragraph" w:styleId="TOC3">
    <w:name w:val="toc 3"/>
    <w:basedOn w:val="Normal"/>
    <w:next w:val="Normal"/>
    <w:semiHidden/>
    <w:rsid w:val="00E723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23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23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23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23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23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23C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23C7"/>
    <w:pPr>
      <w:tabs>
        <w:tab w:val="right" w:pos="9360"/>
      </w:tabs>
      <w:suppressAutoHyphens/>
    </w:pPr>
  </w:style>
  <w:style w:type="character" w:customStyle="1" w:styleId="EquationCaption">
    <w:name w:val="_Equation Caption"/>
    <w:rsid w:val="00E723C7"/>
  </w:style>
  <w:style w:type="paragraph" w:styleId="BlockText">
    <w:name w:val="Block Text"/>
    <w:basedOn w:val="Normal"/>
    <w:rsid w:val="00E723C7"/>
    <w:pPr>
      <w:spacing w:after="240"/>
      <w:ind w:left="1440" w:right="1440"/>
    </w:pPr>
  </w:style>
  <w:style w:type="paragraph" w:customStyle="1" w:styleId="Paratitle">
    <w:name w:val="Para title"/>
    <w:basedOn w:val="Normal"/>
    <w:rsid w:val="00E723C7"/>
    <w:pPr>
      <w:tabs>
        <w:tab w:val="center" w:pos="9270"/>
      </w:tabs>
      <w:spacing w:after="240"/>
    </w:pPr>
    <w:rPr>
      <w:spacing w:val="-2"/>
    </w:rPr>
  </w:style>
  <w:style w:type="paragraph" w:customStyle="1" w:styleId="Bullet">
    <w:name w:val="Bullet"/>
    <w:basedOn w:val="Normal"/>
    <w:rsid w:val="00E723C7"/>
    <w:pPr>
      <w:tabs>
        <w:tab w:val="left" w:pos="2160"/>
      </w:tabs>
      <w:spacing w:after="220"/>
      <w:ind w:left="2160" w:hanging="720"/>
    </w:pPr>
  </w:style>
  <w:style w:type="paragraph" w:customStyle="1" w:styleId="TableFormat">
    <w:name w:val="TableFormat"/>
    <w:basedOn w:val="Bullet"/>
    <w:rsid w:val="00E723C7"/>
    <w:pPr>
      <w:tabs>
        <w:tab w:val="clear" w:pos="2160"/>
        <w:tab w:val="left" w:pos="5040"/>
      </w:tabs>
      <w:ind w:left="5040" w:hanging="3600"/>
    </w:pPr>
  </w:style>
  <w:style w:type="paragraph" w:customStyle="1" w:styleId="TOCTitle">
    <w:name w:val="TOC Title"/>
    <w:basedOn w:val="Normal"/>
    <w:rsid w:val="00E723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23C7"/>
    <w:pPr>
      <w:jc w:val="center"/>
    </w:pPr>
    <w:rPr>
      <w:rFonts w:ascii="Times New Roman Bold" w:hAnsi="Times New Roman Bold"/>
      <w:b/>
      <w:bCs/>
      <w:caps/>
      <w:szCs w:val="22"/>
    </w:rPr>
  </w:style>
  <w:style w:type="character" w:customStyle="1" w:styleId="Mention">
    <w:name w:val="Mention"/>
    <w:basedOn w:val="DefaultParagraphFont"/>
    <w:uiPriority w:val="99"/>
    <w:semiHidden/>
    <w:unhideWhenUsed/>
    <w:rsid w:val="00AE1B1D"/>
    <w:rPr>
      <w:color w:val="2B579A"/>
      <w:shd w:val="clear" w:color="auto" w:fill="E6E6E6"/>
    </w:rPr>
  </w:style>
  <w:style w:type="paragraph" w:styleId="Revision">
    <w:name w:val="Revision"/>
    <w:hidden/>
    <w:uiPriority w:val="99"/>
    <w:semiHidden/>
    <w:rsid w:val="00671FC8"/>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A63B-5AAA-4A85-8505-A699B754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2017-12-19T15:37:15Z</dcterms:created>
  <dcterms:modified xsi:type="dcterms:W3CDTF">2017-12-19T15:37:15Z</dcterms:modified>
</cp:coreProperties>
</file>