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1D63" w:rsidRPr="0072606B" w:rsidP="000542A7" w14:paraId="242FB07E" w14:textId="77777777">
      <w:pPr>
        <w:widowControl/>
        <w:jc w:val="right"/>
        <w:rPr>
          <w:color w:val="000000" w:themeColor="text1"/>
          <w:szCs w:val="22"/>
        </w:rPr>
      </w:pPr>
      <w:bookmarkStart w:id="0" w:name="_GoBack"/>
      <w:bookmarkEnd w:id="0"/>
    </w:p>
    <w:p w:rsidR="0069341C" w:rsidRPr="0072606B" w:rsidP="004C1772" w14:paraId="6041E1D6" w14:textId="5840AC92">
      <w:pPr>
        <w:widowControl/>
        <w:tabs>
          <w:tab w:val="left" w:pos="6120"/>
        </w:tabs>
        <w:jc w:val="right"/>
        <w:rPr>
          <w:b/>
          <w:color w:val="000000" w:themeColor="text1"/>
          <w:szCs w:val="22"/>
        </w:rPr>
      </w:pPr>
      <w:r>
        <w:rPr>
          <w:b/>
          <w:color w:val="000000" w:themeColor="text1"/>
          <w:szCs w:val="22"/>
        </w:rPr>
        <w:t xml:space="preserve">                              </w:t>
      </w:r>
      <w:r w:rsidR="00663138">
        <w:rPr>
          <w:b/>
          <w:color w:val="000000" w:themeColor="text1"/>
          <w:szCs w:val="22"/>
        </w:rPr>
        <w:t xml:space="preserve">                                </w:t>
      </w:r>
      <w:r w:rsidRPr="0072606B" w:rsidR="00613D0B">
        <w:rPr>
          <w:b/>
          <w:color w:val="000000" w:themeColor="text1"/>
          <w:szCs w:val="22"/>
        </w:rPr>
        <w:t xml:space="preserve">DA </w:t>
      </w:r>
      <w:r w:rsidR="00BF4726">
        <w:rPr>
          <w:b/>
          <w:color w:val="000000" w:themeColor="text1"/>
          <w:szCs w:val="22"/>
        </w:rPr>
        <w:t>17</w:t>
      </w:r>
      <w:r>
        <w:rPr>
          <w:b/>
          <w:color w:val="000000" w:themeColor="text1"/>
          <w:szCs w:val="22"/>
        </w:rPr>
        <w:t>-12</w:t>
      </w:r>
      <w:r w:rsidR="00663138">
        <w:rPr>
          <w:b/>
          <w:color w:val="000000" w:themeColor="text1"/>
          <w:szCs w:val="22"/>
        </w:rPr>
        <w:t>27</w:t>
      </w:r>
      <w:r w:rsidRPr="0072606B">
        <w:rPr>
          <w:b/>
          <w:color w:val="000000" w:themeColor="text1"/>
          <w:szCs w:val="22"/>
        </w:rPr>
        <w:tab/>
      </w:r>
    </w:p>
    <w:p w:rsidR="00DE1D63" w:rsidRPr="0072606B" w:rsidP="004C1772" w14:paraId="003FD4D9" w14:textId="4D7A4DED">
      <w:pPr>
        <w:widowControl/>
        <w:tabs>
          <w:tab w:val="left" w:pos="6120"/>
        </w:tabs>
        <w:jc w:val="right"/>
        <w:rPr>
          <w:b/>
          <w:color w:val="000000" w:themeColor="text1"/>
          <w:szCs w:val="22"/>
        </w:rPr>
      </w:pPr>
      <w:r w:rsidRPr="0072606B">
        <w:rPr>
          <w:b/>
          <w:color w:val="000000" w:themeColor="text1"/>
          <w:szCs w:val="22"/>
        </w:rPr>
        <w:tab/>
      </w:r>
      <w:r w:rsidR="00053731">
        <w:rPr>
          <w:b/>
          <w:color w:val="000000" w:themeColor="text1"/>
          <w:szCs w:val="22"/>
        </w:rPr>
        <w:t xml:space="preserve"> </w:t>
      </w:r>
      <w:r w:rsidRPr="0072606B" w:rsidR="0069401E">
        <w:rPr>
          <w:b/>
          <w:color w:val="000000" w:themeColor="text1"/>
          <w:szCs w:val="22"/>
        </w:rPr>
        <w:t xml:space="preserve">Released: </w:t>
      </w:r>
      <w:r w:rsidR="00AD6274">
        <w:rPr>
          <w:b/>
          <w:color w:val="000000" w:themeColor="text1"/>
          <w:szCs w:val="22"/>
        </w:rPr>
        <w:t>December 2</w:t>
      </w:r>
      <w:r w:rsidR="00577703">
        <w:rPr>
          <w:b/>
          <w:color w:val="000000" w:themeColor="text1"/>
          <w:szCs w:val="22"/>
        </w:rPr>
        <w:t>0</w:t>
      </w:r>
      <w:r w:rsidR="00AD6274">
        <w:rPr>
          <w:b/>
          <w:color w:val="000000" w:themeColor="text1"/>
          <w:szCs w:val="22"/>
        </w:rPr>
        <w:t>, 2017</w:t>
      </w:r>
    </w:p>
    <w:p w:rsidR="00F83F84" w:rsidP="006A0B39" w14:paraId="795C960C" w14:textId="77777777">
      <w:pPr>
        <w:jc w:val="right"/>
        <w:rPr>
          <w:b/>
          <w:szCs w:val="22"/>
        </w:rPr>
      </w:pPr>
    </w:p>
    <w:p w:rsidR="006A0B39" w:rsidP="006A0B39" w14:paraId="449AFBD1" w14:textId="6E89B737">
      <w:pPr>
        <w:jc w:val="center"/>
        <w:rPr>
          <w:b/>
          <w:szCs w:val="22"/>
        </w:rPr>
      </w:pPr>
      <w:r>
        <w:rPr>
          <w:b/>
          <w:szCs w:val="22"/>
        </w:rPr>
        <w:t>MEDIA BUREAU FREEZE</w:t>
      </w:r>
      <w:r w:rsidR="00AD6274">
        <w:rPr>
          <w:b/>
          <w:szCs w:val="22"/>
        </w:rPr>
        <w:t>S</w:t>
      </w:r>
      <w:r>
        <w:rPr>
          <w:b/>
          <w:szCs w:val="22"/>
        </w:rPr>
        <w:t xml:space="preserve"> THE FILING OF MINOR CHANGE APPLICATIONS FOR LPTV/TRANSLATOR STATIONS </w:t>
      </w:r>
    </w:p>
    <w:p w:rsidR="00E65E83" w:rsidRPr="006E0E29" w:rsidP="000542A7" w14:paraId="6039399F" w14:textId="77777777">
      <w:pPr>
        <w:widowControl/>
        <w:jc w:val="center"/>
        <w:rPr>
          <w:b/>
          <w:szCs w:val="22"/>
        </w:rPr>
      </w:pPr>
      <w:r w:rsidRPr="006E0E29">
        <w:rPr>
          <w:b/>
          <w:szCs w:val="22"/>
        </w:rPr>
        <w:t>MB Docket No. 16-306</w:t>
      </w:r>
    </w:p>
    <w:p w:rsidR="00E65E83" w:rsidP="000542A7" w14:paraId="0E646E85" w14:textId="0F7CD2D1">
      <w:pPr>
        <w:widowControl/>
        <w:jc w:val="center"/>
        <w:rPr>
          <w:b/>
          <w:szCs w:val="22"/>
        </w:rPr>
      </w:pPr>
      <w:r w:rsidRPr="006E0E29">
        <w:rPr>
          <w:b/>
          <w:szCs w:val="22"/>
        </w:rPr>
        <w:t>GN Docket No. 12-268</w:t>
      </w:r>
    </w:p>
    <w:p w:rsidR="002E49AE" w:rsidRPr="004C1772" w:rsidP="006A0B39" w14:paraId="2760D907" w14:textId="264E75D1">
      <w:pPr>
        <w:widowControl/>
        <w:numPr>
          <w:ilvl w:val="0"/>
          <w:numId w:val="13"/>
        </w:numPr>
        <w:spacing w:before="120" w:after="120"/>
        <w:ind w:left="0" w:firstLine="810"/>
        <w:rPr>
          <w:szCs w:val="22"/>
        </w:rPr>
      </w:pPr>
      <w:r w:rsidRPr="006A0B39">
        <w:rPr>
          <w:snapToGrid/>
          <w:kern w:val="0"/>
          <w:szCs w:val="22"/>
        </w:rPr>
        <w:t>Effective immediately, the Media Bureau</w:t>
      </w:r>
      <w:r>
        <w:rPr>
          <w:snapToGrid/>
          <w:kern w:val="0"/>
          <w:szCs w:val="22"/>
        </w:rPr>
        <w:t xml:space="preserve"> </w:t>
      </w:r>
      <w:r w:rsidRPr="00CA3944" w:rsidR="00AD6274">
        <w:rPr>
          <w:sz w:val="24"/>
          <w:szCs w:val="24"/>
        </w:rPr>
        <w:t>will no</w:t>
      </w:r>
      <w:r w:rsidR="0035070C">
        <w:rPr>
          <w:sz w:val="24"/>
          <w:szCs w:val="24"/>
        </w:rPr>
        <w:t xml:space="preserve"> longer</w:t>
      </w:r>
      <w:r w:rsidRPr="00CA3944" w:rsidR="00AD6274">
        <w:rPr>
          <w:sz w:val="24"/>
          <w:szCs w:val="24"/>
        </w:rPr>
        <w:t xml:space="preserve"> accept for </w:t>
      </w:r>
      <w:r w:rsidRPr="006A0B39">
        <w:rPr>
          <w:snapToGrid/>
          <w:kern w:val="0"/>
          <w:szCs w:val="22"/>
        </w:rPr>
        <w:t>filing applications for minor changes for low power television and TV translator stations (referred to collectively as “LPTV/translator stations”).</w:t>
      </w:r>
      <w:r>
        <w:rPr>
          <w:rStyle w:val="FootnoteReference"/>
          <w:snapToGrid/>
          <w:kern w:val="0"/>
          <w:szCs w:val="22"/>
        </w:rPr>
        <w:footnoteReference w:id="3"/>
      </w:r>
      <w:r w:rsidRPr="006A0B39">
        <w:rPr>
          <w:snapToGrid/>
          <w:kern w:val="0"/>
          <w:szCs w:val="22"/>
        </w:rPr>
        <w:t xml:space="preserve">  </w:t>
      </w:r>
      <w:r w:rsidR="006C64B7">
        <w:rPr>
          <w:snapToGrid/>
          <w:kern w:val="0"/>
          <w:szCs w:val="22"/>
        </w:rPr>
        <w:t xml:space="preserve">This action will help to provide a stable </w:t>
      </w:r>
      <w:r w:rsidRPr="006A0B39" w:rsidR="006C64B7">
        <w:rPr>
          <w:szCs w:val="22"/>
        </w:rPr>
        <w:t>database for eligible LPTV/translator stations to identify and apply for available channels</w:t>
      </w:r>
      <w:r w:rsidR="006C64B7">
        <w:rPr>
          <w:szCs w:val="22"/>
        </w:rPr>
        <w:t xml:space="preserve"> in an upcoming </w:t>
      </w:r>
      <w:r w:rsidR="00FA1C17">
        <w:rPr>
          <w:szCs w:val="22"/>
        </w:rPr>
        <w:t>d</w:t>
      </w:r>
      <w:r w:rsidR="006C64B7">
        <w:rPr>
          <w:szCs w:val="22"/>
        </w:rPr>
        <w:t xml:space="preserve">isplacement </w:t>
      </w:r>
      <w:r w:rsidR="00FA1C17">
        <w:rPr>
          <w:szCs w:val="22"/>
        </w:rPr>
        <w:t>w</w:t>
      </w:r>
      <w:r w:rsidR="006C64B7">
        <w:rPr>
          <w:szCs w:val="22"/>
        </w:rPr>
        <w:t>indow.</w:t>
      </w:r>
    </w:p>
    <w:p w:rsidR="004C1772" w:rsidP="006A0B39" w14:paraId="29CD24A2" w14:textId="668DDF13">
      <w:pPr>
        <w:widowControl/>
        <w:numPr>
          <w:ilvl w:val="0"/>
          <w:numId w:val="13"/>
        </w:numPr>
        <w:spacing w:before="120" w:after="120"/>
        <w:ind w:left="0" w:firstLine="810"/>
        <w:rPr>
          <w:szCs w:val="22"/>
        </w:rPr>
      </w:pPr>
      <w:r>
        <w:rPr>
          <w:szCs w:val="22"/>
        </w:rPr>
        <w:t>As described in detail in previously released public notices,</w:t>
      </w:r>
      <w:r>
        <w:rPr>
          <w:rStyle w:val="FootnoteReference"/>
          <w:szCs w:val="22"/>
        </w:rPr>
        <w:footnoteReference w:id="4"/>
      </w:r>
      <w:r>
        <w:rPr>
          <w:szCs w:val="22"/>
        </w:rPr>
        <w:t xml:space="preserve"> t</w:t>
      </w:r>
      <w:r w:rsidRPr="006A0B39" w:rsidR="006A0B39">
        <w:rPr>
          <w:szCs w:val="22"/>
        </w:rPr>
        <w:t>he Commission has directed the Media Bureau to announce a Special Displacement Window for operating</w:t>
      </w:r>
      <w:r>
        <w:rPr>
          <w:rStyle w:val="FootnoteReference"/>
          <w:szCs w:val="22"/>
        </w:rPr>
        <w:footnoteReference w:id="5"/>
      </w:r>
      <w:r w:rsidRPr="006A0B39" w:rsidR="006A0B39">
        <w:rPr>
          <w:szCs w:val="22"/>
        </w:rPr>
        <w:t xml:space="preserve"> LPTV/translator stations </w:t>
      </w:r>
      <w:r>
        <w:rPr>
          <w:szCs w:val="22"/>
        </w:rPr>
        <w:t>that are displaced by the p</w:t>
      </w:r>
      <w:r>
        <w:t>ost-incentive auction repack to clear the new wireless 600 MHz band.</w:t>
      </w:r>
      <w:r>
        <w:rPr>
          <w:rStyle w:val="FootnoteReference"/>
          <w:szCs w:val="22"/>
        </w:rPr>
        <w:footnoteReference w:id="6"/>
      </w:r>
      <w:r w:rsidRPr="006A0B39" w:rsidR="006A0B39">
        <w:rPr>
          <w:szCs w:val="22"/>
        </w:rPr>
        <w:t xml:space="preserve"> </w:t>
      </w:r>
      <w:r w:rsidR="00FA1C17">
        <w:rPr>
          <w:szCs w:val="22"/>
        </w:rPr>
        <w:t xml:space="preserve"> </w:t>
      </w:r>
      <w:r w:rsidR="0048456C">
        <w:rPr>
          <w:szCs w:val="22"/>
        </w:rPr>
        <w:t xml:space="preserve">In addition, </w:t>
      </w:r>
      <w:r w:rsidR="00402561">
        <w:rPr>
          <w:szCs w:val="22"/>
        </w:rPr>
        <w:t>the Commission</w:t>
      </w:r>
      <w:r w:rsidR="0048456C">
        <w:rPr>
          <w:szCs w:val="22"/>
        </w:rPr>
        <w:t xml:space="preserve"> directed that </w:t>
      </w:r>
      <w:r w:rsidR="006E11CC">
        <w:rPr>
          <w:szCs w:val="22"/>
        </w:rPr>
        <w:t xml:space="preserve">60 </w:t>
      </w:r>
      <w:r w:rsidRPr="006A0B39" w:rsidR="006A0B39">
        <w:rPr>
          <w:szCs w:val="22"/>
        </w:rPr>
        <w:t xml:space="preserve">days prior to the opening of the Special Displacement Window, a public notice </w:t>
      </w:r>
      <w:r w:rsidR="00F55F02">
        <w:rPr>
          <w:szCs w:val="22"/>
        </w:rPr>
        <w:t>should be issue</w:t>
      </w:r>
      <w:r w:rsidR="006E11CC">
        <w:rPr>
          <w:szCs w:val="22"/>
        </w:rPr>
        <w:t>d</w:t>
      </w:r>
      <w:r w:rsidR="00F55F02">
        <w:rPr>
          <w:szCs w:val="22"/>
        </w:rPr>
        <w:t xml:space="preserve"> to </w:t>
      </w:r>
      <w:r w:rsidRPr="006A0B39" w:rsidR="006A0B39">
        <w:rPr>
          <w:szCs w:val="22"/>
        </w:rPr>
        <w:t xml:space="preserve">provide data identifying locations and channels where LPTV/translator </w:t>
      </w:r>
      <w:r w:rsidRPr="006A0B39" w:rsidR="006A0B39">
        <w:rPr>
          <w:szCs w:val="22"/>
        </w:rPr>
        <w:t>stations likely cannot propose displacement facilities because of the presence of other non-displaced LPTV/translator stations, full power and Class A television stations, and land mobile</w:t>
      </w:r>
      <w:r w:rsidR="006A0B39">
        <w:rPr>
          <w:szCs w:val="22"/>
        </w:rPr>
        <w:t xml:space="preserve"> operations</w:t>
      </w:r>
      <w:r w:rsidRPr="006A0B39" w:rsidR="006A0B39">
        <w:rPr>
          <w:szCs w:val="22"/>
        </w:rPr>
        <w:t>.</w:t>
      </w:r>
      <w:r>
        <w:rPr>
          <w:rStyle w:val="FootnoteReference"/>
          <w:szCs w:val="22"/>
        </w:rPr>
        <w:footnoteReference w:id="7"/>
      </w:r>
    </w:p>
    <w:p w:rsidR="006A0B39" w:rsidRPr="004C1772" w:rsidP="004C1772" w14:paraId="3306168A" w14:textId="50EF7541">
      <w:pPr>
        <w:widowControl/>
        <w:numPr>
          <w:ilvl w:val="0"/>
          <w:numId w:val="13"/>
        </w:numPr>
        <w:spacing w:before="120" w:after="120"/>
        <w:ind w:left="0" w:firstLine="810"/>
        <w:rPr>
          <w:szCs w:val="22"/>
        </w:rPr>
      </w:pPr>
      <w:r>
        <w:rPr>
          <w:szCs w:val="22"/>
        </w:rPr>
        <w:t>Thus,</w:t>
      </w:r>
      <w:r w:rsidRPr="004C1772" w:rsidR="005A4B3F">
        <w:rPr>
          <w:szCs w:val="22"/>
        </w:rPr>
        <w:t xml:space="preserve"> the Media Bureau deems it appropriate to freeze the acceptance of minor change applications at this time to </w:t>
      </w:r>
      <w:r w:rsidRPr="004C1772">
        <w:rPr>
          <w:szCs w:val="22"/>
        </w:rPr>
        <w:t>protect the opportunity for displaced LPTV/translator stations to obtain a new channel from the limited number of channels likely to be available for application after repacking.  The Media Bureau will continue to process pending minor change applications</w:t>
      </w:r>
      <w:r w:rsidRPr="004C1772">
        <w:rPr>
          <w:snapToGrid/>
          <w:kern w:val="0"/>
          <w:szCs w:val="22"/>
        </w:rPr>
        <w:t xml:space="preserve">.  </w:t>
      </w:r>
      <w:r w:rsidRPr="004C1772">
        <w:rPr>
          <w:szCs w:val="22"/>
        </w:rPr>
        <w:t>Following completion of the special window for displaced LPTV/translator stations, we will announce when we will again begin accepting minor change applications.</w:t>
      </w:r>
    </w:p>
    <w:p w:rsidR="006A0B39" w:rsidRPr="006A0B39" w:rsidP="006A0B39" w14:paraId="232AD253" w14:textId="115A82B3">
      <w:pPr>
        <w:widowControl/>
        <w:numPr>
          <w:ilvl w:val="0"/>
          <w:numId w:val="13"/>
        </w:numPr>
        <w:spacing w:before="120" w:after="120"/>
        <w:ind w:left="0" w:firstLine="810"/>
      </w:pPr>
      <w:r w:rsidRPr="006A0B39">
        <w:rPr>
          <w:szCs w:val="22"/>
        </w:rPr>
        <w:t xml:space="preserve">The </w:t>
      </w:r>
      <w:r>
        <w:rPr>
          <w:szCs w:val="22"/>
        </w:rPr>
        <w:t xml:space="preserve">Media </w:t>
      </w:r>
      <w:r w:rsidRPr="006A0B39">
        <w:rPr>
          <w:szCs w:val="22"/>
        </w:rPr>
        <w:t>Bureau will consider, on a case-by-case basis, requests for waiver of the filing limitation imposed by this Public Notice when a minor change application is necessary or otherwise in the public interest for technical or other reasons to maintain quality service to the public.</w:t>
      </w:r>
      <w:r w:rsidR="005A4B3F">
        <w:rPr>
          <w:szCs w:val="22"/>
        </w:rPr>
        <w:t xml:space="preserve"> </w:t>
      </w:r>
      <w:r w:rsidRPr="006A0B39">
        <w:rPr>
          <w:szCs w:val="22"/>
        </w:rPr>
        <w:t xml:space="preserve"> As with any request for waiver of our rules, such a request will be granted only on a showing of good cause and when grant of the waiver will serve the public interest.</w:t>
      </w:r>
      <w:r>
        <w:rPr>
          <w:rStyle w:val="FootnoteReference"/>
          <w:szCs w:val="22"/>
        </w:rPr>
        <w:footnoteReference w:id="8"/>
      </w:r>
    </w:p>
    <w:p w:rsidR="006A0B39" w:rsidRPr="006A0B39" w:rsidP="006A0B39" w14:paraId="3DF7ED36" w14:textId="77777777">
      <w:pPr>
        <w:widowControl/>
        <w:numPr>
          <w:ilvl w:val="0"/>
          <w:numId w:val="13"/>
        </w:numPr>
        <w:spacing w:before="120" w:after="120"/>
        <w:ind w:left="0" w:firstLine="810"/>
      </w:pPr>
      <w:r w:rsidRPr="006A0B39">
        <w:rPr>
          <w:szCs w:val="22"/>
        </w:rPr>
        <w:t>The decision to impose this freeze is procedural in nature, and therefore is not subject to the notice and comment and effective date requirements of the Administrative Procedure Act.</w:t>
      </w:r>
      <w:r>
        <w:rPr>
          <w:rStyle w:val="FootnoteReference"/>
          <w:szCs w:val="22"/>
        </w:rPr>
        <w:footnoteReference w:id="9"/>
      </w:r>
      <w:r w:rsidRPr="006A0B39">
        <w:rPr>
          <w:szCs w:val="22"/>
        </w:rPr>
        <w:t xml:space="preserve">  Moreover, we find that there is good cause for not delaying the effect of these procedures until 30 days after publication in the </w:t>
      </w:r>
      <w:r w:rsidRPr="006A0B39">
        <w:rPr>
          <w:i/>
          <w:szCs w:val="22"/>
        </w:rPr>
        <w:t>Federal Register</w:t>
      </w:r>
      <w:r w:rsidRPr="006A0B39">
        <w:rPr>
          <w:szCs w:val="22"/>
        </w:rPr>
        <w:t>.  Such a delay would be impractical, unnecessary, and contrary to the public interest because it would undercut the purposes of the freeze.</w:t>
      </w:r>
      <w:r>
        <w:rPr>
          <w:rStyle w:val="FootnoteReference"/>
          <w:szCs w:val="22"/>
        </w:rPr>
        <w:footnoteReference w:id="10"/>
      </w:r>
    </w:p>
    <w:p w:rsidR="006A0B39" w:rsidRPr="006A0B39" w:rsidP="006A0B39" w14:paraId="46CAC741" w14:textId="77777777">
      <w:pPr>
        <w:widowControl/>
        <w:numPr>
          <w:ilvl w:val="0"/>
          <w:numId w:val="13"/>
        </w:numPr>
        <w:spacing w:before="120" w:after="120"/>
        <w:ind w:left="0" w:firstLine="810"/>
      </w:pPr>
      <w:r w:rsidRPr="006A0B39">
        <w:rPr>
          <w:szCs w:val="22"/>
        </w:rPr>
        <w:t>This action is taken by the Chief, Media Bureau pursuant to authority delegated by 47 CFR § 0.283 of the Commission’s rules.</w:t>
      </w:r>
    </w:p>
    <w:p w:rsidR="00E65E83" w:rsidRPr="006A0B39" w:rsidP="000542A7" w14:paraId="79C3F59F" w14:textId="08C4E561">
      <w:pPr>
        <w:widowControl/>
        <w:numPr>
          <w:ilvl w:val="0"/>
          <w:numId w:val="13"/>
        </w:numPr>
        <w:spacing w:before="120" w:after="120"/>
        <w:ind w:left="0" w:firstLine="810"/>
      </w:pPr>
      <w:r w:rsidRPr="006A0B39">
        <w:rPr>
          <w:snapToGrid/>
          <w:kern w:val="0"/>
          <w:szCs w:val="22"/>
        </w:rPr>
        <w:t>For additional information or questions</w:t>
      </w:r>
      <w:r>
        <w:t xml:space="preserve">, please contact Hossein Hashemzadeh (technical), </w:t>
      </w:r>
      <w:r>
        <w:fldChar w:fldCharType="begin"/>
      </w:r>
      <w:r>
        <w:instrText xml:space="preserve"> HYPERLINK "mailto:Hossein.Hashemzadeh@fcc.gov" </w:instrText>
      </w:r>
      <w:r>
        <w:fldChar w:fldCharType="separate"/>
      </w:r>
      <w:r w:rsidRPr="00D17CF4">
        <w:rPr>
          <w:rStyle w:val="Hyperlink"/>
        </w:rPr>
        <w:t>Hossein.Hashemzadeh@fcc.gov</w:t>
      </w:r>
      <w:r>
        <w:fldChar w:fldCharType="end"/>
      </w:r>
      <w:r>
        <w:t xml:space="preserve"> (202) 418-1658 or Shaun Maher (legal)</w:t>
      </w:r>
      <w:r w:rsidR="0028316B">
        <w:t xml:space="preserve">, </w:t>
      </w:r>
      <w:r w:rsidRPr="002606CD" w:rsidR="001B2CF4">
        <w:t>Shaun.Maher@fcc.gov</w:t>
      </w:r>
      <w:r w:rsidR="001B2CF4">
        <w:t xml:space="preserve"> </w:t>
      </w:r>
      <w:r>
        <w:t>(202) 418-2324 of the Video Division, Media Bureau.</w:t>
      </w:r>
    </w:p>
    <w:p w:rsidR="0055722E" w:rsidRPr="00E65E83" w:rsidP="000542A7" w14:paraId="616EC488" w14:textId="3189915A">
      <w:pPr>
        <w:widowControl/>
        <w:jc w:val="center"/>
        <w:rPr>
          <w:b/>
          <w:szCs w:val="22"/>
        </w:rPr>
      </w:pPr>
      <w:r w:rsidRPr="00E65E83">
        <w:rPr>
          <w:b/>
          <w:szCs w:val="22"/>
        </w:rPr>
        <w:t>–FCC–</w:t>
      </w:r>
    </w:p>
    <w:sectPr w:rsidSect="001B101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E57" w14:paraId="55A65C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P="00F5174D" w14:paraId="07665F39" w14:textId="702BE9C9">
    <w:pPr>
      <w:pStyle w:val="Footer"/>
      <w:jc w:val="center"/>
    </w:pPr>
    <w:r>
      <w:rPr>
        <w:rStyle w:val="PageNumber"/>
      </w:rPr>
      <w:fldChar w:fldCharType="begin"/>
    </w:r>
    <w:r>
      <w:rPr>
        <w:rStyle w:val="PageNumber"/>
      </w:rPr>
      <w:instrText xml:space="preserve"> PAGE </w:instrText>
    </w:r>
    <w:r>
      <w:rPr>
        <w:rStyle w:val="PageNumber"/>
      </w:rPr>
      <w:fldChar w:fldCharType="separate"/>
    </w:r>
    <w:r w:rsidR="008C5E5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E57" w14:paraId="4C484D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1AFC" w14:paraId="675E4002" w14:textId="77777777">
      <w:r>
        <w:separator/>
      </w:r>
    </w:p>
  </w:footnote>
  <w:footnote w:type="continuationSeparator" w:id="1">
    <w:p w:rsidR="00F21AFC" w14:paraId="63D5B76E" w14:textId="77777777">
      <w:r>
        <w:continuationSeparator/>
      </w:r>
    </w:p>
  </w:footnote>
  <w:footnote w:type="continuationNotice" w:id="2">
    <w:p w:rsidR="00F21AFC" w:rsidRPr="00A574E4" w:rsidP="00A574E4" w14:paraId="03421B2F" w14:textId="77777777">
      <w:pPr>
        <w:pStyle w:val="Footer"/>
      </w:pPr>
    </w:p>
  </w:footnote>
  <w:footnote w:id="3">
    <w:p w:rsidR="006A0B39" w:rsidRPr="00275213" w:rsidP="006A0B39" w14:paraId="50726717" w14:textId="77777777">
      <w:pPr>
        <w:pStyle w:val="FootnoteText"/>
      </w:pPr>
      <w:r w:rsidRPr="00275213">
        <w:rPr>
          <w:rStyle w:val="FootnoteReference"/>
          <w:sz w:val="20"/>
        </w:rPr>
        <w:footnoteRef/>
      </w:r>
      <w:r w:rsidRPr="00275213">
        <w:t xml:space="preserve"> </w:t>
      </w:r>
      <w:r w:rsidRPr="00275213">
        <w:rPr>
          <w:i/>
        </w:rPr>
        <w:t xml:space="preserve">See </w:t>
      </w:r>
      <w:r w:rsidRPr="00275213">
        <w:t xml:space="preserve">47 CFR § </w:t>
      </w:r>
      <w:r>
        <w:t>74.787(b)</w:t>
      </w:r>
      <w:r w:rsidRPr="00275213">
        <w:t xml:space="preserve">.  The filing of </w:t>
      </w:r>
      <w:r>
        <w:t xml:space="preserve">LPTV/translator </w:t>
      </w:r>
      <w:r w:rsidRPr="00275213">
        <w:t xml:space="preserve">applications for new digital </w:t>
      </w:r>
      <w:r>
        <w:t xml:space="preserve">stations, </w:t>
      </w:r>
      <w:r w:rsidRPr="00275213">
        <w:t xml:space="preserve">major changes, displacement and digital companion channels is already frozen and remains frozen.  </w:t>
      </w:r>
      <w:r w:rsidRPr="00275213">
        <w:rPr>
          <w:i/>
        </w:rPr>
        <w:t>See</w:t>
      </w:r>
      <w:r w:rsidRPr="00275213">
        <w:t xml:space="preserve"> </w:t>
      </w:r>
      <w:r w:rsidRPr="00275213">
        <w:rPr>
          <w:i/>
        </w:rPr>
        <w:t>Freeze on the Filing of Applications for New Digital Low Power Television and TV Translator Stations</w:t>
      </w:r>
      <w:r w:rsidRPr="00275213">
        <w:t xml:space="preserve">, Public Notice, 25 FCC Rcd 15120 (MB 2010); </w:t>
      </w:r>
      <w:r w:rsidRPr="00275213">
        <w:rPr>
          <w:i/>
        </w:rPr>
        <w:t>Initiation of Nationwide First-Come, First-Served Digital Licensing for Low Power Television and TV Translators Postponed Until Further Notice</w:t>
      </w:r>
      <w:r w:rsidRPr="00275213">
        <w:t xml:space="preserve">, Public Notice, 25 FCC Rcd 8179 (MB 2010); </w:t>
      </w:r>
      <w:r w:rsidRPr="00275213">
        <w:rPr>
          <w:i/>
        </w:rPr>
        <w:t>Freeze on the Filing of Applications for Digital Replacement Translator Stations and Displacement Applications</w:t>
      </w:r>
      <w:r w:rsidRPr="00275213">
        <w:t>, Public Notice, 29 FCC Rcd 6063 (MB 2014)</w:t>
      </w:r>
      <w:r>
        <w:t xml:space="preserve">; and </w:t>
      </w:r>
      <w:r>
        <w:rPr>
          <w:i/>
        </w:rPr>
        <w:t>Freeze on the Filing of Applications for Digital Companion Channels</w:t>
      </w:r>
      <w:r>
        <w:t>, Public Notice, 32 FCC Rcd 566 (MB 2017).</w:t>
      </w:r>
      <w:r w:rsidRPr="00275213">
        <w:rPr>
          <w:i/>
        </w:rPr>
        <w:t xml:space="preserve"> </w:t>
      </w:r>
      <w:r>
        <w:rPr>
          <w:i/>
        </w:rPr>
        <w:t xml:space="preserve"> </w:t>
      </w:r>
      <w:r w:rsidRPr="00275213">
        <w:t xml:space="preserve">Applications for digital flash cut filed by existing </w:t>
      </w:r>
      <w:r>
        <w:t xml:space="preserve">analog </w:t>
      </w:r>
      <w:r w:rsidRPr="00275213">
        <w:t>LPTV</w:t>
      </w:r>
      <w:r>
        <w:t>/</w:t>
      </w:r>
      <w:r w:rsidRPr="00275213">
        <w:t>translator stations will continue to be accepted for filing.</w:t>
      </w:r>
    </w:p>
  </w:footnote>
  <w:footnote w:id="4">
    <w:p w:rsidR="00577703" w14:paraId="1EE1DCC0" w14:textId="27C1D24E">
      <w:pPr>
        <w:pStyle w:val="FootnoteText"/>
      </w:pPr>
      <w:r>
        <w:rPr>
          <w:rStyle w:val="FootnoteReference"/>
        </w:rPr>
        <w:footnoteRef/>
      </w:r>
      <w:r>
        <w:t xml:space="preserve"> </w:t>
      </w:r>
      <w:r w:rsidR="00E11666">
        <w:rPr>
          <w:i/>
        </w:rPr>
        <w:t xml:space="preserve">See </w:t>
      </w:r>
      <w:r w:rsidR="00402561">
        <w:rPr>
          <w:i/>
          <w:snapToGrid w:val="0"/>
        </w:rPr>
        <w:t>In the Matter of Expanding the Economic and Innovation Opportunities of Spectrum Through Incentive Auctions</w:t>
      </w:r>
      <w:r w:rsidR="00402561">
        <w:rPr>
          <w:snapToGrid w:val="0"/>
        </w:rPr>
        <w:t>, Report and Order, 29 FCC Rcd 6567 (2014) (</w:t>
      </w:r>
      <w:r w:rsidR="00402561">
        <w:rPr>
          <w:i/>
          <w:snapToGrid w:val="0"/>
        </w:rPr>
        <w:t>Incentive Auction R&amp;O</w:t>
      </w:r>
      <w:r w:rsidR="00402561">
        <w:rPr>
          <w:snapToGrid w:val="0"/>
        </w:rPr>
        <w:t xml:space="preserve">) (subsequent history omitted); </w:t>
      </w:r>
      <w:r w:rsidR="00402561">
        <w:rPr>
          <w:i/>
          <w:snapToGrid w:val="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00402561">
        <w:rPr>
          <w:snapToGrid w:val="0"/>
        </w:rPr>
        <w:t>, Public Notice, 32 FCC Rcd 2786 (2017) (</w:t>
      </w:r>
      <w:r w:rsidR="00402561">
        <w:rPr>
          <w:i/>
          <w:snapToGrid w:val="0"/>
        </w:rPr>
        <w:t>Closing and Channel Reassignment Public Notice</w:t>
      </w:r>
      <w:r w:rsidR="00402561">
        <w:rPr>
          <w:snapToGrid w:val="0"/>
        </w:rPr>
        <w:t xml:space="preserve">);  and </w:t>
      </w:r>
      <w:r w:rsidR="00402561">
        <w:rPr>
          <w:i/>
          <w:snapToGrid w:val="0"/>
        </w:rPr>
        <w:t>The Incentive Auction Task Force and Media Bureau Announce Procedures for Low Power Television, Television Translator and Replacement Translator Stations During the Post-Incentive Auction Transition</w:t>
      </w:r>
      <w:r w:rsidR="00402561">
        <w:rPr>
          <w:snapToGrid w:val="0"/>
        </w:rPr>
        <w:t>, Public Notice, 32 FCC Rcd 3860, 3862, para. 5 (2017).</w:t>
      </w:r>
    </w:p>
  </w:footnote>
  <w:footnote w:id="5">
    <w:p w:rsidR="006E11CC" w:rsidRPr="002929BC" w:rsidP="006E11CC" w14:paraId="152C438D" w14:textId="3293F119">
      <w:pPr>
        <w:pStyle w:val="FootnoteText"/>
      </w:pPr>
      <w:r w:rsidRPr="002929BC">
        <w:rPr>
          <w:rStyle w:val="FootnoteReference"/>
          <w:sz w:val="20"/>
        </w:rPr>
        <w:footnoteRef/>
      </w:r>
      <w:r w:rsidRPr="002929BC">
        <w:t xml:space="preserve"> </w:t>
      </w:r>
      <w:r>
        <w:t>“</w:t>
      </w:r>
      <w:r w:rsidRPr="00275213">
        <w:t xml:space="preserve">Operating” stations are those that have licensed their authorized construction permit facilities or have an application for a license to cover on file with the Commission on the release date of the incentive auction </w:t>
      </w:r>
      <w:r w:rsidRPr="00275213">
        <w:rPr>
          <w:i/>
        </w:rPr>
        <w:t>Closing and Channel Reassignment Public Notice</w:t>
      </w:r>
      <w:r w:rsidRPr="00275213">
        <w:t xml:space="preserve">.  </w:t>
      </w:r>
      <w:r w:rsidRPr="00275213">
        <w:rPr>
          <w:i/>
        </w:rPr>
        <w:t>See</w:t>
      </w:r>
      <w:r w:rsidRPr="00275213">
        <w:t xml:space="preserve"> </w:t>
      </w:r>
      <w:r w:rsidRPr="00275213">
        <w:rPr>
          <w:i/>
        </w:rPr>
        <w:t>Media Bureau Announces Date by Which LPTV and TV Translator Stations Must Be “Operating” In Order To Participate In Post-Incentive Auction Special Displacement Window</w:t>
      </w:r>
      <w:r w:rsidRPr="00275213">
        <w:t>, Public Notice, 31 FCC Rcd 5383 (MB 2016).</w:t>
      </w:r>
    </w:p>
  </w:footnote>
  <w:footnote w:id="6">
    <w:p w:rsidR="0051031F" w14:paraId="088D208A" w14:textId="6C665EEB">
      <w:pPr>
        <w:pStyle w:val="FootnoteText"/>
      </w:pPr>
      <w:r>
        <w:rPr>
          <w:rStyle w:val="FootnoteReference"/>
        </w:rPr>
        <w:footnoteRef/>
      </w:r>
      <w:r>
        <w:t xml:space="preserve"> </w:t>
      </w:r>
      <w:r>
        <w:rPr>
          <w:i/>
        </w:rPr>
        <w:t xml:space="preserve">See LPTV Procedures Public </w:t>
      </w:r>
      <w:r w:rsidRPr="0051031F">
        <w:t>Notice</w:t>
      </w:r>
      <w:r>
        <w:t xml:space="preserve">, 32 FCC Rcd </w:t>
      </w:r>
      <w:r w:rsidRPr="0051031F">
        <w:t>at</w:t>
      </w:r>
      <w:r>
        <w:t xml:space="preserve"> 3863, para. 6.</w:t>
      </w:r>
    </w:p>
  </w:footnote>
  <w:footnote w:id="7">
    <w:p w:rsidR="006A0B39" w:rsidRPr="00E66242" w:rsidP="006A0B39" w14:paraId="3CBF29CF" w14:textId="77777777">
      <w:pPr>
        <w:pStyle w:val="FootnoteText"/>
      </w:pPr>
      <w:r w:rsidRPr="00CB2EDE">
        <w:rPr>
          <w:rStyle w:val="FootnoteReference"/>
          <w:sz w:val="20"/>
        </w:rPr>
        <w:footnoteRef/>
      </w:r>
      <w:r w:rsidRPr="00CB2EDE">
        <w:t xml:space="preserve"> </w:t>
      </w:r>
      <w:r>
        <w:rPr>
          <w:i/>
        </w:rPr>
        <w:t>Id</w:t>
      </w:r>
      <w:r w:rsidRPr="00884777">
        <w:t>.</w:t>
      </w:r>
      <w:r w:rsidRPr="00E66242">
        <w:t xml:space="preserve">  </w:t>
      </w:r>
    </w:p>
  </w:footnote>
  <w:footnote w:id="8">
    <w:p w:rsidR="006A0B39" w:rsidRPr="00275213" w:rsidP="006A0B39" w14:paraId="40AF6B52" w14:textId="77777777">
      <w:pPr>
        <w:pStyle w:val="FootnoteText"/>
        <w:rPr>
          <w:i/>
        </w:rPr>
      </w:pPr>
      <w:r w:rsidRPr="00275213">
        <w:rPr>
          <w:rStyle w:val="FootnoteReference"/>
          <w:sz w:val="20"/>
        </w:rPr>
        <w:footnoteRef/>
      </w:r>
      <w:r w:rsidRPr="00275213">
        <w:t xml:space="preserve"> </w:t>
      </w:r>
      <w:r w:rsidRPr="00275213">
        <w:rPr>
          <w:i/>
        </w:rPr>
        <w:t xml:space="preserve">See </w:t>
      </w:r>
      <w:r w:rsidRPr="00275213">
        <w:t xml:space="preserve">47 CFR § 1.3.  The Commission may exercise its discretion to waive a rule where the particular facts make strict compliance inconsistent with the public interest.  </w:t>
      </w:r>
      <w:r w:rsidRPr="00275213">
        <w:rPr>
          <w:i/>
        </w:rPr>
        <w:t>See Northeast Cellular Telephone Co. v. FCC</w:t>
      </w:r>
      <w:r w:rsidRPr="00275213">
        <w:t>, 897 F.2d 1164, 1166 (D.C. Cir. 1990) (</w:t>
      </w:r>
      <w:r w:rsidRPr="00275213">
        <w:rPr>
          <w:i/>
        </w:rPr>
        <w:t>Northeast Cellular</w:t>
      </w:r>
      <w:r w:rsidRPr="00275213">
        <w:t xml:space="preserve">).  In addition, the Commission may take into account considerations of hardship, equity, or more effective implementation of overall policy on an individual basis.  </w:t>
      </w:r>
      <w:r w:rsidRPr="00275213">
        <w:rPr>
          <w:i/>
        </w:rPr>
        <w:t>See WAIT Radio v. FCC</w:t>
      </w:r>
      <w:r w:rsidRPr="00275213">
        <w:t xml:space="preserve">, 418 F.2d 1153, 1159 (D.C. Cir. 1969); </w:t>
      </w:r>
      <w:r w:rsidRPr="00275213">
        <w:rPr>
          <w:i/>
        </w:rPr>
        <w:t>Northeast Cellular</w:t>
      </w:r>
      <w:r w:rsidRPr="00275213">
        <w:t xml:space="preserve">, 897 F.2d at 1166.  Waiver of the Commission’s rules is appropriate only if both (i) special circumstances warrant a deviation from the general rule, and (ii) such deviation will serve the public interest. </w:t>
      </w:r>
      <w:r w:rsidRPr="00275213">
        <w:rPr>
          <w:i/>
        </w:rPr>
        <w:t>See id.</w:t>
      </w:r>
    </w:p>
  </w:footnote>
  <w:footnote w:id="9">
    <w:p w:rsidR="006A0B39" w:rsidRPr="00C44CCC" w:rsidP="006A0B39" w14:paraId="24B4FA50" w14:textId="77777777">
      <w:pPr>
        <w:pStyle w:val="FootnoteText"/>
      </w:pPr>
      <w:r w:rsidRPr="006C18CA">
        <w:rPr>
          <w:rStyle w:val="FootnoteReference"/>
          <w:sz w:val="20"/>
        </w:rPr>
        <w:footnoteRef/>
      </w:r>
      <w:r w:rsidRPr="006C18CA">
        <w:t xml:space="preserve"> </w:t>
      </w:r>
      <w:r w:rsidRPr="006C18CA">
        <w:rPr>
          <w:i/>
        </w:rPr>
        <w:t>See</w:t>
      </w:r>
      <w:r w:rsidRPr="006C18CA">
        <w:t xml:space="preserve"> 5 U.S.C. § 553(b)(A), (d); </w:t>
      </w:r>
      <w:r w:rsidRPr="006C18CA">
        <w:rPr>
          <w:i/>
        </w:rPr>
        <w:t xml:space="preserve">see also </w:t>
      </w:r>
      <w:r w:rsidRPr="006C18CA">
        <w:rPr>
          <w:i/>
          <w:color w:val="000000"/>
        </w:rPr>
        <w:t>Neighborhood TV Co. v. FCC</w:t>
      </w:r>
      <w:r w:rsidRPr="006C18CA">
        <w:rPr>
          <w:color w:val="000000"/>
        </w:rPr>
        <w:t>, 742 F.2d 629, 637-38 (D.C. Cir. 1984) (holding that the Commi</w:t>
      </w:r>
      <w:r w:rsidRPr="002E3654">
        <w:rPr>
          <w:color w:val="000000"/>
        </w:rPr>
        <w:t>ssion’s filing freeze is a procedural rule not subject to the notice and comment requirements of the Administrative Procedure Act</w:t>
      </w:r>
      <w:bookmarkStart w:id="1" w:name="SR;33011"/>
      <w:bookmarkStart w:id="2" w:name="SR;33014"/>
      <w:bookmarkStart w:id="3" w:name="SR;33016"/>
      <w:bookmarkStart w:id="4" w:name="SR;33017"/>
      <w:bookmarkStart w:id="5" w:name="SR;33018"/>
      <w:bookmarkStart w:id="6" w:name="SR;33020"/>
      <w:bookmarkStart w:id="7" w:name="SR;33022"/>
      <w:bookmarkStart w:id="8" w:name="SR;33027"/>
      <w:bookmarkEnd w:id="1"/>
      <w:bookmarkEnd w:id="2"/>
      <w:bookmarkEnd w:id="3"/>
      <w:bookmarkEnd w:id="4"/>
      <w:bookmarkEnd w:id="5"/>
      <w:bookmarkEnd w:id="6"/>
      <w:bookmarkEnd w:id="7"/>
      <w:bookmarkEnd w:id="8"/>
      <w:r w:rsidRPr="002E3654">
        <w:rPr>
          <w:color w:val="000000"/>
        </w:rPr>
        <w:t xml:space="preserve">); </w:t>
      </w:r>
      <w:r w:rsidRPr="002A2771">
        <w:rPr>
          <w:i/>
          <w:color w:val="000000"/>
        </w:rPr>
        <w:t>Buckeye Cablevision, Inc. v. United States</w:t>
      </w:r>
      <w:r w:rsidRPr="002A2771">
        <w:rPr>
          <w:color w:val="000000"/>
        </w:rPr>
        <w:t xml:space="preserve">, 438 F.2d 948, 952-53 (6th Cir. 1971); </w:t>
      </w:r>
      <w:r w:rsidRPr="00781D8C">
        <w:rPr>
          <w:i/>
          <w:color w:val="000000"/>
        </w:rPr>
        <w:t>Kessler</w:t>
      </w:r>
      <w:r w:rsidRPr="00781D8C">
        <w:rPr>
          <w:i/>
          <w:iCs/>
          <w:color w:val="000000"/>
        </w:rPr>
        <w:t xml:space="preserve"> v. FCC,</w:t>
      </w:r>
      <w:r w:rsidRPr="00781D8C">
        <w:rPr>
          <w:color w:val="000000"/>
        </w:rPr>
        <w:t xml:space="preserve"> 326 F.2d 673, 680-82 (D.C. Cir. 1963).  </w:t>
      </w:r>
    </w:p>
  </w:footnote>
  <w:footnote w:id="10">
    <w:p w:rsidR="006A0B39" w:rsidRPr="006C18CA" w:rsidP="006A0B39" w14:paraId="4DF39A84" w14:textId="77777777">
      <w:pPr>
        <w:pStyle w:val="FootnoteText"/>
      </w:pPr>
      <w:r w:rsidRPr="006C18CA">
        <w:rPr>
          <w:rStyle w:val="FootnoteReference"/>
          <w:sz w:val="20"/>
        </w:rPr>
        <w:footnoteRef/>
      </w:r>
      <w:r w:rsidRPr="006C18CA">
        <w:t xml:space="preserve"> </w:t>
      </w:r>
      <w:r w:rsidRPr="006C18CA">
        <w:rPr>
          <w:i/>
        </w:rPr>
        <w:t>See</w:t>
      </w:r>
      <w:r w:rsidRPr="006C18CA">
        <w:t xml:space="preserve"> 5 U.S.C. § 553(b)(B), (d)(3).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E57" w14:paraId="6C6D07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RPr="00C26BAF" w:rsidP="00C26BAF" w14:paraId="4385030A" w14:textId="047AE8C4">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4106D3">
      <w:rPr>
        <w:rFonts w:ascii="Times New Roman" w:hAnsi="Times New Roman"/>
        <w:b/>
        <w:sz w:val="22"/>
        <w:szCs w:val="22"/>
      </w:rPr>
      <w:t>17</w:t>
    </w:r>
    <w:r w:rsidR="007D5D6D">
      <w:rPr>
        <w:rFonts w:ascii="Times New Roman" w:hAnsi="Times New Roman"/>
        <w:b/>
        <w:sz w:val="22"/>
        <w:szCs w:val="22"/>
      </w:rPr>
      <w:t>-1227</w:t>
    </w:r>
  </w:p>
  <w:p w:rsidR="003E1786" w:rsidRPr="00C26BAF" w:rsidP="00C26BAF" w14:paraId="60D25C3D"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3E1786" w:rsidRPr="00C26BAF" w:rsidP="00C26BAF" w14:paraId="0129868D" w14:textId="77777777">
    <w:pPr>
      <w:rPr>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RPr="00BA6E7A" w:rsidP="00C26BAF" w14:paraId="5BE39C6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1786"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E1786" w:rsidP="00C26BAF" w14:paraId="1A95B5F1"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4918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3E1786" w:rsidRPr="00C26BAF" w:rsidP="00C26BAF" w14:paraId="45F5289D"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1786" w:rsidP="00C26BAF" w14:textId="746014F2">
                          <w:pPr>
                            <w:spacing w:before="40"/>
                            <w:jc w:val="right"/>
                          </w:pPr>
                          <w:r>
                            <w:rPr>
                              <w:rFonts w:ascii="Arial" w:hAnsi="Arial"/>
                              <w:b/>
                              <w:sz w:val="16"/>
                            </w:rPr>
                            <w:t>News Media Information: 202-418-0500</w:t>
                          </w:r>
                          <w:r>
                            <w:rPr>
                              <w:rFonts w:ascii="Arial" w:hAnsi="Arial"/>
                              <w:b/>
                              <w:sz w:val="16"/>
                            </w:rPr>
                            <w:br/>
                            <w:t xml:space="preserve">Internet: </w:t>
                          </w:r>
                          <w:r w:rsidR="001B2CF4">
                            <w:rPr>
                              <w:rFonts w:ascii="Arial" w:hAnsi="Arial"/>
                              <w:b/>
                              <w:sz w:val="16"/>
                            </w:rPr>
                            <w:t>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E1786" w:rsidP="00C26BAF" w14:paraId="2E464DD5" w14:textId="746014F2">
                    <w:pPr>
                      <w:spacing w:before="40"/>
                      <w:jc w:val="right"/>
                    </w:pPr>
                    <w:r>
                      <w:rPr>
                        <w:rFonts w:ascii="Arial" w:hAnsi="Arial"/>
                        <w:b/>
                        <w:sz w:val="16"/>
                      </w:rPr>
                      <w:t>News Media Information: 202-418-0500</w:t>
                    </w:r>
                    <w:r>
                      <w:rPr>
                        <w:rFonts w:ascii="Arial" w:hAnsi="Arial"/>
                        <w:b/>
                        <w:sz w:val="16"/>
                      </w:rPr>
                      <w:br/>
                      <w:t xml:space="preserve">Internet: </w:t>
                    </w:r>
                    <w:r w:rsidR="001B2CF4">
                      <w:rPr>
                        <w:rFonts w:ascii="Arial" w:hAnsi="Arial"/>
                        <w:b/>
                        <w:sz w:val="16"/>
                      </w:rPr>
                      <w:t>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8A148C9"/>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7"/>
  </w:num>
  <w:num w:numId="4">
    <w:abstractNumId w:val="3"/>
  </w:num>
  <w:num w:numId="5">
    <w:abstractNumId w:val="11"/>
  </w:num>
  <w:num w:numId="6">
    <w:abstractNumId w:val="2"/>
  </w:num>
  <w:num w:numId="7">
    <w:abstractNumId w:val="4"/>
  </w:num>
  <w:num w:numId="8">
    <w:abstractNumId w:val="0"/>
  </w:num>
  <w:num w:numId="9">
    <w:abstractNumId w:val="12"/>
  </w:num>
  <w:num w:numId="10">
    <w:abstractNumId w:val="6"/>
  </w:num>
  <w:num w:numId="11">
    <w:abstractNumId w:val="8"/>
  </w:num>
  <w:num w:numId="12">
    <w:abstractNumId w:val="1"/>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0D6"/>
    <w:rsid w:val="00050D23"/>
    <w:rsid w:val="0005285C"/>
    <w:rsid w:val="00053497"/>
    <w:rsid w:val="00053731"/>
    <w:rsid w:val="000542A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618B"/>
    <w:rsid w:val="000F62F6"/>
    <w:rsid w:val="000F74EF"/>
    <w:rsid w:val="000F779D"/>
    <w:rsid w:val="000F7AF4"/>
    <w:rsid w:val="00103A34"/>
    <w:rsid w:val="001045F3"/>
    <w:rsid w:val="00105D6C"/>
    <w:rsid w:val="0010658A"/>
    <w:rsid w:val="00106E20"/>
    <w:rsid w:val="00110136"/>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B65"/>
    <w:rsid w:val="00171B06"/>
    <w:rsid w:val="00172296"/>
    <w:rsid w:val="001722B1"/>
    <w:rsid w:val="00172342"/>
    <w:rsid w:val="001732C8"/>
    <w:rsid w:val="00173E72"/>
    <w:rsid w:val="001741D4"/>
    <w:rsid w:val="00174F47"/>
    <w:rsid w:val="00174F65"/>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01A9"/>
    <w:rsid w:val="001B1010"/>
    <w:rsid w:val="001B101F"/>
    <w:rsid w:val="001B214E"/>
    <w:rsid w:val="001B2CF4"/>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378"/>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1896"/>
    <w:rsid w:val="002528C8"/>
    <w:rsid w:val="0025478F"/>
    <w:rsid w:val="00255197"/>
    <w:rsid w:val="002553DD"/>
    <w:rsid w:val="00255AD5"/>
    <w:rsid w:val="00255C57"/>
    <w:rsid w:val="0025643C"/>
    <w:rsid w:val="00257140"/>
    <w:rsid w:val="00257646"/>
    <w:rsid w:val="002606CD"/>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213"/>
    <w:rsid w:val="002759E3"/>
    <w:rsid w:val="00276149"/>
    <w:rsid w:val="0028037B"/>
    <w:rsid w:val="00282172"/>
    <w:rsid w:val="00282B8F"/>
    <w:rsid w:val="0028316B"/>
    <w:rsid w:val="00283F59"/>
    <w:rsid w:val="0028502D"/>
    <w:rsid w:val="002866EA"/>
    <w:rsid w:val="00286F9E"/>
    <w:rsid w:val="0028784F"/>
    <w:rsid w:val="00290DE7"/>
    <w:rsid w:val="00291981"/>
    <w:rsid w:val="002919B6"/>
    <w:rsid w:val="00291C7E"/>
    <w:rsid w:val="00292132"/>
    <w:rsid w:val="0029218D"/>
    <w:rsid w:val="002929BC"/>
    <w:rsid w:val="00293299"/>
    <w:rsid w:val="002936DF"/>
    <w:rsid w:val="0029374D"/>
    <w:rsid w:val="00294918"/>
    <w:rsid w:val="002952D2"/>
    <w:rsid w:val="00295EAC"/>
    <w:rsid w:val="002960BC"/>
    <w:rsid w:val="00296E04"/>
    <w:rsid w:val="00297337"/>
    <w:rsid w:val="00297358"/>
    <w:rsid w:val="002976B2"/>
    <w:rsid w:val="002A156F"/>
    <w:rsid w:val="002A2771"/>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654"/>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2BB2"/>
    <w:rsid w:val="003B35DD"/>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1C4E"/>
    <w:rsid w:val="00402561"/>
    <w:rsid w:val="00402E01"/>
    <w:rsid w:val="00402FCA"/>
    <w:rsid w:val="004031F2"/>
    <w:rsid w:val="004043C4"/>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0B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56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31F"/>
    <w:rsid w:val="00510420"/>
    <w:rsid w:val="00510682"/>
    <w:rsid w:val="005119A5"/>
    <w:rsid w:val="00512837"/>
    <w:rsid w:val="00512A5D"/>
    <w:rsid w:val="00513108"/>
    <w:rsid w:val="00513A8A"/>
    <w:rsid w:val="00513CBD"/>
    <w:rsid w:val="005140D1"/>
    <w:rsid w:val="0051453B"/>
    <w:rsid w:val="00514E5B"/>
    <w:rsid w:val="005154EA"/>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6E4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4B3F"/>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8E"/>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3138"/>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2BD8"/>
    <w:rsid w:val="00682CAB"/>
    <w:rsid w:val="00682E11"/>
    <w:rsid w:val="00683184"/>
    <w:rsid w:val="006838F8"/>
    <w:rsid w:val="00684C40"/>
    <w:rsid w:val="00685075"/>
    <w:rsid w:val="00686DC4"/>
    <w:rsid w:val="00686DF4"/>
    <w:rsid w:val="00686E1F"/>
    <w:rsid w:val="006871C2"/>
    <w:rsid w:val="006873B2"/>
    <w:rsid w:val="00690249"/>
    <w:rsid w:val="00690B2B"/>
    <w:rsid w:val="00691DC6"/>
    <w:rsid w:val="00691E4B"/>
    <w:rsid w:val="00692960"/>
    <w:rsid w:val="0069341C"/>
    <w:rsid w:val="00693CD8"/>
    <w:rsid w:val="0069401E"/>
    <w:rsid w:val="00694182"/>
    <w:rsid w:val="00694229"/>
    <w:rsid w:val="0069579A"/>
    <w:rsid w:val="0069619F"/>
    <w:rsid w:val="006974AC"/>
    <w:rsid w:val="006A0374"/>
    <w:rsid w:val="006A0B39"/>
    <w:rsid w:val="006A1894"/>
    <w:rsid w:val="006A2201"/>
    <w:rsid w:val="006A2C9A"/>
    <w:rsid w:val="006A47CE"/>
    <w:rsid w:val="006A4F63"/>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18CA"/>
    <w:rsid w:val="006C284B"/>
    <w:rsid w:val="006C3306"/>
    <w:rsid w:val="006C4835"/>
    <w:rsid w:val="006C64B7"/>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0E29"/>
    <w:rsid w:val="006E11CC"/>
    <w:rsid w:val="006E2059"/>
    <w:rsid w:val="006E2671"/>
    <w:rsid w:val="006E3325"/>
    <w:rsid w:val="006E42D0"/>
    <w:rsid w:val="006E53D5"/>
    <w:rsid w:val="006E68BB"/>
    <w:rsid w:val="006E7B6E"/>
    <w:rsid w:val="006F075E"/>
    <w:rsid w:val="006F0D3A"/>
    <w:rsid w:val="006F1444"/>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06B"/>
    <w:rsid w:val="007261CC"/>
    <w:rsid w:val="00726C85"/>
    <w:rsid w:val="00727F5A"/>
    <w:rsid w:val="0073124D"/>
    <w:rsid w:val="007314AA"/>
    <w:rsid w:val="0073236F"/>
    <w:rsid w:val="00732BDD"/>
    <w:rsid w:val="00733B43"/>
    <w:rsid w:val="00734322"/>
    <w:rsid w:val="00734A58"/>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1D8C"/>
    <w:rsid w:val="00782B03"/>
    <w:rsid w:val="00782D32"/>
    <w:rsid w:val="00783448"/>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5D6D"/>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4777"/>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5E57"/>
    <w:rsid w:val="008C6C1E"/>
    <w:rsid w:val="008C6FE3"/>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5E4D"/>
    <w:rsid w:val="008E6114"/>
    <w:rsid w:val="008E6333"/>
    <w:rsid w:val="008E71C8"/>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27662"/>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0BA0"/>
    <w:rsid w:val="00B10F4E"/>
    <w:rsid w:val="00B12A5F"/>
    <w:rsid w:val="00B12BFB"/>
    <w:rsid w:val="00B12E02"/>
    <w:rsid w:val="00B1313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10A"/>
    <w:rsid w:val="00B444CB"/>
    <w:rsid w:val="00B44606"/>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32FE"/>
    <w:rsid w:val="00B638BB"/>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4CCC"/>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1BD0"/>
    <w:rsid w:val="00C9243D"/>
    <w:rsid w:val="00C9330D"/>
    <w:rsid w:val="00C93B8F"/>
    <w:rsid w:val="00C9428D"/>
    <w:rsid w:val="00C943D8"/>
    <w:rsid w:val="00CA20B5"/>
    <w:rsid w:val="00CA2AF7"/>
    <w:rsid w:val="00CA3549"/>
    <w:rsid w:val="00CA3944"/>
    <w:rsid w:val="00CA3E2B"/>
    <w:rsid w:val="00CA413D"/>
    <w:rsid w:val="00CA41EA"/>
    <w:rsid w:val="00CA4326"/>
    <w:rsid w:val="00CA5C71"/>
    <w:rsid w:val="00CA6200"/>
    <w:rsid w:val="00CA6D35"/>
    <w:rsid w:val="00CA75CA"/>
    <w:rsid w:val="00CA7F58"/>
    <w:rsid w:val="00CB001A"/>
    <w:rsid w:val="00CB1D4F"/>
    <w:rsid w:val="00CB2EDE"/>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0FE3"/>
    <w:rsid w:val="00D119CD"/>
    <w:rsid w:val="00D11E05"/>
    <w:rsid w:val="00D13374"/>
    <w:rsid w:val="00D14E77"/>
    <w:rsid w:val="00D1501B"/>
    <w:rsid w:val="00D1584B"/>
    <w:rsid w:val="00D15A42"/>
    <w:rsid w:val="00D175A8"/>
    <w:rsid w:val="00D17CF4"/>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C1"/>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5E83"/>
    <w:rsid w:val="00E66242"/>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4E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3F84"/>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42FA"/>
    <w:rsid w:val="00FC4377"/>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
    <w:name w:val="Unresolved Mention"/>
    <w:basedOn w:val="DefaultParagraphFont"/>
    <w:uiPriority w:val="99"/>
    <w:semiHidden/>
    <w:unhideWhenUsed/>
    <w:rsid w:val="00EC3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3B7E-545B-4155-87C8-9626F975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2017-12-19T20:56:59Z</dcterms:created>
  <dcterms:modified xsi:type="dcterms:W3CDTF">2017-12-19T20:56:59Z</dcterms:modified>
</cp:coreProperties>
</file>