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F476" w14:textId="709972FB" w:rsidR="00602577" w:rsidRPr="00D3723E" w:rsidRDefault="00C45438">
      <w:pPr>
        <w:jc w:val="right"/>
        <w:rPr>
          <w:b/>
          <w:szCs w:val="22"/>
        </w:rPr>
      </w:pPr>
      <w:bookmarkStart w:id="0" w:name="_GoBack"/>
      <w:bookmarkEnd w:id="0"/>
      <w:r w:rsidRPr="00D3723E">
        <w:rPr>
          <w:b/>
          <w:szCs w:val="22"/>
        </w:rPr>
        <w:t>DA 17-</w:t>
      </w:r>
      <w:r w:rsidR="000F6C63">
        <w:rPr>
          <w:b/>
          <w:szCs w:val="22"/>
        </w:rPr>
        <w:t>134</w:t>
      </w:r>
    </w:p>
    <w:p w14:paraId="478A20A5" w14:textId="521CBDF6" w:rsidR="00602577" w:rsidRPr="00D3723E" w:rsidRDefault="00581180">
      <w:pPr>
        <w:spacing w:before="60"/>
        <w:jc w:val="right"/>
        <w:rPr>
          <w:b/>
          <w:szCs w:val="22"/>
        </w:rPr>
      </w:pPr>
      <w:r w:rsidRPr="00D3723E">
        <w:rPr>
          <w:b/>
          <w:szCs w:val="22"/>
        </w:rPr>
        <w:t>February 6,</w:t>
      </w:r>
      <w:r w:rsidR="00C45438" w:rsidRPr="00D3723E">
        <w:rPr>
          <w:b/>
          <w:szCs w:val="22"/>
        </w:rPr>
        <w:t xml:space="preserve"> 2017</w:t>
      </w:r>
    </w:p>
    <w:p w14:paraId="19132240" w14:textId="77777777" w:rsidR="00602577" w:rsidRDefault="00602577">
      <w:pPr>
        <w:jc w:val="right"/>
        <w:rPr>
          <w:sz w:val="24"/>
        </w:rPr>
      </w:pPr>
    </w:p>
    <w:p w14:paraId="15E0A529" w14:textId="53CC4BE8" w:rsidR="009D675D" w:rsidRDefault="00C5424A" w:rsidP="001C25DC">
      <w:pPr>
        <w:spacing w:after="240"/>
        <w:jc w:val="center"/>
        <w:rPr>
          <w:b/>
          <w:sz w:val="24"/>
        </w:rPr>
      </w:pPr>
      <w:r>
        <w:rPr>
          <w:b/>
          <w:sz w:val="24"/>
        </w:rPr>
        <w:t xml:space="preserve">THE </w:t>
      </w:r>
      <w:r w:rsidR="009D675D">
        <w:rPr>
          <w:b/>
          <w:sz w:val="24"/>
        </w:rPr>
        <w:t>I</w:t>
      </w:r>
      <w:r w:rsidR="001C25DC">
        <w:rPr>
          <w:b/>
          <w:sz w:val="24"/>
        </w:rPr>
        <w:t xml:space="preserve">NCENTIVE AUCTION TASK FORCE, </w:t>
      </w:r>
      <w:r>
        <w:rPr>
          <w:b/>
          <w:sz w:val="24"/>
        </w:rPr>
        <w:t>WITH</w:t>
      </w:r>
      <w:r w:rsidR="001C25DC">
        <w:rPr>
          <w:b/>
          <w:sz w:val="24"/>
        </w:rPr>
        <w:t xml:space="preserve"> THE MEDIA AND WIRELESS TELECOMMUNICATIONS BUREAUS, RELEASE</w:t>
      </w:r>
      <w:r>
        <w:rPr>
          <w:b/>
          <w:sz w:val="24"/>
        </w:rPr>
        <w:t>S</w:t>
      </w:r>
      <w:r w:rsidR="001C25DC">
        <w:rPr>
          <w:b/>
          <w:sz w:val="24"/>
        </w:rPr>
        <w:t xml:space="preserve"> </w:t>
      </w:r>
      <w:r>
        <w:rPr>
          <w:b/>
          <w:sz w:val="24"/>
        </w:rPr>
        <w:t xml:space="preserve">A </w:t>
      </w:r>
      <w:r w:rsidR="001C25DC">
        <w:rPr>
          <w:b/>
          <w:sz w:val="24"/>
        </w:rPr>
        <w:t xml:space="preserve">PUBLIC NOTICE CONCERNING: </w:t>
      </w:r>
      <w:r w:rsidR="00C45438" w:rsidRPr="00C45438">
        <w:rPr>
          <w:b/>
          <w:sz w:val="24"/>
        </w:rPr>
        <w:t xml:space="preserve">CONFIDENTIAL LETTERS REGARDING </w:t>
      </w:r>
      <w:r w:rsidR="001B7E32">
        <w:rPr>
          <w:b/>
          <w:sz w:val="24"/>
        </w:rPr>
        <w:t xml:space="preserve">POST-INCENTIVE AUCTION </w:t>
      </w:r>
      <w:r w:rsidR="00C45438" w:rsidRPr="00C45438">
        <w:rPr>
          <w:b/>
          <w:sz w:val="24"/>
        </w:rPr>
        <w:t>CHANNEL ASSIGNMENTS</w:t>
      </w:r>
      <w:r w:rsidR="009D675D">
        <w:rPr>
          <w:b/>
          <w:sz w:val="24"/>
        </w:rPr>
        <w:t xml:space="preserve">; </w:t>
      </w:r>
      <w:r w:rsidR="00C45438" w:rsidRPr="00C45438">
        <w:rPr>
          <w:b/>
          <w:sz w:val="24"/>
        </w:rPr>
        <w:t>LIMITED WAIVER OF PROHIBITED COMMUNICATIONS RULE</w:t>
      </w:r>
      <w:r w:rsidR="00785B9C">
        <w:rPr>
          <w:b/>
          <w:sz w:val="24"/>
        </w:rPr>
        <w:t>S</w:t>
      </w:r>
      <w:r w:rsidR="009D675D">
        <w:rPr>
          <w:b/>
          <w:sz w:val="24"/>
        </w:rPr>
        <w:t>;</w:t>
      </w:r>
      <w:r w:rsidR="001C25DC">
        <w:rPr>
          <w:b/>
          <w:sz w:val="24"/>
        </w:rPr>
        <w:t xml:space="preserve"> AND </w:t>
      </w:r>
      <w:r w:rsidR="00C33619">
        <w:rPr>
          <w:b/>
          <w:sz w:val="24"/>
        </w:rPr>
        <w:t>BROADCAST STATION SALES AND TRANSFERS</w:t>
      </w:r>
    </w:p>
    <w:p w14:paraId="662CE025" w14:textId="01BDD883" w:rsidR="009D675D" w:rsidRDefault="009D675D">
      <w:pPr>
        <w:jc w:val="center"/>
        <w:rPr>
          <w:b/>
          <w:sz w:val="24"/>
        </w:rPr>
      </w:pPr>
      <w:r>
        <w:rPr>
          <w:b/>
          <w:sz w:val="24"/>
        </w:rPr>
        <w:t xml:space="preserve">GN Docket No. </w:t>
      </w:r>
      <w:r w:rsidR="001C25DC">
        <w:rPr>
          <w:b/>
          <w:sz w:val="24"/>
        </w:rPr>
        <w:t>12-268</w:t>
      </w:r>
      <w:r w:rsidR="001C25DC">
        <w:rPr>
          <w:b/>
          <w:sz w:val="24"/>
        </w:rPr>
        <w:br/>
        <w:t>MB Docket No. 16-306</w:t>
      </w:r>
    </w:p>
    <w:p w14:paraId="4FDA38B2" w14:textId="726B65E8" w:rsidR="001C25DC" w:rsidRDefault="001C25DC">
      <w:pPr>
        <w:jc w:val="center"/>
        <w:rPr>
          <w:b/>
          <w:sz w:val="24"/>
        </w:rPr>
      </w:pPr>
      <w:r>
        <w:rPr>
          <w:b/>
          <w:sz w:val="24"/>
        </w:rPr>
        <w:t>AU Docket No. 14-252</w:t>
      </w:r>
    </w:p>
    <w:p w14:paraId="60D230C8" w14:textId="77777777" w:rsidR="00602577" w:rsidRDefault="00602577">
      <w:pPr>
        <w:jc w:val="center"/>
        <w:rPr>
          <w:sz w:val="24"/>
        </w:rPr>
      </w:pPr>
    </w:p>
    <w:p w14:paraId="7AA65CCB" w14:textId="6F021F7F" w:rsidR="00C45438" w:rsidRDefault="00C45438" w:rsidP="006A0790">
      <w:pPr>
        <w:pStyle w:val="ParaNum0"/>
        <w:widowControl w:val="0"/>
        <w:numPr>
          <w:ilvl w:val="0"/>
          <w:numId w:val="13"/>
        </w:numPr>
        <w:tabs>
          <w:tab w:val="clear" w:pos="1080"/>
          <w:tab w:val="num" w:pos="1440"/>
        </w:tabs>
        <w:spacing w:line="240" w:lineRule="auto"/>
      </w:pPr>
      <w:r w:rsidRPr="005E6052">
        <w:t xml:space="preserve">By this Public Notice, the </w:t>
      </w:r>
      <w:r w:rsidR="004270D2">
        <w:t xml:space="preserve">Incentive Auction Task Force and the </w:t>
      </w:r>
      <w:r>
        <w:t>Media</w:t>
      </w:r>
      <w:r w:rsidRPr="005E6052">
        <w:t xml:space="preserve"> Bureau announce that</w:t>
      </w:r>
      <w:r w:rsidR="00772188">
        <w:t>,</w:t>
      </w:r>
      <w:r w:rsidRPr="005E6052">
        <w:t xml:space="preserve"> </w:t>
      </w:r>
      <w:r w:rsidR="00737A4F">
        <w:t>within the next few days</w:t>
      </w:r>
      <w:r w:rsidR="00772188">
        <w:t>,</w:t>
      </w:r>
      <w:r w:rsidR="00737A4F">
        <w:t xml:space="preserve"> </w:t>
      </w:r>
      <w:r>
        <w:t xml:space="preserve">they will send </w:t>
      </w:r>
      <w:r w:rsidRPr="005E6052">
        <w:t xml:space="preserve">to each </w:t>
      </w:r>
      <w:r w:rsidR="00D6048E">
        <w:t xml:space="preserve">eligible </w:t>
      </w:r>
      <w:r>
        <w:t xml:space="preserve">full power or Class A television station that </w:t>
      </w:r>
      <w:r w:rsidR="00D6048E">
        <w:t xml:space="preserve">was not a provisionally winning bidder to go off-air at the end of Stage 4 of the reverse auction (Auction 1001) of </w:t>
      </w:r>
      <w:r>
        <w:t xml:space="preserve">the broadcast television incentive auction </w:t>
      </w:r>
      <w:r w:rsidR="001B7E32">
        <w:t xml:space="preserve">a confidential letter </w:t>
      </w:r>
      <w:r>
        <w:t xml:space="preserve">with important information regarding </w:t>
      </w:r>
      <w:r w:rsidR="00772188">
        <w:t xml:space="preserve">the station’s </w:t>
      </w:r>
      <w:r>
        <w:t>post-auction channel assignment.  In addition, the Wireless Telecommunications Bureau announces a limited waiver of the rule prohibiting communicating bids and bidding strategies in the reverse auction portion of the incentive auction.</w:t>
      </w:r>
      <w:r w:rsidR="00737A4F">
        <w:rPr>
          <w:rStyle w:val="FootnoteReference"/>
        </w:rPr>
        <w:footnoteReference w:id="1"/>
      </w:r>
      <w:r>
        <w:t xml:space="preserve">  </w:t>
      </w:r>
    </w:p>
    <w:p w14:paraId="5B42C66A" w14:textId="52A6118C" w:rsidR="00C45438" w:rsidRDefault="00C45438" w:rsidP="00016F39">
      <w:pPr>
        <w:pStyle w:val="Heading1"/>
        <w:spacing w:after="120"/>
        <w:jc w:val="left"/>
      </w:pPr>
      <w:r>
        <w:t xml:space="preserve">Confidential Letters </w:t>
      </w:r>
      <w:r w:rsidR="005E19BE">
        <w:t>R</w:t>
      </w:r>
      <w:r>
        <w:t xml:space="preserve">egarding Channel Assignments </w:t>
      </w:r>
    </w:p>
    <w:p w14:paraId="7D9B75A0" w14:textId="181A5178" w:rsidR="003D2DD8" w:rsidRDefault="00397D14" w:rsidP="00025FD9">
      <w:pPr>
        <w:pStyle w:val="ParaNum0"/>
        <w:widowControl w:val="0"/>
        <w:numPr>
          <w:ilvl w:val="0"/>
          <w:numId w:val="13"/>
        </w:numPr>
        <w:tabs>
          <w:tab w:val="clear" w:pos="1080"/>
          <w:tab w:val="num" w:pos="1440"/>
        </w:tabs>
        <w:spacing w:line="240" w:lineRule="auto"/>
      </w:pPr>
      <w:r>
        <w:t>The conditions of the final stage rule having been satisfied o</w:t>
      </w:r>
      <w:r w:rsidR="00BE5A99">
        <w:t xml:space="preserve">n </w:t>
      </w:r>
      <w:r w:rsidR="001B7E32">
        <w:t>January 18</w:t>
      </w:r>
      <w:r w:rsidR="00BE5A99">
        <w:t>, 2017</w:t>
      </w:r>
      <w:r w:rsidR="00C45438">
        <w:t>, the Auction System has finalize</w:t>
      </w:r>
      <w:r>
        <w:t>d</w:t>
      </w:r>
      <w:r w:rsidR="00C45438">
        <w:t xml:space="preserve"> the channel assignment plan for the post-auction television bands using the optimization procedures described in the </w:t>
      </w:r>
      <w:r w:rsidR="00C45438" w:rsidRPr="00945FBF">
        <w:rPr>
          <w:i/>
        </w:rPr>
        <w:t>Auction 1000 Bidding Procedures Public Notice</w:t>
      </w:r>
      <w:r w:rsidR="00C45438">
        <w:t>.</w:t>
      </w:r>
      <w:r w:rsidR="00C45438">
        <w:rPr>
          <w:rStyle w:val="FootnoteReference"/>
        </w:rPr>
        <w:footnoteReference w:id="2"/>
      </w:r>
      <w:r>
        <w:t xml:space="preserve"> </w:t>
      </w:r>
      <w:r w:rsidR="00737A4F">
        <w:t xml:space="preserve"> </w:t>
      </w:r>
      <w:r>
        <w:t xml:space="preserve">The plan will not be effective until the incentive auction is complete and the results of the auction and the repacking process are announced publicly in the </w:t>
      </w:r>
      <w:r w:rsidR="00772188">
        <w:rPr>
          <w:i/>
        </w:rPr>
        <w:t xml:space="preserve">Auction 1000 </w:t>
      </w:r>
      <w:r>
        <w:rPr>
          <w:i/>
        </w:rPr>
        <w:t xml:space="preserve">Closing and </w:t>
      </w:r>
      <w:r w:rsidR="00772188">
        <w:rPr>
          <w:i/>
        </w:rPr>
        <w:t xml:space="preserve">Channel </w:t>
      </w:r>
      <w:r>
        <w:rPr>
          <w:i/>
        </w:rPr>
        <w:t>Reassignment Public Notice</w:t>
      </w:r>
      <w:r w:rsidR="00772188">
        <w:rPr>
          <w:i/>
        </w:rPr>
        <w:t xml:space="preserve"> </w:t>
      </w:r>
      <w:r w:rsidR="00772188">
        <w:t>(</w:t>
      </w:r>
      <w:r w:rsidR="00077669">
        <w:rPr>
          <w:i/>
        </w:rPr>
        <w:t>Closing</w:t>
      </w:r>
      <w:r w:rsidR="00772188">
        <w:rPr>
          <w:i/>
        </w:rPr>
        <w:t xml:space="preserve"> and Reassignment Public Notice</w:t>
      </w:r>
      <w:r w:rsidR="00772188">
        <w:t>)</w:t>
      </w:r>
      <w:r>
        <w:t>.</w:t>
      </w:r>
      <w:r>
        <w:rPr>
          <w:rStyle w:val="FootnoteReference"/>
        </w:rPr>
        <w:footnoteReference w:id="3"/>
      </w:r>
      <w:r>
        <w:t xml:space="preserve"> </w:t>
      </w:r>
      <w:r w:rsidR="00737A4F">
        <w:t xml:space="preserve"> </w:t>
      </w:r>
      <w:r>
        <w:t>Nevertheless, i</w:t>
      </w:r>
      <w:r w:rsidR="00C45438" w:rsidRPr="003863E9">
        <w:t>n</w:t>
      </w:r>
      <w:r w:rsidR="00C45438">
        <w:t xml:space="preserve"> order to provide</w:t>
      </w:r>
      <w:r w:rsidR="00C45438" w:rsidRPr="00A13591">
        <w:t xml:space="preserve"> broadcasters with as much time as possible to prepare for the </w:t>
      </w:r>
      <w:r w:rsidR="00C45438">
        <w:t xml:space="preserve">post-auction </w:t>
      </w:r>
      <w:r w:rsidR="00C45438" w:rsidRPr="00A13591">
        <w:t>transition</w:t>
      </w:r>
      <w:r w:rsidR="00C45438">
        <w:t xml:space="preserve">, </w:t>
      </w:r>
      <w:r w:rsidR="00C45438" w:rsidRPr="00A13591">
        <w:t xml:space="preserve">we </w:t>
      </w:r>
      <w:r w:rsidR="00C45438">
        <w:t>will be sending</w:t>
      </w:r>
      <w:r w:rsidR="00C45438" w:rsidRPr="00A13591">
        <w:t xml:space="preserve"> </w:t>
      </w:r>
      <w:r w:rsidR="004E6C07">
        <w:t xml:space="preserve">in the next few days </w:t>
      </w:r>
      <w:r w:rsidR="00C45438">
        <w:t xml:space="preserve">to </w:t>
      </w:r>
      <w:r w:rsidR="00C45438" w:rsidRPr="00A13591">
        <w:t>each</w:t>
      </w:r>
      <w:r w:rsidR="00B07126">
        <w:br/>
      </w:r>
      <w:r w:rsidR="00C45438" w:rsidRPr="00A13591">
        <w:t xml:space="preserve">station that </w:t>
      </w:r>
      <w:r w:rsidR="00D6048E">
        <w:t xml:space="preserve">was not a provisionally winning bidder to go off-air at the end of Stage 4 of the reverse auction (Auction 1001) </w:t>
      </w:r>
      <w:r w:rsidR="00C45438" w:rsidRPr="00A13591">
        <w:t xml:space="preserve">a confidential letter identifying </w:t>
      </w:r>
      <w:r w:rsidR="00BE24AD">
        <w:t>its</w:t>
      </w:r>
      <w:r w:rsidR="00C45438" w:rsidRPr="00A13591">
        <w:t xml:space="preserve"> assignment</w:t>
      </w:r>
      <w:r w:rsidR="00C45438">
        <w:t xml:space="preserve">. </w:t>
      </w:r>
      <w:r w:rsidR="00C45438" w:rsidRPr="00A13591">
        <w:t xml:space="preserve"> </w:t>
      </w:r>
    </w:p>
    <w:p w14:paraId="67B1971F" w14:textId="08D61C5A" w:rsidR="00C45438" w:rsidRDefault="003D2DD8" w:rsidP="005E19BE">
      <w:pPr>
        <w:pStyle w:val="ParaNum0"/>
        <w:keepNext/>
        <w:numPr>
          <w:ilvl w:val="0"/>
          <w:numId w:val="13"/>
        </w:numPr>
        <w:tabs>
          <w:tab w:val="clear" w:pos="1080"/>
          <w:tab w:val="num" w:pos="1440"/>
        </w:tabs>
        <w:spacing w:line="240" w:lineRule="auto"/>
      </w:pPr>
      <w:r>
        <w:lastRenderedPageBreak/>
        <w:t>Confidential l</w:t>
      </w:r>
      <w:r w:rsidR="00C45438">
        <w:t xml:space="preserve">etters </w:t>
      </w:r>
      <w:r w:rsidR="00737A4F">
        <w:t>will be</w:t>
      </w:r>
      <w:r w:rsidR="00C45438">
        <w:t xml:space="preserve"> sent regardless of whether </w:t>
      </w:r>
      <w:r>
        <w:t>a</w:t>
      </w:r>
      <w:r w:rsidR="00C45438">
        <w:t xml:space="preserve"> station’s post-auction channel assignment </w:t>
      </w:r>
      <w:r w:rsidR="006556BC">
        <w:t xml:space="preserve">has </w:t>
      </w:r>
      <w:r w:rsidR="00C45438">
        <w:t>change</w:t>
      </w:r>
      <w:r w:rsidR="006556BC">
        <w:t>d</w:t>
      </w:r>
      <w:r w:rsidR="00C45438">
        <w:t xml:space="preserve"> from its pre-auction channel assignment.</w:t>
      </w:r>
      <w:r w:rsidR="00C45438">
        <w:rPr>
          <w:rStyle w:val="FootnoteReference"/>
        </w:rPr>
        <w:footnoteReference w:id="4"/>
      </w:r>
      <w:r w:rsidR="00C45438">
        <w:t xml:space="preserve">  Letters sent to stations that have been reassigned to a new post-auction channel will contain additional information, including technical parameters and </w:t>
      </w:r>
      <w:r>
        <w:t>the station’s</w:t>
      </w:r>
      <w:r w:rsidR="00C45438">
        <w:t xml:space="preserve"> transition phase assignment for </w:t>
      </w:r>
      <w:r>
        <w:t xml:space="preserve">moving to </w:t>
      </w:r>
      <w:r w:rsidR="00C45438">
        <w:t>the post-auction channel.</w:t>
      </w:r>
      <w:r w:rsidR="006556BC">
        <w:rPr>
          <w:rStyle w:val="FootnoteReference"/>
        </w:rPr>
        <w:footnoteReference w:id="5"/>
      </w:r>
      <w:r w:rsidR="00C45438">
        <w:t xml:space="preserve">  </w:t>
      </w:r>
    </w:p>
    <w:p w14:paraId="3AF0D4F1" w14:textId="75CE2968" w:rsidR="00C45438" w:rsidRDefault="00C45438" w:rsidP="003D2DD8">
      <w:pPr>
        <w:pStyle w:val="ParaNum0"/>
        <w:widowControl w:val="0"/>
        <w:numPr>
          <w:ilvl w:val="0"/>
          <w:numId w:val="13"/>
        </w:numPr>
        <w:tabs>
          <w:tab w:val="clear" w:pos="1080"/>
          <w:tab w:val="num" w:pos="1440"/>
        </w:tabs>
        <w:spacing w:line="240" w:lineRule="auto"/>
      </w:pPr>
      <w:r>
        <w:t>Pursuant to the Spectrum Act, the Commission is obligated to take reasonable steps to keep confidential Commission-held data of licensees with respect to their participation in the reverse auction, including their identities.</w:t>
      </w:r>
      <w:r>
        <w:rPr>
          <w:rStyle w:val="FootnoteReference"/>
        </w:rPr>
        <w:footnoteReference w:id="6"/>
      </w:r>
      <w:r>
        <w:t xml:space="preserve">  Accordingly, the letters to the broadcasters are being sent on a confidential basis.</w:t>
      </w:r>
      <w:r w:rsidR="00CE6DA1">
        <w:t xml:space="preserve"> </w:t>
      </w:r>
      <w:r w:rsidR="00737A4F">
        <w:t xml:space="preserve"> </w:t>
      </w:r>
      <w:r w:rsidR="00CE6DA1">
        <w:t>W</w:t>
      </w:r>
      <w:r w:rsidR="003D2DD8">
        <w:t xml:space="preserve">e emphasize that the channel assignment plan for the post-auction television bands will not be effective until the auction is complete and the </w:t>
      </w:r>
      <w:r w:rsidR="003D2DD8">
        <w:rPr>
          <w:i/>
        </w:rPr>
        <w:t xml:space="preserve">Closing and Reassignment Public Notice </w:t>
      </w:r>
      <w:r w:rsidR="003D2DD8">
        <w:t>is released.</w:t>
      </w:r>
      <w:r w:rsidR="00737A4F">
        <w:rPr>
          <w:rStyle w:val="FootnoteReference"/>
        </w:rPr>
        <w:footnoteReference w:id="7"/>
      </w:r>
      <w:r w:rsidR="00737A4F">
        <w:t xml:space="preserve"> </w:t>
      </w:r>
      <w:r w:rsidR="00CE6DA1">
        <w:t xml:space="preserve"> Notifying broadcasters of their post-auction channel assignments in advance on a confidential basis, however, will allow them to take advantage of the intervening time to prepare for the post-auction transition. </w:t>
      </w:r>
      <w:r w:rsidR="00081CAE">
        <w:t xml:space="preserve"> </w:t>
      </w:r>
      <w:r w:rsidR="00CE6DA1">
        <w:t xml:space="preserve">We encourage stations to take full advantage of this opportunity.   </w:t>
      </w:r>
      <w:r w:rsidR="003D2DD8">
        <w:t xml:space="preserve">  </w:t>
      </w:r>
    </w:p>
    <w:p w14:paraId="3A50917D" w14:textId="1F43130B" w:rsidR="00C45438" w:rsidRDefault="00C45438" w:rsidP="00A01DE0">
      <w:pPr>
        <w:pStyle w:val="Heading1"/>
        <w:spacing w:after="120"/>
        <w:jc w:val="left"/>
      </w:pPr>
      <w:r>
        <w:t xml:space="preserve">Limited </w:t>
      </w:r>
      <w:r w:rsidR="005E19BE">
        <w:t>W</w:t>
      </w:r>
      <w:r>
        <w:t xml:space="preserve">aiver of </w:t>
      </w:r>
      <w:r w:rsidR="005E19BE">
        <w:t>P</w:t>
      </w:r>
      <w:r>
        <w:t xml:space="preserve">rohibition on </w:t>
      </w:r>
      <w:r w:rsidR="005E19BE">
        <w:t>C</w:t>
      </w:r>
      <w:r>
        <w:t xml:space="preserve">ommunicating any </w:t>
      </w:r>
      <w:r w:rsidR="005E19BE">
        <w:t>I</w:t>
      </w:r>
      <w:r>
        <w:t xml:space="preserve">ncentive </w:t>
      </w:r>
      <w:r w:rsidR="005E19BE">
        <w:t>A</w:t>
      </w:r>
      <w:r>
        <w:t xml:space="preserve">uction </w:t>
      </w:r>
      <w:r w:rsidR="005E19BE">
        <w:t>A</w:t>
      </w:r>
      <w:r>
        <w:t xml:space="preserve">pplicant’s </w:t>
      </w:r>
      <w:r w:rsidR="005E19BE">
        <w:t>R</w:t>
      </w:r>
      <w:r>
        <w:t xml:space="preserve">everse </w:t>
      </w:r>
      <w:r w:rsidR="005E19BE">
        <w:t>A</w:t>
      </w:r>
      <w:r>
        <w:t xml:space="preserve">uction </w:t>
      </w:r>
      <w:r w:rsidR="005E19BE">
        <w:t>B</w:t>
      </w:r>
      <w:r>
        <w:t xml:space="preserve">ids or </w:t>
      </w:r>
      <w:r w:rsidR="005E19BE">
        <w:t>B</w:t>
      </w:r>
      <w:r>
        <w:t xml:space="preserve">idding </w:t>
      </w:r>
      <w:r w:rsidR="005E19BE">
        <w:t>S</w:t>
      </w:r>
      <w:r>
        <w:t>trategies</w:t>
      </w:r>
    </w:p>
    <w:p w14:paraId="3FEA3C7B" w14:textId="2225D0C0" w:rsidR="00C45438" w:rsidRDefault="006F27BA" w:rsidP="00E35797">
      <w:pPr>
        <w:pStyle w:val="ParaNum0"/>
        <w:widowControl w:val="0"/>
        <w:numPr>
          <w:ilvl w:val="0"/>
          <w:numId w:val="13"/>
        </w:numPr>
        <w:tabs>
          <w:tab w:val="clear" w:pos="1080"/>
          <w:tab w:val="num" w:pos="1440"/>
        </w:tabs>
        <w:spacing w:line="240" w:lineRule="auto"/>
      </w:pPr>
      <w:r>
        <w:t>T</w:t>
      </w:r>
      <w:r w:rsidR="00C45438">
        <w:t>he Wireless Telecommunications Bureau waives the rules prohibit</w:t>
      </w:r>
      <w:r>
        <w:t>ing</w:t>
      </w:r>
      <w:r w:rsidR="00C45438">
        <w:t xml:space="preserve"> communication between specified parties of any incentive auction applicant’s reverse auction bids or bidding strategies</w:t>
      </w:r>
      <w:r>
        <w:t>.</w:t>
      </w:r>
      <w:r w:rsidR="003E78D5">
        <w:t xml:space="preserve"> </w:t>
      </w:r>
      <w:r>
        <w:t xml:space="preserve"> This limited waiver will serve the public interest in a rapid, non-disruptive post-auction transition by enabling broadcasters and related parties to prepare by communicating post-auction channel assignment information without risk of violating FCC rules.  This limited waiver</w:t>
      </w:r>
      <w:r w:rsidR="00C45438">
        <w:t xml:space="preserve"> </w:t>
      </w:r>
      <w:r>
        <w:t>does not</w:t>
      </w:r>
      <w:r w:rsidR="00C45438">
        <w:t xml:space="preserve"> affect the rules that prohibit communication of any incentive auction applicant’s forward auction bids or bidding strategies.  </w:t>
      </w:r>
    </w:p>
    <w:p w14:paraId="181F1859" w14:textId="5F1774E9" w:rsidR="00C45438" w:rsidRDefault="00C45438" w:rsidP="00C45438">
      <w:pPr>
        <w:pStyle w:val="ParaNum0"/>
        <w:widowControl w:val="0"/>
        <w:numPr>
          <w:ilvl w:val="0"/>
          <w:numId w:val="13"/>
        </w:numPr>
        <w:tabs>
          <w:tab w:val="clear" w:pos="1080"/>
          <w:tab w:val="num" w:pos="1440"/>
        </w:tabs>
        <w:spacing w:line="240" w:lineRule="auto"/>
      </w:pPr>
      <w:r>
        <w:t>Sections 1.2205(b)(1) and 1.2105(c)(6)(ii) of the Commission’s rules prohibit broadcasters and forward auction applicants from communicating any incentive auction applicant’s bids or bidding strategies to other parties specified in the respective provisions.</w:t>
      </w:r>
      <w:r>
        <w:rPr>
          <w:vertAlign w:val="superscript"/>
        </w:rPr>
        <w:footnoteReference w:id="8"/>
      </w:r>
      <w:r>
        <w:t xml:space="preserve">  Broadcasters are prohibited </w:t>
      </w:r>
      <w:r>
        <w:lastRenderedPageBreak/>
        <w:t>from communicating the information to other broadcasters or forward auction applicants and forward auction applicants are prohibited from communicating the information to broadcasters.  A separate section of the rule addresses communication by forward auction applicants of any incentive auction applicant’s bids or bidding strategies to other specified parties.</w:t>
      </w:r>
      <w:r>
        <w:rPr>
          <w:rStyle w:val="FootnoteReference"/>
        </w:rPr>
        <w:footnoteReference w:id="9"/>
      </w:r>
      <w:r>
        <w:t xml:space="preserve">  The prohibitions on broadcasters apply until the</w:t>
      </w:r>
      <w:r w:rsidR="006F27BA">
        <w:t xml:space="preserve"> </w:t>
      </w:r>
      <w:r w:rsidR="006F27BA">
        <w:rPr>
          <w:i/>
        </w:rPr>
        <w:t>Closing and Reassignment Public Notice</w:t>
      </w:r>
      <w:r w:rsidR="006F27BA">
        <w:t>, the</w:t>
      </w:r>
      <w:r>
        <w:t xml:space="preserve"> public notice announcing the close of the auction</w:t>
      </w:r>
      <w:r w:rsidR="006F27BA">
        <w:t>,</w:t>
      </w:r>
      <w:r>
        <w:t xml:space="preserve"> is released.</w:t>
      </w:r>
      <w:r>
        <w:rPr>
          <w:rStyle w:val="FootnoteReference"/>
        </w:rPr>
        <w:footnoteReference w:id="10"/>
      </w:r>
      <w:r>
        <w:t xml:space="preserve">  The prohibitions on forward auction applicants apply until the deadline for down payments on winning bids.</w:t>
      </w:r>
      <w:r>
        <w:rPr>
          <w:vertAlign w:val="superscript"/>
        </w:rPr>
        <w:footnoteReference w:id="11"/>
      </w:r>
      <w:r>
        <w:t xml:space="preserve">  The prohibition</w:t>
      </w:r>
      <w:r w:rsidR="005E19BE">
        <w:t>s</w:t>
      </w:r>
      <w:r>
        <w:t xml:space="preserve"> cover related parties, as well as broadcast licensees and parties that applied to participate in the forward auction.</w:t>
      </w:r>
      <w:r>
        <w:rPr>
          <w:vertAlign w:val="superscript"/>
        </w:rPr>
        <w:footnoteReference w:id="12"/>
      </w:r>
    </w:p>
    <w:p w14:paraId="7BF5C3C1" w14:textId="6A9406AB" w:rsidR="00C45438" w:rsidRDefault="006F27BA" w:rsidP="00C45438">
      <w:pPr>
        <w:pStyle w:val="ParaNum0"/>
        <w:widowControl w:val="0"/>
        <w:numPr>
          <w:ilvl w:val="0"/>
          <w:numId w:val="13"/>
        </w:numPr>
        <w:tabs>
          <w:tab w:val="clear" w:pos="1080"/>
          <w:tab w:val="num" w:pos="1440"/>
        </w:tabs>
        <w:spacing w:line="240" w:lineRule="auto"/>
      </w:pPr>
      <w:r>
        <w:t>T</w:t>
      </w:r>
      <w:r w:rsidR="00C45438">
        <w:t>he Commission intended th</w:t>
      </w:r>
      <w:r w:rsidR="001C27DA">
        <w:t>e</w:t>
      </w:r>
      <w:r w:rsidR="00C45438">
        <w:t xml:space="preserve"> prohibition </w:t>
      </w:r>
      <w:r w:rsidR="001C27DA">
        <w:t xml:space="preserve">on communications by broadcasters and related parties </w:t>
      </w:r>
      <w:r w:rsidR="00C45438">
        <w:t>to reinforce existing antitrust laws, facilitate detection of collusive conduct, and assure incentive auction participants that the auction process will be fair and objective.</w:t>
      </w:r>
      <w:r w:rsidR="00C45438">
        <w:rPr>
          <w:rStyle w:val="FootnoteReference"/>
        </w:rPr>
        <w:footnoteReference w:id="13"/>
      </w:r>
      <w:r w:rsidR="00C45438">
        <w:t xml:space="preserve">  The prohibition does so</w:t>
      </w:r>
      <w:r w:rsidR="003E78D5">
        <w:t>,</w:t>
      </w:r>
      <w:r w:rsidR="00C45438">
        <w:t xml:space="preserve"> in part</w:t>
      </w:r>
      <w:r w:rsidR="003E78D5">
        <w:t>,</w:t>
      </w:r>
      <w:r w:rsidR="00C45438">
        <w:t xml:space="preserve"> by preventing communications that might enable parties to coordinate bidding in violation of antitrust laws, or to collude to manipulate the outcome of the auction, or to have the potential of doing so and thereby undermine confidence in the process, deter participation, and thwart the public interest in an effective assignment of spectrum resources.  The rules create a separate duty for covered parties to report violations, further limiting the likelihood of communications that might violate the prohibition and increasing the likelihood that any violations will be detected and subject to enforcement action.</w:t>
      </w:r>
    </w:p>
    <w:p w14:paraId="1E63B083" w14:textId="0EA063BC" w:rsidR="00C45438" w:rsidRDefault="00C45438" w:rsidP="00C45438">
      <w:pPr>
        <w:pStyle w:val="ParaNum0"/>
        <w:widowControl w:val="0"/>
        <w:numPr>
          <w:ilvl w:val="0"/>
          <w:numId w:val="13"/>
        </w:numPr>
        <w:tabs>
          <w:tab w:val="clear" w:pos="1080"/>
          <w:tab w:val="num" w:pos="1440"/>
        </w:tabs>
        <w:spacing w:line="240" w:lineRule="auto"/>
      </w:pPr>
      <w:r>
        <w:t xml:space="preserve">Commenters addressing the transition schedule plan raised concerns that the prohibition might interfere with </w:t>
      </w:r>
      <w:r w:rsidR="001C27DA">
        <w:t xml:space="preserve">advance </w:t>
      </w:r>
      <w:r>
        <w:t xml:space="preserve">preparation </w:t>
      </w:r>
      <w:r w:rsidR="001C27DA">
        <w:t xml:space="preserve">for the post-auction transition by broadcasters after they receive their confidential letters </w:t>
      </w:r>
      <w:r>
        <w:t>by limiting communications regarding broadcasters’ post-auction plans.</w:t>
      </w:r>
      <w:r>
        <w:rPr>
          <w:rStyle w:val="FootnoteReference"/>
        </w:rPr>
        <w:footnoteReference w:id="14"/>
      </w:r>
      <w:r>
        <w:t xml:space="preserve">  The prohibition </w:t>
      </w:r>
      <w:r w:rsidR="008D48D8">
        <w:t xml:space="preserve">does </w:t>
      </w:r>
      <w:r>
        <w:t xml:space="preserve">limit some communications </w:t>
      </w:r>
      <w:r w:rsidR="00BD2DC6">
        <w:t xml:space="preserve">about reverse auction bidding and results </w:t>
      </w:r>
      <w:r>
        <w:t>by broadcasters with other broadcasters and forward auction applicants.</w:t>
      </w:r>
      <w:r w:rsidR="00917D53">
        <w:rPr>
          <w:rStyle w:val="FootnoteReference"/>
        </w:rPr>
        <w:footnoteReference w:id="15"/>
      </w:r>
      <w:r>
        <w:t xml:space="preserve">  Moreover, the prohibition may limit broadcasters’ communications with other parties as well, given</w:t>
      </w:r>
      <w:r w:rsidR="00630CC3">
        <w:t>, for example,</w:t>
      </w:r>
      <w:r>
        <w:t xml:space="preserve"> that information shared with third parties involved in the transition ultimately might be communicated to a covered party in violation of the prohibition.</w:t>
      </w:r>
      <w:r>
        <w:rPr>
          <w:rStyle w:val="FootnoteReference"/>
        </w:rPr>
        <w:footnoteReference w:id="16"/>
      </w:r>
      <w:r>
        <w:t xml:space="preserve">  Broadcasters might refrain from such communications during the pendency of the prohibition</w:t>
      </w:r>
      <w:r w:rsidR="00630CC3">
        <w:t xml:space="preserve"> to minimize the risk of violating it</w:t>
      </w:r>
      <w:r>
        <w:t>.</w:t>
      </w:r>
      <w:r>
        <w:rPr>
          <w:rStyle w:val="FootnoteReference"/>
        </w:rPr>
        <w:footnoteReference w:id="17"/>
      </w:r>
      <w:r w:rsidR="001C27DA">
        <w:t xml:space="preserve">  This, in turn, would undermine the benefits of providing advance notification of post-auction channel assignments through the confidential letters. </w:t>
      </w:r>
    </w:p>
    <w:p w14:paraId="71774C8E" w14:textId="3A1ED49A" w:rsidR="00C45438" w:rsidRDefault="00C45438" w:rsidP="00C45438">
      <w:pPr>
        <w:pStyle w:val="ParaNum0"/>
        <w:widowControl w:val="0"/>
        <w:numPr>
          <w:ilvl w:val="0"/>
          <w:numId w:val="13"/>
        </w:numPr>
        <w:tabs>
          <w:tab w:val="clear" w:pos="1080"/>
          <w:tab w:val="num" w:pos="1440"/>
        </w:tabs>
        <w:spacing w:line="240" w:lineRule="auto"/>
      </w:pPr>
      <w:r>
        <w:t xml:space="preserve">Furthermore, as noted in the </w:t>
      </w:r>
      <w:r w:rsidRPr="001866BF">
        <w:rPr>
          <w:i/>
        </w:rPr>
        <w:t>T</w:t>
      </w:r>
      <w:r w:rsidR="003E78D5">
        <w:rPr>
          <w:i/>
        </w:rPr>
        <w:t xml:space="preserve">ransition </w:t>
      </w:r>
      <w:r w:rsidRPr="001866BF">
        <w:rPr>
          <w:i/>
        </w:rPr>
        <w:t>S</w:t>
      </w:r>
      <w:r w:rsidR="003E78D5">
        <w:rPr>
          <w:i/>
        </w:rPr>
        <w:t>cheduling Adoption Public Notice</w:t>
      </w:r>
      <w:r>
        <w:t>, some broadcasters, specifically those with winning bids to change television bands, cannot communicate post-auction channel assignments without disclosing bids or bidding strategies.</w:t>
      </w:r>
      <w:r w:rsidR="003E78D5">
        <w:rPr>
          <w:rStyle w:val="FootnoteReference"/>
        </w:rPr>
        <w:footnoteReference w:id="18"/>
      </w:r>
      <w:r>
        <w:t xml:space="preserve">  </w:t>
      </w:r>
      <w:r w:rsidR="008D48D8">
        <w:t xml:space="preserve">Some </w:t>
      </w:r>
      <w:r>
        <w:t xml:space="preserve">broadcasters, such as those involved in channel sharing, might find it very difficult to communicate effectively about post-auction channel assignments without making such disclosures.  Accordingly, the </w:t>
      </w:r>
      <w:r w:rsidR="00630CC3">
        <w:rPr>
          <w:i/>
        </w:rPr>
        <w:t>Transition Scheduling Adoption Public Notice</w:t>
      </w:r>
      <w:r>
        <w:t xml:space="preserve"> stated that any necessary waiver of the prohibition would be addressed at the time </w:t>
      </w:r>
      <w:r w:rsidRPr="00F63DEF">
        <w:t>letters regarding post-auction channel assignments are sent</w:t>
      </w:r>
      <w:r>
        <w:t>.</w:t>
      </w:r>
      <w:r w:rsidR="00630CC3">
        <w:rPr>
          <w:rStyle w:val="FootnoteReference"/>
        </w:rPr>
        <w:footnoteReference w:id="19"/>
      </w:r>
      <w:r>
        <w:t xml:space="preserve">  We now </w:t>
      </w:r>
      <w:r w:rsidR="001C27DA">
        <w:t xml:space="preserve">adopt </w:t>
      </w:r>
      <w:r>
        <w:t>such a waiver.</w:t>
      </w:r>
    </w:p>
    <w:p w14:paraId="08C0E1EB" w14:textId="4BCEDF5A" w:rsidR="00C45438" w:rsidRDefault="00C45438" w:rsidP="00C45438">
      <w:pPr>
        <w:pStyle w:val="ParaNum0"/>
        <w:widowControl w:val="0"/>
        <w:numPr>
          <w:ilvl w:val="0"/>
          <w:numId w:val="13"/>
        </w:numPr>
        <w:tabs>
          <w:tab w:val="clear" w:pos="1080"/>
          <w:tab w:val="num" w:pos="1440"/>
        </w:tabs>
        <w:spacing w:line="240" w:lineRule="auto"/>
      </w:pPr>
      <w:r>
        <w:t>Wh</w:t>
      </w:r>
      <w:r w:rsidR="00F149E0">
        <w:t>ile administering a Commission auction, including the incentive auction,</w:t>
      </w:r>
      <w:r>
        <w:t xml:space="preserve"> the Wireless Telecommunications Bureau has delegated authority to waive Commission auction rules </w:t>
      </w:r>
      <w:r w:rsidR="00F149E0">
        <w:t>where good cause exists</w:t>
      </w:r>
      <w:r>
        <w:t>.</w:t>
      </w:r>
      <w:r>
        <w:rPr>
          <w:rStyle w:val="FootnoteReference"/>
        </w:rPr>
        <w:footnoteReference w:id="20"/>
      </w:r>
      <w:r>
        <w:t xml:space="preserve">  We conclude that good cause exists to grant a limited waiver of the prohibited communications rules because full application of the rules in the present circumstances is not necessary to serve their underlying purpose and a waiver will serve the public interest.</w:t>
      </w:r>
      <w:r>
        <w:rPr>
          <w:rStyle w:val="FootnoteReference"/>
        </w:rPr>
        <w:footnoteReference w:id="21"/>
      </w:r>
      <w:r>
        <w:t xml:space="preserve">  </w:t>
      </w:r>
    </w:p>
    <w:p w14:paraId="6AA7B16F" w14:textId="52E0DCD8" w:rsidR="00C45438" w:rsidRDefault="00C45438" w:rsidP="00BD7792">
      <w:pPr>
        <w:pStyle w:val="ParaNum0"/>
        <w:widowControl w:val="0"/>
        <w:numPr>
          <w:ilvl w:val="0"/>
          <w:numId w:val="13"/>
        </w:numPr>
        <w:tabs>
          <w:tab w:val="clear" w:pos="1080"/>
        </w:tabs>
        <w:spacing w:line="240" w:lineRule="auto"/>
      </w:pPr>
      <w:r>
        <w:t xml:space="preserve">Now that the final stage rule has been satisfied, </w:t>
      </w:r>
      <w:r w:rsidR="00851BE0">
        <w:t xml:space="preserve">communications between broadcasters </w:t>
      </w:r>
      <w:r w:rsidR="00BD2DC6">
        <w:t xml:space="preserve">regarding </w:t>
      </w:r>
      <w:r w:rsidR="00851BE0">
        <w:t xml:space="preserve">reverse auction bidding </w:t>
      </w:r>
      <w:r w:rsidR="00BD2DC6">
        <w:t xml:space="preserve">and results </w:t>
      </w:r>
      <w:r w:rsidR="00851BE0">
        <w:t xml:space="preserve">can have no effect on </w:t>
      </w:r>
      <w:r>
        <w:t>bidding in the reverse auction.  Pursuant to the Commission’s rules, each bid in the reverse auction constitutes an irrevocable offer by the licensee to fulfill the terms of the bid.</w:t>
      </w:r>
      <w:r>
        <w:rPr>
          <w:rStyle w:val="FootnoteReference"/>
        </w:rPr>
        <w:footnoteReference w:id="22"/>
      </w:r>
      <w:r>
        <w:t xml:space="preserve">  A bid cannot be changed after the round in which it is submitted concludes.  Now that the final stage rule has been satisfied</w:t>
      </w:r>
      <w:r w:rsidR="001C27DA">
        <w:t xml:space="preserve">, </w:t>
      </w:r>
      <w:r>
        <w:t xml:space="preserve">there will be no further bidding in the reverse auction.  </w:t>
      </w:r>
      <w:r w:rsidR="00851BE0">
        <w:t>E</w:t>
      </w:r>
      <w:r>
        <w:t>ach reverse auction bidder has made its final irrevocable bid, no licensee can change its reverse auction bids or bidding strategies, and the outcome of the reverse auction bidding cannot be changed for any party or as a whole.</w:t>
      </w:r>
      <w:r>
        <w:rPr>
          <w:rStyle w:val="FootnoteReference"/>
        </w:rPr>
        <w:footnoteReference w:id="23"/>
      </w:r>
      <w:r>
        <w:t xml:space="preserve">  </w:t>
      </w:r>
      <w:r w:rsidR="00851BE0">
        <w:t xml:space="preserve">We therefore </w:t>
      </w:r>
      <w:r w:rsidR="00024571">
        <w:t>conclude</w:t>
      </w:r>
      <w:r w:rsidR="00851BE0">
        <w:t xml:space="preserve"> that application of the rule is not necessary to </w:t>
      </w:r>
      <w:r w:rsidR="00024C32">
        <w:t xml:space="preserve">serve its underlying purpose with respect to communications </w:t>
      </w:r>
      <w:r w:rsidR="00024571">
        <w:t xml:space="preserve">between broadcasters </w:t>
      </w:r>
      <w:r w:rsidR="00024C32">
        <w:t>regarding reverse auction bids and bidding strategies</w:t>
      </w:r>
      <w:r w:rsidR="00024571">
        <w:t>.</w:t>
      </w:r>
      <w:r w:rsidR="00024C32">
        <w:t xml:space="preserve"> </w:t>
      </w:r>
    </w:p>
    <w:p w14:paraId="757E7D41" w14:textId="648A5C94" w:rsidR="00C45438" w:rsidRDefault="00C45438" w:rsidP="00D3723E">
      <w:pPr>
        <w:pStyle w:val="ParaNum0"/>
        <w:widowControl w:val="0"/>
        <w:numPr>
          <w:ilvl w:val="0"/>
          <w:numId w:val="13"/>
        </w:numPr>
        <w:tabs>
          <w:tab w:val="clear" w:pos="1080"/>
          <w:tab w:val="num" w:pos="1440"/>
        </w:tabs>
        <w:spacing w:line="240" w:lineRule="auto"/>
      </w:pPr>
      <w:r>
        <w:t>Communicatin</w:t>
      </w:r>
      <w:r w:rsidR="006D773C">
        <w:t xml:space="preserve">g </w:t>
      </w:r>
      <w:r>
        <w:t xml:space="preserve">reverse auction bids or bidding strategies </w:t>
      </w:r>
      <w:r w:rsidR="006D773C">
        <w:t>to</w:t>
      </w:r>
      <w:r w:rsidR="00851BE0">
        <w:t xml:space="preserve"> forward auction applicants </w:t>
      </w:r>
      <w:r w:rsidR="00C773C0">
        <w:t xml:space="preserve">still </w:t>
      </w:r>
      <w:r>
        <w:t xml:space="preserve">may affect </w:t>
      </w:r>
      <w:r w:rsidR="00851BE0">
        <w:t xml:space="preserve">bidding in </w:t>
      </w:r>
      <w:r>
        <w:t>the forward auction.</w:t>
      </w:r>
      <w:r w:rsidR="0025134D">
        <w:rPr>
          <w:rStyle w:val="FootnoteReference"/>
        </w:rPr>
        <w:footnoteReference w:id="24"/>
      </w:r>
      <w:r>
        <w:t xml:space="preserve">  </w:t>
      </w:r>
      <w:r w:rsidR="001C27DA">
        <w:t xml:space="preserve">But any </w:t>
      </w:r>
      <w:r>
        <w:t>such effect</w:t>
      </w:r>
      <w:r w:rsidR="00DA44DF">
        <w:t xml:space="preserve"> on the forward auction</w:t>
      </w:r>
      <w:r>
        <w:t xml:space="preserve"> </w:t>
      </w:r>
      <w:r w:rsidR="00DA44DF">
        <w:t xml:space="preserve">can only be minimal </w:t>
      </w:r>
      <w:r w:rsidR="006D773C">
        <w:t>at this point in the auction</w:t>
      </w:r>
      <w:r w:rsidR="00306E97">
        <w:t>.  T</w:t>
      </w:r>
      <w:r>
        <w:t xml:space="preserve">he forward auction has passed significant milestones.  </w:t>
      </w:r>
      <w:r w:rsidR="00443CE3">
        <w:t xml:space="preserve">A substantial amount of bidding in the forward auction clock phase already has taken place.  </w:t>
      </w:r>
      <w:r>
        <w:t xml:space="preserve">The final stage rule has been met, meaning that the auction proceeds are both sufficient to meet the costs required by statute and </w:t>
      </w:r>
      <w:r w:rsidR="00C773C0">
        <w:t xml:space="preserve">to </w:t>
      </w:r>
      <w:r>
        <w:t xml:space="preserve">satisfy the Commission’s rule with respect to the average price in the top 40 PEAs.  The assignment </w:t>
      </w:r>
      <w:r w:rsidR="00BE5A99">
        <w:t>phase</w:t>
      </w:r>
      <w:r>
        <w:t xml:space="preserve">, while essential to determining the particular frequencies awarded each winning bidder, </w:t>
      </w:r>
      <w:r w:rsidR="00443CE3">
        <w:t xml:space="preserve">will not </w:t>
      </w:r>
      <w:r w:rsidR="00305C35">
        <w:t xml:space="preserve">change </w:t>
      </w:r>
      <w:r>
        <w:t>the outcome</w:t>
      </w:r>
      <w:r w:rsidR="00305C35">
        <w:t xml:space="preserve"> of the clock phase</w:t>
      </w:r>
      <w:r w:rsidR="00443CE3">
        <w:t>, once it is completed</w:t>
      </w:r>
      <w:r>
        <w:t xml:space="preserve">.  </w:t>
      </w:r>
      <w:r w:rsidR="00BE5A99">
        <w:t>Furthermore</w:t>
      </w:r>
      <w:r>
        <w:t xml:space="preserve">, given the </w:t>
      </w:r>
      <w:r w:rsidR="00443CE3">
        <w:t xml:space="preserve">point already reached in the clock phase and the </w:t>
      </w:r>
      <w:r w:rsidR="009A670E">
        <w:t>purpose of</w:t>
      </w:r>
      <w:r>
        <w:t xml:space="preserve"> and the </w:t>
      </w:r>
      <w:r w:rsidR="00BE5A99">
        <w:t>procedures for the assignment p</w:t>
      </w:r>
      <w:r>
        <w:t>hase</w:t>
      </w:r>
      <w:r w:rsidR="00BE5A99">
        <w:t>,</w:t>
      </w:r>
      <w:r>
        <w:t xml:space="preserve"> the ability of a forward auction bidder to use information about reverse auction bids or bidding strategies to manipulate the outcome </w:t>
      </w:r>
      <w:r w:rsidR="00BE5A99">
        <w:t xml:space="preserve">for anti-competitive purposes </w:t>
      </w:r>
      <w:r>
        <w:t>appears to be remote.  Finally, because we are waiving the rule to allow certain communications with all broadcasters and all forward auction applicants, the information is potentially equally available to all.</w:t>
      </w:r>
      <w:r w:rsidR="009900AD">
        <w:rPr>
          <w:rStyle w:val="FootnoteReference"/>
        </w:rPr>
        <w:footnoteReference w:id="25"/>
      </w:r>
      <w:r>
        <w:t xml:space="preserve"> </w:t>
      </w:r>
    </w:p>
    <w:p w14:paraId="109824CC" w14:textId="498F4B4D" w:rsidR="00C45438" w:rsidRDefault="008D48D8" w:rsidP="00C45438">
      <w:pPr>
        <w:pStyle w:val="ParaNum0"/>
        <w:widowControl w:val="0"/>
        <w:numPr>
          <w:ilvl w:val="0"/>
          <w:numId w:val="13"/>
        </w:numPr>
        <w:tabs>
          <w:tab w:val="clear" w:pos="1080"/>
          <w:tab w:val="num" w:pos="1440"/>
        </w:tabs>
        <w:spacing w:line="240" w:lineRule="auto"/>
      </w:pPr>
      <w:r>
        <w:t xml:space="preserve">We conclude that the </w:t>
      </w:r>
      <w:r w:rsidR="00350419">
        <w:t xml:space="preserve">continued strict application of the rule is unnecessary. Waiver of the rule to further </w:t>
      </w:r>
      <w:r w:rsidR="00C45438">
        <w:t xml:space="preserve">the </w:t>
      </w:r>
      <w:r w:rsidR="00306E97">
        <w:t>goal of</w:t>
      </w:r>
      <w:r w:rsidR="00C45438">
        <w:t xml:space="preserve"> </w:t>
      </w:r>
      <w:r w:rsidR="00306E97">
        <w:t>a rapid, non-disruptive</w:t>
      </w:r>
      <w:r w:rsidR="00C45438">
        <w:t xml:space="preserve"> post-auction transition</w:t>
      </w:r>
      <w:r w:rsidR="00350419">
        <w:t xml:space="preserve"> i</w:t>
      </w:r>
      <w:r w:rsidR="007E2639">
        <w:t>s</w:t>
      </w:r>
      <w:r w:rsidR="00350419">
        <w:t xml:space="preserve"> in the public interest.</w:t>
      </w:r>
      <w:r w:rsidR="00C45438">
        <w:t xml:space="preserve"> </w:t>
      </w:r>
      <w:r w:rsidR="00350419">
        <w:t xml:space="preserve">Continued strict application of the rule </w:t>
      </w:r>
      <w:r w:rsidR="00C45438">
        <w:t>w</w:t>
      </w:r>
      <w:r w:rsidR="00306E97">
        <w:t>ould</w:t>
      </w:r>
      <w:r w:rsidR="00C45438">
        <w:t xml:space="preserve"> limit at least some communications, and potentially a substantial </w:t>
      </w:r>
      <w:r w:rsidR="00F149E0">
        <w:t xml:space="preserve">number </w:t>
      </w:r>
      <w:r w:rsidR="00306E97">
        <w:t>of communications</w:t>
      </w:r>
      <w:r w:rsidR="00C45438">
        <w:t>, that otherwise might occur regarding the post-auction transition in the time remaining before the end of the incentive auction</w:t>
      </w:r>
      <w:r w:rsidR="00306E97">
        <w:t>, thereby undercutting the benefits of advance notification</w:t>
      </w:r>
      <w:r w:rsidR="00AA78BA">
        <w:t>.</w:t>
      </w:r>
      <w:r w:rsidR="00C45438">
        <w:t xml:space="preserve">  </w:t>
      </w:r>
      <w:r w:rsidR="006D773C">
        <w:t xml:space="preserve">Moreover, </w:t>
      </w:r>
      <w:r w:rsidR="00D556CD">
        <w:t xml:space="preserve">maintaining the prohibition on </w:t>
      </w:r>
      <w:r w:rsidR="006D773C">
        <w:t>communications to forward auction applicants of reverse auction bids and bidding strategies could constrain other communications</w:t>
      </w:r>
      <w:r w:rsidR="00F8002F">
        <w:t xml:space="preserve"> potentially beneficial to transition preparations</w:t>
      </w:r>
      <w:r w:rsidR="006D773C">
        <w:t>, as broadcasters might avoid any risk of a communication being conveyed to a forward auction applicant by avoiding communicating such information altogether.</w:t>
      </w:r>
    </w:p>
    <w:p w14:paraId="37C85517" w14:textId="2B0E965F" w:rsidR="00C45438" w:rsidRDefault="00C45438" w:rsidP="00C45438">
      <w:pPr>
        <w:pStyle w:val="ParaNum0"/>
        <w:widowControl w:val="0"/>
        <w:numPr>
          <w:ilvl w:val="0"/>
          <w:numId w:val="13"/>
        </w:numPr>
        <w:tabs>
          <w:tab w:val="clear" w:pos="1080"/>
          <w:tab w:val="num" w:pos="1440"/>
        </w:tabs>
        <w:spacing w:line="240" w:lineRule="auto"/>
      </w:pPr>
      <w:r>
        <w:t>Taking all of the foregoing into account, we conclude that there is good cause to waive in part sections 1.2205(b)(1) and 1.2105(c)(6)(ii) to the extent that they prohibit communications with respect to reverse auction bids or bidding strategies.  For reasons discussed above, the underlying purpose of the rules creating the prohibition against communicating reverse auction bids or bidding strategies would not be served by continued application of the prohibition and this partial waiver will further the public interest in facilitating the post-auction transition.</w:t>
      </w:r>
      <w:r>
        <w:rPr>
          <w:rStyle w:val="FootnoteReference"/>
        </w:rPr>
        <w:footnoteReference w:id="26"/>
      </w:r>
      <w:r>
        <w:t xml:space="preserve">  In addition, and alternatively, given the unique circumstances of the incentive auction, maintaining the prohibition with respect to the communication of</w:t>
      </w:r>
      <w:r w:rsidR="00016F39">
        <w:br/>
      </w:r>
      <w:r>
        <w:t>reverse auction bids or bidding strategies would be contrary to the public interest, and covered parties lack a reasonable alternative to the relief provided herein.</w:t>
      </w:r>
      <w:r>
        <w:rPr>
          <w:rStyle w:val="FootnoteReference"/>
        </w:rPr>
        <w:footnoteReference w:id="27"/>
      </w:r>
    </w:p>
    <w:p w14:paraId="1B7528ED" w14:textId="77777777" w:rsidR="00C45438" w:rsidRPr="00171F3B" w:rsidRDefault="00C45438" w:rsidP="00193789">
      <w:pPr>
        <w:pStyle w:val="ParaNum0"/>
        <w:widowControl w:val="0"/>
        <w:numPr>
          <w:ilvl w:val="0"/>
          <w:numId w:val="13"/>
        </w:numPr>
        <w:tabs>
          <w:tab w:val="clear" w:pos="1080"/>
          <w:tab w:val="num" w:pos="1440"/>
        </w:tabs>
        <w:spacing w:line="240" w:lineRule="auto"/>
      </w:pPr>
      <w:r>
        <w:t>The waiver is limited to direct or indirect communications regarding any incentive auction applicant’s bids or bidding strategies in the reverse auction only.  The waiver in no way alters the otherwise applicable prohibition with respect to communications regarding bids or bidding strategies in the forward auction.  This limited waiver will foreclose concerns that communications regarding the post-auction channel assignments might violate the prohibited communications rule by communicating reverse auction bids or bidding strategies.  It thereby will promote a speedy and efficient transition by enabling covered parties to make productive use of post-auction channel assignment information to plan for construction of new facilities.</w:t>
      </w:r>
    </w:p>
    <w:p w14:paraId="78AFD034" w14:textId="2EBE4588" w:rsidR="00C45438" w:rsidRDefault="005D7FAA" w:rsidP="00A01DE0">
      <w:pPr>
        <w:pStyle w:val="Heading1"/>
        <w:spacing w:after="120" w:line="259" w:lineRule="auto"/>
        <w:jc w:val="left"/>
        <w:rPr>
          <w:sz w:val="24"/>
          <w:szCs w:val="24"/>
        </w:rPr>
      </w:pPr>
      <w:r>
        <w:rPr>
          <w:sz w:val="24"/>
          <w:szCs w:val="24"/>
        </w:rPr>
        <w:t>B</w:t>
      </w:r>
      <w:r w:rsidR="00711E7C">
        <w:rPr>
          <w:sz w:val="24"/>
          <w:szCs w:val="24"/>
        </w:rPr>
        <w:t xml:space="preserve">roadcast Station Sales and Transfers </w:t>
      </w:r>
      <w:r w:rsidR="00C45438" w:rsidRPr="001F7DE6">
        <w:rPr>
          <w:sz w:val="24"/>
          <w:szCs w:val="24"/>
        </w:rPr>
        <w:t xml:space="preserve"> </w:t>
      </w:r>
    </w:p>
    <w:p w14:paraId="4B003C91" w14:textId="53F1DD42" w:rsidR="00310B49" w:rsidRDefault="00323138" w:rsidP="00407441">
      <w:pPr>
        <w:pStyle w:val="ParaNum0"/>
        <w:widowControl w:val="0"/>
        <w:numPr>
          <w:ilvl w:val="0"/>
          <w:numId w:val="13"/>
        </w:numPr>
        <w:tabs>
          <w:tab w:val="clear" w:pos="1080"/>
          <w:tab w:val="num" w:pos="1440"/>
        </w:tabs>
        <w:spacing w:line="240" w:lineRule="auto"/>
      </w:pPr>
      <w:r>
        <w:t xml:space="preserve">As noted above, there </w:t>
      </w:r>
      <w:r w:rsidR="00C773C0">
        <w:t>will be no more bidding in the reverse auction</w:t>
      </w:r>
      <w:r>
        <w:t>.</w:t>
      </w:r>
      <w:r w:rsidR="00C773C0">
        <w:t xml:space="preserve"> </w:t>
      </w:r>
      <w:r w:rsidR="00CD7E9D">
        <w:t xml:space="preserve"> </w:t>
      </w:r>
      <w:r>
        <w:t>B</w:t>
      </w:r>
      <w:r w:rsidR="00C773C0">
        <w:t xml:space="preserve">roadcasters </w:t>
      </w:r>
      <w:r>
        <w:t xml:space="preserve">are free to </w:t>
      </w:r>
      <w:r w:rsidR="00C773C0">
        <w:t xml:space="preserve">negotiate assignments </w:t>
      </w:r>
      <w:r w:rsidR="005D7FAA">
        <w:t xml:space="preserve">or transfers </w:t>
      </w:r>
      <w:r w:rsidR="00C773C0">
        <w:t xml:space="preserve">of </w:t>
      </w:r>
      <w:r>
        <w:t xml:space="preserve">broadcast </w:t>
      </w:r>
      <w:r w:rsidR="00C773C0">
        <w:t xml:space="preserve">licenses or other transactions involving a transfer of control of a licensee that has been involved in the reverse auction.  </w:t>
      </w:r>
      <w:r w:rsidR="00310B49">
        <w:t>We remind broadcasters that e</w:t>
      </w:r>
      <w:r w:rsidR="00310B49" w:rsidRPr="00310B49">
        <w:t>ach reverse auction applicant has a continuing duty to update its auction application in the event of material changes to the information contained therein.</w:t>
      </w:r>
      <w:r w:rsidR="00310B49">
        <w:rPr>
          <w:rStyle w:val="FootnoteReference"/>
        </w:rPr>
        <w:footnoteReference w:id="28"/>
      </w:r>
      <w:r w:rsidR="00310B49" w:rsidRPr="00310B49">
        <w:t xml:space="preserve">  This continuing duty places limits on the extent of ownership changes that are permissible while the </w:t>
      </w:r>
      <w:r w:rsidR="006155F9">
        <w:t xml:space="preserve">auction </w:t>
      </w:r>
      <w:r w:rsidR="00310B49" w:rsidRPr="00310B49">
        <w:t>application remains pending.</w:t>
      </w:r>
    </w:p>
    <w:p w14:paraId="790B8AA4" w14:textId="2F9D6550" w:rsidR="00142E43" w:rsidRDefault="00190EDB" w:rsidP="00C45438">
      <w:pPr>
        <w:pStyle w:val="ParaNum0"/>
        <w:widowControl w:val="0"/>
        <w:numPr>
          <w:ilvl w:val="0"/>
          <w:numId w:val="13"/>
        </w:numPr>
        <w:tabs>
          <w:tab w:val="clear" w:pos="1080"/>
          <w:tab w:val="num" w:pos="1440"/>
        </w:tabs>
        <w:spacing w:line="240" w:lineRule="auto"/>
      </w:pPr>
      <w:r>
        <w:t>A</w:t>
      </w:r>
      <w:r w:rsidR="00C45438">
        <w:t xml:space="preserve">s discussed in the </w:t>
      </w:r>
      <w:r w:rsidR="00C45438" w:rsidRPr="00DC27CC">
        <w:rPr>
          <w:i/>
        </w:rPr>
        <w:t>Guidance PN</w:t>
      </w:r>
      <w:r w:rsidR="00C45438">
        <w:t>, auction application rules against major modification to applications bar changes in control of an applicant after the auction application filing deadline if such changes “would constitute an assignment or transfer of control.”</w:t>
      </w:r>
      <w:r w:rsidR="00C45438">
        <w:rPr>
          <w:rStyle w:val="FootnoteReference"/>
        </w:rPr>
        <w:footnoteReference w:id="29"/>
      </w:r>
      <w:r w:rsidR="00C45438">
        <w:t xml:space="preserve">  </w:t>
      </w:r>
      <w:r w:rsidR="00152449">
        <w:t xml:space="preserve">The bar on assignments or transfers of control </w:t>
      </w:r>
      <w:r w:rsidR="00C773C0">
        <w:t>with respect to a reverse auction</w:t>
      </w:r>
      <w:r w:rsidR="00152449">
        <w:t xml:space="preserve"> applicant does not preclude negotiating such transactions</w:t>
      </w:r>
      <w:r w:rsidR="00CD7E9D">
        <w:t xml:space="preserve"> that</w:t>
      </w:r>
      <w:r w:rsidR="00152449">
        <w:t xml:space="preserve"> are otherwise consistent with </w:t>
      </w:r>
      <w:r w:rsidR="00323138">
        <w:t xml:space="preserve">our rules and </w:t>
      </w:r>
      <w:r w:rsidR="00152449">
        <w:t xml:space="preserve">applicable laws.  </w:t>
      </w:r>
      <w:r>
        <w:t xml:space="preserve">Moreover, the bar on </w:t>
      </w:r>
      <w:r w:rsidR="00C773C0">
        <w:t xml:space="preserve">assignments or transfers of </w:t>
      </w:r>
      <w:r>
        <w:t xml:space="preserve">control </w:t>
      </w:r>
      <w:r w:rsidR="00415471">
        <w:t>does</w:t>
      </w:r>
      <w:r>
        <w:t xml:space="preserve"> not preclude parties from filing applications </w:t>
      </w:r>
      <w:r w:rsidR="00C773C0">
        <w:t xml:space="preserve">with the Commission </w:t>
      </w:r>
      <w:r>
        <w:t xml:space="preserve">for assignment of a </w:t>
      </w:r>
      <w:r w:rsidR="00415471">
        <w:t xml:space="preserve">Commission </w:t>
      </w:r>
      <w:r>
        <w:t xml:space="preserve">license or control of a </w:t>
      </w:r>
      <w:r w:rsidR="00415471">
        <w:t xml:space="preserve">Commission </w:t>
      </w:r>
      <w:r>
        <w:t>licensee</w:t>
      </w:r>
      <w:r w:rsidR="00C773C0">
        <w:t xml:space="preserve"> that was a reverse auction applicant</w:t>
      </w:r>
      <w:r>
        <w:t>.</w:t>
      </w:r>
      <w:r w:rsidR="00591047">
        <w:t xml:space="preserve">  The Commission could grant such an application </w:t>
      </w:r>
      <w:r w:rsidR="00CD7E9D">
        <w:t>because</w:t>
      </w:r>
      <w:r w:rsidR="00591047">
        <w:t xml:space="preserve"> the grant alone, without </w:t>
      </w:r>
      <w:r w:rsidR="00591047" w:rsidRPr="00655299">
        <w:t>consummation</w:t>
      </w:r>
      <w:r w:rsidR="00591047">
        <w:t xml:space="preserve"> of the transaction, would not effectuate the assignment or transfer.</w:t>
      </w:r>
      <w:r>
        <w:t xml:space="preserve">  </w:t>
      </w:r>
    </w:p>
    <w:p w14:paraId="0BD35F5E" w14:textId="3E3882C2" w:rsidR="00C45438" w:rsidRDefault="00142E43" w:rsidP="00C45438">
      <w:pPr>
        <w:pStyle w:val="ParaNum0"/>
        <w:widowControl w:val="0"/>
        <w:numPr>
          <w:ilvl w:val="0"/>
          <w:numId w:val="13"/>
        </w:numPr>
        <w:tabs>
          <w:tab w:val="clear" w:pos="1080"/>
          <w:tab w:val="num" w:pos="1440"/>
        </w:tabs>
        <w:spacing w:line="240" w:lineRule="auto"/>
      </w:pPr>
      <w:r>
        <w:t>Absent a waiver, however, t</w:t>
      </w:r>
      <w:r w:rsidR="00152449">
        <w:t xml:space="preserve">he bar </w:t>
      </w:r>
      <w:r>
        <w:t xml:space="preserve">on major modifications to an auction application </w:t>
      </w:r>
      <w:r w:rsidR="00C15F2C">
        <w:t xml:space="preserve">will continue to </w:t>
      </w:r>
      <w:r w:rsidR="00C45438">
        <w:t xml:space="preserve">preclude the </w:t>
      </w:r>
      <w:r w:rsidR="00655299">
        <w:t xml:space="preserve">actual </w:t>
      </w:r>
      <w:r w:rsidR="00C45438">
        <w:t xml:space="preserve">consummation of any </w:t>
      </w:r>
      <w:r w:rsidR="00190EDB">
        <w:t xml:space="preserve">transaction </w:t>
      </w:r>
      <w:r w:rsidR="00C45438">
        <w:t xml:space="preserve">that constitutes an assignment or transfer of control </w:t>
      </w:r>
      <w:r w:rsidR="00152449">
        <w:t xml:space="preserve">with respect to an auction applicant </w:t>
      </w:r>
      <w:r w:rsidR="00C45438">
        <w:t xml:space="preserve">until </w:t>
      </w:r>
      <w:r w:rsidR="00C773C0">
        <w:t xml:space="preserve">after </w:t>
      </w:r>
      <w:r w:rsidR="00C45438">
        <w:t xml:space="preserve">the </w:t>
      </w:r>
      <w:r w:rsidR="00152449">
        <w:rPr>
          <w:i/>
        </w:rPr>
        <w:t xml:space="preserve">Closing and Reassignment Public Notice </w:t>
      </w:r>
      <w:r w:rsidR="00C45438">
        <w:t>is released.</w:t>
      </w:r>
      <w:r>
        <w:t xml:space="preserve">  </w:t>
      </w:r>
      <w:r w:rsidR="00257471">
        <w:t xml:space="preserve">To facilitate </w:t>
      </w:r>
      <w:r w:rsidR="00394AA8">
        <w:t xml:space="preserve">auction </w:t>
      </w:r>
      <w:r w:rsidR="00257471">
        <w:t xml:space="preserve">participation by broadcasters, </w:t>
      </w:r>
      <w:r>
        <w:t xml:space="preserve">the Wireless Telecommunications Bureau </w:t>
      </w:r>
      <w:r w:rsidR="00257471">
        <w:t>waived</w:t>
      </w:r>
      <w:r>
        <w:t xml:space="preserve"> the bar </w:t>
      </w:r>
      <w:r w:rsidR="00394AA8">
        <w:t xml:space="preserve">before the auction for transactions that </w:t>
      </w:r>
      <w:r w:rsidR="001E7CB3">
        <w:t xml:space="preserve">satisfied </w:t>
      </w:r>
      <w:r>
        <w:t xml:space="preserve">certain conditions </w:t>
      </w:r>
      <w:r w:rsidR="00257471">
        <w:t>that protected the</w:t>
      </w:r>
      <w:r w:rsidR="00394AA8">
        <w:t xml:space="preserve"> integrity of</w:t>
      </w:r>
      <w:r w:rsidR="00257471">
        <w:t xml:space="preserve"> </w:t>
      </w:r>
      <w:r w:rsidR="00F70F4A">
        <w:t xml:space="preserve">the </w:t>
      </w:r>
      <w:r w:rsidR="00257471">
        <w:t>auction process</w:t>
      </w:r>
      <w:r>
        <w:t>.</w:t>
      </w:r>
      <w:r>
        <w:rPr>
          <w:rStyle w:val="FootnoteReference"/>
        </w:rPr>
        <w:footnoteReference w:id="30"/>
      </w:r>
      <w:r w:rsidR="00394AA8">
        <w:t xml:space="preserve">  </w:t>
      </w:r>
      <w:r w:rsidR="00394AA8" w:rsidRPr="00394AA8">
        <w:t xml:space="preserve">The Wireless Telecommunications Bureau will address whether </w:t>
      </w:r>
      <w:r w:rsidR="006155F9">
        <w:t xml:space="preserve">granting </w:t>
      </w:r>
      <w:r w:rsidR="00394AA8">
        <w:t xml:space="preserve">any </w:t>
      </w:r>
      <w:r w:rsidR="00394AA8" w:rsidRPr="00394AA8">
        <w:t xml:space="preserve">specific requests for </w:t>
      </w:r>
      <w:r w:rsidR="00B126D8">
        <w:t>future</w:t>
      </w:r>
      <w:r w:rsidR="00394AA8" w:rsidRPr="00394AA8">
        <w:t xml:space="preserve"> waivers of the bar may be </w:t>
      </w:r>
      <w:r w:rsidR="00394AA8">
        <w:t>appropriate</w:t>
      </w:r>
      <w:r w:rsidR="00394AA8" w:rsidRPr="00394AA8">
        <w:t xml:space="preserve"> or </w:t>
      </w:r>
      <w:r w:rsidR="00394AA8">
        <w:t xml:space="preserve">if granting any specific request </w:t>
      </w:r>
      <w:r w:rsidR="00394AA8" w:rsidRPr="00394AA8">
        <w:t>may create undue risks to the integrity of the auction process.</w:t>
      </w:r>
      <w:r w:rsidR="00C33619">
        <w:t xml:space="preserve">  The bar continues to safeguard against risks that changing control of licensees might require special treatment for the licensee with respect to post auction incentive payments and relocation reimbursement payments, require adjustments to related software, </w:t>
      </w:r>
      <w:r w:rsidR="00B126D8">
        <w:t>or</w:t>
      </w:r>
      <w:r w:rsidR="00C33619">
        <w:t xml:space="preserve"> create the potential for error</w:t>
      </w:r>
      <w:r w:rsidR="005B463C">
        <w:t>.</w:t>
      </w:r>
      <w:r w:rsidR="00C33619">
        <w:t xml:space="preserve"> </w:t>
      </w:r>
      <w:r w:rsidR="005B463C">
        <w:t xml:space="preserve"> Given the </w:t>
      </w:r>
      <w:r w:rsidR="00C33619">
        <w:t xml:space="preserve">limited time remaining until the </w:t>
      </w:r>
      <w:r w:rsidR="00C33619">
        <w:rPr>
          <w:i/>
        </w:rPr>
        <w:t>Closing and Reassignment Public Notice</w:t>
      </w:r>
      <w:r w:rsidR="00C33619">
        <w:t xml:space="preserve"> is released, much of which may be needed simply to negotiate, file and get approval for </w:t>
      </w:r>
      <w:r w:rsidR="00CD7E9D">
        <w:t>any</w:t>
      </w:r>
      <w:r w:rsidR="00C33619">
        <w:t xml:space="preserve"> underlying transaction(s)</w:t>
      </w:r>
      <w:r w:rsidR="004872EE">
        <w:t xml:space="preserve"> or to update filings for pending transactions</w:t>
      </w:r>
      <w:r w:rsidR="005B463C">
        <w:t>, we conclude that i</w:t>
      </w:r>
      <w:r w:rsidR="00902543">
        <w:t xml:space="preserve">ndividually assessing particular circumstances is the best approach </w:t>
      </w:r>
      <w:r w:rsidR="005B463C">
        <w:t xml:space="preserve">for determining whether application of the </w:t>
      </w:r>
      <w:r w:rsidR="006155F9">
        <w:t xml:space="preserve">bar </w:t>
      </w:r>
      <w:r w:rsidR="005B463C">
        <w:t xml:space="preserve">is necessary </w:t>
      </w:r>
      <w:r w:rsidR="009C6C22">
        <w:t>to safeguard against these risks</w:t>
      </w:r>
      <w:r w:rsidR="00902543">
        <w:t>.</w:t>
      </w:r>
    </w:p>
    <w:p w14:paraId="35293615" w14:textId="56EEF699" w:rsidR="00323138" w:rsidRPr="00711E7C" w:rsidRDefault="00711E7C" w:rsidP="00A01DE0">
      <w:pPr>
        <w:pStyle w:val="Heading1"/>
        <w:spacing w:after="120"/>
      </w:pPr>
      <w:r>
        <w:t>Additional Reminders</w:t>
      </w:r>
    </w:p>
    <w:p w14:paraId="142D0AD1" w14:textId="1C2DCD25" w:rsidR="00711E7C" w:rsidRDefault="00711E7C" w:rsidP="009D675D">
      <w:pPr>
        <w:pStyle w:val="ParaNum0"/>
        <w:keepNext/>
        <w:numPr>
          <w:ilvl w:val="0"/>
          <w:numId w:val="13"/>
        </w:numPr>
        <w:tabs>
          <w:tab w:val="clear" w:pos="1080"/>
          <w:tab w:val="num" w:pos="1440"/>
        </w:tabs>
        <w:spacing w:line="240" w:lineRule="auto"/>
      </w:pPr>
      <w:r w:rsidRPr="00711E7C">
        <w:t xml:space="preserve">We remind broadcasters </w:t>
      </w:r>
      <w:r>
        <w:t xml:space="preserve">generally </w:t>
      </w:r>
      <w:r w:rsidRPr="00711E7C">
        <w:t>that other auction rules continue to apply to all reverse auction applicants, notwithstanding the waiver granted above or the fact that there is no further b</w:t>
      </w:r>
      <w:r>
        <w:t>idding in the reverse auction.</w:t>
      </w:r>
      <w:r>
        <w:rPr>
          <w:rStyle w:val="FootnoteReference"/>
        </w:rPr>
        <w:footnoteReference w:id="31"/>
      </w:r>
    </w:p>
    <w:p w14:paraId="3107513F" w14:textId="312D0A64" w:rsidR="00922589" w:rsidRDefault="00922589" w:rsidP="009D675D">
      <w:pPr>
        <w:pStyle w:val="ParaNum0"/>
        <w:keepNext/>
        <w:numPr>
          <w:ilvl w:val="0"/>
          <w:numId w:val="13"/>
        </w:numPr>
        <w:tabs>
          <w:tab w:val="clear" w:pos="1080"/>
          <w:tab w:val="num" w:pos="1440"/>
        </w:tabs>
        <w:spacing w:line="240" w:lineRule="auto"/>
      </w:pPr>
      <w:r>
        <w:t>We remind broadcasters of the measures the Commission adopted to protect the confidentiality of broadcaster participation in the reverse auction.  As already noted, in the Spectrum Act, Congress required the Commission to “take all reasonable steps necessary to protect the confidentiality of Commission-held data of a licensee participating in the reverse auction . . . including withholding the identity of such licensee” until both the reverse and forward auctions are complete.</w:t>
      </w:r>
      <w:r>
        <w:rPr>
          <w:rStyle w:val="FootnoteReference"/>
        </w:rPr>
        <w:footnoteReference w:id="32"/>
      </w:r>
      <w:r>
        <w:t xml:space="preserve">  The Commission </w:t>
      </w:r>
      <w:r w:rsidR="00655299">
        <w:t xml:space="preserve">decided </w:t>
      </w:r>
      <w:r>
        <w:t>to protect confidential information pertaining to unsuccessful reverse auction bids until two years after the auction completion date to encourage broadcasters to participate in the reverse auction.</w:t>
      </w:r>
      <w:r>
        <w:rPr>
          <w:rStyle w:val="FootnoteReference"/>
        </w:rPr>
        <w:footnoteReference w:id="33"/>
      </w:r>
      <w:r>
        <w:t xml:space="preserve">  In furtherance of this decision, the FCC determined that it would</w:t>
      </w:r>
      <w:r w:rsidRPr="00A72AA2">
        <w:t xml:space="preserve"> not releas</w:t>
      </w:r>
      <w:r>
        <w:t>e</w:t>
      </w:r>
      <w:r w:rsidRPr="00A72AA2">
        <w:t xml:space="preserve"> any information about the status of applications</w:t>
      </w:r>
      <w:r>
        <w:t xml:space="preserve"> to participate</w:t>
      </w:r>
      <w:r w:rsidRPr="00A72AA2">
        <w:t xml:space="preserve"> in the reverse auction or about specific bids </w:t>
      </w:r>
      <w:r>
        <w:t>during the defined period.</w:t>
      </w:r>
      <w:r w:rsidRPr="005900CC">
        <w:rPr>
          <w:rStyle w:val="FootnoteReference"/>
        </w:rPr>
        <w:footnoteReference w:id="34"/>
      </w:r>
      <w:r w:rsidRPr="005900CC">
        <w:t xml:space="preserve"> </w:t>
      </w:r>
      <w:r>
        <w:t xml:space="preserve"> To comply with these requirements and </w:t>
      </w:r>
      <w:r w:rsidR="00AA78BA">
        <w:t xml:space="preserve">remain </w:t>
      </w:r>
      <w:r>
        <w:t>consistent with its prior actions, the Commission will treat</w:t>
      </w:r>
      <w:r w:rsidRPr="00971B54">
        <w:t xml:space="preserve"> </w:t>
      </w:r>
      <w:r>
        <w:t xml:space="preserve">both the fact of any filing or correspondence </w:t>
      </w:r>
      <w:r w:rsidRPr="00971B54">
        <w:t xml:space="preserve">related to the identity of </w:t>
      </w:r>
      <w:r>
        <w:t xml:space="preserve">a </w:t>
      </w:r>
      <w:r w:rsidRPr="00971B54">
        <w:t xml:space="preserve">reverse auction participant </w:t>
      </w:r>
      <w:r>
        <w:t xml:space="preserve">and the content of all such filings and correspondence as </w:t>
      </w:r>
      <w:r w:rsidRPr="00971B54">
        <w:t>confidential for the duration of the period defined by the Commission</w:t>
      </w:r>
      <w:r>
        <w:t>.</w:t>
      </w:r>
    </w:p>
    <w:p w14:paraId="579555A7" w14:textId="215485BB" w:rsidR="006B74E0" w:rsidRDefault="00922589" w:rsidP="00D3723E">
      <w:pPr>
        <w:pStyle w:val="ParaNum0"/>
        <w:keepNext/>
        <w:numPr>
          <w:ilvl w:val="0"/>
          <w:numId w:val="13"/>
        </w:numPr>
        <w:tabs>
          <w:tab w:val="clear" w:pos="1080"/>
          <w:tab w:val="num" w:pos="1440"/>
        </w:tabs>
        <w:spacing w:after="0" w:line="240" w:lineRule="auto"/>
        <w:contextualSpacing/>
        <w:rPr>
          <w:sz w:val="20"/>
        </w:rPr>
      </w:pPr>
      <w:r>
        <w:t>Finally, w</w:t>
      </w:r>
      <w:r w:rsidR="00C45438">
        <w:t>e remind all broadcasters that have not already done so to log</w:t>
      </w:r>
      <w:r w:rsidR="00C45438" w:rsidRPr="00082E62">
        <w:t xml:space="preserve"> in to the updated Commission Registration System (CORES) (</w:t>
      </w:r>
      <w:hyperlink r:id="rId8" w:history="1">
        <w:r w:rsidR="00C45438" w:rsidRPr="00082E62">
          <w:rPr>
            <w:rStyle w:val="Hyperlink"/>
          </w:rPr>
          <w:t>https://apps.fcc.gov/cores</w:t>
        </w:r>
      </w:hyperlink>
      <w:r w:rsidR="00C45438" w:rsidRPr="00082E62">
        <w:t xml:space="preserve">) and set up a username and password.  Detailed instructions on how to register for an FCC Username Account can be found at: </w:t>
      </w:r>
      <w:hyperlink r:id="rId9" w:history="1">
        <w:r w:rsidR="00C45438" w:rsidRPr="00082E62">
          <w:rPr>
            <w:rStyle w:val="Hyperlink"/>
          </w:rPr>
          <w:t>https://apps.fcc.gov/cores/html/Register_New_Account.htm</w:t>
        </w:r>
      </w:hyperlink>
      <w:r w:rsidR="00C45438" w:rsidRPr="00082E62">
        <w:rPr>
          <w:rStyle w:val="Hyperlink"/>
        </w:rPr>
        <w:t>.</w:t>
      </w:r>
      <w:r w:rsidR="00C45438" w:rsidRPr="00082E62">
        <w:rPr>
          <w:rStyle w:val="FootnoteReference"/>
        </w:rPr>
        <w:footnoteReference w:id="35"/>
      </w:r>
      <w:r w:rsidR="00C45438" w:rsidRPr="00082E62">
        <w:t xml:space="preserve"> </w:t>
      </w:r>
      <w:r w:rsidR="00B7293E">
        <w:t xml:space="preserve"> </w:t>
      </w:r>
      <w:r w:rsidR="006B74E0">
        <w:t xml:space="preserve">Furthermore, broadcasters must also associate their CORES username to an FRN.  Detailed instructions on how to link the username to an FRN can be found at: </w:t>
      </w:r>
      <w:hyperlink r:id="rId10" w:history="1">
        <w:r w:rsidR="006B74E0">
          <w:rPr>
            <w:rStyle w:val="Hyperlink"/>
          </w:rPr>
          <w:t>https://apps.fcc.gov/cores/html/Associate_Username_to_FRN.htm</w:t>
        </w:r>
      </w:hyperlink>
      <w:r w:rsidR="006B74E0">
        <w:rPr>
          <w:color w:val="0070C0"/>
        </w:rPr>
        <w:t>.</w:t>
      </w:r>
      <w:r w:rsidR="006B74E0">
        <w:rPr>
          <w:sz w:val="20"/>
        </w:rPr>
        <w:t xml:space="preserve">  </w:t>
      </w:r>
      <w:r w:rsidR="00C45438" w:rsidRPr="00082E62">
        <w:t xml:space="preserve">For additional information, please contact the Updated CORES System hotline at 202-418-4120 or </w:t>
      </w:r>
      <w:hyperlink r:id="rId11" w:history="1">
        <w:r w:rsidR="00C45438" w:rsidRPr="00082E62">
          <w:rPr>
            <w:rStyle w:val="Hyperlink"/>
          </w:rPr>
          <w:t>CoresPilot@fcc.gov</w:t>
        </w:r>
      </w:hyperlink>
      <w:r w:rsidR="00C45438" w:rsidRPr="00082E62">
        <w:t>.</w:t>
      </w:r>
    </w:p>
    <w:p w14:paraId="3B8916CA" w14:textId="77777777" w:rsidR="006B74E0" w:rsidRPr="00D3723E" w:rsidRDefault="006B74E0" w:rsidP="00D3723E">
      <w:pPr>
        <w:pStyle w:val="ParaNum0"/>
        <w:keepNext/>
        <w:spacing w:after="0" w:line="240" w:lineRule="auto"/>
        <w:ind w:left="720"/>
        <w:contextualSpacing/>
        <w:rPr>
          <w:sz w:val="20"/>
        </w:rPr>
      </w:pPr>
    </w:p>
    <w:p w14:paraId="259D5E7D" w14:textId="5C40CC44" w:rsidR="00C45438" w:rsidRDefault="005E19BE" w:rsidP="00A01DE0">
      <w:pPr>
        <w:pStyle w:val="Heading1"/>
        <w:spacing w:after="120" w:line="259" w:lineRule="auto"/>
        <w:jc w:val="left"/>
        <w:rPr>
          <w:sz w:val="24"/>
          <w:szCs w:val="24"/>
        </w:rPr>
      </w:pPr>
      <w:r>
        <w:t>C</w:t>
      </w:r>
      <w:r w:rsidR="00C45438">
        <w:t xml:space="preserve">ontact </w:t>
      </w:r>
      <w:r>
        <w:t>I</w:t>
      </w:r>
      <w:r w:rsidR="00C45438">
        <w:t xml:space="preserve">nformation </w:t>
      </w:r>
    </w:p>
    <w:p w14:paraId="213E9EA1" w14:textId="0E87350F" w:rsidR="00C45438" w:rsidRDefault="00C45438" w:rsidP="00C45438">
      <w:pPr>
        <w:pStyle w:val="ParaNum0"/>
        <w:widowControl w:val="0"/>
        <w:numPr>
          <w:ilvl w:val="0"/>
          <w:numId w:val="13"/>
        </w:numPr>
        <w:tabs>
          <w:tab w:val="clear" w:pos="1080"/>
          <w:tab w:val="num" w:pos="1440"/>
        </w:tabs>
        <w:spacing w:line="240" w:lineRule="auto"/>
      </w:pPr>
      <w:r>
        <w:t xml:space="preserve">Any broadcaster that believes that it should have </w:t>
      </w:r>
      <w:r w:rsidR="00A01DE0">
        <w:t>but</w:t>
      </w:r>
      <w:r>
        <w:t xml:space="preserve"> has not received a confidential letter regarding a station’s channel assignment </w:t>
      </w:r>
      <w:r w:rsidR="005C5555">
        <w:t>within one week of the date of this Public</w:t>
      </w:r>
      <w:r w:rsidR="00591047">
        <w:t xml:space="preserve"> Notice</w:t>
      </w:r>
      <w:r w:rsidR="00A01DE0">
        <w:t xml:space="preserve"> should contact the </w:t>
      </w:r>
      <w:r>
        <w:t>Auctions Hotline at (717) 338</w:t>
      </w:r>
      <w:r>
        <w:noBreakHyphen/>
        <w:t>2868.  The contact person for each station is responsible for ensuring that it receives all appropriate information.</w:t>
      </w:r>
    </w:p>
    <w:p w14:paraId="7A584952" w14:textId="44994B72" w:rsidR="00C45438" w:rsidRDefault="00F149E0" w:rsidP="00C45438">
      <w:pPr>
        <w:pStyle w:val="ParaNum0"/>
        <w:widowControl w:val="0"/>
        <w:numPr>
          <w:ilvl w:val="0"/>
          <w:numId w:val="13"/>
        </w:numPr>
        <w:tabs>
          <w:tab w:val="clear" w:pos="1080"/>
          <w:tab w:val="num" w:pos="1440"/>
        </w:tabs>
        <w:spacing w:line="240" w:lineRule="auto"/>
      </w:pPr>
      <w:r>
        <w:t xml:space="preserve">Commission staff are available to respond to questions related to the contents of this Public Notice.  </w:t>
      </w:r>
      <w:r w:rsidR="00067029">
        <w:t xml:space="preserve">For television broadcasting technical questions, contact Kevin Harding, </w:t>
      </w:r>
      <w:hyperlink r:id="rId12" w:history="1">
        <w:r w:rsidR="00067029" w:rsidRPr="009D312A">
          <w:rPr>
            <w:rStyle w:val="Hyperlink"/>
          </w:rPr>
          <w:t>Kevin.Harding@fcc.gov</w:t>
        </w:r>
      </w:hyperlink>
      <w:r w:rsidR="00067029">
        <w:t xml:space="preserve">, (202) 418-1600.  For television broadcasting legal questions, contact Shaun Maher, </w:t>
      </w:r>
      <w:hyperlink r:id="rId13" w:history="1">
        <w:r w:rsidRPr="00F149E0">
          <w:rPr>
            <w:rStyle w:val="Hyperlink"/>
          </w:rPr>
          <w:t>Shaun.Maher@fcc.gov</w:t>
        </w:r>
      </w:hyperlink>
      <w:r w:rsidR="00067029">
        <w:t xml:space="preserve">, (202) 418-1600.  </w:t>
      </w:r>
      <w:r w:rsidR="00C45438" w:rsidRPr="00DE5E01">
        <w:t>For</w:t>
      </w:r>
      <w:r w:rsidR="00C45438">
        <w:t xml:space="preserve"> general auction questions, contact Linda Sanderson, </w:t>
      </w:r>
      <w:hyperlink r:id="rId14" w:history="1">
        <w:r w:rsidR="00C45438" w:rsidRPr="006226F4">
          <w:rPr>
            <w:rStyle w:val="Hyperlink"/>
          </w:rPr>
          <w:t>Linda.Sanderson@fcc.gov</w:t>
        </w:r>
      </w:hyperlink>
      <w:r w:rsidR="00C45438">
        <w:t xml:space="preserve">, (717) 338-2868.  For reverse auction legal questions, contact Erin Griffith, </w:t>
      </w:r>
      <w:hyperlink r:id="rId15" w:history="1">
        <w:r w:rsidR="00C45438" w:rsidRPr="006226F4">
          <w:rPr>
            <w:rStyle w:val="Hyperlink"/>
          </w:rPr>
          <w:t>Erin.Griffith@fcc.gov</w:t>
        </w:r>
      </w:hyperlink>
      <w:r w:rsidR="00C45438">
        <w:t xml:space="preserve">, (202) 418-0660, or Kathryn Hinton, </w:t>
      </w:r>
      <w:hyperlink r:id="rId16" w:history="1">
        <w:r w:rsidR="00C45438" w:rsidRPr="006226F4">
          <w:rPr>
            <w:rStyle w:val="Hyperlink"/>
          </w:rPr>
          <w:t>Kathryn.Hinton@fcc.gov</w:t>
        </w:r>
      </w:hyperlink>
      <w:r w:rsidR="00C45438">
        <w:t xml:space="preserve">, (202) 418-0660.  For prohibited communications questions, contact Erik Salovaara, </w:t>
      </w:r>
      <w:hyperlink r:id="rId17" w:history="1">
        <w:r w:rsidR="00C45438" w:rsidRPr="00B14694">
          <w:rPr>
            <w:rStyle w:val="Hyperlink"/>
          </w:rPr>
          <w:t>Erik.Salovaara@fcc.gov</w:t>
        </w:r>
      </w:hyperlink>
      <w:r w:rsidR="00C45438">
        <w:t xml:space="preserve">, (202) 418-0660.  Press contact:  Charles Meisch, </w:t>
      </w:r>
      <w:hyperlink r:id="rId18" w:history="1">
        <w:r w:rsidR="00C45438" w:rsidRPr="006226F4">
          <w:rPr>
            <w:rStyle w:val="Hyperlink"/>
          </w:rPr>
          <w:t>Charles.Meisch@fcc.gov</w:t>
        </w:r>
      </w:hyperlink>
      <w:r w:rsidR="00C45438">
        <w:t>, (202) 418-2943.</w:t>
      </w:r>
    </w:p>
    <w:p w14:paraId="077719F3" w14:textId="77777777" w:rsidR="00407441" w:rsidRDefault="00407441" w:rsidP="00407441">
      <w:pPr>
        <w:pStyle w:val="ParaNum0"/>
        <w:widowControl w:val="0"/>
        <w:spacing w:line="240" w:lineRule="auto"/>
        <w:ind w:left="720"/>
      </w:pPr>
    </w:p>
    <w:p w14:paraId="2801CFE4" w14:textId="77777777" w:rsidR="00C45438" w:rsidRPr="00F45D4E" w:rsidRDefault="00C45438" w:rsidP="00C45438">
      <w:pPr>
        <w:pStyle w:val="ParaNum0"/>
        <w:spacing w:after="0" w:line="240" w:lineRule="auto"/>
        <w:rPr>
          <w:rFonts w:cs="Calibri"/>
        </w:rPr>
      </w:pPr>
    </w:p>
    <w:p w14:paraId="68913677" w14:textId="77777777" w:rsidR="00C45438" w:rsidRPr="00F45D4E" w:rsidRDefault="00C45438" w:rsidP="00C45438">
      <w:pPr>
        <w:pStyle w:val="ParaNum0"/>
        <w:spacing w:after="0" w:line="240" w:lineRule="auto"/>
        <w:jc w:val="center"/>
        <w:rPr>
          <w:rFonts w:cs="Calibri"/>
          <w:b/>
        </w:rPr>
      </w:pPr>
      <w:r w:rsidRPr="00F45D4E">
        <w:rPr>
          <w:rFonts w:cs="Calibri"/>
          <w:b/>
        </w:rPr>
        <w:t>– FCC –</w:t>
      </w:r>
    </w:p>
    <w:p w14:paraId="25E36EDD" w14:textId="77777777" w:rsidR="00602577" w:rsidRDefault="00602577">
      <w:pPr>
        <w:spacing w:before="120" w:after="240"/>
        <w:rPr>
          <w:sz w:val="24"/>
        </w:rPr>
      </w:pPr>
    </w:p>
    <w:sectPr w:rsidR="00602577" w:rsidSect="00973420">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576"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7BCC" w14:textId="77777777" w:rsidR="0026499F" w:rsidRDefault="0026499F">
      <w:r>
        <w:separator/>
      </w:r>
    </w:p>
  </w:endnote>
  <w:endnote w:type="continuationSeparator" w:id="0">
    <w:p w14:paraId="6B019E6E" w14:textId="77777777" w:rsidR="0026499F" w:rsidRDefault="0026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24C7" w14:textId="77777777" w:rsidR="00EF5BFA" w:rsidRDefault="00EF5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10A9" w14:textId="0E53A426" w:rsidR="00306E97" w:rsidRDefault="00306E97" w:rsidP="00407441">
    <w:pPr>
      <w:pStyle w:val="Footer"/>
      <w:jc w:val="center"/>
    </w:pPr>
    <w:r>
      <w:fldChar w:fldCharType="begin"/>
    </w:r>
    <w:r>
      <w:instrText xml:space="preserve"> PAGE   \* MERGEFORMAT </w:instrText>
    </w:r>
    <w:r>
      <w:fldChar w:fldCharType="separate"/>
    </w:r>
    <w:r w:rsidR="0045384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414C" w14:textId="77777777" w:rsidR="00EF5BFA" w:rsidRDefault="00EF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D9526" w14:textId="77777777" w:rsidR="0026499F" w:rsidRDefault="0026499F" w:rsidP="007935E2">
      <w:r>
        <w:separator/>
      </w:r>
    </w:p>
  </w:footnote>
  <w:footnote w:type="continuationSeparator" w:id="0">
    <w:p w14:paraId="3A4284F9" w14:textId="77777777" w:rsidR="0026499F" w:rsidRDefault="0026499F">
      <w:r>
        <w:continuationSeparator/>
      </w:r>
    </w:p>
  </w:footnote>
  <w:footnote w:id="1">
    <w:p w14:paraId="0F55F0B7" w14:textId="4C53CF0F" w:rsidR="00737A4F" w:rsidRPr="009A670E" w:rsidRDefault="00737A4F" w:rsidP="00016F39">
      <w:pPr>
        <w:pStyle w:val="FootnoteText"/>
        <w:tabs>
          <w:tab w:val="clear" w:pos="720"/>
        </w:tabs>
        <w:spacing w:after="120"/>
        <w:rPr>
          <w:sz w:val="20"/>
        </w:rPr>
      </w:pPr>
      <w:r w:rsidRPr="009A670E">
        <w:rPr>
          <w:rStyle w:val="FootnoteReference"/>
          <w:sz w:val="20"/>
        </w:rPr>
        <w:footnoteRef/>
      </w:r>
      <w:r w:rsidRPr="009A670E">
        <w:rPr>
          <w:sz w:val="20"/>
        </w:rPr>
        <w:t xml:space="preserve"> </w:t>
      </w:r>
      <w:r w:rsidR="00F304F0">
        <w:rPr>
          <w:i/>
          <w:sz w:val="20"/>
        </w:rPr>
        <w:t>See</w:t>
      </w:r>
      <w:r w:rsidR="00F304F0">
        <w:rPr>
          <w:sz w:val="20"/>
        </w:rPr>
        <w:t xml:space="preserve"> </w:t>
      </w:r>
      <w:r w:rsidR="00785B9C">
        <w:rPr>
          <w:sz w:val="20"/>
        </w:rPr>
        <w:t xml:space="preserve">47 CFR </w:t>
      </w:r>
      <w:r w:rsidR="00C363EF" w:rsidRPr="00C363EF">
        <w:rPr>
          <w:sz w:val="20"/>
        </w:rPr>
        <w:t>§§</w:t>
      </w:r>
      <w:r w:rsidR="00C363EF">
        <w:rPr>
          <w:sz w:val="20"/>
        </w:rPr>
        <w:t xml:space="preserve"> </w:t>
      </w:r>
      <w:r w:rsidR="00785B9C" w:rsidRPr="00945FBF">
        <w:rPr>
          <w:sz w:val="20"/>
        </w:rPr>
        <w:t>1.2105(c)(6)(ii)</w:t>
      </w:r>
      <w:r w:rsidR="00785B9C">
        <w:rPr>
          <w:sz w:val="20"/>
        </w:rPr>
        <w:t>, 1.2205(b)(1).</w:t>
      </w:r>
    </w:p>
  </w:footnote>
  <w:footnote w:id="2">
    <w:p w14:paraId="1C7C7A4E" w14:textId="31D7C70F" w:rsidR="00306E97" w:rsidRPr="00945FBF" w:rsidRDefault="00306E97" w:rsidP="00016F39">
      <w:pPr>
        <w:pStyle w:val="FootnoteText"/>
        <w:tabs>
          <w:tab w:val="clear" w:pos="720"/>
        </w:tabs>
        <w:spacing w:after="120"/>
        <w:rPr>
          <w:sz w:val="20"/>
        </w:rPr>
      </w:pPr>
      <w:r w:rsidRPr="00945FBF">
        <w:rPr>
          <w:rStyle w:val="FootnoteReference"/>
          <w:sz w:val="20"/>
        </w:rPr>
        <w:footnoteRef/>
      </w:r>
      <w:r w:rsidRPr="00945FBF">
        <w:rPr>
          <w:sz w:val="20"/>
        </w:rPr>
        <w:t xml:space="preserve"> </w:t>
      </w:r>
      <w:r w:rsidRPr="00945FBF">
        <w:rPr>
          <w:i/>
          <w:sz w:val="20"/>
        </w:rPr>
        <w:t>See Broadcast Incentive Auction Scheduled to Begin March 29, 2016; Procedures for Competitive Bidding in Auction 1000, Including Initial Clearing Target Determination, Qualifying to Bid, and Bidding in Auctions 1001 (Reverse) and 1002 (Forward),</w:t>
      </w:r>
      <w:r w:rsidRPr="00945FBF">
        <w:rPr>
          <w:sz w:val="20"/>
        </w:rPr>
        <w:t xml:space="preserve"> Public Notice, 30 FCC Rcd 8975, 89100-05, paras. 271-81 (2015) (</w:t>
      </w:r>
      <w:r w:rsidRPr="00945FBF">
        <w:rPr>
          <w:i/>
          <w:sz w:val="20"/>
        </w:rPr>
        <w:t>Auction 1000 Bidding Procedures Public Notice</w:t>
      </w:r>
      <w:r w:rsidRPr="00945FBF">
        <w:rPr>
          <w:sz w:val="20"/>
        </w:rPr>
        <w:t>).</w:t>
      </w:r>
    </w:p>
  </w:footnote>
  <w:footnote w:id="3">
    <w:p w14:paraId="08FDCAE6" w14:textId="2C269008" w:rsidR="00306E97" w:rsidRPr="00945FBF" w:rsidRDefault="00306E97" w:rsidP="00016F39">
      <w:pPr>
        <w:pStyle w:val="FootnoteText"/>
        <w:tabs>
          <w:tab w:val="clear" w:pos="720"/>
        </w:tabs>
        <w:spacing w:after="120"/>
        <w:rPr>
          <w:sz w:val="20"/>
        </w:rPr>
      </w:pPr>
      <w:r w:rsidRPr="00945FBF">
        <w:rPr>
          <w:rStyle w:val="FootnoteReference"/>
          <w:sz w:val="20"/>
        </w:rPr>
        <w:footnoteRef/>
      </w:r>
      <w:r w:rsidRPr="00945FBF">
        <w:rPr>
          <w:sz w:val="20"/>
        </w:rPr>
        <w:t xml:space="preserve"> </w:t>
      </w:r>
      <w:r w:rsidRPr="00945FBF">
        <w:rPr>
          <w:i/>
          <w:sz w:val="20"/>
        </w:rPr>
        <w:t>Expanding the Economic and Innovation Opportunities of Spectrum Through Incentive Auctions</w:t>
      </w:r>
      <w:r w:rsidRPr="00945FBF">
        <w:rPr>
          <w:sz w:val="20"/>
        </w:rPr>
        <w:t>, Report and Order, 29 FCC Rcd 6567, 6783, para. 529 (2014)</w:t>
      </w:r>
      <w:r>
        <w:rPr>
          <w:sz w:val="20"/>
        </w:rPr>
        <w:t xml:space="preserve"> (</w:t>
      </w:r>
      <w:r>
        <w:rPr>
          <w:i/>
          <w:sz w:val="20"/>
        </w:rPr>
        <w:t>Incentive Auction R&amp;O</w:t>
      </w:r>
      <w:r>
        <w:rPr>
          <w:sz w:val="20"/>
        </w:rPr>
        <w:t>)</w:t>
      </w:r>
      <w:r w:rsidRPr="00945FBF">
        <w:rPr>
          <w:sz w:val="20"/>
        </w:rPr>
        <w:t>.  Additionally, the release of that public notice will mark the beginning of the</w:t>
      </w:r>
      <w:r w:rsidR="00772188">
        <w:rPr>
          <w:sz w:val="20"/>
        </w:rPr>
        <w:t xml:space="preserve"> 39-month</w:t>
      </w:r>
      <w:r w:rsidRPr="00945FBF">
        <w:rPr>
          <w:sz w:val="20"/>
        </w:rPr>
        <w:t xml:space="preserve"> post-auction transition</w:t>
      </w:r>
      <w:r>
        <w:rPr>
          <w:sz w:val="20"/>
        </w:rPr>
        <w:t>.</w:t>
      </w:r>
      <w:r w:rsidR="00772188">
        <w:rPr>
          <w:sz w:val="20"/>
        </w:rPr>
        <w:t xml:space="preserve">  </w:t>
      </w:r>
      <w:r w:rsidR="00772188">
        <w:rPr>
          <w:i/>
          <w:sz w:val="20"/>
        </w:rPr>
        <w:t>See</w:t>
      </w:r>
      <w:r w:rsidR="00772188">
        <w:rPr>
          <w:sz w:val="20"/>
        </w:rPr>
        <w:t xml:space="preserve"> 47 CFR </w:t>
      </w:r>
      <w:r w:rsidR="00772188" w:rsidRPr="00C363EF">
        <w:rPr>
          <w:sz w:val="20"/>
        </w:rPr>
        <w:t>§</w:t>
      </w:r>
      <w:r w:rsidR="00772188">
        <w:rPr>
          <w:sz w:val="20"/>
        </w:rPr>
        <w:t xml:space="preserve"> 27.4.</w:t>
      </w:r>
      <w:r w:rsidRPr="00945FBF">
        <w:rPr>
          <w:sz w:val="20"/>
        </w:rPr>
        <w:t xml:space="preserve"> </w:t>
      </w:r>
    </w:p>
  </w:footnote>
  <w:footnote w:id="4">
    <w:p w14:paraId="5D848758" w14:textId="53AB9680" w:rsidR="00306E97" w:rsidRPr="00DC27CC" w:rsidRDefault="00306E97" w:rsidP="00016F39">
      <w:pPr>
        <w:pStyle w:val="FootnoteText"/>
        <w:spacing w:after="120"/>
        <w:rPr>
          <w:b/>
          <w:sz w:val="20"/>
          <w:u w:val="single"/>
        </w:rPr>
      </w:pPr>
      <w:r w:rsidRPr="00945FBF">
        <w:rPr>
          <w:rStyle w:val="FootnoteReference"/>
          <w:sz w:val="20"/>
        </w:rPr>
        <w:footnoteRef/>
      </w:r>
      <w:r w:rsidRPr="00945FBF">
        <w:rPr>
          <w:sz w:val="20"/>
        </w:rPr>
        <w:t xml:space="preserve"> As indicated in prior Pubic Notice</w:t>
      </w:r>
      <w:r w:rsidR="006556BC">
        <w:rPr>
          <w:sz w:val="20"/>
        </w:rPr>
        <w:t>s</w:t>
      </w:r>
      <w:r w:rsidRPr="00945FBF">
        <w:rPr>
          <w:sz w:val="20"/>
        </w:rPr>
        <w:t xml:space="preserve">, if a station was selected by a licensee on a Form 177 application to participate in the </w:t>
      </w:r>
      <w:r>
        <w:rPr>
          <w:sz w:val="20"/>
        </w:rPr>
        <w:t>i</w:t>
      </w:r>
      <w:r w:rsidRPr="00945FBF">
        <w:rPr>
          <w:sz w:val="20"/>
        </w:rPr>
        <w:t xml:space="preserve">ncentive </w:t>
      </w:r>
      <w:r>
        <w:rPr>
          <w:sz w:val="20"/>
        </w:rPr>
        <w:t>a</w:t>
      </w:r>
      <w:r w:rsidRPr="00945FBF">
        <w:rPr>
          <w:sz w:val="20"/>
        </w:rPr>
        <w:t>uction, the Commission will use the contact information currently contained in the Form 177 to communicate with the licensee about that station and any channel reassignment for it, regardless of subsequent events affecting that station’s participation in the auction (e.g., whether the application was deemed complete with respect to the station, whether the licensee made an initial commitment with respect to the station, whether any initial commitment made could be accommodated, or whether the station exit</w:t>
      </w:r>
      <w:r>
        <w:rPr>
          <w:sz w:val="20"/>
        </w:rPr>
        <w:t>ed</w:t>
      </w:r>
      <w:r w:rsidRPr="00945FBF">
        <w:rPr>
          <w:sz w:val="20"/>
        </w:rPr>
        <w:t xml:space="preserve"> the auction, voluntarily or involuntarily).  For all other stations, the Commission will use the contact information currently contained in the Licensing and Management System (LMS) to communicate with stations about channel reassignments.  </w:t>
      </w:r>
      <w:r w:rsidRPr="00945FBF">
        <w:rPr>
          <w:i/>
          <w:sz w:val="20"/>
        </w:rPr>
        <w:t>See</w:t>
      </w:r>
      <w:r w:rsidRPr="00945FBF">
        <w:rPr>
          <w:sz w:val="20"/>
        </w:rPr>
        <w:t xml:space="preserve"> </w:t>
      </w:r>
      <w:r w:rsidRPr="00945FBF">
        <w:rPr>
          <w:i/>
          <w:sz w:val="20"/>
        </w:rPr>
        <w:t>Media Bureau and Incentive Auction Task Force Urge Television Licensees to Update Contact Information</w:t>
      </w:r>
      <w:r w:rsidRPr="00945FBF">
        <w:rPr>
          <w:sz w:val="20"/>
        </w:rPr>
        <w:t>, Public Notice, DA 1</w:t>
      </w:r>
      <w:r>
        <w:rPr>
          <w:sz w:val="20"/>
        </w:rPr>
        <w:t>7</w:t>
      </w:r>
      <w:r w:rsidRPr="00945FBF">
        <w:rPr>
          <w:sz w:val="20"/>
        </w:rPr>
        <w:t>-1</w:t>
      </w:r>
      <w:r>
        <w:rPr>
          <w:sz w:val="20"/>
        </w:rPr>
        <w:t>0</w:t>
      </w:r>
      <w:r w:rsidRPr="00945FBF">
        <w:rPr>
          <w:sz w:val="20"/>
        </w:rPr>
        <w:t xml:space="preserve"> (</w:t>
      </w:r>
      <w:r w:rsidR="009E6B58">
        <w:rPr>
          <w:sz w:val="20"/>
        </w:rPr>
        <w:t>MB</w:t>
      </w:r>
      <w:r w:rsidRPr="00945FBF">
        <w:rPr>
          <w:sz w:val="20"/>
        </w:rPr>
        <w:t xml:space="preserve"> </w:t>
      </w:r>
      <w:r>
        <w:rPr>
          <w:sz w:val="20"/>
        </w:rPr>
        <w:t>Jan</w:t>
      </w:r>
      <w:r w:rsidRPr="00945FBF">
        <w:rPr>
          <w:sz w:val="20"/>
        </w:rPr>
        <w:t xml:space="preserve">. </w:t>
      </w:r>
      <w:r>
        <w:rPr>
          <w:sz w:val="20"/>
        </w:rPr>
        <w:t>5</w:t>
      </w:r>
      <w:r w:rsidRPr="00945FBF">
        <w:rPr>
          <w:sz w:val="20"/>
        </w:rPr>
        <w:t>, 201</w:t>
      </w:r>
      <w:r>
        <w:rPr>
          <w:sz w:val="20"/>
        </w:rPr>
        <w:t>7</w:t>
      </w:r>
      <w:r w:rsidRPr="00945FBF">
        <w:rPr>
          <w:sz w:val="20"/>
        </w:rPr>
        <w:t>)</w:t>
      </w:r>
      <w:r w:rsidR="006556BC" w:rsidRPr="006556BC">
        <w:rPr>
          <w:sz w:val="20"/>
        </w:rPr>
        <w:t xml:space="preserve">; </w:t>
      </w:r>
      <w:r w:rsidR="006556BC" w:rsidRPr="008C2A67">
        <w:rPr>
          <w:i/>
          <w:sz w:val="20"/>
        </w:rPr>
        <w:t>Media Bureau and Incentive Auction Task Force Urge Television Licensees to Update Contact Information</w:t>
      </w:r>
      <w:r w:rsidR="006556BC" w:rsidRPr="006556BC">
        <w:rPr>
          <w:sz w:val="20"/>
        </w:rPr>
        <w:t xml:space="preserve">, Public Notice, </w:t>
      </w:r>
      <w:r w:rsidR="006556BC">
        <w:rPr>
          <w:sz w:val="20"/>
        </w:rPr>
        <w:t xml:space="preserve">31 FCC Rcd </w:t>
      </w:r>
      <w:r w:rsidR="00603215">
        <w:rPr>
          <w:sz w:val="20"/>
        </w:rPr>
        <w:t>11619</w:t>
      </w:r>
      <w:r w:rsidR="006556BC" w:rsidRPr="006556BC">
        <w:rPr>
          <w:sz w:val="20"/>
        </w:rPr>
        <w:t xml:space="preserve"> (</w:t>
      </w:r>
      <w:r w:rsidR="006556BC">
        <w:rPr>
          <w:sz w:val="20"/>
        </w:rPr>
        <w:t>MB</w:t>
      </w:r>
      <w:r w:rsidR="006556BC" w:rsidRPr="006556BC">
        <w:rPr>
          <w:sz w:val="20"/>
        </w:rPr>
        <w:t xml:space="preserve"> 2016)</w:t>
      </w:r>
      <w:r w:rsidRPr="00945FBF">
        <w:rPr>
          <w:sz w:val="20"/>
        </w:rPr>
        <w:t>.</w:t>
      </w:r>
      <w:r>
        <w:rPr>
          <w:sz w:val="20"/>
        </w:rPr>
        <w:t xml:space="preserve">  </w:t>
      </w:r>
    </w:p>
  </w:footnote>
  <w:footnote w:id="5">
    <w:p w14:paraId="36CA0F53" w14:textId="1C05C12A" w:rsidR="006556BC" w:rsidRDefault="006556BC" w:rsidP="00016F39">
      <w:pPr>
        <w:pStyle w:val="FootnoteText"/>
        <w:spacing w:after="120"/>
      </w:pPr>
      <w:r>
        <w:rPr>
          <w:rStyle w:val="FootnoteReference"/>
        </w:rPr>
        <w:footnoteRef/>
      </w:r>
      <w:r>
        <w:t xml:space="preserve"> </w:t>
      </w:r>
      <w:r w:rsidRPr="003463F1">
        <w:rPr>
          <w:i/>
          <w:sz w:val="20"/>
        </w:rPr>
        <w:t>See</w:t>
      </w:r>
      <w:r w:rsidRPr="008C2A67">
        <w:rPr>
          <w:sz w:val="20"/>
        </w:rPr>
        <w:t xml:space="preserve"> </w:t>
      </w:r>
      <w:r w:rsidRPr="008C2A67">
        <w:rPr>
          <w:i/>
          <w:sz w:val="20"/>
        </w:rPr>
        <w:t>Incentive Auction Task Force and Media Bureau Adopt Post-Incentive Auction Transition Scheduling Plan</w:t>
      </w:r>
      <w:r w:rsidRPr="008C2A67">
        <w:rPr>
          <w:sz w:val="20"/>
        </w:rPr>
        <w:t>, Public N</w:t>
      </w:r>
      <w:r w:rsidR="00077669" w:rsidRPr="008C2A67">
        <w:rPr>
          <w:sz w:val="20"/>
        </w:rPr>
        <w:t>otice, DA 17-</w:t>
      </w:r>
      <w:r w:rsidR="006B5106">
        <w:rPr>
          <w:sz w:val="20"/>
        </w:rPr>
        <w:t>107</w:t>
      </w:r>
      <w:r w:rsidR="00077669" w:rsidRPr="008C2A67">
        <w:rPr>
          <w:sz w:val="20"/>
        </w:rPr>
        <w:t>, para. 7</w:t>
      </w:r>
      <w:r w:rsidR="005C5555" w:rsidRPr="008C2A67">
        <w:rPr>
          <w:sz w:val="20"/>
        </w:rPr>
        <w:t xml:space="preserve"> (MB</w:t>
      </w:r>
      <w:r w:rsidRPr="008C2A67">
        <w:rPr>
          <w:sz w:val="20"/>
        </w:rPr>
        <w:t xml:space="preserve"> January </w:t>
      </w:r>
      <w:r w:rsidR="006B5106">
        <w:rPr>
          <w:sz w:val="20"/>
        </w:rPr>
        <w:t>27</w:t>
      </w:r>
      <w:r w:rsidRPr="008C2A67">
        <w:rPr>
          <w:sz w:val="20"/>
        </w:rPr>
        <w:t>, 2017) (</w:t>
      </w:r>
      <w:r w:rsidRPr="008C2A67">
        <w:rPr>
          <w:i/>
          <w:sz w:val="20"/>
        </w:rPr>
        <w:t>Transition Scheduling Adoption Public Notice</w:t>
      </w:r>
      <w:r w:rsidRPr="008C2A67">
        <w:rPr>
          <w:sz w:val="20"/>
        </w:rPr>
        <w:t xml:space="preserve">); </w:t>
      </w:r>
      <w:r w:rsidRPr="008C2A67">
        <w:rPr>
          <w:i/>
          <w:sz w:val="20"/>
        </w:rPr>
        <w:t>Incentive Auction Task Force and Media Bureau Seek Comment on Post-Incentive Auction Transition Scheduling Plan</w:t>
      </w:r>
      <w:r w:rsidRPr="008C2A67">
        <w:rPr>
          <w:sz w:val="20"/>
        </w:rPr>
        <w:t>, MB Docket No. 16-306 and GN Docket No. 12-268, Public Notice, 31 FCC Rcd 10802, 10806, para. 7 (MB 2016) (</w:t>
      </w:r>
      <w:r w:rsidRPr="008C2A67">
        <w:rPr>
          <w:i/>
          <w:sz w:val="20"/>
        </w:rPr>
        <w:t>Transition Scheduling Proposal Public Notice</w:t>
      </w:r>
      <w:r w:rsidRPr="008C2A67">
        <w:rPr>
          <w:sz w:val="20"/>
        </w:rPr>
        <w:t>).</w:t>
      </w:r>
    </w:p>
  </w:footnote>
  <w:footnote w:id="6">
    <w:p w14:paraId="4E8D9C6C" w14:textId="7CAC20FD" w:rsidR="00306E97" w:rsidRPr="002878D6" w:rsidRDefault="00306E97" w:rsidP="00016F39">
      <w:pPr>
        <w:pStyle w:val="FootnoteText"/>
        <w:spacing w:after="120"/>
      </w:pPr>
      <w:r w:rsidRPr="007935E2">
        <w:rPr>
          <w:rStyle w:val="FootnoteReference"/>
          <w:sz w:val="20"/>
        </w:rPr>
        <w:footnoteRef/>
      </w:r>
      <w:r w:rsidRPr="007935E2">
        <w:rPr>
          <w:sz w:val="20"/>
        </w:rPr>
        <w:t xml:space="preserve"> </w:t>
      </w:r>
      <w:r w:rsidRPr="00945FBF">
        <w:rPr>
          <w:sz w:val="20"/>
        </w:rPr>
        <w:t>47 U</w:t>
      </w:r>
      <w:r>
        <w:rPr>
          <w:sz w:val="20"/>
        </w:rPr>
        <w:t>.</w:t>
      </w:r>
      <w:r w:rsidRPr="00945FBF">
        <w:rPr>
          <w:sz w:val="20"/>
        </w:rPr>
        <w:t>S</w:t>
      </w:r>
      <w:r>
        <w:rPr>
          <w:sz w:val="20"/>
        </w:rPr>
        <w:t>.</w:t>
      </w:r>
      <w:r w:rsidRPr="00945FBF">
        <w:rPr>
          <w:sz w:val="20"/>
        </w:rPr>
        <w:t>C</w:t>
      </w:r>
      <w:r>
        <w:rPr>
          <w:sz w:val="20"/>
        </w:rPr>
        <w:t>.</w:t>
      </w:r>
      <w:r w:rsidRPr="00945FBF">
        <w:rPr>
          <w:sz w:val="20"/>
        </w:rPr>
        <w:t xml:space="preserve"> </w:t>
      </w:r>
      <w:r w:rsidR="00544326" w:rsidRPr="00C363EF">
        <w:rPr>
          <w:sz w:val="20"/>
        </w:rPr>
        <w:t>§</w:t>
      </w:r>
      <w:r w:rsidR="00544326">
        <w:rPr>
          <w:sz w:val="20"/>
        </w:rPr>
        <w:t xml:space="preserve"> </w:t>
      </w:r>
      <w:r w:rsidRPr="00945FBF">
        <w:rPr>
          <w:sz w:val="20"/>
        </w:rPr>
        <w:t>1452(a)(3)</w:t>
      </w:r>
      <w:r w:rsidR="00D206A9">
        <w:rPr>
          <w:sz w:val="20"/>
        </w:rPr>
        <w:t>;</w:t>
      </w:r>
      <w:r w:rsidRPr="00945FBF">
        <w:rPr>
          <w:sz w:val="20"/>
        </w:rPr>
        <w:t xml:space="preserve"> </w:t>
      </w:r>
      <w:r>
        <w:rPr>
          <w:i/>
          <w:sz w:val="20"/>
        </w:rPr>
        <w:t xml:space="preserve">see also </w:t>
      </w:r>
      <w:r w:rsidRPr="00945FBF">
        <w:rPr>
          <w:sz w:val="20"/>
        </w:rPr>
        <w:t xml:space="preserve">47 CFR </w:t>
      </w:r>
      <w:r w:rsidR="00544326" w:rsidRPr="00C363EF">
        <w:rPr>
          <w:sz w:val="20"/>
        </w:rPr>
        <w:t>§</w:t>
      </w:r>
      <w:r w:rsidR="00544326">
        <w:rPr>
          <w:sz w:val="20"/>
        </w:rPr>
        <w:t xml:space="preserve"> </w:t>
      </w:r>
      <w:r w:rsidRPr="00945FBF">
        <w:rPr>
          <w:sz w:val="20"/>
        </w:rPr>
        <w:t>1.2206.</w:t>
      </w:r>
      <w:r>
        <w:rPr>
          <w:sz w:val="20"/>
        </w:rPr>
        <w:t xml:space="preserve">  Release of the </w:t>
      </w:r>
      <w:r>
        <w:rPr>
          <w:i/>
          <w:sz w:val="20"/>
        </w:rPr>
        <w:t xml:space="preserve">Closing and Reassignment Public Notice </w:t>
      </w:r>
      <w:r>
        <w:rPr>
          <w:sz w:val="20"/>
        </w:rPr>
        <w:t xml:space="preserve">will mark </w:t>
      </w:r>
      <w:r w:rsidRPr="00945FBF">
        <w:rPr>
          <w:sz w:val="20"/>
        </w:rPr>
        <w:t xml:space="preserve">the end of </w:t>
      </w:r>
      <w:r>
        <w:rPr>
          <w:sz w:val="20"/>
        </w:rPr>
        <w:t xml:space="preserve">the </w:t>
      </w:r>
      <w:r w:rsidRPr="00945FBF">
        <w:rPr>
          <w:sz w:val="20"/>
        </w:rPr>
        <w:t xml:space="preserve">statutory confidentiality </w:t>
      </w:r>
      <w:r>
        <w:rPr>
          <w:sz w:val="20"/>
        </w:rPr>
        <w:t xml:space="preserve">period </w:t>
      </w:r>
      <w:r w:rsidRPr="00945FBF">
        <w:rPr>
          <w:sz w:val="20"/>
        </w:rPr>
        <w:t xml:space="preserve">regarding reverse auction participation (pursuant to its rules, the Commission will continue to keep confidential for two more years information about unsuccessful reverse auction bids and </w:t>
      </w:r>
      <w:r>
        <w:rPr>
          <w:sz w:val="20"/>
        </w:rPr>
        <w:t>bidders</w:t>
      </w:r>
      <w:r w:rsidRPr="00945FBF">
        <w:rPr>
          <w:sz w:val="20"/>
        </w:rPr>
        <w:t xml:space="preserve">), and the end of the prohibition on certain communications by broadcasters with respect to incentive auction applicants’ bids and bidding strategies.  </w:t>
      </w:r>
      <w:r w:rsidRPr="00945FBF">
        <w:rPr>
          <w:i/>
          <w:sz w:val="20"/>
        </w:rPr>
        <w:t>See</w:t>
      </w:r>
      <w:r w:rsidRPr="00945FBF">
        <w:rPr>
          <w:sz w:val="20"/>
        </w:rPr>
        <w:t xml:space="preserve"> </w:t>
      </w:r>
      <w:r w:rsidRPr="00945FBF">
        <w:rPr>
          <w:i/>
          <w:sz w:val="20"/>
        </w:rPr>
        <w:t>id.</w:t>
      </w:r>
      <w:r w:rsidR="00E44469">
        <w:rPr>
          <w:sz w:val="20"/>
        </w:rPr>
        <w:t>;</w:t>
      </w:r>
      <w:r w:rsidRPr="00945FBF">
        <w:rPr>
          <w:sz w:val="20"/>
        </w:rPr>
        <w:t xml:space="preserve"> 47 U</w:t>
      </w:r>
      <w:r>
        <w:rPr>
          <w:sz w:val="20"/>
        </w:rPr>
        <w:t>.</w:t>
      </w:r>
      <w:r w:rsidRPr="00945FBF">
        <w:rPr>
          <w:sz w:val="20"/>
        </w:rPr>
        <w:t>S</w:t>
      </w:r>
      <w:r>
        <w:rPr>
          <w:sz w:val="20"/>
        </w:rPr>
        <w:t>.</w:t>
      </w:r>
      <w:r w:rsidRPr="00945FBF">
        <w:rPr>
          <w:sz w:val="20"/>
        </w:rPr>
        <w:t>C</w:t>
      </w:r>
      <w:r>
        <w:rPr>
          <w:sz w:val="20"/>
        </w:rPr>
        <w:t>.</w:t>
      </w:r>
      <w:r w:rsidRPr="00945FBF">
        <w:rPr>
          <w:sz w:val="20"/>
        </w:rPr>
        <w:t xml:space="preserve"> </w:t>
      </w:r>
      <w:r w:rsidR="00D206A9" w:rsidRPr="00C363EF">
        <w:rPr>
          <w:sz w:val="20"/>
        </w:rPr>
        <w:t>§</w:t>
      </w:r>
      <w:r w:rsidR="00D206A9">
        <w:rPr>
          <w:sz w:val="20"/>
        </w:rPr>
        <w:t xml:space="preserve"> </w:t>
      </w:r>
      <w:r w:rsidRPr="00945FBF">
        <w:rPr>
          <w:sz w:val="20"/>
        </w:rPr>
        <w:t>1452(a)(3)(statutory confidentiality)</w:t>
      </w:r>
      <w:r w:rsidR="00E44469">
        <w:rPr>
          <w:sz w:val="20"/>
        </w:rPr>
        <w:t>;</w:t>
      </w:r>
      <w:r w:rsidRPr="00945FBF">
        <w:rPr>
          <w:sz w:val="20"/>
        </w:rPr>
        <w:t xml:space="preserve"> 47 CFR </w:t>
      </w:r>
      <w:r w:rsidR="00E44469" w:rsidRPr="00C363EF">
        <w:rPr>
          <w:sz w:val="20"/>
        </w:rPr>
        <w:t>§§</w:t>
      </w:r>
      <w:r w:rsidR="00E44469">
        <w:rPr>
          <w:sz w:val="20"/>
        </w:rPr>
        <w:t xml:space="preserve"> </w:t>
      </w:r>
      <w:r w:rsidRPr="00945FBF">
        <w:rPr>
          <w:sz w:val="20"/>
        </w:rPr>
        <w:t>1.2206 (confidentiality), 1.2205 (prohibition on certain communications).</w:t>
      </w:r>
    </w:p>
  </w:footnote>
  <w:footnote w:id="7">
    <w:p w14:paraId="16FAAC5B" w14:textId="61761344" w:rsidR="00737A4F" w:rsidRDefault="00737A4F" w:rsidP="00016F39">
      <w:pPr>
        <w:pStyle w:val="FootnoteText"/>
        <w:spacing w:after="120"/>
      </w:pPr>
      <w:r w:rsidRPr="007935E2">
        <w:rPr>
          <w:rStyle w:val="FootnoteReference"/>
          <w:sz w:val="20"/>
        </w:rPr>
        <w:footnoteRef/>
      </w:r>
      <w:r w:rsidRPr="007935E2">
        <w:rPr>
          <w:sz w:val="20"/>
        </w:rPr>
        <w:t xml:space="preserve"> </w:t>
      </w:r>
      <w:r w:rsidR="004A728B" w:rsidRPr="00945FBF">
        <w:rPr>
          <w:sz w:val="20"/>
        </w:rPr>
        <w:t>47 U</w:t>
      </w:r>
      <w:r w:rsidR="004A728B">
        <w:rPr>
          <w:sz w:val="20"/>
        </w:rPr>
        <w:t>.</w:t>
      </w:r>
      <w:r w:rsidR="004A728B" w:rsidRPr="00945FBF">
        <w:rPr>
          <w:sz w:val="20"/>
        </w:rPr>
        <w:t>S</w:t>
      </w:r>
      <w:r w:rsidR="004A728B">
        <w:rPr>
          <w:sz w:val="20"/>
        </w:rPr>
        <w:t>.</w:t>
      </w:r>
      <w:r w:rsidR="004A728B" w:rsidRPr="00945FBF">
        <w:rPr>
          <w:sz w:val="20"/>
        </w:rPr>
        <w:t>C</w:t>
      </w:r>
      <w:r w:rsidR="004A728B">
        <w:rPr>
          <w:sz w:val="20"/>
        </w:rPr>
        <w:t>.</w:t>
      </w:r>
      <w:r w:rsidR="004A728B" w:rsidRPr="00945FBF">
        <w:rPr>
          <w:sz w:val="20"/>
        </w:rPr>
        <w:t xml:space="preserve"> </w:t>
      </w:r>
      <w:r w:rsidR="002B0BB6" w:rsidRPr="00C363EF">
        <w:rPr>
          <w:sz w:val="20"/>
        </w:rPr>
        <w:t>§</w:t>
      </w:r>
      <w:r w:rsidR="002B0BB6">
        <w:rPr>
          <w:sz w:val="20"/>
        </w:rPr>
        <w:t xml:space="preserve"> </w:t>
      </w:r>
      <w:r w:rsidR="004A728B" w:rsidRPr="00945FBF">
        <w:rPr>
          <w:sz w:val="20"/>
        </w:rPr>
        <w:t>1452(a)(3)</w:t>
      </w:r>
      <w:r w:rsidR="007120C9">
        <w:rPr>
          <w:sz w:val="20"/>
        </w:rPr>
        <w:t>;</w:t>
      </w:r>
      <w:r w:rsidR="004A728B" w:rsidRPr="00945FBF">
        <w:rPr>
          <w:sz w:val="20"/>
        </w:rPr>
        <w:t xml:space="preserve"> </w:t>
      </w:r>
      <w:r w:rsidR="004A728B">
        <w:rPr>
          <w:i/>
          <w:sz w:val="20"/>
        </w:rPr>
        <w:t>see also I</w:t>
      </w:r>
      <w:r w:rsidR="00253D39">
        <w:rPr>
          <w:i/>
          <w:sz w:val="20"/>
        </w:rPr>
        <w:t xml:space="preserve">ncentive </w:t>
      </w:r>
      <w:r w:rsidR="004A728B">
        <w:rPr>
          <w:i/>
          <w:sz w:val="20"/>
        </w:rPr>
        <w:t>A</w:t>
      </w:r>
      <w:r w:rsidR="00253D39">
        <w:rPr>
          <w:i/>
          <w:sz w:val="20"/>
        </w:rPr>
        <w:t>uction</w:t>
      </w:r>
      <w:r w:rsidR="004A728B">
        <w:rPr>
          <w:i/>
          <w:sz w:val="20"/>
        </w:rPr>
        <w:t xml:space="preserve"> R&amp;O</w:t>
      </w:r>
      <w:r w:rsidR="004A728B">
        <w:rPr>
          <w:sz w:val="20"/>
        </w:rPr>
        <w:t xml:space="preserve">, </w:t>
      </w:r>
      <w:r w:rsidR="00C56559" w:rsidRPr="00945FBF">
        <w:rPr>
          <w:sz w:val="20"/>
        </w:rPr>
        <w:t xml:space="preserve">29 FCC Rcd </w:t>
      </w:r>
      <w:r w:rsidR="00400336">
        <w:rPr>
          <w:sz w:val="20"/>
        </w:rPr>
        <w:t xml:space="preserve">at </w:t>
      </w:r>
      <w:r w:rsidR="00376CB6">
        <w:rPr>
          <w:sz w:val="20"/>
        </w:rPr>
        <w:t xml:space="preserve">6783-85, </w:t>
      </w:r>
      <w:r w:rsidR="004A728B">
        <w:rPr>
          <w:sz w:val="20"/>
        </w:rPr>
        <w:t xml:space="preserve">paras. </w:t>
      </w:r>
      <w:r w:rsidR="009A670E">
        <w:rPr>
          <w:sz w:val="20"/>
        </w:rPr>
        <w:t>529-31.</w:t>
      </w:r>
    </w:p>
  </w:footnote>
  <w:footnote w:id="8">
    <w:p w14:paraId="5B3319C3" w14:textId="09CDF07F" w:rsidR="00306E97" w:rsidRPr="00945FBF" w:rsidRDefault="00306E97" w:rsidP="00016F39">
      <w:pPr>
        <w:pStyle w:val="FootnoteText"/>
        <w:widowControl w:val="0"/>
        <w:tabs>
          <w:tab w:val="clear" w:pos="720"/>
        </w:tabs>
        <w:spacing w:after="120"/>
        <w:rPr>
          <w:sz w:val="20"/>
        </w:rPr>
      </w:pPr>
      <w:r w:rsidRPr="00945FBF">
        <w:rPr>
          <w:rStyle w:val="FootnoteReference"/>
          <w:sz w:val="20"/>
        </w:rPr>
        <w:footnoteRef/>
      </w:r>
      <w:r w:rsidRPr="00945FBF">
        <w:rPr>
          <w:sz w:val="20"/>
        </w:rPr>
        <w:t xml:space="preserve"> Specifically, “all full power and Class A broadcast television licensees are prohibited from communicating directly or indirectly any incentive auction applicant</w:t>
      </w:r>
      <w:r>
        <w:rPr>
          <w:sz w:val="20"/>
        </w:rPr>
        <w:t>’</w:t>
      </w:r>
      <w:r w:rsidRPr="00945FBF">
        <w:rPr>
          <w:sz w:val="20"/>
        </w:rPr>
        <w:t xml:space="preserve">s bids or bidding strategies to any other full power or Class A broadcast television licensee or to any forward auction applicant.”  47 CFR </w:t>
      </w:r>
      <w:r w:rsidR="00A67A7C" w:rsidRPr="00C363EF">
        <w:rPr>
          <w:sz w:val="20"/>
        </w:rPr>
        <w:t>§</w:t>
      </w:r>
      <w:r w:rsidR="00A67A7C">
        <w:rPr>
          <w:sz w:val="20"/>
        </w:rPr>
        <w:t xml:space="preserve"> </w:t>
      </w:r>
      <w:r w:rsidRPr="00945FBF">
        <w:rPr>
          <w:sz w:val="20"/>
        </w:rPr>
        <w:t>1.2205(b)(1).  In addition, “all forward auction applicants are prohibited from communicating directly or indirectly any incentive auction applicant's bids or bidding strategies to any full power or Class A broadcast television licensee</w:t>
      </w:r>
      <w:r w:rsidR="003F4E72">
        <w:rPr>
          <w:sz w:val="20"/>
        </w:rPr>
        <w:t>.</w:t>
      </w:r>
      <w:r w:rsidRPr="00945FBF">
        <w:rPr>
          <w:sz w:val="20"/>
        </w:rPr>
        <w:t xml:space="preserve">” </w:t>
      </w:r>
      <w:r w:rsidR="003F4E72">
        <w:rPr>
          <w:sz w:val="20"/>
        </w:rPr>
        <w:t xml:space="preserve"> </w:t>
      </w:r>
      <w:r w:rsidRPr="00945FBF">
        <w:rPr>
          <w:sz w:val="20"/>
        </w:rPr>
        <w:t xml:space="preserve">47 CFR </w:t>
      </w:r>
      <w:r w:rsidR="003F4E72" w:rsidRPr="00C363EF">
        <w:rPr>
          <w:sz w:val="20"/>
        </w:rPr>
        <w:t>§</w:t>
      </w:r>
      <w:r w:rsidR="003F4E72">
        <w:rPr>
          <w:sz w:val="20"/>
        </w:rPr>
        <w:t xml:space="preserve"> </w:t>
      </w:r>
      <w:r w:rsidRPr="00945FBF">
        <w:rPr>
          <w:sz w:val="20"/>
        </w:rPr>
        <w:t>1.2105(c)(6)(ii)</w:t>
      </w:r>
      <w:r>
        <w:rPr>
          <w:sz w:val="20"/>
        </w:rPr>
        <w:t xml:space="preserve">.  </w:t>
      </w:r>
    </w:p>
  </w:footnote>
  <w:footnote w:id="9">
    <w:p w14:paraId="52703E9B" w14:textId="0DC6CCD6" w:rsidR="00306E97" w:rsidRDefault="00306E97" w:rsidP="00016F39">
      <w:pPr>
        <w:pStyle w:val="FootnoteText"/>
        <w:spacing w:after="120"/>
      </w:pPr>
      <w:r w:rsidRPr="007935E2">
        <w:rPr>
          <w:rStyle w:val="FootnoteReference"/>
          <w:sz w:val="20"/>
        </w:rPr>
        <w:footnoteRef/>
      </w:r>
      <w:r w:rsidRPr="007935E2">
        <w:rPr>
          <w:sz w:val="20"/>
        </w:rPr>
        <w:t xml:space="preserve"> </w:t>
      </w:r>
      <w:r w:rsidR="00267474">
        <w:rPr>
          <w:sz w:val="20"/>
        </w:rPr>
        <w:t xml:space="preserve">This </w:t>
      </w:r>
      <w:r>
        <w:rPr>
          <w:sz w:val="20"/>
        </w:rPr>
        <w:t>provision of the Commission’s rules prohibits forward auction applicants</w:t>
      </w:r>
      <w:r w:rsidRPr="00945FBF">
        <w:rPr>
          <w:sz w:val="20"/>
        </w:rPr>
        <w:t xml:space="preserve"> “from cooperating or collaborating with respect to, communicating with or disclosing, to each other or any nationwide provider that is not an applicant, or, if the applicant is a nationwide provider, any non-nationwide provider that is not an applicant, in any manner the substance of their own, or each other's, or any other applicants' bids or bidding strategies (including post-auction market structure).”  47 CFR </w:t>
      </w:r>
      <w:r w:rsidR="00470A4F" w:rsidRPr="00C363EF">
        <w:rPr>
          <w:sz w:val="20"/>
        </w:rPr>
        <w:t>§</w:t>
      </w:r>
      <w:r w:rsidR="00470A4F">
        <w:rPr>
          <w:sz w:val="20"/>
        </w:rPr>
        <w:t xml:space="preserve"> </w:t>
      </w:r>
      <w:r w:rsidRPr="00945FBF">
        <w:rPr>
          <w:sz w:val="20"/>
        </w:rPr>
        <w:t>1.2205(c)(1).</w:t>
      </w:r>
      <w:r>
        <w:rPr>
          <w:sz w:val="20"/>
        </w:rPr>
        <w:t xml:space="preserve">  This separate provision remains in full force and is not affected by the waiver granted herein.</w:t>
      </w:r>
    </w:p>
  </w:footnote>
  <w:footnote w:id="10">
    <w:p w14:paraId="371EA84F" w14:textId="6D9FEFCB" w:rsidR="00306E97" w:rsidRPr="00473F99" w:rsidRDefault="00306E97" w:rsidP="00016F39">
      <w:pPr>
        <w:pStyle w:val="FootnoteText"/>
        <w:spacing w:after="120"/>
      </w:pPr>
      <w:r w:rsidRPr="007935E2">
        <w:rPr>
          <w:rStyle w:val="FootnoteReference"/>
          <w:sz w:val="20"/>
        </w:rPr>
        <w:footnoteRef/>
      </w:r>
      <w:r w:rsidRPr="00A01DE0">
        <w:rPr>
          <w:sz w:val="20"/>
        </w:rPr>
        <w:t xml:space="preserve"> </w:t>
      </w:r>
      <w:r w:rsidRPr="00A01DE0">
        <w:rPr>
          <w:i/>
          <w:sz w:val="20"/>
        </w:rPr>
        <w:t>See</w:t>
      </w:r>
      <w:r>
        <w:t xml:space="preserve"> </w:t>
      </w:r>
      <w:r w:rsidRPr="002A5F39">
        <w:rPr>
          <w:sz w:val="20"/>
        </w:rPr>
        <w:t>47</w:t>
      </w:r>
      <w:r>
        <w:rPr>
          <w:sz w:val="20"/>
        </w:rPr>
        <w:t xml:space="preserve"> CFR </w:t>
      </w:r>
      <w:r w:rsidR="00C50209" w:rsidRPr="00C363EF">
        <w:rPr>
          <w:sz w:val="20"/>
        </w:rPr>
        <w:t>§</w:t>
      </w:r>
      <w:r w:rsidR="00C50209">
        <w:rPr>
          <w:sz w:val="20"/>
        </w:rPr>
        <w:t xml:space="preserve"> </w:t>
      </w:r>
      <w:r>
        <w:rPr>
          <w:sz w:val="20"/>
        </w:rPr>
        <w:t>1.2205(b)(1).</w:t>
      </w:r>
    </w:p>
  </w:footnote>
  <w:footnote w:id="11">
    <w:p w14:paraId="2E2BBD09" w14:textId="79B6078A" w:rsidR="00306E97" w:rsidRPr="00945FBF" w:rsidRDefault="00306E97" w:rsidP="00016F39">
      <w:pPr>
        <w:pStyle w:val="FootnoteText"/>
        <w:widowControl w:val="0"/>
        <w:tabs>
          <w:tab w:val="clear" w:pos="720"/>
        </w:tabs>
        <w:spacing w:after="120"/>
        <w:rPr>
          <w:sz w:val="20"/>
        </w:rPr>
      </w:pPr>
      <w:r w:rsidRPr="00945FBF">
        <w:rPr>
          <w:rStyle w:val="FootnoteReference"/>
          <w:sz w:val="20"/>
        </w:rPr>
        <w:footnoteRef/>
      </w:r>
      <w:r w:rsidRPr="00945FBF">
        <w:rPr>
          <w:rStyle w:val="FootnoteReference"/>
          <w:sz w:val="20"/>
        </w:rPr>
        <w:t xml:space="preserve"> </w:t>
      </w:r>
      <w:r w:rsidRPr="00945FBF">
        <w:rPr>
          <w:i/>
          <w:sz w:val="20"/>
        </w:rPr>
        <w:t>See</w:t>
      </w:r>
      <w:r w:rsidRPr="00945FBF">
        <w:rPr>
          <w:sz w:val="20"/>
        </w:rPr>
        <w:t xml:space="preserve"> 47 CFR </w:t>
      </w:r>
      <w:r w:rsidR="002A5F39" w:rsidRPr="00C363EF">
        <w:rPr>
          <w:sz w:val="20"/>
        </w:rPr>
        <w:t>§</w:t>
      </w:r>
      <w:r w:rsidR="00A32D65" w:rsidRPr="00C363EF">
        <w:rPr>
          <w:sz w:val="20"/>
        </w:rPr>
        <w:t>§</w:t>
      </w:r>
      <w:r w:rsidR="002A5F39">
        <w:rPr>
          <w:sz w:val="20"/>
        </w:rPr>
        <w:t xml:space="preserve"> </w:t>
      </w:r>
      <w:r w:rsidRPr="00945FBF">
        <w:rPr>
          <w:sz w:val="20"/>
        </w:rPr>
        <w:t>1.2105(c)(1) (communications among forward auction applicants), (c)(6) (communications between forward auction applicants and broadcasters)</w:t>
      </w:r>
      <w:r w:rsidR="001A180E">
        <w:rPr>
          <w:sz w:val="20"/>
        </w:rPr>
        <w:t>,</w:t>
      </w:r>
      <w:r w:rsidRPr="00945FBF">
        <w:rPr>
          <w:sz w:val="20"/>
        </w:rPr>
        <w:t xml:space="preserve"> 1.2205(b)(1) (communications by broadcasters).</w:t>
      </w:r>
    </w:p>
  </w:footnote>
  <w:footnote w:id="12">
    <w:p w14:paraId="5EFFD00B" w14:textId="574C287A" w:rsidR="00306E97" w:rsidRPr="00945FBF" w:rsidRDefault="00306E97" w:rsidP="00016F39">
      <w:pPr>
        <w:pStyle w:val="FootnoteText"/>
        <w:widowControl w:val="0"/>
        <w:tabs>
          <w:tab w:val="clear" w:pos="720"/>
        </w:tabs>
        <w:spacing w:after="120"/>
        <w:rPr>
          <w:sz w:val="20"/>
        </w:rPr>
      </w:pPr>
      <w:r w:rsidRPr="00945FBF">
        <w:rPr>
          <w:rStyle w:val="FootnoteReference"/>
          <w:sz w:val="20"/>
        </w:rPr>
        <w:footnoteRef/>
      </w:r>
      <w:r w:rsidRPr="00945FBF">
        <w:rPr>
          <w:rStyle w:val="FootnoteReference"/>
          <w:sz w:val="20"/>
        </w:rPr>
        <w:t xml:space="preserve"> </w:t>
      </w:r>
      <w:r w:rsidRPr="00945FBF">
        <w:rPr>
          <w:sz w:val="20"/>
        </w:rPr>
        <w:t xml:space="preserve">For purposes of the prohibitions, covered broadcasters “shall include all controlling interests in the licensee, and all officers, directors, and governing board members of the licensee,” 47 CFR </w:t>
      </w:r>
      <w:r w:rsidR="00373971" w:rsidRPr="00C363EF">
        <w:rPr>
          <w:sz w:val="20"/>
        </w:rPr>
        <w:t>§</w:t>
      </w:r>
      <w:r w:rsidR="00373971">
        <w:rPr>
          <w:sz w:val="20"/>
        </w:rPr>
        <w:t xml:space="preserve"> </w:t>
      </w:r>
      <w:r w:rsidRPr="00945FBF">
        <w:rPr>
          <w:sz w:val="20"/>
        </w:rPr>
        <w:t>1.2205(a)(1), and a forward auction applicant “shall include all controlling interests in the entity submitting a short-form application to participate in an auction (FCC Form 175), as well as all holders of partnership and other ownership interests and any stock interest amounting to 10 percent or more of the entity, or outstanding stock, or outstanding voting stock of the entity submitting a short-form application, and all officers and directors of that entity[, and i]n the case of a consortium, each member of the consortium shall be considered to have a controlling interest in the consortium.”  47 CFR</w:t>
      </w:r>
      <w:r w:rsidR="00A26412">
        <w:rPr>
          <w:sz w:val="20"/>
        </w:rPr>
        <w:t xml:space="preserve"> </w:t>
      </w:r>
      <w:r w:rsidR="00A26412" w:rsidRPr="00C363EF">
        <w:rPr>
          <w:sz w:val="20"/>
        </w:rPr>
        <w:t>§</w:t>
      </w:r>
      <w:r w:rsidR="00A26412">
        <w:rPr>
          <w:sz w:val="20"/>
        </w:rPr>
        <w:t> </w:t>
      </w:r>
      <w:r w:rsidRPr="00945FBF">
        <w:rPr>
          <w:sz w:val="20"/>
        </w:rPr>
        <w:t>1.2105(c)(5)(i).</w:t>
      </w:r>
    </w:p>
  </w:footnote>
  <w:footnote w:id="13">
    <w:p w14:paraId="16DD24AB" w14:textId="7E394864" w:rsidR="00306E97" w:rsidRPr="00945FBF" w:rsidRDefault="00306E97" w:rsidP="00016F39">
      <w:pPr>
        <w:pStyle w:val="FootnoteText"/>
        <w:spacing w:after="120"/>
        <w:rPr>
          <w:sz w:val="20"/>
        </w:rPr>
      </w:pPr>
      <w:r w:rsidRPr="00945FBF">
        <w:rPr>
          <w:rStyle w:val="FootnoteReference"/>
          <w:sz w:val="20"/>
        </w:rPr>
        <w:footnoteRef/>
      </w:r>
      <w:r w:rsidRPr="00945FBF">
        <w:rPr>
          <w:sz w:val="20"/>
        </w:rPr>
        <w:t xml:space="preserve"> 47 CFR </w:t>
      </w:r>
      <w:r w:rsidR="003E55B5" w:rsidRPr="00C363EF">
        <w:rPr>
          <w:sz w:val="20"/>
        </w:rPr>
        <w:t>§</w:t>
      </w:r>
      <w:r w:rsidR="003E55B5">
        <w:rPr>
          <w:sz w:val="20"/>
        </w:rPr>
        <w:t xml:space="preserve"> </w:t>
      </w:r>
      <w:r w:rsidRPr="00945FBF">
        <w:rPr>
          <w:sz w:val="20"/>
        </w:rPr>
        <w:t xml:space="preserve">1.2206; </w:t>
      </w:r>
      <w:r w:rsidRPr="00945FBF">
        <w:rPr>
          <w:i/>
          <w:sz w:val="20"/>
        </w:rPr>
        <w:t>see also</w:t>
      </w:r>
      <w:r w:rsidRPr="00945FBF">
        <w:rPr>
          <w:sz w:val="20"/>
        </w:rPr>
        <w:t xml:space="preserve"> </w:t>
      </w:r>
      <w:r>
        <w:rPr>
          <w:i/>
          <w:sz w:val="20"/>
        </w:rPr>
        <w:t>Incentive Auction R&amp;O</w:t>
      </w:r>
      <w:r w:rsidRPr="00945FBF">
        <w:rPr>
          <w:sz w:val="20"/>
        </w:rPr>
        <w:t xml:space="preserve">, 29 FCC Rcd </w:t>
      </w:r>
      <w:r>
        <w:rPr>
          <w:sz w:val="20"/>
        </w:rPr>
        <w:t>at</w:t>
      </w:r>
      <w:r w:rsidRPr="00945FBF">
        <w:rPr>
          <w:sz w:val="20"/>
        </w:rPr>
        <w:t xml:space="preserve"> 6737, para. 399.</w:t>
      </w:r>
    </w:p>
  </w:footnote>
  <w:footnote w:id="14">
    <w:p w14:paraId="3CD47276" w14:textId="23D9ACE6" w:rsidR="00306E97" w:rsidRPr="00473F99" w:rsidRDefault="00306E97" w:rsidP="00016F39">
      <w:pPr>
        <w:pStyle w:val="FootnoteText"/>
        <w:spacing w:after="120"/>
      </w:pPr>
      <w:r w:rsidRPr="007935E2">
        <w:rPr>
          <w:rStyle w:val="FootnoteReference"/>
          <w:sz w:val="20"/>
        </w:rPr>
        <w:footnoteRef/>
      </w:r>
      <w:r>
        <w:t xml:space="preserve"> </w:t>
      </w:r>
      <w:r w:rsidRPr="00BC0889">
        <w:rPr>
          <w:i/>
          <w:sz w:val="20"/>
        </w:rPr>
        <w:t>See Transition Schedul</w:t>
      </w:r>
      <w:r w:rsidR="00630CC3">
        <w:rPr>
          <w:i/>
          <w:sz w:val="20"/>
        </w:rPr>
        <w:t>ing</w:t>
      </w:r>
      <w:r w:rsidRPr="00BC0889">
        <w:rPr>
          <w:i/>
          <w:sz w:val="20"/>
        </w:rPr>
        <w:t xml:space="preserve"> </w:t>
      </w:r>
      <w:r w:rsidR="00630CC3">
        <w:rPr>
          <w:i/>
          <w:sz w:val="20"/>
        </w:rPr>
        <w:t xml:space="preserve">Adoption </w:t>
      </w:r>
      <w:r w:rsidRPr="00BC0889">
        <w:rPr>
          <w:i/>
          <w:sz w:val="20"/>
        </w:rPr>
        <w:t>Public Notice</w:t>
      </w:r>
      <w:r w:rsidR="00630CC3">
        <w:rPr>
          <w:i/>
          <w:sz w:val="20"/>
        </w:rPr>
        <w:t xml:space="preserve"> </w:t>
      </w:r>
      <w:r w:rsidR="006B5106">
        <w:rPr>
          <w:sz w:val="20"/>
        </w:rPr>
        <w:t xml:space="preserve">at </w:t>
      </w:r>
      <w:r w:rsidR="00630CC3" w:rsidRPr="008C2A67">
        <w:rPr>
          <w:sz w:val="20"/>
        </w:rPr>
        <w:t>30-31, para. 64</w:t>
      </w:r>
      <w:r w:rsidR="00630CC3">
        <w:rPr>
          <w:sz w:val="20"/>
        </w:rPr>
        <w:t>.</w:t>
      </w:r>
      <w:r w:rsidR="00EB6C70" w:rsidRPr="00EB6C70">
        <w:t xml:space="preserve"> </w:t>
      </w:r>
      <w:r w:rsidR="00EB6C70">
        <w:t xml:space="preserve"> </w:t>
      </w:r>
      <w:r w:rsidR="00EB6C70" w:rsidRPr="00EB6C70">
        <w:rPr>
          <w:sz w:val="20"/>
        </w:rPr>
        <w:t xml:space="preserve">Later filings have made similar points.  </w:t>
      </w:r>
      <w:r w:rsidR="00EB6C70" w:rsidRPr="00EB6C70">
        <w:rPr>
          <w:i/>
          <w:sz w:val="20"/>
        </w:rPr>
        <w:t>See</w:t>
      </w:r>
      <w:r w:rsidR="00EB6C70" w:rsidRPr="00EB6C70">
        <w:rPr>
          <w:sz w:val="20"/>
        </w:rPr>
        <w:t xml:space="preserve"> Letter from Kathleen A. Kirby, Wiley Rein, LLP, to Marlene H. Dortch, Secretary, FCC, GN Docket No. 12-268 et al., (filed Jan. 30, 2017); Letter from Ravi Potharlanka, Chief Executive Officer and Co-Founder, LocusPoint Networks, to Ajit Pai, Chairman, FCC, WC Docket No. 16-306 et al., (filed Jan. 26, 2011).</w:t>
      </w:r>
    </w:p>
  </w:footnote>
  <w:footnote w:id="15">
    <w:p w14:paraId="10D4A43A" w14:textId="3899CB34" w:rsidR="00306E97" w:rsidRPr="00917D53" w:rsidRDefault="00306E97" w:rsidP="00016F39">
      <w:pPr>
        <w:pStyle w:val="FootnoteText"/>
        <w:spacing w:after="120"/>
      </w:pPr>
      <w:r w:rsidRPr="007935E2">
        <w:rPr>
          <w:rStyle w:val="FootnoteReference"/>
          <w:sz w:val="20"/>
        </w:rPr>
        <w:footnoteRef/>
      </w:r>
      <w:r w:rsidRPr="007935E2">
        <w:rPr>
          <w:sz w:val="20"/>
        </w:rPr>
        <w:t xml:space="preserve"> </w:t>
      </w:r>
      <w:r w:rsidRPr="00204078">
        <w:rPr>
          <w:sz w:val="20"/>
        </w:rPr>
        <w:t xml:space="preserve">As noted in the </w:t>
      </w:r>
      <w:r w:rsidR="00630CC3">
        <w:rPr>
          <w:i/>
          <w:sz w:val="20"/>
        </w:rPr>
        <w:t>Transition Scheduling Adoption Public Notice</w:t>
      </w:r>
      <w:r>
        <w:rPr>
          <w:sz w:val="20"/>
        </w:rPr>
        <w:t xml:space="preserve">, broadcasters nevertheless may engage in a wide range of communications when preparing for the transition and involving their final channel assignments without violating the prohibition.  </w:t>
      </w:r>
      <w:r>
        <w:rPr>
          <w:i/>
          <w:sz w:val="20"/>
        </w:rPr>
        <w:t>See</w:t>
      </w:r>
      <w:r>
        <w:rPr>
          <w:sz w:val="20"/>
        </w:rPr>
        <w:t xml:space="preserve"> </w:t>
      </w:r>
      <w:r w:rsidR="00630CC3">
        <w:rPr>
          <w:i/>
          <w:sz w:val="20"/>
        </w:rPr>
        <w:t>Transition Scheduling Adoption Public Notice</w:t>
      </w:r>
      <w:r w:rsidR="00630CC3">
        <w:rPr>
          <w:sz w:val="20"/>
        </w:rPr>
        <w:t xml:space="preserve"> at 31-32, paras.</w:t>
      </w:r>
      <w:r w:rsidR="006B5106">
        <w:rPr>
          <w:sz w:val="20"/>
        </w:rPr>
        <w:t xml:space="preserve"> 65-66</w:t>
      </w:r>
      <w:r>
        <w:rPr>
          <w:sz w:val="20"/>
        </w:rPr>
        <w:t xml:space="preserve">. </w:t>
      </w:r>
    </w:p>
  </w:footnote>
  <w:footnote w:id="16">
    <w:p w14:paraId="3D37F781" w14:textId="1FB9A72A" w:rsidR="00306E97" w:rsidRPr="001866BF" w:rsidRDefault="00306E97" w:rsidP="00016F39">
      <w:pPr>
        <w:pStyle w:val="FootnoteText"/>
        <w:spacing w:after="120"/>
      </w:pPr>
      <w:r w:rsidRPr="007935E2">
        <w:rPr>
          <w:rStyle w:val="FootnoteReference"/>
          <w:sz w:val="20"/>
        </w:rPr>
        <w:footnoteRef/>
      </w:r>
      <w:r w:rsidRPr="007935E2">
        <w:rPr>
          <w:sz w:val="20"/>
        </w:rPr>
        <w:t xml:space="preserve"> </w:t>
      </w:r>
      <w:r w:rsidRPr="00BC0889">
        <w:rPr>
          <w:i/>
          <w:sz w:val="20"/>
        </w:rPr>
        <w:t xml:space="preserve">See </w:t>
      </w:r>
      <w:r w:rsidRPr="00945FBF">
        <w:rPr>
          <w:i/>
          <w:sz w:val="20"/>
        </w:rPr>
        <w:t>Guidance Regarding the Prohibition of Certain Communications During the Incentive Auction, Auction 1000</w:t>
      </w:r>
      <w:r w:rsidRPr="00945FBF">
        <w:rPr>
          <w:sz w:val="20"/>
        </w:rPr>
        <w:t>, Public Notice, 30 FCC Rcd 10794, 10799, para. 14</w:t>
      </w:r>
      <w:r>
        <w:rPr>
          <w:sz w:val="20"/>
        </w:rPr>
        <w:t xml:space="preserve"> (WTB 2015) (</w:t>
      </w:r>
      <w:r w:rsidRPr="00BC0889">
        <w:rPr>
          <w:i/>
          <w:sz w:val="20"/>
        </w:rPr>
        <w:t>Guidance PN</w:t>
      </w:r>
      <w:r>
        <w:rPr>
          <w:sz w:val="20"/>
        </w:rPr>
        <w:t>)</w:t>
      </w:r>
      <w:r w:rsidR="00CF6BCE">
        <w:rPr>
          <w:sz w:val="20"/>
        </w:rPr>
        <w:t>.</w:t>
      </w:r>
    </w:p>
  </w:footnote>
  <w:footnote w:id="17">
    <w:p w14:paraId="271ED327" w14:textId="23E0D7C0" w:rsidR="00306E97" w:rsidRDefault="00306E97" w:rsidP="00016F39">
      <w:pPr>
        <w:pStyle w:val="FootnoteText"/>
        <w:spacing w:after="120"/>
      </w:pPr>
      <w:r w:rsidRPr="007935E2">
        <w:rPr>
          <w:rStyle w:val="FootnoteReference"/>
          <w:sz w:val="20"/>
        </w:rPr>
        <w:footnoteRef/>
      </w:r>
      <w:r w:rsidRPr="007935E2">
        <w:rPr>
          <w:sz w:val="20"/>
        </w:rPr>
        <w:t xml:space="preserve"> </w:t>
      </w:r>
      <w:r>
        <w:rPr>
          <w:sz w:val="20"/>
        </w:rPr>
        <w:t xml:space="preserve">As noted in the </w:t>
      </w:r>
      <w:r>
        <w:rPr>
          <w:i/>
          <w:sz w:val="20"/>
        </w:rPr>
        <w:t xml:space="preserve">Guidance </w:t>
      </w:r>
      <w:r w:rsidRPr="00263CDA">
        <w:rPr>
          <w:i/>
          <w:sz w:val="20"/>
        </w:rPr>
        <w:t>PN</w:t>
      </w:r>
      <w:r>
        <w:rPr>
          <w:sz w:val="20"/>
        </w:rPr>
        <w:t>, n</w:t>
      </w:r>
      <w:r w:rsidRPr="00263CDA">
        <w:rPr>
          <w:sz w:val="20"/>
        </w:rPr>
        <w:t>o</w:t>
      </w:r>
      <w:r w:rsidRPr="00945FBF">
        <w:rPr>
          <w:sz w:val="20"/>
        </w:rPr>
        <w:t xml:space="preserve"> action taken will protect a party against liability in the event a prohibited communication nevertheless takes place.</w:t>
      </w:r>
      <w:r>
        <w:rPr>
          <w:sz w:val="20"/>
        </w:rPr>
        <w:t xml:space="preserve">  </w:t>
      </w:r>
      <w:r>
        <w:rPr>
          <w:i/>
          <w:sz w:val="20"/>
        </w:rPr>
        <w:t>See Guidance PN</w:t>
      </w:r>
      <w:r>
        <w:rPr>
          <w:sz w:val="20"/>
        </w:rPr>
        <w:t xml:space="preserve">, </w:t>
      </w:r>
      <w:r w:rsidR="00DD26A6" w:rsidRPr="00945FBF">
        <w:rPr>
          <w:sz w:val="20"/>
        </w:rPr>
        <w:t xml:space="preserve">30 FCC Rcd </w:t>
      </w:r>
      <w:r w:rsidR="00DD26A6">
        <w:rPr>
          <w:sz w:val="20"/>
        </w:rPr>
        <w:t xml:space="preserve">at </w:t>
      </w:r>
      <w:r w:rsidR="00DD26A6" w:rsidRPr="00945FBF">
        <w:rPr>
          <w:sz w:val="20"/>
        </w:rPr>
        <w:t>10799</w:t>
      </w:r>
      <w:r w:rsidR="00DD26A6">
        <w:rPr>
          <w:sz w:val="20"/>
        </w:rPr>
        <w:t xml:space="preserve">, </w:t>
      </w:r>
      <w:r>
        <w:rPr>
          <w:sz w:val="20"/>
        </w:rPr>
        <w:t>para. 14.  Consequently, covered parties may be inclined to err on the side of caution.</w:t>
      </w:r>
      <w:r w:rsidRPr="00945FBF">
        <w:rPr>
          <w:sz w:val="20"/>
        </w:rPr>
        <w:t xml:space="preserve">  </w:t>
      </w:r>
    </w:p>
  </w:footnote>
  <w:footnote w:id="18">
    <w:p w14:paraId="0EFF4E7A" w14:textId="3F33A1A5" w:rsidR="003E78D5" w:rsidRPr="008C2A67" w:rsidRDefault="003E78D5" w:rsidP="00016F39">
      <w:pPr>
        <w:pStyle w:val="FootnoteText"/>
        <w:spacing w:after="120"/>
        <w:rPr>
          <w:sz w:val="20"/>
        </w:rPr>
      </w:pPr>
      <w:r w:rsidRPr="008C2A67">
        <w:rPr>
          <w:rStyle w:val="FootnoteReference"/>
          <w:sz w:val="20"/>
        </w:rPr>
        <w:footnoteRef/>
      </w:r>
      <w:r w:rsidRPr="008C2A67">
        <w:rPr>
          <w:sz w:val="20"/>
        </w:rPr>
        <w:t xml:space="preserve"> </w:t>
      </w:r>
      <w:r w:rsidRPr="008C2A67">
        <w:rPr>
          <w:i/>
          <w:sz w:val="20"/>
        </w:rPr>
        <w:t>Transition Scheduling Adoption Public Notice</w:t>
      </w:r>
      <w:r w:rsidRPr="008C2A67">
        <w:rPr>
          <w:sz w:val="20"/>
        </w:rPr>
        <w:t xml:space="preserve"> at </w:t>
      </w:r>
      <w:r w:rsidR="006B5106">
        <w:rPr>
          <w:sz w:val="20"/>
        </w:rPr>
        <w:t>32, para. 67</w:t>
      </w:r>
      <w:r w:rsidRPr="008C2A67">
        <w:rPr>
          <w:sz w:val="20"/>
        </w:rPr>
        <w:t>.</w:t>
      </w:r>
    </w:p>
  </w:footnote>
  <w:footnote w:id="19">
    <w:p w14:paraId="37AE70F6" w14:textId="28B94B79" w:rsidR="00630CC3" w:rsidRPr="008C2A67" w:rsidRDefault="00630CC3" w:rsidP="00016F39">
      <w:pPr>
        <w:pStyle w:val="FootnoteText"/>
        <w:spacing w:after="120"/>
        <w:rPr>
          <w:sz w:val="20"/>
        </w:rPr>
      </w:pPr>
      <w:r w:rsidRPr="008C2A67">
        <w:rPr>
          <w:rStyle w:val="FootnoteReference"/>
          <w:sz w:val="20"/>
        </w:rPr>
        <w:footnoteRef/>
      </w:r>
      <w:r w:rsidRPr="008C2A67">
        <w:rPr>
          <w:sz w:val="20"/>
        </w:rPr>
        <w:t xml:space="preserve"> </w:t>
      </w:r>
      <w:r w:rsidRPr="008C2A67">
        <w:rPr>
          <w:i/>
          <w:sz w:val="20"/>
        </w:rPr>
        <w:t>Id</w:t>
      </w:r>
      <w:r w:rsidRPr="008C2A67">
        <w:rPr>
          <w:sz w:val="20"/>
        </w:rPr>
        <w:t xml:space="preserve">. at </w:t>
      </w:r>
      <w:r w:rsidR="006B5106">
        <w:rPr>
          <w:sz w:val="20"/>
        </w:rPr>
        <w:t>32, para. 68</w:t>
      </w:r>
      <w:r w:rsidRPr="008C2A67">
        <w:rPr>
          <w:sz w:val="20"/>
        </w:rPr>
        <w:t>.</w:t>
      </w:r>
    </w:p>
  </w:footnote>
  <w:footnote w:id="20">
    <w:p w14:paraId="649736FD" w14:textId="485A707F" w:rsidR="00306E97" w:rsidRPr="00387376" w:rsidRDefault="00306E97" w:rsidP="00016F39">
      <w:pPr>
        <w:pStyle w:val="FootnoteText"/>
        <w:spacing w:after="120"/>
      </w:pPr>
      <w:r w:rsidRPr="007935E2">
        <w:rPr>
          <w:rStyle w:val="FootnoteReference"/>
          <w:sz w:val="20"/>
        </w:rPr>
        <w:footnoteRef/>
      </w:r>
      <w:r w:rsidRPr="007935E2">
        <w:rPr>
          <w:sz w:val="20"/>
        </w:rPr>
        <w:t xml:space="preserve"> </w:t>
      </w:r>
      <w:r w:rsidRPr="00BC0889">
        <w:rPr>
          <w:sz w:val="20"/>
        </w:rPr>
        <w:t xml:space="preserve">The Wireless Telecommunications Bureau </w:t>
      </w:r>
      <w:r>
        <w:rPr>
          <w:sz w:val="20"/>
        </w:rPr>
        <w:t xml:space="preserve">has </w:t>
      </w:r>
      <w:r w:rsidRPr="00BC0889">
        <w:rPr>
          <w:sz w:val="20"/>
        </w:rPr>
        <w:t>delegated authority to “administer . . . spectrum auctions” and to “act[] on waivers of rules.”  47 CFR § 0.131(a), (c)</w:t>
      </w:r>
      <w:r w:rsidR="00981ABC">
        <w:rPr>
          <w:sz w:val="20"/>
        </w:rPr>
        <w:t>;</w:t>
      </w:r>
      <w:r w:rsidRPr="00BC0889">
        <w:rPr>
          <w:sz w:val="20"/>
        </w:rPr>
        <w:t xml:space="preserve"> </w:t>
      </w:r>
      <w:r w:rsidR="00981ABC">
        <w:rPr>
          <w:i/>
          <w:sz w:val="20"/>
        </w:rPr>
        <w:t>s</w:t>
      </w:r>
      <w:r w:rsidRPr="00BE5A99">
        <w:rPr>
          <w:i/>
          <w:sz w:val="20"/>
        </w:rPr>
        <w:t>ee</w:t>
      </w:r>
      <w:r w:rsidRPr="00BC0889">
        <w:rPr>
          <w:sz w:val="20"/>
        </w:rPr>
        <w:t xml:space="preserve"> </w:t>
      </w:r>
      <w:r w:rsidR="00981ABC" w:rsidRPr="00981ABC">
        <w:rPr>
          <w:i/>
          <w:sz w:val="20"/>
        </w:rPr>
        <w:t>also</w:t>
      </w:r>
      <w:r w:rsidR="00981ABC">
        <w:rPr>
          <w:sz w:val="20"/>
        </w:rPr>
        <w:t xml:space="preserve"> </w:t>
      </w:r>
      <w:r w:rsidRPr="00BC0889">
        <w:rPr>
          <w:sz w:val="20"/>
        </w:rPr>
        <w:t xml:space="preserve">47 CFR § 0.331.  In the </w:t>
      </w:r>
      <w:r w:rsidRPr="005E19BE">
        <w:rPr>
          <w:i/>
          <w:sz w:val="20"/>
        </w:rPr>
        <w:t>Incentive Auction R</w:t>
      </w:r>
      <w:r w:rsidR="00242A9B">
        <w:rPr>
          <w:i/>
          <w:sz w:val="20"/>
        </w:rPr>
        <w:t>&amp;</w:t>
      </w:r>
      <w:r w:rsidRPr="005E19BE">
        <w:rPr>
          <w:i/>
          <w:sz w:val="20"/>
        </w:rPr>
        <w:t>O</w:t>
      </w:r>
      <w:r w:rsidRPr="00BC0889">
        <w:rPr>
          <w:sz w:val="20"/>
        </w:rPr>
        <w:t xml:space="preserve">, the Commission affirmed this delegation of authority to </w:t>
      </w:r>
      <w:r w:rsidR="00630CC3">
        <w:rPr>
          <w:sz w:val="20"/>
        </w:rPr>
        <w:t>the Wireless Telecommunications Bureau</w:t>
      </w:r>
      <w:r w:rsidRPr="00BC0889">
        <w:rPr>
          <w:sz w:val="20"/>
        </w:rPr>
        <w:t xml:space="preserve"> to administer the reverse auction.  </w:t>
      </w:r>
      <w:r w:rsidRPr="00BE5A99">
        <w:rPr>
          <w:i/>
          <w:sz w:val="20"/>
        </w:rPr>
        <w:t>See</w:t>
      </w:r>
      <w:r w:rsidRPr="00BC0889">
        <w:rPr>
          <w:sz w:val="20"/>
        </w:rPr>
        <w:t xml:space="preserve"> </w:t>
      </w:r>
      <w:r>
        <w:rPr>
          <w:i/>
          <w:sz w:val="20"/>
        </w:rPr>
        <w:t>Incentive Auction R&amp;O</w:t>
      </w:r>
      <w:r w:rsidRPr="00BC0889">
        <w:rPr>
          <w:sz w:val="20"/>
        </w:rPr>
        <w:t xml:space="preserve">, 29 FCC Rcd </w:t>
      </w:r>
      <w:r>
        <w:rPr>
          <w:sz w:val="20"/>
        </w:rPr>
        <w:t>at</w:t>
      </w:r>
      <w:r w:rsidRPr="00BC0889">
        <w:rPr>
          <w:sz w:val="20"/>
        </w:rPr>
        <w:t xml:space="preserve"> 6574, para. 15 (affirming </w:t>
      </w:r>
      <w:r w:rsidR="00630CC3">
        <w:rPr>
          <w:sz w:val="20"/>
        </w:rPr>
        <w:t>the Wireless Telecommunication Bureau</w:t>
      </w:r>
      <w:r w:rsidR="00630CC3" w:rsidRPr="00BC0889">
        <w:rPr>
          <w:sz w:val="20"/>
        </w:rPr>
        <w:t xml:space="preserve">’s </w:t>
      </w:r>
      <w:r w:rsidRPr="00BC0889">
        <w:rPr>
          <w:sz w:val="20"/>
        </w:rPr>
        <w:t xml:space="preserve">“well-established authority” with respect to auction procedures), and 6774, para. 499 n.1434, </w:t>
      </w:r>
      <w:r w:rsidRPr="00BE5A99">
        <w:rPr>
          <w:i/>
          <w:sz w:val="20"/>
        </w:rPr>
        <w:t>affirmed</w:t>
      </w:r>
      <w:r w:rsidRPr="00BC0889">
        <w:rPr>
          <w:sz w:val="20"/>
        </w:rPr>
        <w:t xml:space="preserve">, </w:t>
      </w:r>
      <w:r w:rsidRPr="00BE5A99">
        <w:rPr>
          <w:i/>
          <w:sz w:val="20"/>
        </w:rPr>
        <w:t>National Association of Broadcasters v. FCC</w:t>
      </w:r>
      <w:r w:rsidRPr="00BC0889">
        <w:rPr>
          <w:sz w:val="20"/>
        </w:rPr>
        <w:t xml:space="preserve">, 789 F.3d 165 (D.C. Cir. 2015) (stating that </w:t>
      </w:r>
      <w:r w:rsidR="00630CC3">
        <w:rPr>
          <w:sz w:val="20"/>
        </w:rPr>
        <w:t>the Wireless Telecommunications Bureau</w:t>
      </w:r>
      <w:r w:rsidR="00630CC3" w:rsidRPr="00BC0889">
        <w:rPr>
          <w:sz w:val="20"/>
        </w:rPr>
        <w:t xml:space="preserve"> </w:t>
      </w:r>
      <w:r w:rsidRPr="00BC0889">
        <w:rPr>
          <w:sz w:val="20"/>
        </w:rPr>
        <w:t>“has delegated authority with respect to the administration of spectrum license auctions, including . . . the reverse auction component of incentive auctions . . .”)</w:t>
      </w:r>
      <w:r w:rsidR="00A01DE0">
        <w:rPr>
          <w:sz w:val="20"/>
        </w:rPr>
        <w:t>.</w:t>
      </w:r>
      <w:r>
        <w:t xml:space="preserve">  </w:t>
      </w:r>
    </w:p>
  </w:footnote>
  <w:footnote w:id="21">
    <w:p w14:paraId="18256E1D" w14:textId="56CEE4AC" w:rsidR="00306E97" w:rsidRDefault="00306E97" w:rsidP="00016F39">
      <w:pPr>
        <w:pStyle w:val="FootnoteText"/>
        <w:spacing w:after="120"/>
      </w:pPr>
      <w:r w:rsidRPr="007935E2">
        <w:rPr>
          <w:rStyle w:val="FootnoteReference"/>
          <w:sz w:val="20"/>
        </w:rPr>
        <w:footnoteRef/>
      </w:r>
      <w:r w:rsidRPr="007935E2">
        <w:rPr>
          <w:sz w:val="20"/>
        </w:rPr>
        <w:t xml:space="preserve"> </w:t>
      </w:r>
      <w:r w:rsidRPr="00DC27CC">
        <w:rPr>
          <w:i/>
          <w:sz w:val="20"/>
        </w:rPr>
        <w:t>See</w:t>
      </w:r>
      <w:r w:rsidRPr="00BC0889">
        <w:rPr>
          <w:sz w:val="20"/>
        </w:rPr>
        <w:t xml:space="preserve"> 47 CFR</w:t>
      </w:r>
      <w:r w:rsidR="00D5779B">
        <w:rPr>
          <w:sz w:val="20"/>
        </w:rPr>
        <w:t xml:space="preserve"> </w:t>
      </w:r>
      <w:r w:rsidR="00D5779B" w:rsidRPr="00BC0889">
        <w:rPr>
          <w:sz w:val="20"/>
        </w:rPr>
        <w:t>§</w:t>
      </w:r>
      <w:r w:rsidRPr="00BC0889">
        <w:rPr>
          <w:sz w:val="20"/>
        </w:rPr>
        <w:t xml:space="preserve"> 1.3.</w:t>
      </w:r>
    </w:p>
  </w:footnote>
  <w:footnote w:id="22">
    <w:p w14:paraId="6EFE1F15" w14:textId="509A8E74" w:rsidR="00306E97" w:rsidRDefault="00306E97" w:rsidP="00016F39">
      <w:pPr>
        <w:pStyle w:val="FootnoteText"/>
        <w:spacing w:after="120"/>
      </w:pPr>
      <w:r w:rsidRPr="007935E2">
        <w:rPr>
          <w:rStyle w:val="FootnoteReference"/>
          <w:sz w:val="20"/>
        </w:rPr>
        <w:footnoteRef/>
      </w:r>
      <w:r w:rsidRPr="007935E2">
        <w:rPr>
          <w:sz w:val="20"/>
        </w:rPr>
        <w:t xml:space="preserve"> </w:t>
      </w:r>
      <w:r w:rsidRPr="00BC0889">
        <w:rPr>
          <w:sz w:val="20"/>
        </w:rPr>
        <w:t xml:space="preserve">47 CFR </w:t>
      </w:r>
      <w:r w:rsidR="00FC4032" w:rsidRPr="00BC0889">
        <w:rPr>
          <w:sz w:val="20"/>
        </w:rPr>
        <w:t>§</w:t>
      </w:r>
      <w:r w:rsidR="00FC4032">
        <w:rPr>
          <w:sz w:val="20"/>
        </w:rPr>
        <w:t xml:space="preserve"> </w:t>
      </w:r>
      <w:r w:rsidRPr="00BC0889">
        <w:rPr>
          <w:sz w:val="20"/>
        </w:rPr>
        <w:t xml:space="preserve">1.2203(b) (“A bid is an unconditional, irrevocable offer by the bidder to fulfill the terms of the bid. </w:t>
      </w:r>
      <w:r w:rsidR="001618A0">
        <w:rPr>
          <w:sz w:val="20"/>
        </w:rPr>
        <w:t xml:space="preserve"> </w:t>
      </w:r>
      <w:r w:rsidRPr="00BC0889">
        <w:rPr>
          <w:sz w:val="20"/>
        </w:rPr>
        <w:t xml:space="preserve">The Commission accepts the offer by identifying the bid as winning. </w:t>
      </w:r>
      <w:r w:rsidR="001A5935">
        <w:rPr>
          <w:sz w:val="20"/>
        </w:rPr>
        <w:t xml:space="preserve"> </w:t>
      </w:r>
      <w:r w:rsidRPr="00BC0889">
        <w:rPr>
          <w:sz w:val="20"/>
        </w:rPr>
        <w:t xml:space="preserve">A bidder has a binding obligation to fulfill the terms of a winning bid. </w:t>
      </w:r>
      <w:r w:rsidR="001A5935">
        <w:rPr>
          <w:sz w:val="20"/>
        </w:rPr>
        <w:t xml:space="preserve"> </w:t>
      </w:r>
      <w:r w:rsidRPr="00BC0889">
        <w:rPr>
          <w:sz w:val="20"/>
        </w:rPr>
        <w:t>A winning bidder will relinquish spectrum usage rights pursuant to the terms of any winning bid by the deadline set forth in §</w:t>
      </w:r>
      <w:r w:rsidR="00AA78BA">
        <w:rPr>
          <w:sz w:val="20"/>
        </w:rPr>
        <w:t xml:space="preserve"> </w:t>
      </w:r>
      <w:r w:rsidRPr="00BC0889">
        <w:rPr>
          <w:sz w:val="20"/>
        </w:rPr>
        <w:t>73.3700(b)(4) of this chapter.”)</w:t>
      </w:r>
      <w:r w:rsidR="00A01DE0">
        <w:rPr>
          <w:sz w:val="20"/>
        </w:rPr>
        <w:t>.</w:t>
      </w:r>
    </w:p>
  </w:footnote>
  <w:footnote w:id="23">
    <w:p w14:paraId="25FB4C96" w14:textId="6DE53E44" w:rsidR="00306E97" w:rsidRDefault="00306E97" w:rsidP="00016F39">
      <w:pPr>
        <w:pStyle w:val="FootnoteText"/>
        <w:spacing w:after="120"/>
      </w:pPr>
      <w:r w:rsidRPr="007935E2">
        <w:rPr>
          <w:rStyle w:val="FootnoteReference"/>
          <w:sz w:val="20"/>
        </w:rPr>
        <w:footnoteRef/>
      </w:r>
      <w:r w:rsidRPr="009A670E">
        <w:rPr>
          <w:sz w:val="20"/>
        </w:rPr>
        <w:t xml:space="preserve"> In contrast, the fact that one covered party will not or cannot bid is not, without more, good cause for waiving the prohibition.  The prohibition serves i</w:t>
      </w:r>
      <w:r w:rsidR="00611C79">
        <w:rPr>
          <w:sz w:val="20"/>
        </w:rPr>
        <w:t>t</w:t>
      </w:r>
      <w:r w:rsidRPr="009A670E">
        <w:rPr>
          <w:sz w:val="20"/>
        </w:rPr>
        <w:t xml:space="preserve">s purposes when applied to communications with covered parties that are not able to bid.  </w:t>
      </w:r>
      <w:r w:rsidRPr="009A670E">
        <w:rPr>
          <w:i/>
          <w:sz w:val="20"/>
        </w:rPr>
        <w:t xml:space="preserve">See </w:t>
      </w:r>
      <w:r w:rsidRPr="009C4136">
        <w:rPr>
          <w:i/>
          <w:sz w:val="20"/>
        </w:rPr>
        <w:t>Star</w:t>
      </w:r>
      <w:r>
        <w:rPr>
          <w:i/>
          <w:sz w:val="20"/>
        </w:rPr>
        <w:t xml:space="preserve"> Wireless</w:t>
      </w:r>
      <w:r w:rsidRPr="009A670E">
        <w:rPr>
          <w:i/>
          <w:sz w:val="20"/>
        </w:rPr>
        <w:t xml:space="preserve">, </w:t>
      </w:r>
      <w:r>
        <w:rPr>
          <w:i/>
          <w:sz w:val="20"/>
        </w:rPr>
        <w:t>LLC</w:t>
      </w:r>
      <w:r w:rsidRPr="009A670E">
        <w:rPr>
          <w:i/>
          <w:sz w:val="20"/>
        </w:rPr>
        <w:t xml:space="preserve"> </w:t>
      </w:r>
      <w:r>
        <w:rPr>
          <w:i/>
          <w:sz w:val="20"/>
        </w:rPr>
        <w:t>v. FCC</w:t>
      </w:r>
      <w:r w:rsidRPr="009900AD">
        <w:rPr>
          <w:sz w:val="20"/>
        </w:rPr>
        <w:t>, 522 F.3d 469 (D.C. Cir. 2008).</w:t>
      </w:r>
    </w:p>
  </w:footnote>
  <w:footnote w:id="24">
    <w:p w14:paraId="4E25EE24" w14:textId="3DC152B9" w:rsidR="0025134D" w:rsidRPr="00AA2942" w:rsidRDefault="0025134D" w:rsidP="00016F39">
      <w:pPr>
        <w:pStyle w:val="FootnoteText"/>
        <w:spacing w:after="120"/>
        <w:rPr>
          <w:sz w:val="20"/>
        </w:rPr>
      </w:pPr>
      <w:r w:rsidRPr="00AA2942">
        <w:rPr>
          <w:rStyle w:val="FootnoteReference"/>
          <w:sz w:val="20"/>
        </w:rPr>
        <w:footnoteRef/>
      </w:r>
      <w:r w:rsidRPr="00AA2942">
        <w:rPr>
          <w:sz w:val="20"/>
        </w:rPr>
        <w:t xml:space="preserve"> </w:t>
      </w:r>
      <w:r>
        <w:rPr>
          <w:sz w:val="20"/>
        </w:rPr>
        <w:t xml:space="preserve">For example, a forward auction bidder might </w:t>
      </w:r>
      <w:r w:rsidR="00BD2DC6">
        <w:rPr>
          <w:sz w:val="20"/>
        </w:rPr>
        <w:t xml:space="preserve">attempt to use </w:t>
      </w:r>
      <w:r>
        <w:rPr>
          <w:sz w:val="20"/>
        </w:rPr>
        <w:t xml:space="preserve">information </w:t>
      </w:r>
      <w:r w:rsidR="00BD2DC6">
        <w:rPr>
          <w:sz w:val="20"/>
        </w:rPr>
        <w:t xml:space="preserve">about reverse auction bids and results </w:t>
      </w:r>
      <w:r w:rsidR="00AA471B">
        <w:rPr>
          <w:sz w:val="20"/>
        </w:rPr>
        <w:t>to focus its own bidding on particular markets or frequencies.</w:t>
      </w:r>
      <w:r w:rsidR="00711E7C">
        <w:rPr>
          <w:sz w:val="20"/>
        </w:rPr>
        <w:t xml:space="preserve">  </w:t>
      </w:r>
    </w:p>
  </w:footnote>
  <w:footnote w:id="25">
    <w:p w14:paraId="159E5F1D" w14:textId="5457DB92" w:rsidR="009900AD" w:rsidRDefault="009900AD" w:rsidP="00016F39">
      <w:pPr>
        <w:pStyle w:val="FootnoteText"/>
        <w:spacing w:after="120"/>
      </w:pPr>
      <w:r w:rsidRPr="007935E2">
        <w:rPr>
          <w:rStyle w:val="FootnoteReference"/>
          <w:sz w:val="20"/>
        </w:rPr>
        <w:footnoteRef/>
      </w:r>
      <w:r w:rsidRPr="009A670E">
        <w:rPr>
          <w:sz w:val="20"/>
        </w:rPr>
        <w:t xml:space="preserve"> The Commission retains recourse in the event that </w:t>
      </w:r>
      <w:r>
        <w:rPr>
          <w:sz w:val="20"/>
        </w:rPr>
        <w:t>acts by forward auction applicants</w:t>
      </w:r>
      <w:r w:rsidRPr="009A670E">
        <w:rPr>
          <w:sz w:val="20"/>
        </w:rPr>
        <w:t xml:space="preserve"> utilizing reverse auction bids or bidding strategies </w:t>
      </w:r>
      <w:r w:rsidRPr="009900AD">
        <w:rPr>
          <w:sz w:val="20"/>
        </w:rPr>
        <w:t>affect</w:t>
      </w:r>
      <w:r w:rsidRPr="009A670E">
        <w:rPr>
          <w:sz w:val="20"/>
        </w:rPr>
        <w:t xml:space="preserve"> the fair and efficient conduct of the competitive bidding.</w:t>
      </w:r>
      <w:r w:rsidRPr="009A670E">
        <w:rPr>
          <w:i/>
          <w:sz w:val="20"/>
        </w:rPr>
        <w:t xml:space="preserve">  See </w:t>
      </w:r>
      <w:r w:rsidRPr="009A670E">
        <w:rPr>
          <w:sz w:val="20"/>
        </w:rPr>
        <w:t xml:space="preserve">47 CFR </w:t>
      </w:r>
      <w:r w:rsidR="008674E9" w:rsidRPr="00BC0889">
        <w:rPr>
          <w:sz w:val="20"/>
        </w:rPr>
        <w:t>§</w:t>
      </w:r>
      <w:r w:rsidR="008674E9">
        <w:rPr>
          <w:sz w:val="20"/>
        </w:rPr>
        <w:t xml:space="preserve"> </w:t>
      </w:r>
      <w:r w:rsidRPr="009A670E">
        <w:rPr>
          <w:sz w:val="20"/>
        </w:rPr>
        <w:t>1.2103(i)</w:t>
      </w:r>
      <w:r>
        <w:rPr>
          <w:sz w:val="20"/>
        </w:rPr>
        <w:t xml:space="preserve"> (“</w:t>
      </w:r>
      <w:r w:rsidRPr="009900AD">
        <w:rPr>
          <w:sz w:val="20"/>
        </w:rPr>
        <w:t xml:space="preserve">The Commission may delay, suspend, or cancel an auction in the event of </w:t>
      </w:r>
      <w:r>
        <w:rPr>
          <w:sz w:val="20"/>
        </w:rPr>
        <w:t>. . .</w:t>
      </w:r>
      <w:r w:rsidRPr="009900AD">
        <w:rPr>
          <w:sz w:val="20"/>
        </w:rPr>
        <w:t xml:space="preserve"> any other reason that affects the fair and efficient conduct of the competitive bidding.</w:t>
      </w:r>
      <w:r>
        <w:rPr>
          <w:sz w:val="20"/>
        </w:rPr>
        <w:t>”)</w:t>
      </w:r>
      <w:r w:rsidR="00A01DE0">
        <w:rPr>
          <w:sz w:val="20"/>
        </w:rPr>
        <w:t>.</w:t>
      </w:r>
      <w:r>
        <w:t xml:space="preserve"> </w:t>
      </w:r>
    </w:p>
  </w:footnote>
  <w:footnote w:id="26">
    <w:p w14:paraId="3EDDEC13" w14:textId="4F68508B" w:rsidR="00306E97" w:rsidRDefault="00306E97" w:rsidP="00016F39">
      <w:pPr>
        <w:pStyle w:val="FootnoteText"/>
        <w:spacing w:after="120"/>
      </w:pPr>
      <w:r w:rsidRPr="007935E2">
        <w:rPr>
          <w:rStyle w:val="FootnoteReference"/>
          <w:sz w:val="20"/>
        </w:rPr>
        <w:footnoteRef/>
      </w:r>
      <w:r>
        <w:t xml:space="preserve"> </w:t>
      </w:r>
      <w:r w:rsidRPr="00204078">
        <w:rPr>
          <w:i/>
          <w:sz w:val="20"/>
        </w:rPr>
        <w:t>See Omnipoint Corp. v. FCC</w:t>
      </w:r>
      <w:r w:rsidRPr="00204078">
        <w:rPr>
          <w:sz w:val="20"/>
        </w:rPr>
        <w:t>, 213 F3d 720 (2000) (</w:t>
      </w:r>
      <w:r>
        <w:rPr>
          <w:sz w:val="20"/>
        </w:rPr>
        <w:t>discussing</w:t>
      </w:r>
      <w:r w:rsidRPr="00204078">
        <w:rPr>
          <w:sz w:val="20"/>
        </w:rPr>
        <w:t xml:space="preserve"> </w:t>
      </w:r>
      <w:r>
        <w:rPr>
          <w:sz w:val="20"/>
        </w:rPr>
        <w:t xml:space="preserve">standard in </w:t>
      </w:r>
      <w:r w:rsidRPr="002E4D2B">
        <w:rPr>
          <w:sz w:val="20"/>
        </w:rPr>
        <w:t>47 CFR</w:t>
      </w:r>
      <w:r w:rsidR="008674E9">
        <w:rPr>
          <w:sz w:val="20"/>
        </w:rPr>
        <w:t xml:space="preserve"> </w:t>
      </w:r>
      <w:r w:rsidR="008674E9" w:rsidRPr="00BC0889">
        <w:rPr>
          <w:sz w:val="20"/>
        </w:rPr>
        <w:t>§</w:t>
      </w:r>
      <w:r w:rsidRPr="002E4D2B">
        <w:rPr>
          <w:sz w:val="20"/>
        </w:rPr>
        <w:t xml:space="preserve"> 1.925(b)(3)</w:t>
      </w:r>
      <w:r>
        <w:rPr>
          <w:sz w:val="20"/>
        </w:rPr>
        <w:t xml:space="preserve"> for finding good cause for granting a waiver with respect to wireless applications and proceedings</w:t>
      </w:r>
      <w:r w:rsidRPr="002E4D2B">
        <w:rPr>
          <w:sz w:val="20"/>
        </w:rPr>
        <w:t>).</w:t>
      </w:r>
    </w:p>
  </w:footnote>
  <w:footnote w:id="27">
    <w:p w14:paraId="62B66719" w14:textId="11358AF8" w:rsidR="00306E97" w:rsidRPr="007935E2" w:rsidRDefault="00306E97" w:rsidP="00016F39">
      <w:pPr>
        <w:pStyle w:val="FootnoteText"/>
        <w:spacing w:after="120"/>
        <w:rPr>
          <w:sz w:val="20"/>
        </w:rPr>
      </w:pPr>
      <w:r w:rsidRPr="007935E2">
        <w:rPr>
          <w:rStyle w:val="FootnoteReference"/>
          <w:sz w:val="20"/>
        </w:rPr>
        <w:footnoteRef/>
      </w:r>
      <w:r w:rsidRPr="007935E2">
        <w:rPr>
          <w:sz w:val="20"/>
        </w:rPr>
        <w:t xml:space="preserve"> </w:t>
      </w:r>
      <w:r w:rsidRPr="007935E2">
        <w:rPr>
          <w:i/>
          <w:sz w:val="20"/>
        </w:rPr>
        <w:t>Id.</w:t>
      </w:r>
    </w:p>
  </w:footnote>
  <w:footnote w:id="28">
    <w:p w14:paraId="51FD40AC" w14:textId="734313B0" w:rsidR="00310B49" w:rsidRDefault="00310B49" w:rsidP="00016F39">
      <w:pPr>
        <w:pStyle w:val="FootnoteText"/>
        <w:spacing w:after="120"/>
      </w:pPr>
      <w:r>
        <w:rPr>
          <w:rStyle w:val="FootnoteReference"/>
        </w:rPr>
        <w:footnoteRef/>
      </w:r>
      <w:r>
        <w:t xml:space="preserve"> </w:t>
      </w:r>
      <w:r w:rsidRPr="008C2A67">
        <w:rPr>
          <w:i/>
          <w:sz w:val="20"/>
        </w:rPr>
        <w:t>See Application Procedures for Broadcast Incentive Auction Scheduled to Begin on March 29, 2016; Technical Formulas for Competitive Bidding</w:t>
      </w:r>
      <w:r w:rsidRPr="008C2A67">
        <w:rPr>
          <w:sz w:val="20"/>
        </w:rPr>
        <w:t>, Public Notice, 30 FCC Rcd 11034</w:t>
      </w:r>
      <w:r>
        <w:rPr>
          <w:sz w:val="20"/>
        </w:rPr>
        <w:t>, 11052-53, para</w:t>
      </w:r>
      <w:r w:rsidRPr="008C2A67">
        <w:rPr>
          <w:sz w:val="20"/>
        </w:rPr>
        <w:t xml:space="preserve">. </w:t>
      </w:r>
      <w:r>
        <w:rPr>
          <w:sz w:val="20"/>
        </w:rPr>
        <w:t>50 and n.100</w:t>
      </w:r>
      <w:r w:rsidRPr="008C2A67">
        <w:rPr>
          <w:sz w:val="20"/>
        </w:rPr>
        <w:t xml:space="preserve"> (WTB 2015)</w:t>
      </w:r>
      <w:r>
        <w:rPr>
          <w:sz w:val="20"/>
        </w:rPr>
        <w:t xml:space="preserve"> </w:t>
      </w:r>
      <w:r w:rsidRPr="00F149E0">
        <w:rPr>
          <w:sz w:val="20"/>
        </w:rPr>
        <w:t>(“An applicant’s FCC Form 177 and associated attachments will remain pending until the release of the [</w:t>
      </w:r>
      <w:r w:rsidRPr="00F149E0">
        <w:rPr>
          <w:i/>
          <w:sz w:val="20"/>
        </w:rPr>
        <w:t xml:space="preserve">Closing and </w:t>
      </w:r>
      <w:r w:rsidRPr="008C2A67">
        <w:rPr>
          <w:i/>
          <w:sz w:val="20"/>
        </w:rPr>
        <w:t>Reassignment P</w:t>
      </w:r>
      <w:r w:rsidRPr="00067029">
        <w:rPr>
          <w:i/>
          <w:sz w:val="20"/>
        </w:rPr>
        <w:t xml:space="preserve">ublic </w:t>
      </w:r>
      <w:r w:rsidRPr="008C2A67">
        <w:rPr>
          <w:i/>
          <w:sz w:val="20"/>
        </w:rPr>
        <w:t>N</w:t>
      </w:r>
      <w:r w:rsidRPr="00067029">
        <w:rPr>
          <w:i/>
          <w:sz w:val="20"/>
        </w:rPr>
        <w:t>otice</w:t>
      </w:r>
      <w:r w:rsidRPr="00067029">
        <w:rPr>
          <w:sz w:val="20"/>
        </w:rPr>
        <w:t>].</w:t>
      </w:r>
      <w:r w:rsidRPr="00F149E0">
        <w:rPr>
          <w:sz w:val="20"/>
        </w:rPr>
        <w:t>”)</w:t>
      </w:r>
      <w:r w:rsidRPr="008C2A67">
        <w:rPr>
          <w:sz w:val="20"/>
        </w:rPr>
        <w:t xml:space="preserve"> (</w:t>
      </w:r>
      <w:r w:rsidRPr="008C2A67">
        <w:rPr>
          <w:i/>
          <w:sz w:val="20"/>
        </w:rPr>
        <w:t>Auction 1000 Application Procedures Public Notice</w:t>
      </w:r>
      <w:r w:rsidRPr="008C2A67">
        <w:rPr>
          <w:sz w:val="20"/>
        </w:rPr>
        <w:t>)</w:t>
      </w:r>
      <w:r w:rsidRPr="00067029">
        <w:rPr>
          <w:sz w:val="20"/>
        </w:rPr>
        <w:t>.</w:t>
      </w:r>
    </w:p>
  </w:footnote>
  <w:footnote w:id="29">
    <w:p w14:paraId="0A9E0DE4" w14:textId="0F9ABED5" w:rsidR="00306E97" w:rsidRPr="00263CDA" w:rsidRDefault="00306E97" w:rsidP="00016F39">
      <w:pPr>
        <w:pStyle w:val="FootnoteText"/>
        <w:spacing w:after="120"/>
      </w:pPr>
      <w:r w:rsidRPr="007935E2">
        <w:rPr>
          <w:rStyle w:val="FootnoteReference"/>
          <w:sz w:val="20"/>
        </w:rPr>
        <w:footnoteRef/>
      </w:r>
      <w:r>
        <w:t xml:space="preserve"> </w:t>
      </w:r>
      <w:r w:rsidRPr="00204078">
        <w:rPr>
          <w:sz w:val="20"/>
        </w:rPr>
        <w:t>47 CFR</w:t>
      </w:r>
      <w:r w:rsidR="00B7293E">
        <w:rPr>
          <w:sz w:val="20"/>
        </w:rPr>
        <w:t xml:space="preserve"> </w:t>
      </w:r>
      <w:r w:rsidR="00B7293E" w:rsidRPr="00BC0889">
        <w:rPr>
          <w:sz w:val="20"/>
        </w:rPr>
        <w:t>§</w:t>
      </w:r>
      <w:r w:rsidRPr="00204078">
        <w:rPr>
          <w:sz w:val="20"/>
        </w:rPr>
        <w:t xml:space="preserve"> 1.2204(d)(3).  This bar does not apply to pro forma transfers or assignments.  </w:t>
      </w:r>
      <w:r w:rsidRPr="00204078">
        <w:rPr>
          <w:i/>
          <w:sz w:val="20"/>
        </w:rPr>
        <w:t>See Guidance PN</w:t>
      </w:r>
      <w:r w:rsidRPr="00204078">
        <w:rPr>
          <w:sz w:val="20"/>
        </w:rPr>
        <w:t xml:space="preserve">, </w:t>
      </w:r>
      <w:r w:rsidR="00075B9F" w:rsidRPr="00945FBF">
        <w:rPr>
          <w:sz w:val="20"/>
        </w:rPr>
        <w:t xml:space="preserve">30 FCC Rcd </w:t>
      </w:r>
      <w:r w:rsidR="00075B9F">
        <w:rPr>
          <w:sz w:val="20"/>
        </w:rPr>
        <w:t xml:space="preserve">at </w:t>
      </w:r>
      <w:r w:rsidR="00075B9F" w:rsidRPr="00075B9F">
        <w:rPr>
          <w:sz w:val="20"/>
        </w:rPr>
        <w:t>10802</w:t>
      </w:r>
      <w:r w:rsidR="00075B9F">
        <w:rPr>
          <w:sz w:val="20"/>
        </w:rPr>
        <w:t>-03,</w:t>
      </w:r>
      <w:r w:rsidR="00075B9F" w:rsidRPr="00075B9F">
        <w:rPr>
          <w:sz w:val="20"/>
        </w:rPr>
        <w:t xml:space="preserve"> </w:t>
      </w:r>
      <w:r w:rsidRPr="00204078">
        <w:rPr>
          <w:sz w:val="20"/>
        </w:rPr>
        <w:t>para. 22.</w:t>
      </w:r>
    </w:p>
  </w:footnote>
  <w:footnote w:id="30">
    <w:p w14:paraId="7976648C" w14:textId="0E93E147" w:rsidR="00142E43" w:rsidRDefault="00142E43" w:rsidP="00016F39">
      <w:pPr>
        <w:pStyle w:val="FootnoteText"/>
        <w:spacing w:after="120"/>
      </w:pPr>
      <w:r>
        <w:rPr>
          <w:rStyle w:val="FootnoteReference"/>
        </w:rPr>
        <w:footnoteRef/>
      </w:r>
      <w:r>
        <w:t xml:space="preserve"> </w:t>
      </w:r>
      <w:r w:rsidRPr="00204078">
        <w:rPr>
          <w:i/>
          <w:sz w:val="20"/>
        </w:rPr>
        <w:t>See Guidance PN</w:t>
      </w:r>
      <w:r w:rsidRPr="00204078">
        <w:rPr>
          <w:sz w:val="20"/>
        </w:rPr>
        <w:t xml:space="preserve">, </w:t>
      </w:r>
      <w:r w:rsidRPr="00945FBF">
        <w:rPr>
          <w:sz w:val="20"/>
        </w:rPr>
        <w:t xml:space="preserve">30 FCC Rcd </w:t>
      </w:r>
      <w:r>
        <w:rPr>
          <w:sz w:val="20"/>
        </w:rPr>
        <w:t xml:space="preserve">at </w:t>
      </w:r>
      <w:r w:rsidRPr="00075B9F">
        <w:rPr>
          <w:sz w:val="20"/>
        </w:rPr>
        <w:t>10802</w:t>
      </w:r>
      <w:r>
        <w:rPr>
          <w:sz w:val="20"/>
        </w:rPr>
        <w:t>-03,</w:t>
      </w:r>
      <w:r w:rsidRPr="00075B9F">
        <w:rPr>
          <w:sz w:val="20"/>
        </w:rPr>
        <w:t xml:space="preserve"> </w:t>
      </w:r>
      <w:r w:rsidRPr="00204078">
        <w:rPr>
          <w:sz w:val="20"/>
        </w:rPr>
        <w:t>para. 22.</w:t>
      </w:r>
    </w:p>
  </w:footnote>
  <w:footnote w:id="31">
    <w:p w14:paraId="2423CCD3" w14:textId="249A7F7A" w:rsidR="00711E7C" w:rsidRDefault="00711E7C" w:rsidP="00016F39">
      <w:pPr>
        <w:pStyle w:val="FootnoteText"/>
        <w:spacing w:after="120"/>
      </w:pPr>
      <w:r>
        <w:rPr>
          <w:rStyle w:val="FootnoteReference"/>
        </w:rPr>
        <w:footnoteRef/>
      </w:r>
      <w:r>
        <w:t xml:space="preserve"> </w:t>
      </w:r>
      <w:r w:rsidRPr="008C2A67">
        <w:rPr>
          <w:i/>
          <w:sz w:val="20"/>
        </w:rPr>
        <w:t>See Auction 1000 Application Procedures Public Notice</w:t>
      </w:r>
      <w:r w:rsidRPr="008C2A67">
        <w:rPr>
          <w:sz w:val="20"/>
        </w:rPr>
        <w:t xml:space="preserve">, Public Notice, 30 FCC Rcd </w:t>
      </w:r>
      <w:r>
        <w:rPr>
          <w:sz w:val="20"/>
        </w:rPr>
        <w:t>at</w:t>
      </w:r>
      <w:r w:rsidRPr="008C2A67">
        <w:rPr>
          <w:sz w:val="20"/>
        </w:rPr>
        <w:t xml:space="preserve"> 11039-40, paras. 7 and 8</w:t>
      </w:r>
      <w:r>
        <w:rPr>
          <w:sz w:val="20"/>
        </w:rPr>
        <w:t>.</w:t>
      </w:r>
    </w:p>
  </w:footnote>
  <w:footnote w:id="32">
    <w:p w14:paraId="136AA788" w14:textId="635785AC" w:rsidR="00922589" w:rsidRPr="00945FBF" w:rsidRDefault="00922589" w:rsidP="00016F39">
      <w:pPr>
        <w:pStyle w:val="FootnoteText"/>
        <w:spacing w:after="120"/>
        <w:rPr>
          <w:sz w:val="20"/>
        </w:rPr>
      </w:pPr>
      <w:r w:rsidRPr="00945FBF">
        <w:rPr>
          <w:rStyle w:val="FootnoteReference"/>
          <w:sz w:val="20"/>
        </w:rPr>
        <w:footnoteRef/>
      </w:r>
      <w:r w:rsidRPr="00945FBF">
        <w:rPr>
          <w:sz w:val="20"/>
        </w:rPr>
        <w:t xml:space="preserve"> 47 U</w:t>
      </w:r>
      <w:r>
        <w:rPr>
          <w:sz w:val="20"/>
        </w:rPr>
        <w:t>.</w:t>
      </w:r>
      <w:r w:rsidRPr="00945FBF">
        <w:rPr>
          <w:sz w:val="20"/>
        </w:rPr>
        <w:t>S</w:t>
      </w:r>
      <w:r>
        <w:rPr>
          <w:sz w:val="20"/>
        </w:rPr>
        <w:t>.</w:t>
      </w:r>
      <w:r w:rsidRPr="00945FBF">
        <w:rPr>
          <w:sz w:val="20"/>
        </w:rPr>
        <w:t>C</w:t>
      </w:r>
      <w:r>
        <w:rPr>
          <w:sz w:val="20"/>
        </w:rPr>
        <w:t>.</w:t>
      </w:r>
      <w:r w:rsidRPr="00945FBF">
        <w:rPr>
          <w:sz w:val="20"/>
        </w:rPr>
        <w:t xml:space="preserve"> </w:t>
      </w:r>
      <w:r w:rsidR="00B7293E" w:rsidRPr="00BC0889">
        <w:rPr>
          <w:sz w:val="20"/>
        </w:rPr>
        <w:t>§</w:t>
      </w:r>
      <w:r w:rsidR="00B7293E">
        <w:rPr>
          <w:sz w:val="20"/>
        </w:rPr>
        <w:t xml:space="preserve"> </w:t>
      </w:r>
      <w:r w:rsidRPr="00945FBF">
        <w:rPr>
          <w:sz w:val="20"/>
        </w:rPr>
        <w:t>1452(a)(3).</w:t>
      </w:r>
    </w:p>
  </w:footnote>
  <w:footnote w:id="33">
    <w:p w14:paraId="7DA9D8FB" w14:textId="0EEEAA9E" w:rsidR="00922589" w:rsidRPr="00945FBF" w:rsidRDefault="00922589" w:rsidP="00016F39">
      <w:pPr>
        <w:pStyle w:val="FootnoteText"/>
        <w:spacing w:after="120"/>
        <w:rPr>
          <w:sz w:val="20"/>
        </w:rPr>
      </w:pPr>
      <w:r w:rsidRPr="00945FBF">
        <w:rPr>
          <w:rStyle w:val="FootnoteReference"/>
          <w:sz w:val="20"/>
        </w:rPr>
        <w:footnoteRef/>
      </w:r>
      <w:r w:rsidRPr="00945FBF">
        <w:rPr>
          <w:sz w:val="20"/>
        </w:rPr>
        <w:t xml:space="preserve"> 47 CFR </w:t>
      </w:r>
      <w:r w:rsidR="00B7293E" w:rsidRPr="00BC0889">
        <w:rPr>
          <w:sz w:val="20"/>
        </w:rPr>
        <w:t>§</w:t>
      </w:r>
      <w:r w:rsidR="00B7293E">
        <w:rPr>
          <w:sz w:val="20"/>
        </w:rPr>
        <w:t xml:space="preserve"> </w:t>
      </w:r>
      <w:r w:rsidRPr="00945FBF">
        <w:rPr>
          <w:sz w:val="20"/>
        </w:rPr>
        <w:t xml:space="preserve">1.2206; </w:t>
      </w:r>
      <w:r w:rsidRPr="00945FBF">
        <w:rPr>
          <w:i/>
          <w:sz w:val="20"/>
        </w:rPr>
        <w:t>see also</w:t>
      </w:r>
      <w:r w:rsidRPr="00945FBF">
        <w:rPr>
          <w:sz w:val="20"/>
        </w:rPr>
        <w:t xml:space="preserve"> </w:t>
      </w:r>
      <w:r>
        <w:rPr>
          <w:i/>
          <w:sz w:val="20"/>
        </w:rPr>
        <w:t>Incentive Auction R&amp;O</w:t>
      </w:r>
      <w:r w:rsidRPr="00945FBF">
        <w:rPr>
          <w:sz w:val="20"/>
        </w:rPr>
        <w:t xml:space="preserve">, 29 FCC Rcd </w:t>
      </w:r>
      <w:r>
        <w:rPr>
          <w:sz w:val="20"/>
        </w:rPr>
        <w:t>at</w:t>
      </w:r>
      <w:r w:rsidRPr="00945FBF">
        <w:rPr>
          <w:sz w:val="20"/>
        </w:rPr>
        <w:t xml:space="preserve"> 6733-34</w:t>
      </w:r>
      <w:r>
        <w:rPr>
          <w:sz w:val="20"/>
        </w:rPr>
        <w:t>, para. 391</w:t>
      </w:r>
      <w:r w:rsidRPr="00945FBF">
        <w:rPr>
          <w:sz w:val="20"/>
        </w:rPr>
        <w:t>.</w:t>
      </w:r>
    </w:p>
  </w:footnote>
  <w:footnote w:id="34">
    <w:p w14:paraId="77F612F3" w14:textId="77777777" w:rsidR="00922589" w:rsidRPr="00CB1CB6" w:rsidRDefault="00922589" w:rsidP="00016F39">
      <w:pPr>
        <w:pStyle w:val="FootnoteText"/>
        <w:spacing w:after="120"/>
        <w:rPr>
          <w:sz w:val="20"/>
        </w:rPr>
      </w:pPr>
      <w:r w:rsidRPr="00CB1CB6">
        <w:rPr>
          <w:rStyle w:val="FootnoteReference"/>
          <w:sz w:val="20"/>
        </w:rPr>
        <w:footnoteRef/>
      </w:r>
      <w:r w:rsidRPr="00CB1CB6">
        <w:rPr>
          <w:sz w:val="20"/>
        </w:rPr>
        <w:t xml:space="preserve"> </w:t>
      </w:r>
      <w:r w:rsidRPr="00CB1CB6">
        <w:rPr>
          <w:i/>
          <w:sz w:val="20"/>
        </w:rPr>
        <w:t>See Auction 1000 Bidding Procedures Public Notice</w:t>
      </w:r>
      <w:r w:rsidRPr="00CB1CB6">
        <w:rPr>
          <w:sz w:val="20"/>
        </w:rPr>
        <w:t>, 30 FCC Rcd at 9032, para. 107.</w:t>
      </w:r>
    </w:p>
  </w:footnote>
  <w:footnote w:id="35">
    <w:p w14:paraId="6C879534" w14:textId="3E979C3D" w:rsidR="00306E97" w:rsidRPr="00082E62" w:rsidRDefault="00306E97" w:rsidP="00016F39">
      <w:pPr>
        <w:pStyle w:val="FootnoteText"/>
        <w:spacing w:after="120"/>
      </w:pPr>
      <w:r w:rsidRPr="007935E2">
        <w:rPr>
          <w:rStyle w:val="FootnoteReference"/>
          <w:sz w:val="20"/>
        </w:rPr>
        <w:footnoteRef/>
      </w:r>
      <w:r w:rsidRPr="00082E62">
        <w:t xml:space="preserve"> </w:t>
      </w:r>
      <w:r w:rsidRPr="007935E2">
        <w:rPr>
          <w:i/>
          <w:sz w:val="20"/>
        </w:rPr>
        <w:t>See also The Incentive Auction Task Force Announces an Online Tutorial for Full Power and Class A Broadcasters and Multichannel Video Programming Providers On Preparing To Receive Post-Auction Payments</w:t>
      </w:r>
      <w:r w:rsidRPr="007935E2">
        <w:rPr>
          <w:sz w:val="20"/>
        </w:rPr>
        <w:t>, Public Notice, DA 16-1410 (</w:t>
      </w:r>
      <w:r w:rsidR="00083E1F">
        <w:rPr>
          <w:sz w:val="20"/>
        </w:rPr>
        <w:t>MB/OMD</w:t>
      </w:r>
      <w:r w:rsidRPr="007935E2">
        <w:rPr>
          <w:sz w:val="20"/>
        </w:rPr>
        <w:t xml:space="preserve"> Dec. 19,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EFA3" w14:textId="77777777" w:rsidR="00EF5BFA" w:rsidRDefault="00EF5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8E8E1" w14:textId="77777777" w:rsidR="00306E97" w:rsidRDefault="00306E97" w:rsidP="00C45438">
    <w:pPr>
      <w:tabs>
        <w:tab w:val="left" w:pos="2880"/>
        <w:tab w:val="left" w:pos="2970"/>
        <w:tab w:val="center" w:pos="4680"/>
        <w:tab w:val="right" w:pos="9360"/>
      </w:tabs>
      <w:jc w:val="center"/>
      <w:rPr>
        <w:b/>
      </w:rPr>
    </w:pPr>
  </w:p>
  <w:p w14:paraId="692ADDEC" w14:textId="0A3177AE" w:rsidR="00306E97" w:rsidRDefault="00306E97" w:rsidP="00C45438">
    <w:pPr>
      <w:tabs>
        <w:tab w:val="left" w:pos="2880"/>
        <w:tab w:val="center" w:pos="4680"/>
        <w:tab w:val="right" w:pos="9360"/>
      </w:tabs>
      <w:rPr>
        <w:b/>
      </w:rPr>
    </w:pPr>
    <w:r>
      <w:rPr>
        <w:noProof/>
      </w:rPr>
      <mc:AlternateContent>
        <mc:Choice Requires="wps">
          <w:drawing>
            <wp:anchor distT="4294967290" distB="4294967290" distL="114300" distR="114300" simplePos="0" relativeHeight="251661312" behindDoc="0" locked="0" layoutInCell="0" allowOverlap="1" wp14:anchorId="552FA021" wp14:editId="279CD1F1">
              <wp:simplePos x="0" y="0"/>
              <wp:positionH relativeFrom="column">
                <wp:posOffset>-9525</wp:posOffset>
              </wp:positionH>
              <wp:positionV relativeFrom="paragraph">
                <wp:posOffset>207009</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905F03" id="Straight Connector 11"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5pt,16.3pt" to="46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T//QEAAMMDAAAOAAAAZHJzL2Uyb0RvYy54bWysU02P2jAQvVfqf7B8ZxNYoBARVlWAXrZd&#10;JLY/wNhOYtXxWLYhoKr/vWPz0W57q5qDNeOZeX7zZrJ4OnWaHKXzCkxJhw85JdJwEMo0Jf36uhnM&#10;KPGBGcE0GFnSs/T0afn+3aK3hRxBC1pIRxDE+KK3JW1DsEWWed7KjvkHsNJgsAbXsYCuazLhWI/o&#10;nc5GeT7NenDCOuDSe7xdXYJ0mfDrWvLwUtdeBqJLitxCOl069/HMlgtWNI7ZVvErDfYPLDqmDD56&#10;h1qxwMjBqb+gOsUdeKjDA4cug7pWXKYesJth/kc3u5ZZmXpBcby9y+T/Hyz/ctw6ogTObkiJYR3O&#10;aBccU00bSAXGoILgCAZRqd76Agsqs3WxV34yO/sM/JsnBqqWmUYmxq9niyipIntTEh1v8b19/xkE&#10;5rBDgCTbqXZdhERByClN53yfjjwFwvFyMh8/TnMcIr/FMlbcCq3z4ZOEjkSjpFqZKBwr2PHZB6SO&#10;qbeUeG1go7ROw9eG9CWdT0aTVOBBKxGDMc27Zl9pR44srk/6og4I9ibNwcGIBNZKJtZXOzClLzbm&#10;axPxsBWkc7Uu+/F9ns/Xs/VsPBiPpuvBOBdi8HFTjQfTzfDDZPW4qqrV8Mf11Vt9kjUqeZnJHsR5&#10;6yKxqDBuSqJ43eq4ir/7KevXv7f8CQAA//8DAFBLAwQUAAYACAAAACEAlVikRtwAAAAIAQAADwAA&#10;AGRycy9kb3ducmV2LnhtbEyPwU7DMBBE70j8g7VIXKrWaQIVhDgVAnLjQgFx3cZLEhGv09htA1/P&#10;Ig5w3JnR7JtiPbleHWgMnWcDy0UCirj2tuPGwMtzNb8CFSKyxd4zGfikAOvy9KTA3PojP9FhExsl&#10;JRxyNNDGOORah7olh2HhB2Lx3v3oMMo5NtqOeJRy1+s0SVbaYcfyocWB7lqqPzZ7ZyBUr7Srvmb1&#10;LHnLGk/p7v7xAY05P5tub0BFmuJfGH7wBR1KYdr6PdugegPz5aUkDWTpCpT419mFCNtfQZeF/j+g&#10;/AYAAP//AwBQSwECLQAUAAYACAAAACEAtoM4kv4AAADhAQAAEwAAAAAAAAAAAAAAAAAAAAAAW0Nv&#10;bnRlbnRfVHlwZXNdLnhtbFBLAQItABQABgAIAAAAIQA4/SH/1gAAAJQBAAALAAAAAAAAAAAAAAAA&#10;AC8BAABfcmVscy8ucmVsc1BLAQItABQABgAIAAAAIQDbZ6T//QEAAMMDAAAOAAAAAAAAAAAAAAAA&#10;AC4CAABkcnMvZTJvRG9jLnhtbFBLAQItABQABgAIAAAAIQCVWKRG3AAAAAgBAAAPAAAAAAAAAAAA&#10;AAAAAFcEAABkcnMvZG93bnJldi54bWxQSwUGAAAAAAQABADzAAAAYAUAAAAA&#10;" o:allowincell="f"/>
          </w:pict>
        </mc:Fallback>
      </mc:AlternateContent>
    </w:r>
    <w:r>
      <w:rPr>
        <w:b/>
      </w:rPr>
      <w:tab/>
      <w:t>Federal C</w:t>
    </w:r>
    <w:r w:rsidR="00D3723E">
      <w:rPr>
        <w:b/>
      </w:rPr>
      <w:t>ommunications Commission</w:t>
    </w:r>
    <w:r w:rsidR="00D3723E">
      <w:rPr>
        <w:b/>
      </w:rPr>
      <w:tab/>
      <w:t>DA 17-</w:t>
    </w:r>
    <w:r w:rsidR="000F6C63">
      <w:rPr>
        <w:b/>
      </w:rPr>
      <w:t>134</w:t>
    </w:r>
  </w:p>
  <w:p w14:paraId="2C908CF0" w14:textId="77777777" w:rsidR="00306E97" w:rsidRDefault="00306E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6849" w14:textId="77777777" w:rsidR="00C955B3" w:rsidRPr="00187C4E" w:rsidRDefault="00C955B3" w:rsidP="00061FF9">
    <w:pPr>
      <w:pStyle w:val="Header"/>
      <w:tabs>
        <w:tab w:val="clear" w:pos="4320"/>
        <w:tab w:val="clear" w:pos="8640"/>
      </w:tabs>
      <w:spacing w:before="40"/>
      <w:rPr>
        <w:rFonts w:ascii="Arial" w:hAnsi="Arial" w:cs="Arial"/>
        <w:b/>
        <w:kern w:val="28"/>
        <w:sz w:val="96"/>
      </w:rPr>
    </w:pPr>
    <w:r w:rsidRPr="00187C4E">
      <w:rPr>
        <w:rFonts w:ascii="Arial" w:hAnsi="Arial" w:cs="Arial"/>
        <w:b/>
        <w:noProof/>
        <w:sz w:val="24"/>
      </w:rPr>
      <mc:AlternateContent>
        <mc:Choice Requires="wps">
          <w:drawing>
            <wp:anchor distT="0" distB="0" distL="114300" distR="114300" simplePos="0" relativeHeight="251663360" behindDoc="0" locked="0" layoutInCell="0" allowOverlap="1" wp14:anchorId="1397F3C9" wp14:editId="47701095">
              <wp:simplePos x="0" y="0"/>
              <wp:positionH relativeFrom="column">
                <wp:posOffset>-55457</wp:posOffset>
              </wp:positionH>
              <wp:positionV relativeFrom="paragraph">
                <wp:posOffset>739140</wp:posOffset>
              </wp:positionV>
              <wp:extent cx="2770505"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AE636" w14:textId="77777777" w:rsidR="00C955B3" w:rsidRDefault="00C955B3">
                          <w:pPr>
                            <w:rPr>
                              <w:rFonts w:ascii="Arial" w:hAnsi="Arial"/>
                              <w:b/>
                            </w:rPr>
                          </w:pPr>
                          <w:r>
                            <w:rPr>
                              <w:rFonts w:ascii="Arial" w:hAnsi="Arial"/>
                              <w:b/>
                            </w:rPr>
                            <w:t>Federal Communications Commission</w:t>
                          </w:r>
                        </w:p>
                        <w:p w14:paraId="1B3E951D" w14:textId="77777777" w:rsidR="00C955B3" w:rsidRDefault="00C955B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4AEB37CD" w14:textId="77777777" w:rsidR="00C955B3" w:rsidRDefault="00C955B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97F3C9" id="_x0000_t202" coordsize="21600,21600" o:spt="202" path="m,l,21600r21600,l21600,xe">
              <v:stroke joinstyle="miter"/>
              <v:path gradientshapeok="t" o:connecttype="rect"/>
            </v:shapetype>
            <v:shape id="Text Box 1" o:spid="_x0000_s1026" type="#_x0000_t202" style="position:absolute;margin-left:-4.35pt;margin-top:58.2pt;width:218.1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GhQIAAA8FAAAOAAAAZHJzL2Uyb0RvYy54bWysVNuO2yAQfa/Uf0C8Z41d52JrndUm21SV&#10;thdptx9AAMeoNlAgsbdV/70D3mSzvUhVVT9gYIbDzJwzXF4NXYsOwjqpVYXTC4KRUExzqXYV/nS/&#10;mSwwcp4qTlutRIUfhMNXy5cvLntTikw3uuXCIgBRruxNhRvvTZkkjjWio+5CG6HAWGvbUQ9Lu0u4&#10;pT2gd22SETJLem25sZoJ52D3ZjTiZcSva8H8h7p2wqO2whCbj6ON4zaMyfKSljtLTSPZYxj0H6Lo&#10;qFRw6QnqhnqK9lb+AtVJZrXTtb9gukt0XUsmYg6QTUp+yuauoUbEXKA4zpzK5P4fLHt/+GiR5BV+&#10;hZGiHVB0LwaPVnpAaahOb1wJTncG3PwA28ByzNSZW80+O6T0uqFqJ66t1X0jKIfo4snk7OiI4wLI&#10;tn+nOVxD915HoKG2XSgdFAMBOrD0cGImhMJgM5vPyZRMMWJgm+WELCJ1CS2Pp411/o3QHQqTCltg&#10;PqLTw63zkAe4Hl3CZU63km9k28aF3W3XrUUHCirZxC+kDkeeubUqOCsdjo3mcQeChDuCLYQbWf9W&#10;pFlOVlkx2cwW80m+yaeTYk4WE5IWq2JG8iK/2XwPAaZ52UjOhbqVShwVmOZ/x/BjL4zaiRpEfYWL&#10;aTYdKfpjkiR+v0uykx4aspVdhRcnJ1oGYl8rDmnT0lPZjvPkefixZFCD4z9WJcogMD9qwA/bAVCC&#10;NraaP4AgrAa+gHV4RWDSaPsVox46ssLuy55agVH7VoGoijTPQwvHRT6dZ7Cw55btuYUqBlAV9hiN&#10;07Uf235vrNw1cNMoY6WvQYi1jBp5igpSCAvoupjM4wsR2vp8Hb2e3rHlDwAAAP//AwBQSwMEFAAG&#10;AAgAAAAhAMxRCJ7eAAAACgEAAA8AAABkcnMvZG93bnJldi54bWxMj8FOg0AQhu8mvsNmTLyYdoEg&#10;WylLoyYar619gAWmQMrOEnZb6Ns7nvQ4M1/++f5it9hBXHHyvSMN8ToCgVS7pqdWw/H7Y7UB4YOh&#10;xgyOUMMNPezK+7vC5I2baY/XQ2gFh5DPjYYuhDGX0tcdWuPXbkTi28lN1gQep1Y2k5k53A4yiaJM&#10;WtMTf+jMiO8d1ufDxWo4fc1Pzy9z9RmOap9mb6ZXlbtp/fiwvG5BBFzCHwy/+qwOJTtV7kKNF4OG&#10;1UYxyfs4S0EwkCYqA1FpSGKVgCwL+b9C+QMAAP//AwBQSwECLQAUAAYACAAAACEAtoM4kv4AAADh&#10;AQAAEwAAAAAAAAAAAAAAAAAAAAAAW0NvbnRlbnRfVHlwZXNdLnhtbFBLAQItABQABgAIAAAAIQA4&#10;/SH/1gAAAJQBAAALAAAAAAAAAAAAAAAAAC8BAABfcmVscy8ucmVsc1BLAQItABQABgAIAAAAIQDc&#10;3FZGhQIAAA8FAAAOAAAAAAAAAAAAAAAAAC4CAABkcnMvZTJvRG9jLnhtbFBLAQItABQABgAIAAAA&#10;IQDMUQie3gAAAAoBAAAPAAAAAAAAAAAAAAAAAN8EAABkcnMvZG93bnJldi54bWxQSwUGAAAAAAQA&#10;BADzAAAA6gUAAAAA&#10;" o:allowincell="f" stroked="f">
              <v:textbox>
                <w:txbxContent>
                  <w:p w14:paraId="555AE636" w14:textId="77777777" w:rsidR="00C955B3" w:rsidRDefault="00C955B3">
                    <w:pPr>
                      <w:rPr>
                        <w:rFonts w:ascii="Arial" w:hAnsi="Arial"/>
                        <w:b/>
                      </w:rPr>
                    </w:pPr>
                    <w:r>
                      <w:rPr>
                        <w:rFonts w:ascii="Arial" w:hAnsi="Arial"/>
                        <w:b/>
                      </w:rPr>
                      <w:t>Federal Communications Commission</w:t>
                    </w:r>
                  </w:p>
                  <w:p w14:paraId="1B3E951D" w14:textId="77777777" w:rsidR="00C955B3" w:rsidRDefault="00C955B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4AEB37CD" w14:textId="77777777" w:rsidR="00C955B3" w:rsidRDefault="00C955B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187C4E">
      <w:rPr>
        <w:rFonts w:ascii="Arial" w:hAnsi="Arial" w:cs="Arial"/>
        <w:b/>
        <w:noProof/>
        <w:sz w:val="24"/>
      </w:rPr>
      <w:drawing>
        <wp:inline distT="0" distB="0" distL="0" distR="0" wp14:anchorId="3138F534" wp14:editId="712393E5">
          <wp:extent cx="530225" cy="530225"/>
          <wp:effectExtent l="0" t="0" r="3175" b="3175"/>
          <wp:docPr id="20"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187C4E">
      <w:rPr>
        <w:rFonts w:ascii="Arial" w:hAnsi="Arial" w:cs="Arial"/>
        <w:b/>
        <w:kern w:val="28"/>
        <w:sz w:val="96"/>
      </w:rPr>
      <w:t>PUBLIC NOTICE</w:t>
    </w:r>
  </w:p>
  <w:p w14:paraId="02B27750" w14:textId="77777777" w:rsidR="00C955B3" w:rsidRDefault="00C955B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5408" behindDoc="0" locked="0" layoutInCell="0" allowOverlap="1" wp14:anchorId="7CEDA762" wp14:editId="443B49B8">
              <wp:simplePos x="0" y="0"/>
              <wp:positionH relativeFrom="column">
                <wp:posOffset>3776980</wp:posOffset>
              </wp:positionH>
              <wp:positionV relativeFrom="paragraph">
                <wp:posOffset>62865</wp:posOffset>
              </wp:positionV>
              <wp:extent cx="220916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88B24" w14:textId="019D888E" w:rsidR="00C955B3" w:rsidRDefault="00C955B3">
                          <w:pPr>
                            <w:spacing w:before="40"/>
                            <w:jc w:val="right"/>
                            <w:rPr>
                              <w:rFonts w:ascii="Arial" w:hAnsi="Arial"/>
                              <w:b/>
                              <w:sz w:val="16"/>
                            </w:rPr>
                          </w:pPr>
                          <w:r>
                            <w:rPr>
                              <w:rFonts w:ascii="Arial" w:hAnsi="Arial"/>
                              <w:b/>
                              <w:sz w:val="16"/>
                            </w:rPr>
                            <w:t>News Media Information</w:t>
                          </w:r>
                          <w:r w:rsidR="005E19BE">
                            <w:rPr>
                              <w:rFonts w:ascii="Arial" w:hAnsi="Arial"/>
                              <w:b/>
                              <w:sz w:val="16"/>
                            </w:rPr>
                            <w:t>:</w:t>
                          </w:r>
                          <w:r>
                            <w:rPr>
                              <w:rFonts w:ascii="Arial" w:hAnsi="Arial"/>
                              <w:b/>
                              <w:sz w:val="16"/>
                            </w:rPr>
                            <w:t xml:space="preserve"> 202</w:t>
                          </w:r>
                          <w:r w:rsidR="005E19BE">
                            <w:rPr>
                              <w:rFonts w:ascii="Arial" w:hAnsi="Arial"/>
                              <w:b/>
                              <w:sz w:val="16"/>
                            </w:rPr>
                            <w:t>-</w:t>
                          </w:r>
                          <w:r>
                            <w:rPr>
                              <w:rFonts w:ascii="Arial" w:hAnsi="Arial"/>
                              <w:b/>
                              <w:sz w:val="16"/>
                            </w:rPr>
                            <w:t>418-0500</w:t>
                          </w:r>
                        </w:p>
                        <w:p w14:paraId="748EAB7B" w14:textId="138C6563" w:rsidR="00C955B3" w:rsidRDefault="00C955B3">
                          <w:pPr>
                            <w:jc w:val="right"/>
                            <w:rPr>
                              <w:rFonts w:ascii="Arial" w:hAnsi="Arial"/>
                              <w:b/>
                              <w:sz w:val="16"/>
                            </w:rPr>
                          </w:pPr>
                          <w:r>
                            <w:rPr>
                              <w:rFonts w:ascii="Arial" w:hAnsi="Arial"/>
                              <w:b/>
                              <w:sz w:val="16"/>
                            </w:rPr>
                            <w:tab/>
                            <w:t>Internet: www.fcc.gov</w:t>
                          </w:r>
                        </w:p>
                        <w:p w14:paraId="205591DC" w14:textId="0C1A4A7B" w:rsidR="00C955B3" w:rsidRDefault="00C955B3" w:rsidP="00D107F4">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EDA762" id="Text Box 4" o:spid="_x0000_s1027" type="#_x0000_t202" style="position:absolute;left:0;text-align:left;margin-left:297.4pt;margin-top:4.95pt;width:173.95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87TMFnNKGjybp4u0nEcXrDreNtb5NwJ6EiY1tch8&#10;RGf7W+dDNKw6mgRnDpTka6lUXNjt5lpZsmeoknX8DujPzJQOxhrCtQlx2sEg0Uc4C+FG1r+VWV6k&#10;V3k5Wy+Wr2bFupjPylfpcpZm5VW5SIuyuFl/DwFmRdVJzoW+lVocFZgVf8fwoRcm7UQNkqGm5Tyf&#10;TxT9Mck0fr9LspceG1LJvqbLkxGrArGvNce0WeWZVNM8eR5+rDLW4PiPVYkyCMxPGvDjZox6ixoJ&#10;EtkAf0BdWEDakHx8THDSgf1KyYCNWVP3ZcesoES91aitMiuK0MlxgRP7dHdz3GW6QYiaekqm6bWf&#10;un5nrNx26GFSsYZL1GEro0QeozmoF5su5nJ4IEJXP11Hq8dnbPUDAAD//wMAUEsDBBQABgAIAAAA&#10;IQDQ2kME3gAAAAgBAAAPAAAAZHJzL2Rvd25yZXYueG1sTI8xT8MwFIR3JP6D9ZDYqEMUSp3mpUIV&#10;DEyIlqWbEz+StPFzFLtt6K/HTGU83enuu2I12V6caPSdY4THWQKCuHam4wbha/v2sADhg2aje8eE&#10;8EMeVuXtTaFz4878SadNaEQsYZ9rhDaEIZfS1y1Z7WduII7etxutDlGOjTSjPsdy28s0SebS6o7j&#10;QqsHWrdUHzZHi/C+Gz9edz65uLQK6319cNuLzBDv76aXJYhAU7iG4Q8/okMZmSp3ZONFj/Cksoge&#10;EJQCEX2Vpc8gKoSFmoMsC/n/QPkLAAD//wMAUEsBAi0AFAAGAAgAAAAhALaDOJL+AAAA4QEAABMA&#10;AAAAAAAAAAAAAAAAAAAAAFtDb250ZW50X1R5cGVzXS54bWxQSwECLQAUAAYACAAAACEAOP0h/9YA&#10;AACUAQAACwAAAAAAAAAAAAAAAAAvAQAAX3JlbHMvLnJlbHNQSwECLQAUAAYACAAAACEAQ7hfooAC&#10;AAAOBQAADgAAAAAAAAAAAAAAAAAuAgAAZHJzL2Uyb0RvYy54bWxQSwECLQAUAAYACAAAACEA0NpD&#10;BN4AAAAIAQAADwAAAAAAAAAAAAAAAADaBAAAZHJzL2Rvd25yZXYueG1sUEsFBgAAAAAEAAQA8wAA&#10;AOUFAAAAAA==&#10;" o:allowincell="f" stroked="f">
              <v:textbox inset=",0,,0">
                <w:txbxContent>
                  <w:p w14:paraId="3CC88B24" w14:textId="019D888E" w:rsidR="00C955B3" w:rsidRDefault="00C955B3">
                    <w:pPr>
                      <w:spacing w:before="40"/>
                      <w:jc w:val="right"/>
                      <w:rPr>
                        <w:rFonts w:ascii="Arial" w:hAnsi="Arial"/>
                        <w:b/>
                        <w:sz w:val="16"/>
                      </w:rPr>
                    </w:pPr>
                    <w:r>
                      <w:rPr>
                        <w:rFonts w:ascii="Arial" w:hAnsi="Arial"/>
                        <w:b/>
                        <w:sz w:val="16"/>
                      </w:rPr>
                      <w:t>News Media Information</w:t>
                    </w:r>
                    <w:r w:rsidR="005E19BE">
                      <w:rPr>
                        <w:rFonts w:ascii="Arial" w:hAnsi="Arial"/>
                        <w:b/>
                        <w:sz w:val="16"/>
                      </w:rPr>
                      <w:t>:</w:t>
                    </w:r>
                    <w:r>
                      <w:rPr>
                        <w:rFonts w:ascii="Arial" w:hAnsi="Arial"/>
                        <w:b/>
                        <w:sz w:val="16"/>
                      </w:rPr>
                      <w:t xml:space="preserve"> 202</w:t>
                    </w:r>
                    <w:r w:rsidR="005E19BE">
                      <w:rPr>
                        <w:rFonts w:ascii="Arial" w:hAnsi="Arial"/>
                        <w:b/>
                        <w:sz w:val="16"/>
                      </w:rPr>
                      <w:t>-</w:t>
                    </w:r>
                    <w:r>
                      <w:rPr>
                        <w:rFonts w:ascii="Arial" w:hAnsi="Arial"/>
                        <w:b/>
                        <w:sz w:val="16"/>
                      </w:rPr>
                      <w:t>418-0500</w:t>
                    </w:r>
                  </w:p>
                  <w:p w14:paraId="748EAB7B" w14:textId="138C6563" w:rsidR="00C955B3" w:rsidRDefault="00C955B3">
                    <w:pPr>
                      <w:jc w:val="right"/>
                      <w:rPr>
                        <w:rFonts w:ascii="Arial" w:hAnsi="Arial"/>
                        <w:b/>
                        <w:sz w:val="16"/>
                      </w:rPr>
                    </w:pPr>
                    <w:r>
                      <w:rPr>
                        <w:rFonts w:ascii="Arial" w:hAnsi="Arial"/>
                        <w:b/>
                        <w:sz w:val="16"/>
                      </w:rPr>
                      <w:tab/>
                      <w:t>Internet: www.fcc.gov</w:t>
                    </w:r>
                  </w:p>
                  <w:p w14:paraId="205591DC" w14:textId="0C1A4A7B" w:rsidR="00C955B3" w:rsidRDefault="00C955B3" w:rsidP="00D107F4">
                    <w:pPr>
                      <w:jc w:val="right"/>
                    </w:pPr>
                    <w:r>
                      <w:rPr>
                        <w:rFonts w:ascii="Arial" w:hAnsi="Arial"/>
                        <w:b/>
                        <w:sz w:val="16"/>
                      </w:rPr>
                      <w:t>TTY: 888-835-5322</w:t>
                    </w:r>
                  </w:p>
                </w:txbxContent>
              </v:textbox>
            </v:shape>
          </w:pict>
        </mc:Fallback>
      </mc:AlternateContent>
    </w:r>
    <w:r>
      <w:rPr>
        <w:rFonts w:ascii="Arial" w:hAnsi="Arial"/>
        <w:b/>
        <w:noProof/>
      </w:rPr>
      <mc:AlternateContent>
        <mc:Choice Requires="wps">
          <w:drawing>
            <wp:anchor distT="0" distB="0" distL="114300" distR="114300" simplePos="0" relativeHeight="251664384" behindDoc="0" locked="0" layoutInCell="0" allowOverlap="1" wp14:anchorId="31880012" wp14:editId="49777F6A">
              <wp:simplePos x="0" y="0"/>
              <wp:positionH relativeFrom="column">
                <wp:posOffset>0</wp:posOffset>
              </wp:positionH>
              <wp:positionV relativeFrom="paragraph">
                <wp:posOffset>697865</wp:posOffset>
              </wp:positionV>
              <wp:extent cx="592645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72AED"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6.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rN8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0ztsAAAAIAQAADwAAAGRycy9kb3ducmV2LnhtbEyPQUvDQBCF74L/YRnBS7G7NiAm&#10;ZlNEzc2LVfE6zY5JMDubZrdt9Nc7gqDHee/x5nvlevaDOtAU+8AWLpcGFHETXM+thZfn+uIaVEzI&#10;DofAZOGTIqyr05MSCxeO/ESHTWqVlHAs0EKX0lhoHZuOPMZlGInFew+TxyTn1Go34VHK/aBXxlxp&#10;jz3Lhw5Huuuo+djsvYVYv9Ku/lo0C/OWtYFWu/vHB7T2/Gy+vQGVaE5/YfjBF3SohGkb9uyiGizI&#10;kCSqyXNQYudZloHa/iq6KvX/AdU3AAAA//8DAFBLAQItABQABgAIAAAAIQC2gziS/gAAAOEBAAAT&#10;AAAAAAAAAAAAAAAAAAAAAABbQ29udGVudF9UeXBlc10ueG1sUEsBAi0AFAAGAAgAAAAhADj9If/W&#10;AAAAlAEAAAsAAAAAAAAAAAAAAAAALwEAAF9yZWxzLy5yZWxzUEsBAi0AFAAGAAgAAAAhAGlm4rwS&#10;AgAAKAQAAA4AAAAAAAAAAAAAAAAALgIAAGRycy9lMm9Eb2MueG1sUEsBAi0AFAAGAAgAAAAhAMPt&#10;tM7bAAAACAEAAA8AAAAAAAAAAAAAAAAAbAQAAGRycy9kb3ducmV2LnhtbFBLBQYAAAAABAAEAPMA&#10;AAB0BQAAAAA=&#10;" o:allowincell="f"/>
          </w:pict>
        </mc:Fallback>
      </mc:AlternateContent>
    </w:r>
  </w:p>
  <w:p w14:paraId="09402EE6" w14:textId="77777777" w:rsidR="00306E97" w:rsidRDefault="00306E9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38"/>
    <w:rsid w:val="00016F39"/>
    <w:rsid w:val="00024571"/>
    <w:rsid w:val="00024C32"/>
    <w:rsid w:val="00025FD9"/>
    <w:rsid w:val="000265AE"/>
    <w:rsid w:val="00062FA5"/>
    <w:rsid w:val="00067029"/>
    <w:rsid w:val="00075B9F"/>
    <w:rsid w:val="00077669"/>
    <w:rsid w:val="00081CAE"/>
    <w:rsid w:val="00083E1F"/>
    <w:rsid w:val="000C74A0"/>
    <w:rsid w:val="000F6C63"/>
    <w:rsid w:val="00142E43"/>
    <w:rsid w:val="00152449"/>
    <w:rsid w:val="001618A0"/>
    <w:rsid w:val="0016764C"/>
    <w:rsid w:val="00190EDB"/>
    <w:rsid w:val="00193789"/>
    <w:rsid w:val="001A180E"/>
    <w:rsid w:val="001A5935"/>
    <w:rsid w:val="001B7E32"/>
    <w:rsid w:val="001C25DC"/>
    <w:rsid w:val="001C27DA"/>
    <w:rsid w:val="001E7CB3"/>
    <w:rsid w:val="00204078"/>
    <w:rsid w:val="00242A9B"/>
    <w:rsid w:val="002453A7"/>
    <w:rsid w:val="0025134D"/>
    <w:rsid w:val="00253D39"/>
    <w:rsid w:val="00257471"/>
    <w:rsid w:val="002578D8"/>
    <w:rsid w:val="0026499F"/>
    <w:rsid w:val="00267474"/>
    <w:rsid w:val="00280DDA"/>
    <w:rsid w:val="002812BC"/>
    <w:rsid w:val="002A5F39"/>
    <w:rsid w:val="002B0BB6"/>
    <w:rsid w:val="002E4D2B"/>
    <w:rsid w:val="002E5A64"/>
    <w:rsid w:val="00305C35"/>
    <w:rsid w:val="00305D9B"/>
    <w:rsid w:val="00306E97"/>
    <w:rsid w:val="00310B49"/>
    <w:rsid w:val="00323138"/>
    <w:rsid w:val="0033582D"/>
    <w:rsid w:val="003463F1"/>
    <w:rsid w:val="00350419"/>
    <w:rsid w:val="00373971"/>
    <w:rsid w:val="00376CB6"/>
    <w:rsid w:val="00392C04"/>
    <w:rsid w:val="00394AA8"/>
    <w:rsid w:val="00397D14"/>
    <w:rsid w:val="003D2DD8"/>
    <w:rsid w:val="003E5371"/>
    <w:rsid w:val="003E55B5"/>
    <w:rsid w:val="003E78D5"/>
    <w:rsid w:val="003F4E72"/>
    <w:rsid w:val="00400336"/>
    <w:rsid w:val="00407441"/>
    <w:rsid w:val="00415471"/>
    <w:rsid w:val="004270D2"/>
    <w:rsid w:val="004314D8"/>
    <w:rsid w:val="00443CE3"/>
    <w:rsid w:val="00451A9E"/>
    <w:rsid w:val="00453846"/>
    <w:rsid w:val="00470A4F"/>
    <w:rsid w:val="004872EE"/>
    <w:rsid w:val="004A728B"/>
    <w:rsid w:val="004E6C07"/>
    <w:rsid w:val="00544326"/>
    <w:rsid w:val="00581180"/>
    <w:rsid w:val="00591047"/>
    <w:rsid w:val="005B432F"/>
    <w:rsid w:val="005B463C"/>
    <w:rsid w:val="005C5555"/>
    <w:rsid w:val="005D7FAA"/>
    <w:rsid w:val="005E19BE"/>
    <w:rsid w:val="005F21DD"/>
    <w:rsid w:val="005F556E"/>
    <w:rsid w:val="00602577"/>
    <w:rsid w:val="00603215"/>
    <w:rsid w:val="00611C79"/>
    <w:rsid w:val="006125CA"/>
    <w:rsid w:val="006155F9"/>
    <w:rsid w:val="00625F91"/>
    <w:rsid w:val="00630CC3"/>
    <w:rsid w:val="006321B1"/>
    <w:rsid w:val="00655299"/>
    <w:rsid w:val="006556BC"/>
    <w:rsid w:val="00677361"/>
    <w:rsid w:val="006A0790"/>
    <w:rsid w:val="006B5106"/>
    <w:rsid w:val="006B5327"/>
    <w:rsid w:val="006B74E0"/>
    <w:rsid w:val="006C1D18"/>
    <w:rsid w:val="006C3A7A"/>
    <w:rsid w:val="006D773C"/>
    <w:rsid w:val="006F27BA"/>
    <w:rsid w:val="00711E7C"/>
    <w:rsid w:val="007120C9"/>
    <w:rsid w:val="00731DB8"/>
    <w:rsid w:val="00734800"/>
    <w:rsid w:val="00737A4F"/>
    <w:rsid w:val="00772188"/>
    <w:rsid w:val="00772F2B"/>
    <w:rsid w:val="00785B9C"/>
    <w:rsid w:val="007935E2"/>
    <w:rsid w:val="007A7DAE"/>
    <w:rsid w:val="007E2639"/>
    <w:rsid w:val="007F72B2"/>
    <w:rsid w:val="0084359F"/>
    <w:rsid w:val="00851BE0"/>
    <w:rsid w:val="008674E9"/>
    <w:rsid w:val="00873ABE"/>
    <w:rsid w:val="008752CC"/>
    <w:rsid w:val="008753A3"/>
    <w:rsid w:val="0088095E"/>
    <w:rsid w:val="008829EE"/>
    <w:rsid w:val="00885D5B"/>
    <w:rsid w:val="00892C5B"/>
    <w:rsid w:val="008C0118"/>
    <w:rsid w:val="008C2A67"/>
    <w:rsid w:val="008D48D8"/>
    <w:rsid w:val="008F20C6"/>
    <w:rsid w:val="00902543"/>
    <w:rsid w:val="00917D53"/>
    <w:rsid w:val="00921DDA"/>
    <w:rsid w:val="00922589"/>
    <w:rsid w:val="00946C5F"/>
    <w:rsid w:val="009576F8"/>
    <w:rsid w:val="00973420"/>
    <w:rsid w:val="00981ABC"/>
    <w:rsid w:val="0098320D"/>
    <w:rsid w:val="009900AD"/>
    <w:rsid w:val="009A670E"/>
    <w:rsid w:val="009C6C22"/>
    <w:rsid w:val="009D675D"/>
    <w:rsid w:val="009E5633"/>
    <w:rsid w:val="009E6B58"/>
    <w:rsid w:val="00A01DE0"/>
    <w:rsid w:val="00A13D11"/>
    <w:rsid w:val="00A26412"/>
    <w:rsid w:val="00A32D65"/>
    <w:rsid w:val="00A52262"/>
    <w:rsid w:val="00A67A7C"/>
    <w:rsid w:val="00A95E3D"/>
    <w:rsid w:val="00AA2942"/>
    <w:rsid w:val="00AA471B"/>
    <w:rsid w:val="00AA78BA"/>
    <w:rsid w:val="00B07126"/>
    <w:rsid w:val="00B126D8"/>
    <w:rsid w:val="00B54DDB"/>
    <w:rsid w:val="00B7293E"/>
    <w:rsid w:val="00BA12CF"/>
    <w:rsid w:val="00BB5DCB"/>
    <w:rsid w:val="00BD2DC6"/>
    <w:rsid w:val="00BD7792"/>
    <w:rsid w:val="00BE24AD"/>
    <w:rsid w:val="00BE5A99"/>
    <w:rsid w:val="00C03FF8"/>
    <w:rsid w:val="00C15648"/>
    <w:rsid w:val="00C15F2C"/>
    <w:rsid w:val="00C20173"/>
    <w:rsid w:val="00C33619"/>
    <w:rsid w:val="00C363EF"/>
    <w:rsid w:val="00C45438"/>
    <w:rsid w:val="00C50209"/>
    <w:rsid w:val="00C5424A"/>
    <w:rsid w:val="00C56559"/>
    <w:rsid w:val="00C65693"/>
    <w:rsid w:val="00C773C0"/>
    <w:rsid w:val="00C91C7A"/>
    <w:rsid w:val="00C955B3"/>
    <w:rsid w:val="00CA2FFA"/>
    <w:rsid w:val="00CD7E9D"/>
    <w:rsid w:val="00CE6DA1"/>
    <w:rsid w:val="00CF6BCE"/>
    <w:rsid w:val="00D005AD"/>
    <w:rsid w:val="00D17DC0"/>
    <w:rsid w:val="00D206A9"/>
    <w:rsid w:val="00D3723E"/>
    <w:rsid w:val="00D44A1D"/>
    <w:rsid w:val="00D51DC8"/>
    <w:rsid w:val="00D556CD"/>
    <w:rsid w:val="00D5779B"/>
    <w:rsid w:val="00D6048E"/>
    <w:rsid w:val="00D60EFF"/>
    <w:rsid w:val="00D83A8D"/>
    <w:rsid w:val="00DA0D69"/>
    <w:rsid w:val="00DA44DF"/>
    <w:rsid w:val="00DB3D20"/>
    <w:rsid w:val="00DD26A6"/>
    <w:rsid w:val="00DE615C"/>
    <w:rsid w:val="00E44469"/>
    <w:rsid w:val="00E804A4"/>
    <w:rsid w:val="00EB6C70"/>
    <w:rsid w:val="00EF5BFA"/>
    <w:rsid w:val="00F039DE"/>
    <w:rsid w:val="00F149E0"/>
    <w:rsid w:val="00F304F0"/>
    <w:rsid w:val="00F70F4A"/>
    <w:rsid w:val="00F8002F"/>
    <w:rsid w:val="00FA4319"/>
    <w:rsid w:val="00FC4032"/>
    <w:rsid w:val="00FE0795"/>
    <w:rsid w:val="00FE6BC1"/>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7DD3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45438"/>
    <w:pPr>
      <w:spacing w:after="120" w:line="259" w:lineRule="auto"/>
    </w:pPr>
    <w:rPr>
      <w:szCs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C45438"/>
    <w:rPr>
      <w:sz w:val="22"/>
    </w:rPr>
  </w:style>
  <w:style w:type="character" w:customStyle="1" w:styleId="ParaNumChar">
    <w:name w:val="ParaNum Char"/>
    <w:link w:val="ParaNum0"/>
    <w:locked/>
    <w:rsid w:val="00C45438"/>
    <w:rPr>
      <w:sz w:val="22"/>
      <w:szCs w:val="22"/>
    </w:rPr>
  </w:style>
  <w:style w:type="paragraph" w:styleId="CommentText">
    <w:name w:val="annotation text"/>
    <w:basedOn w:val="Normal"/>
    <w:link w:val="CommentTextChar"/>
    <w:uiPriority w:val="99"/>
    <w:semiHidden/>
    <w:unhideWhenUsed/>
    <w:rsid w:val="00C45438"/>
    <w:pPr>
      <w:widowControl w:val="0"/>
      <w:snapToGrid w:val="0"/>
    </w:pPr>
    <w:rPr>
      <w:kern w:val="28"/>
      <w:sz w:val="20"/>
    </w:rPr>
  </w:style>
  <w:style w:type="character" w:customStyle="1" w:styleId="CommentTextChar">
    <w:name w:val="Comment Text Char"/>
    <w:link w:val="CommentText"/>
    <w:uiPriority w:val="99"/>
    <w:semiHidden/>
    <w:rsid w:val="00C45438"/>
    <w:rPr>
      <w:kern w:val="28"/>
    </w:rPr>
  </w:style>
  <w:style w:type="character" w:styleId="CommentReference">
    <w:name w:val="annotation reference"/>
    <w:uiPriority w:val="99"/>
    <w:semiHidden/>
    <w:unhideWhenUsed/>
    <w:rsid w:val="00C45438"/>
    <w:rPr>
      <w:sz w:val="16"/>
      <w:szCs w:val="16"/>
    </w:rPr>
  </w:style>
  <w:style w:type="character" w:customStyle="1" w:styleId="Heading1Char">
    <w:name w:val="Heading 1 Char"/>
    <w:link w:val="Heading1"/>
    <w:rsid w:val="00C45438"/>
    <w:rPr>
      <w:b/>
      <w:caps/>
      <w:sz w:val="22"/>
    </w:rPr>
  </w:style>
  <w:style w:type="paragraph" w:styleId="BalloonText">
    <w:name w:val="Balloon Text"/>
    <w:basedOn w:val="Normal"/>
    <w:link w:val="BalloonTextChar"/>
    <w:uiPriority w:val="99"/>
    <w:semiHidden/>
    <w:unhideWhenUsed/>
    <w:rsid w:val="00C45438"/>
    <w:rPr>
      <w:rFonts w:ascii="Segoe UI" w:hAnsi="Segoe UI" w:cs="Segoe UI"/>
      <w:sz w:val="18"/>
      <w:szCs w:val="18"/>
    </w:rPr>
  </w:style>
  <w:style w:type="character" w:customStyle="1" w:styleId="BalloonTextChar">
    <w:name w:val="Balloon Text Char"/>
    <w:link w:val="BalloonText"/>
    <w:uiPriority w:val="99"/>
    <w:semiHidden/>
    <w:rsid w:val="00C45438"/>
    <w:rPr>
      <w:rFonts w:ascii="Segoe UI" w:hAnsi="Segoe UI" w:cs="Segoe UI"/>
      <w:sz w:val="18"/>
      <w:szCs w:val="18"/>
    </w:rPr>
  </w:style>
  <w:style w:type="character" w:customStyle="1" w:styleId="FooterChar">
    <w:name w:val="Footer Char"/>
    <w:link w:val="Footer"/>
    <w:uiPriority w:val="99"/>
    <w:rsid w:val="00C45438"/>
    <w:rPr>
      <w:sz w:val="22"/>
    </w:rPr>
  </w:style>
  <w:style w:type="paragraph" w:styleId="CommentSubject">
    <w:name w:val="annotation subject"/>
    <w:basedOn w:val="CommentText"/>
    <w:next w:val="CommentText"/>
    <w:link w:val="CommentSubjectChar"/>
    <w:uiPriority w:val="99"/>
    <w:semiHidden/>
    <w:unhideWhenUsed/>
    <w:rsid w:val="00731DB8"/>
    <w:pPr>
      <w:widowControl/>
      <w:snapToGrid/>
    </w:pPr>
    <w:rPr>
      <w:b/>
      <w:bCs/>
      <w:kern w:val="0"/>
    </w:rPr>
  </w:style>
  <w:style w:type="character" w:customStyle="1" w:styleId="CommentSubjectChar">
    <w:name w:val="Comment Subject Char"/>
    <w:basedOn w:val="CommentTextChar"/>
    <w:link w:val="CommentSubject"/>
    <w:uiPriority w:val="99"/>
    <w:semiHidden/>
    <w:rsid w:val="00731DB8"/>
    <w:rPr>
      <w:b/>
      <w:bCs/>
      <w:kern w:val="28"/>
    </w:rPr>
  </w:style>
  <w:style w:type="paragraph" w:styleId="Revision">
    <w:name w:val="Revision"/>
    <w:hidden/>
    <w:uiPriority w:val="99"/>
    <w:semiHidden/>
    <w:rsid w:val="00306E97"/>
    <w:rPr>
      <w:sz w:val="22"/>
    </w:rPr>
  </w:style>
  <w:style w:type="character" w:customStyle="1" w:styleId="HeaderChar">
    <w:name w:val="Header Char"/>
    <w:basedOn w:val="DefaultParagraphFont"/>
    <w:link w:val="Header"/>
    <w:rsid w:val="00C955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basedOn w:val="Normal"/>
    <w:link w:val="FootnoteTextChar"/>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45438"/>
    <w:pPr>
      <w:spacing w:after="120" w:line="259" w:lineRule="auto"/>
    </w:pPr>
    <w:rPr>
      <w:szCs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C45438"/>
    <w:rPr>
      <w:sz w:val="22"/>
    </w:rPr>
  </w:style>
  <w:style w:type="character" w:customStyle="1" w:styleId="ParaNumChar">
    <w:name w:val="ParaNum Char"/>
    <w:link w:val="ParaNum0"/>
    <w:locked/>
    <w:rsid w:val="00C45438"/>
    <w:rPr>
      <w:sz w:val="22"/>
      <w:szCs w:val="22"/>
    </w:rPr>
  </w:style>
  <w:style w:type="paragraph" w:styleId="CommentText">
    <w:name w:val="annotation text"/>
    <w:basedOn w:val="Normal"/>
    <w:link w:val="CommentTextChar"/>
    <w:uiPriority w:val="99"/>
    <w:semiHidden/>
    <w:unhideWhenUsed/>
    <w:rsid w:val="00C45438"/>
    <w:pPr>
      <w:widowControl w:val="0"/>
      <w:snapToGrid w:val="0"/>
    </w:pPr>
    <w:rPr>
      <w:kern w:val="28"/>
      <w:sz w:val="20"/>
    </w:rPr>
  </w:style>
  <w:style w:type="character" w:customStyle="1" w:styleId="CommentTextChar">
    <w:name w:val="Comment Text Char"/>
    <w:link w:val="CommentText"/>
    <w:uiPriority w:val="99"/>
    <w:semiHidden/>
    <w:rsid w:val="00C45438"/>
    <w:rPr>
      <w:kern w:val="28"/>
    </w:rPr>
  </w:style>
  <w:style w:type="character" w:styleId="CommentReference">
    <w:name w:val="annotation reference"/>
    <w:uiPriority w:val="99"/>
    <w:semiHidden/>
    <w:unhideWhenUsed/>
    <w:rsid w:val="00C45438"/>
    <w:rPr>
      <w:sz w:val="16"/>
      <w:szCs w:val="16"/>
    </w:rPr>
  </w:style>
  <w:style w:type="character" w:customStyle="1" w:styleId="Heading1Char">
    <w:name w:val="Heading 1 Char"/>
    <w:link w:val="Heading1"/>
    <w:rsid w:val="00C45438"/>
    <w:rPr>
      <w:b/>
      <w:caps/>
      <w:sz w:val="22"/>
    </w:rPr>
  </w:style>
  <w:style w:type="paragraph" w:styleId="BalloonText">
    <w:name w:val="Balloon Text"/>
    <w:basedOn w:val="Normal"/>
    <w:link w:val="BalloonTextChar"/>
    <w:uiPriority w:val="99"/>
    <w:semiHidden/>
    <w:unhideWhenUsed/>
    <w:rsid w:val="00C45438"/>
    <w:rPr>
      <w:rFonts w:ascii="Segoe UI" w:hAnsi="Segoe UI" w:cs="Segoe UI"/>
      <w:sz w:val="18"/>
      <w:szCs w:val="18"/>
    </w:rPr>
  </w:style>
  <w:style w:type="character" w:customStyle="1" w:styleId="BalloonTextChar">
    <w:name w:val="Balloon Text Char"/>
    <w:link w:val="BalloonText"/>
    <w:uiPriority w:val="99"/>
    <w:semiHidden/>
    <w:rsid w:val="00C45438"/>
    <w:rPr>
      <w:rFonts w:ascii="Segoe UI" w:hAnsi="Segoe UI" w:cs="Segoe UI"/>
      <w:sz w:val="18"/>
      <w:szCs w:val="18"/>
    </w:rPr>
  </w:style>
  <w:style w:type="character" w:customStyle="1" w:styleId="FooterChar">
    <w:name w:val="Footer Char"/>
    <w:link w:val="Footer"/>
    <w:uiPriority w:val="99"/>
    <w:rsid w:val="00C45438"/>
    <w:rPr>
      <w:sz w:val="22"/>
    </w:rPr>
  </w:style>
  <w:style w:type="paragraph" w:styleId="CommentSubject">
    <w:name w:val="annotation subject"/>
    <w:basedOn w:val="CommentText"/>
    <w:next w:val="CommentText"/>
    <w:link w:val="CommentSubjectChar"/>
    <w:uiPriority w:val="99"/>
    <w:semiHidden/>
    <w:unhideWhenUsed/>
    <w:rsid w:val="00731DB8"/>
    <w:pPr>
      <w:widowControl/>
      <w:snapToGrid/>
    </w:pPr>
    <w:rPr>
      <w:b/>
      <w:bCs/>
      <w:kern w:val="0"/>
    </w:rPr>
  </w:style>
  <w:style w:type="character" w:customStyle="1" w:styleId="CommentSubjectChar">
    <w:name w:val="Comment Subject Char"/>
    <w:basedOn w:val="CommentTextChar"/>
    <w:link w:val="CommentSubject"/>
    <w:uiPriority w:val="99"/>
    <w:semiHidden/>
    <w:rsid w:val="00731DB8"/>
    <w:rPr>
      <w:b/>
      <w:bCs/>
      <w:kern w:val="28"/>
    </w:rPr>
  </w:style>
  <w:style w:type="paragraph" w:styleId="Revision">
    <w:name w:val="Revision"/>
    <w:hidden/>
    <w:uiPriority w:val="99"/>
    <w:semiHidden/>
    <w:rsid w:val="00306E97"/>
    <w:rPr>
      <w:sz w:val="22"/>
    </w:rPr>
  </w:style>
  <w:style w:type="character" w:customStyle="1" w:styleId="HeaderChar">
    <w:name w:val="Header Char"/>
    <w:basedOn w:val="DefaultParagraphFont"/>
    <w:link w:val="Header"/>
    <w:rsid w:val="00C955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 TargetMode="External"/><Relationship Id="rId13" Type="http://schemas.openxmlformats.org/officeDocument/2006/relationships/hyperlink" Target="mailto:Shaun.Maher@fcc.gov" TargetMode="External"/><Relationship Id="rId18" Type="http://schemas.openxmlformats.org/officeDocument/2006/relationships/hyperlink" Target="mailto:Charles.Meisch@fcc.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evin.Harding@fcc.gov" TargetMode="External"/><Relationship Id="rId17" Type="http://schemas.openxmlformats.org/officeDocument/2006/relationships/hyperlink" Target="mailto:Erik.Salovaara@fc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hryn.Hinton@fcc.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esPilot@fcc.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rin.Griffith@fcc.gov" TargetMode="External"/><Relationship Id="rId23" Type="http://schemas.openxmlformats.org/officeDocument/2006/relationships/header" Target="header3.xml"/><Relationship Id="rId10" Type="http://schemas.openxmlformats.org/officeDocument/2006/relationships/hyperlink" Target="https://apps.fcc.gov/cores/html/Associate_Username_to_FRN.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cores/html/Register_New_Account.htm" TargetMode="External"/><Relationship Id="rId14" Type="http://schemas.openxmlformats.org/officeDocument/2006/relationships/hyperlink" Target="mailto:Linda.Sanderson@fcc.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2757</Words>
  <Characters>16412</Characters>
  <Application>Microsoft Office Word</Application>
  <DocSecurity>0</DocSecurity>
  <Lines>213</Lines>
  <Paragraphs>34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19230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2017-02-06T21:08:00Z</cp:lastPrinted>
  <dcterms:created xsi:type="dcterms:W3CDTF">2017-02-06T21:24:00Z</dcterms:created>
  <dcterms:modified xsi:type="dcterms:W3CDTF">2017-02-06T21:24:00Z</dcterms:modified>
  <cp:category> </cp:category>
  <cp:contentStatus> </cp:contentStatus>
</cp:coreProperties>
</file>