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w:t>
      </w:r>
      <w:r w:rsidR="00706512">
        <w:rPr>
          <w:b/>
          <w:szCs w:val="22"/>
        </w:rPr>
        <w:t>7</w:t>
      </w:r>
      <w:r w:rsidRPr="007665F9">
        <w:rPr>
          <w:b/>
          <w:szCs w:val="22"/>
        </w:rPr>
        <w:t>-</w:t>
      </w:r>
      <w:r w:rsidR="001F70E4">
        <w:rPr>
          <w:b/>
          <w:szCs w:val="22"/>
        </w:rPr>
        <w:t>145</w:t>
      </w:r>
    </w:p>
    <w:p w:rsidR="00602577" w:rsidRPr="007665F9" w:rsidRDefault="007665F9">
      <w:pPr>
        <w:spacing w:before="60"/>
        <w:jc w:val="right"/>
        <w:rPr>
          <w:b/>
          <w:szCs w:val="22"/>
        </w:rPr>
      </w:pPr>
      <w:r w:rsidRPr="007665F9">
        <w:rPr>
          <w:b/>
          <w:szCs w:val="22"/>
        </w:rPr>
        <w:t xml:space="preserve">Released:  </w:t>
      </w:r>
      <w:r w:rsidR="003451CC">
        <w:rPr>
          <w:b/>
          <w:szCs w:val="22"/>
        </w:rPr>
        <w:t>February 8</w:t>
      </w:r>
      <w:r w:rsidRPr="007665F9">
        <w:rPr>
          <w:b/>
          <w:szCs w:val="22"/>
        </w:rPr>
        <w:t>, 201</w:t>
      </w:r>
      <w:r w:rsidR="00706512">
        <w:rPr>
          <w:b/>
          <w:szCs w:val="22"/>
        </w:rPr>
        <w:t>7</w:t>
      </w:r>
    </w:p>
    <w:p w:rsidR="00602577" w:rsidRDefault="00602577">
      <w:pPr>
        <w:jc w:val="right"/>
        <w:rPr>
          <w:sz w:val="24"/>
        </w:rPr>
      </w:pPr>
    </w:p>
    <w:p w:rsidR="00E83508" w:rsidRDefault="00CB6AF4" w:rsidP="00E83508">
      <w:pPr>
        <w:jc w:val="center"/>
        <w:rPr>
          <w:b/>
          <w:szCs w:val="22"/>
        </w:rPr>
      </w:pPr>
      <w:r>
        <w:rPr>
          <w:b/>
          <w:szCs w:val="22"/>
        </w:rPr>
        <w:t>NEW CINGULAR WIRELESS PCS</w:t>
      </w:r>
      <w:r w:rsidR="00D65034">
        <w:rPr>
          <w:b/>
          <w:szCs w:val="22"/>
        </w:rPr>
        <w:t>,</w:t>
      </w:r>
      <w:r>
        <w:rPr>
          <w:b/>
          <w:szCs w:val="22"/>
        </w:rPr>
        <w:t xml:space="preserve"> LLC</w:t>
      </w:r>
      <w:r w:rsidR="00D65034">
        <w:rPr>
          <w:b/>
          <w:szCs w:val="22"/>
        </w:rPr>
        <w:t>,</w:t>
      </w:r>
      <w:r>
        <w:rPr>
          <w:b/>
          <w:szCs w:val="22"/>
        </w:rPr>
        <w:t xml:space="preserve"> </w:t>
      </w:r>
      <w:r w:rsidR="007665F9" w:rsidRPr="007665F9">
        <w:rPr>
          <w:b/>
          <w:szCs w:val="22"/>
        </w:rPr>
        <w:t xml:space="preserve">AND </w:t>
      </w:r>
      <w:r>
        <w:rPr>
          <w:b/>
          <w:szCs w:val="22"/>
        </w:rPr>
        <w:t>L</w:t>
      </w:r>
      <w:r w:rsidR="00A65B09">
        <w:rPr>
          <w:b/>
          <w:szCs w:val="22"/>
        </w:rPr>
        <w:t>ACKAWAXEN LONG DISTANCE</w:t>
      </w:r>
    </w:p>
    <w:p w:rsidR="00E83508" w:rsidRDefault="00D12966" w:rsidP="00E83508">
      <w:pPr>
        <w:jc w:val="center"/>
        <w:rPr>
          <w:b/>
          <w:szCs w:val="22"/>
        </w:rPr>
      </w:pPr>
      <w:r>
        <w:rPr>
          <w:b/>
          <w:szCs w:val="22"/>
        </w:rPr>
        <w:t xml:space="preserve">COMPANY </w:t>
      </w:r>
      <w:r w:rsidR="007665F9" w:rsidRPr="007665F9">
        <w:rPr>
          <w:b/>
          <w:szCs w:val="22"/>
        </w:rPr>
        <w:t>SEEK F</w:t>
      </w:r>
      <w:r w:rsidR="00701D32">
        <w:rPr>
          <w:b/>
          <w:szCs w:val="22"/>
        </w:rPr>
        <w:t>CC CONSENT TO THE ASSIGNMENT OF</w:t>
      </w:r>
      <w:r w:rsidR="00E83508">
        <w:rPr>
          <w:b/>
          <w:szCs w:val="22"/>
        </w:rPr>
        <w:t xml:space="preserve"> </w:t>
      </w:r>
      <w:r w:rsidR="007665F9" w:rsidRPr="007665F9">
        <w:rPr>
          <w:b/>
          <w:szCs w:val="22"/>
        </w:rPr>
        <w:t xml:space="preserve">A </w:t>
      </w:r>
      <w:r w:rsidR="00A65B09">
        <w:rPr>
          <w:b/>
          <w:szCs w:val="22"/>
        </w:rPr>
        <w:t>LOWER</w:t>
      </w:r>
    </w:p>
    <w:p w:rsidR="00602577" w:rsidRDefault="007665F9" w:rsidP="00E83508">
      <w:pPr>
        <w:jc w:val="center"/>
        <w:rPr>
          <w:b/>
          <w:szCs w:val="22"/>
        </w:rPr>
      </w:pPr>
      <w:r w:rsidRPr="007665F9">
        <w:rPr>
          <w:b/>
          <w:szCs w:val="22"/>
        </w:rPr>
        <w:t xml:space="preserve">700 </w:t>
      </w:r>
      <w:r w:rsidR="00701D32">
        <w:rPr>
          <w:b/>
          <w:szCs w:val="22"/>
        </w:rPr>
        <w:t>MHZ C</w:t>
      </w:r>
      <w:r w:rsidR="006C4A65">
        <w:rPr>
          <w:b/>
          <w:szCs w:val="22"/>
        </w:rPr>
        <w:t xml:space="preserve"> BLOCK LICENSE </w:t>
      </w:r>
      <w:r w:rsidRPr="007665F9">
        <w:rPr>
          <w:b/>
          <w:szCs w:val="22"/>
        </w:rPr>
        <w:t xml:space="preserve">IN </w:t>
      </w:r>
      <w:r w:rsidR="00E83508">
        <w:rPr>
          <w:b/>
          <w:szCs w:val="22"/>
        </w:rPr>
        <w:t>PENNSYLVANIA</w:t>
      </w:r>
    </w:p>
    <w:p w:rsidR="00E83508" w:rsidRPr="007665F9" w:rsidRDefault="00E83508" w:rsidP="00E83508">
      <w:pPr>
        <w:jc w:val="center"/>
        <w:rPr>
          <w:b/>
          <w:szCs w:val="22"/>
        </w:rPr>
      </w:pPr>
    </w:p>
    <w:p w:rsidR="00602577" w:rsidRPr="007A67C8" w:rsidRDefault="007A67C8">
      <w:pPr>
        <w:spacing w:after="240"/>
        <w:jc w:val="center"/>
        <w:rPr>
          <w:b/>
          <w:szCs w:val="22"/>
        </w:rPr>
      </w:pPr>
      <w:r w:rsidRPr="007A67C8">
        <w:rPr>
          <w:b/>
          <w:szCs w:val="22"/>
        </w:rPr>
        <w:t>WT Docket No. 1</w:t>
      </w:r>
      <w:r w:rsidR="00706512">
        <w:rPr>
          <w:b/>
          <w:szCs w:val="22"/>
        </w:rPr>
        <w:t>7</w:t>
      </w:r>
      <w:r w:rsidRPr="007A67C8">
        <w:rPr>
          <w:b/>
          <w:szCs w:val="22"/>
        </w:rPr>
        <w:t>-</w:t>
      </w:r>
      <w:r w:rsidR="00D65034">
        <w:rPr>
          <w:b/>
          <w:szCs w:val="22"/>
        </w:rPr>
        <w:t>36</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3451CC">
        <w:rPr>
          <w:b/>
          <w:spacing w:val="-2"/>
          <w:szCs w:val="22"/>
        </w:rPr>
        <w:t>March 1, 2017</w:t>
      </w:r>
    </w:p>
    <w:p w:rsidR="007A67C8" w:rsidRDefault="007A67C8" w:rsidP="007A67C8">
      <w:pPr>
        <w:rPr>
          <w:b/>
          <w:szCs w:val="22"/>
        </w:rPr>
      </w:pPr>
      <w:r>
        <w:rPr>
          <w:b/>
          <w:szCs w:val="22"/>
        </w:rPr>
        <w:t>Oppositions Due:</w:t>
      </w:r>
      <w:r>
        <w:rPr>
          <w:b/>
          <w:szCs w:val="22"/>
        </w:rPr>
        <w:tab/>
      </w:r>
      <w:r>
        <w:rPr>
          <w:b/>
          <w:szCs w:val="22"/>
        </w:rPr>
        <w:tab/>
      </w:r>
      <w:r w:rsidR="003451CC">
        <w:rPr>
          <w:b/>
          <w:spacing w:val="-2"/>
          <w:szCs w:val="22"/>
        </w:rPr>
        <w:t>March 8, 2017</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3451CC">
        <w:rPr>
          <w:b/>
          <w:szCs w:val="22"/>
        </w:rPr>
        <w:t>March 15, 2017</w:t>
      </w:r>
    </w:p>
    <w:p w:rsidR="007A67C8" w:rsidRDefault="007A67C8" w:rsidP="00144BD1">
      <w:pPr>
        <w:spacing w:after="120"/>
        <w:outlineLvl w:val="0"/>
        <w:rPr>
          <w:b/>
          <w:szCs w:val="22"/>
        </w:rPr>
      </w:pPr>
      <w:r>
        <w:rPr>
          <w:b/>
          <w:szCs w:val="22"/>
        </w:rPr>
        <w:t>I.</w:t>
      </w:r>
      <w:r>
        <w:rPr>
          <w:b/>
          <w:szCs w:val="22"/>
        </w:rPr>
        <w:tab/>
        <w:t>INTRODUCTION</w:t>
      </w:r>
    </w:p>
    <w:p w:rsidR="007665F9" w:rsidRDefault="002E5169" w:rsidP="00CF1545">
      <w:pPr>
        <w:spacing w:after="120"/>
        <w:ind w:firstLine="720"/>
        <w:rPr>
          <w:szCs w:val="22"/>
        </w:rPr>
      </w:pPr>
      <w:r>
        <w:rPr>
          <w:szCs w:val="22"/>
        </w:rPr>
        <w:t>New Cingular Wireless PCS</w:t>
      </w:r>
      <w:r w:rsidR="00D65034">
        <w:rPr>
          <w:szCs w:val="22"/>
        </w:rPr>
        <w:t>,</w:t>
      </w:r>
      <w:r>
        <w:rPr>
          <w:szCs w:val="22"/>
        </w:rPr>
        <w:t xml:space="preserve"> LLC</w:t>
      </w:r>
      <w:r w:rsidR="007A67C8">
        <w:rPr>
          <w:szCs w:val="22"/>
        </w:rPr>
        <w:t xml:space="preserve">, an indirect wholly-owned subsidiary of AT&amp;T Inc. (together with </w:t>
      </w:r>
      <w:r>
        <w:rPr>
          <w:szCs w:val="22"/>
        </w:rPr>
        <w:t>New Cingular Wireless PCS</w:t>
      </w:r>
      <w:r w:rsidR="009941B5">
        <w:rPr>
          <w:szCs w:val="22"/>
        </w:rPr>
        <w:t>,</w:t>
      </w:r>
      <w:r>
        <w:rPr>
          <w:szCs w:val="22"/>
        </w:rPr>
        <w:t xml:space="preserve"> LLC</w:t>
      </w:r>
      <w:r w:rsidR="007A67C8">
        <w:rPr>
          <w:szCs w:val="22"/>
        </w:rPr>
        <w:t xml:space="preserve">, AT&amp;T), and </w:t>
      </w:r>
      <w:r w:rsidR="00814061">
        <w:rPr>
          <w:szCs w:val="22"/>
        </w:rPr>
        <w:t>Lackawaxen Long Distance Company</w:t>
      </w:r>
      <w:r>
        <w:rPr>
          <w:szCs w:val="22"/>
        </w:rPr>
        <w:t xml:space="preserve"> (Lackawaxen</w:t>
      </w:r>
      <w:r w:rsidR="007A67C8">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w:t>
      </w:r>
      <w:r w:rsidR="00905DC0">
        <w:rPr>
          <w:szCs w:val="22"/>
        </w:rPr>
        <w:t xml:space="preserve"> Commission consent to</w:t>
      </w:r>
      <w:r w:rsidR="007A67C8" w:rsidRPr="00586237">
        <w:rPr>
          <w:szCs w:val="22"/>
        </w:rPr>
        <w:t xml:space="preserve">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7A67C8">
        <w:rPr>
          <w:szCs w:val="22"/>
        </w:rPr>
        <w:t>a</w:t>
      </w:r>
      <w:r w:rsidR="00814061">
        <w:rPr>
          <w:szCs w:val="22"/>
        </w:rPr>
        <w:t xml:space="preserve"> </w:t>
      </w:r>
      <w:r w:rsidR="003378B4">
        <w:rPr>
          <w:szCs w:val="22"/>
        </w:rPr>
        <w:t>Lower 700 MHz C</w:t>
      </w:r>
      <w:r w:rsidR="00814061">
        <w:rPr>
          <w:szCs w:val="22"/>
        </w:rPr>
        <w:t> Block license from</w:t>
      </w:r>
      <w:r w:rsidR="007A67C8">
        <w:rPr>
          <w:szCs w:val="22"/>
        </w:rPr>
        <w:t xml:space="preserve"> </w:t>
      </w:r>
      <w:r w:rsidR="00814061">
        <w:rPr>
          <w:szCs w:val="22"/>
        </w:rPr>
        <w:t xml:space="preserve">Lackawaxen </w:t>
      </w:r>
      <w:r w:rsidR="007A67C8">
        <w:rPr>
          <w:szCs w:val="22"/>
        </w:rPr>
        <w:t>to AT&amp;</w:t>
      </w:r>
      <w:r w:rsidR="009424CB">
        <w:rPr>
          <w:szCs w:val="22"/>
        </w:rPr>
        <w:t>T.  The subject license covers one</w:t>
      </w:r>
      <w:r w:rsidR="007A67C8">
        <w:rPr>
          <w:szCs w:val="22"/>
        </w:rPr>
        <w:t xml:space="preserve"> local market in </w:t>
      </w:r>
      <w:r w:rsidR="00814061">
        <w:rPr>
          <w:szCs w:val="22"/>
        </w:rPr>
        <w:t>Pennsylvania</w:t>
      </w:r>
      <w:r w:rsidR="009424CB">
        <w:rPr>
          <w:szCs w:val="22"/>
        </w:rPr>
        <w:t>.</w:t>
      </w:r>
    </w:p>
    <w:p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sidR="00532AA5">
        <w:rPr>
          <w:szCs w:val="22"/>
        </w:rPr>
        <w:t xml:space="preserve"> </w:t>
      </w:r>
      <w:r w:rsidR="003C5B79">
        <w:rPr>
          <w:szCs w:val="22"/>
        </w:rPr>
        <w:t xml:space="preserve">in </w:t>
      </w:r>
      <w:r w:rsidR="00BC47CF">
        <w:rPr>
          <w:szCs w:val="22"/>
        </w:rPr>
        <w:t>Cellular Market Area (CMA</w:t>
      </w:r>
      <w:r>
        <w:rPr>
          <w:szCs w:val="22"/>
        </w:rPr>
        <w:t xml:space="preserve">) </w:t>
      </w:r>
      <w:r w:rsidR="001E3D08">
        <w:rPr>
          <w:szCs w:val="22"/>
        </w:rPr>
        <w:t>616 (Pennsylvania 5</w:t>
      </w:r>
      <w:r>
        <w:rPr>
          <w:szCs w:val="22"/>
        </w:rPr>
        <w:t xml:space="preserve"> – </w:t>
      </w:r>
      <w:r w:rsidR="001E3D08">
        <w:rPr>
          <w:szCs w:val="22"/>
        </w:rPr>
        <w:t>Wayne</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rtz of contiguous, p</w:t>
      </w:r>
      <w:r w:rsidR="00D06DBB">
        <w:rPr>
          <w:szCs w:val="22"/>
        </w:rPr>
        <w:t>aired Lower 700 MHz spectrum in this CMA</w:t>
      </w:r>
      <w:r>
        <w:rPr>
          <w:szCs w:val="22"/>
        </w:rPr>
        <w:t xml:space="preserve">, allowing for a </w:t>
      </w:r>
      <w:r w:rsidRPr="006654E1">
        <w:rPr>
          <w:szCs w:val="22"/>
        </w:rPr>
        <w:t>10×10</w:t>
      </w:r>
      <w:r w:rsidRPr="0087478E">
        <w:rPr>
          <w:szCs w:val="22"/>
        </w:rPr>
        <w:t xml:space="preserve"> </w:t>
      </w:r>
      <w:r>
        <w:rPr>
          <w:szCs w:val="22"/>
        </w:rPr>
        <w:t>megahertz</w:t>
      </w:r>
      <w:r w:rsidRPr="0087478E">
        <w:rPr>
          <w:szCs w:val="22"/>
        </w:rPr>
        <w:t xml:space="preserve"> LTE deployment.</w:t>
      </w:r>
    </w:p>
    <w:p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of Lower 700 MHz C</w:t>
      </w:r>
      <w:r w:rsidRPr="008979AB">
        <w:rPr>
          <w:szCs w:val="22"/>
        </w:rPr>
        <w:t xml:space="preserve"> Block spectrum </w:t>
      </w:r>
      <w:r w:rsidR="00D2425F">
        <w:rPr>
          <w:szCs w:val="22"/>
        </w:rPr>
        <w:t xml:space="preserve">in </w:t>
      </w:r>
      <w:r w:rsidR="00BE0A82">
        <w:rPr>
          <w:szCs w:val="22"/>
        </w:rPr>
        <w:t>Pennsylvania 5 – Wayne</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050CB7">
        <w:rPr>
          <w:rStyle w:val="Normal1"/>
          <w:sz w:val="22"/>
          <w:szCs w:val="22"/>
        </w:rPr>
        <w:t xml:space="preserve"> 111</w:t>
      </w:r>
      <w:r w:rsidRPr="008979AB">
        <w:rPr>
          <w:rStyle w:val="Normal1"/>
          <w:sz w:val="22"/>
          <w:szCs w:val="22"/>
        </w:rPr>
        <w:t xml:space="preserve"> </w:t>
      </w:r>
      <w:r w:rsidR="00D545BB">
        <w:rPr>
          <w:rStyle w:val="Normal1"/>
          <w:sz w:val="22"/>
          <w:szCs w:val="22"/>
        </w:rPr>
        <w:t xml:space="preserve">to 131 </w:t>
      </w:r>
      <w:r w:rsidRPr="008979AB">
        <w:rPr>
          <w:rStyle w:val="Normal1"/>
          <w:sz w:val="22"/>
          <w:szCs w:val="22"/>
        </w:rPr>
        <w:t>meg</w:t>
      </w:r>
      <w:r w:rsidR="00F8410B">
        <w:rPr>
          <w:rStyle w:val="Normal1"/>
          <w:sz w:val="22"/>
          <w:szCs w:val="22"/>
        </w:rPr>
        <w:t>ahertz of spectrum</w:t>
      </w:r>
      <w:r w:rsidR="00954718">
        <w:rPr>
          <w:rStyle w:val="Normal1"/>
          <w:sz w:val="22"/>
          <w:szCs w:val="22"/>
        </w:rPr>
        <w:t xml:space="preserve"> in total</w:t>
      </w:r>
      <w:r w:rsidR="00050CB7">
        <w:rPr>
          <w:rStyle w:val="Normal1"/>
          <w:sz w:val="22"/>
          <w:szCs w:val="22"/>
        </w:rPr>
        <w:t>, including 61</w:t>
      </w:r>
      <w:r w:rsidRPr="008979AB">
        <w:rPr>
          <w:rStyle w:val="Normal1"/>
          <w:sz w:val="22"/>
          <w:szCs w:val="22"/>
        </w:rPr>
        <w:t xml:space="preserve"> megahe</w:t>
      </w:r>
      <w:r w:rsidR="00050CB7">
        <w:rPr>
          <w:rStyle w:val="Normal1"/>
          <w:sz w:val="22"/>
          <w:szCs w:val="22"/>
        </w:rPr>
        <w:t>rtz of below-1-GHz spectrum</w:t>
      </w:r>
      <w:r w:rsidR="00F8410B">
        <w:rPr>
          <w:rStyle w:val="Normal1"/>
          <w:sz w:val="22"/>
          <w:szCs w:val="22"/>
        </w:rPr>
        <w:t xml:space="preserve"> </w:t>
      </w:r>
      <w:r w:rsidR="00BE0A82">
        <w:rPr>
          <w:rStyle w:val="Normal1"/>
          <w:sz w:val="22"/>
          <w:szCs w:val="22"/>
        </w:rPr>
        <w:t>in this CMA</w:t>
      </w:r>
      <w:r w:rsidRPr="008979AB">
        <w:rPr>
          <w:rStyle w:val="Normal1"/>
          <w:sz w:val="22"/>
          <w:szCs w:val="22"/>
        </w:rPr>
        <w:t>.</w:t>
      </w:r>
    </w:p>
    <w:p w:rsidR="00E86F74" w:rsidRDefault="00BC47CF" w:rsidP="00CF1545">
      <w:pPr>
        <w:spacing w:after="220"/>
        <w:ind w:firstLine="720"/>
        <w:rPr>
          <w:szCs w:val="22"/>
        </w:rPr>
      </w:pPr>
      <w:r>
        <w:rPr>
          <w:szCs w:val="22"/>
        </w:rPr>
        <w:t>T</w:t>
      </w:r>
      <w:r w:rsidR="00E86F74" w:rsidRPr="00FF0361">
        <w:rPr>
          <w:szCs w:val="22"/>
        </w:rPr>
        <w:t xml:space="preserve">he </w:t>
      </w:r>
      <w:r w:rsidR="00E86F74" w:rsidRPr="00FF0361">
        <w:rPr>
          <w:i/>
          <w:szCs w:val="22"/>
        </w:rPr>
        <w:t>Mobile Spectrum Holdings Report and Order</w:t>
      </w:r>
      <w:r w:rsidR="00E86F74">
        <w:rPr>
          <w:szCs w:val="22"/>
        </w:rPr>
        <w:t xml:space="preserve"> </w:t>
      </w:r>
      <w:r>
        <w:rPr>
          <w:szCs w:val="22"/>
        </w:rPr>
        <w:t xml:space="preserve">requires </w:t>
      </w:r>
      <w:r w:rsidR="00E86F74">
        <w:rPr>
          <w:szCs w:val="22"/>
        </w:rPr>
        <w:t xml:space="preserve">that </w:t>
      </w:r>
      <w:r>
        <w:rPr>
          <w:szCs w:val="22"/>
        </w:rPr>
        <w:t xml:space="preserve">we treat any proposed </w:t>
      </w:r>
      <w:r w:rsidR="00E86F74" w:rsidRPr="003226BC">
        <w:rPr>
          <w:rStyle w:val="StyleParaNumTimesNewRoman11ptChar"/>
          <w:lang w:eastAsia="x-none"/>
        </w:rPr>
        <w:t>increase</w:t>
      </w:r>
      <w:r>
        <w:rPr>
          <w:rStyle w:val="StyleParaNumTimesNewRoman11ptChar"/>
          <w:lang w:eastAsia="x-none"/>
        </w:rPr>
        <w:t xml:space="preserve"> in</w:t>
      </w:r>
      <w:r w:rsidR="00E86F74">
        <w:rPr>
          <w:rStyle w:val="StyleParaNumTimesNewRoman11ptChar"/>
          <w:lang w:eastAsia="x-none"/>
        </w:rPr>
        <w:t xml:space="preserve"> below-1-GHz spectrum</w:t>
      </w:r>
      <w:r>
        <w:rPr>
          <w:rStyle w:val="StyleParaNumTimesNewRoman11ptChar"/>
          <w:lang w:eastAsia="x-none"/>
        </w:rPr>
        <w:t xml:space="preserve"> holdings resulting in the acquiring entity holding approximately one-third or more of the suitable and available spectrum below 1 GHz as an “enhanced factor” in our case-by-case review</w:t>
      </w:r>
      <w:r w:rsidR="00E86F74">
        <w:rPr>
          <w:rStyle w:val="StyleParaNumTimesNewRoman11ptChar"/>
          <w:lang w:eastAsia="x-none"/>
        </w:rPr>
        <w:t>.</w:t>
      </w:r>
      <w:r w:rsidR="00E86F74" w:rsidRPr="006C4A65">
        <w:rPr>
          <w:rStyle w:val="FootnoteReference"/>
          <w:sz w:val="20"/>
        </w:rPr>
        <w:footnoteReference w:id="2"/>
      </w:r>
      <w:r w:rsidR="00E86F74" w:rsidRPr="006900DC">
        <w:rPr>
          <w:szCs w:val="22"/>
        </w:rPr>
        <w:t xml:space="preserve">  </w:t>
      </w:r>
      <w:r w:rsidR="00E86F74">
        <w:rPr>
          <w:szCs w:val="22"/>
        </w:rPr>
        <w:t xml:space="preserve">The </w:t>
      </w:r>
      <w:r w:rsidR="00E86F74" w:rsidRPr="00FF0361">
        <w:rPr>
          <w:i/>
          <w:szCs w:val="22"/>
        </w:rPr>
        <w:t>Mobile Spectrum Holdings Report and Order</w:t>
      </w:r>
      <w:r w:rsidR="00E86F74">
        <w:rPr>
          <w:szCs w:val="22"/>
        </w:rPr>
        <w:t xml:space="preserve"> also requires</w:t>
      </w:r>
      <w:r w:rsidR="00E86F74" w:rsidRPr="004C7BFC">
        <w:rPr>
          <w:szCs w:val="22"/>
        </w:rPr>
        <w:t xml:space="preserve"> </w:t>
      </w:r>
      <w:r w:rsidR="00E86F74">
        <w:rPr>
          <w:szCs w:val="22"/>
        </w:rPr>
        <w:t xml:space="preserve">that, where the entity acquiring below-1-GHz spectrum already holds approximately one-third or more of the below-1-GHz spectrum in a </w:t>
      </w:r>
      <w:r w:rsidR="00E86F74">
        <w:rPr>
          <w:szCs w:val="22"/>
        </w:rPr>
        <w:lastRenderedPageBreak/>
        <w:t>particular market, the demonstration of the public interest benefits of the proposed transaction would need to clearly outweigh the potential public interest harms, irrespective of other factors.</w:t>
      </w:r>
      <w:r w:rsidR="00E86F74" w:rsidRPr="006C4A65">
        <w:rPr>
          <w:rStyle w:val="FootnoteReference"/>
          <w:sz w:val="20"/>
        </w:rPr>
        <w:footnoteReference w:id="3"/>
      </w:r>
      <w:r w:rsidR="00E86F74">
        <w:rPr>
          <w:szCs w:val="22"/>
        </w:rPr>
        <w:t xml:space="preserve">  In </w:t>
      </w:r>
      <w:r w:rsidR="009E6BF1">
        <w:rPr>
          <w:szCs w:val="22"/>
        </w:rPr>
        <w:t xml:space="preserve">Pennsylvania 5 – Wayne </w:t>
      </w:r>
      <w:r w:rsidR="003C5B79">
        <w:rPr>
          <w:szCs w:val="22"/>
        </w:rPr>
        <w:t>that is the subject of the proposed transaction</w:t>
      </w:r>
      <w:r w:rsidR="00E86F74">
        <w:rPr>
          <w:szCs w:val="22"/>
        </w:rPr>
        <w:t xml:space="preserve">, AT&amp;T already is attributed with </w:t>
      </w:r>
      <w:r w:rsidR="009E6BF1">
        <w:rPr>
          <w:szCs w:val="22"/>
        </w:rPr>
        <w:t>49</w:t>
      </w:r>
      <w:r w:rsidR="00E86F74">
        <w:rPr>
          <w:szCs w:val="22"/>
        </w:rPr>
        <w:t xml:space="preserve"> megahertz of below-1-GHz spectrum</w:t>
      </w:r>
      <w:r w:rsidR="00AF63AF">
        <w:rPr>
          <w:szCs w:val="22"/>
        </w:rPr>
        <w:t xml:space="preserve">.  As a result of the proposed transaction, AT&amp;T </w:t>
      </w:r>
      <w:r w:rsidR="00E86F74">
        <w:rPr>
          <w:szCs w:val="22"/>
        </w:rPr>
        <w:t xml:space="preserve">would further increase its attributable low-band spectrum holdings to </w:t>
      </w:r>
      <w:r w:rsidR="009E6BF1">
        <w:rPr>
          <w:szCs w:val="22"/>
        </w:rPr>
        <w:t>61</w:t>
      </w:r>
      <w:r w:rsidR="00E86F74">
        <w:rPr>
          <w:szCs w:val="22"/>
        </w:rPr>
        <w:t xml:space="preserve"> megahertz</w:t>
      </w:r>
      <w:r w:rsidR="00BF6E8C">
        <w:rPr>
          <w:szCs w:val="22"/>
        </w:rPr>
        <w:t>.</w:t>
      </w:r>
      <w:r w:rsidR="0075021A">
        <w:rPr>
          <w:szCs w:val="22"/>
        </w:rPr>
        <w:t xml:space="preserve"> </w:t>
      </w:r>
    </w:p>
    <w:p w:rsidR="00144BD1" w:rsidRPr="0089192F" w:rsidRDefault="00144BD1" w:rsidP="00144BD1">
      <w:pPr>
        <w:keepNext/>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rsidTr="00F8410B">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779"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F8410B">
        <w:trPr>
          <w:cantSplit/>
          <w:trHeight w:val="152"/>
        </w:trPr>
        <w:tc>
          <w:tcPr>
            <w:tcW w:w="769" w:type="pct"/>
            <w:shd w:val="clear" w:color="auto" w:fill="auto"/>
          </w:tcPr>
          <w:p w:rsidR="00144BD1" w:rsidRPr="006C53BA" w:rsidRDefault="00CB6AF4" w:rsidP="00104D2D">
            <w:pPr>
              <w:keepNext/>
              <w:tabs>
                <w:tab w:val="left" w:pos="720"/>
              </w:tabs>
              <w:rPr>
                <w:color w:val="000000"/>
                <w:szCs w:val="22"/>
                <w:shd w:val="clear" w:color="auto" w:fill="F7F5FF"/>
              </w:rPr>
            </w:pPr>
            <w:r>
              <w:rPr>
                <w:szCs w:val="22"/>
              </w:rPr>
              <w:t>000</w:t>
            </w:r>
            <w:r w:rsidR="008D11B9">
              <w:rPr>
                <w:szCs w:val="22"/>
              </w:rPr>
              <w:t>7506040</w:t>
            </w:r>
          </w:p>
        </w:tc>
        <w:tc>
          <w:tcPr>
            <w:tcW w:w="1779" w:type="pct"/>
            <w:shd w:val="clear" w:color="C0C0C0" w:fill="auto"/>
          </w:tcPr>
          <w:p w:rsidR="00144BD1" w:rsidRPr="00000509" w:rsidRDefault="00E25100" w:rsidP="00104D2D">
            <w:pPr>
              <w:ind w:left="-41"/>
              <w:rPr>
                <w:szCs w:val="22"/>
              </w:rPr>
            </w:pPr>
            <w:r>
              <w:rPr>
                <w:szCs w:val="22"/>
              </w:rPr>
              <w:t>Lackawaxen Long Distance Company</w:t>
            </w:r>
          </w:p>
        </w:tc>
        <w:tc>
          <w:tcPr>
            <w:tcW w:w="1683" w:type="pct"/>
            <w:shd w:val="clear" w:color="C0C0C0" w:fill="auto"/>
          </w:tcPr>
          <w:p w:rsidR="00905DC0" w:rsidRDefault="00CB6AF4" w:rsidP="00104D2D">
            <w:pPr>
              <w:rPr>
                <w:szCs w:val="22"/>
              </w:rPr>
            </w:pPr>
            <w:r>
              <w:rPr>
                <w:szCs w:val="22"/>
              </w:rPr>
              <w:t>New Cingular Wireless PCS</w:t>
            </w:r>
            <w:r w:rsidR="00D65034">
              <w:rPr>
                <w:szCs w:val="22"/>
              </w:rPr>
              <w:t>,</w:t>
            </w:r>
          </w:p>
          <w:p w:rsidR="00144BD1" w:rsidRPr="00530B3B" w:rsidRDefault="00CB6AF4" w:rsidP="00104D2D">
            <w:pPr>
              <w:rPr>
                <w:szCs w:val="22"/>
              </w:rPr>
            </w:pPr>
            <w:r>
              <w:rPr>
                <w:szCs w:val="22"/>
              </w:rPr>
              <w:t>LLC</w:t>
            </w:r>
          </w:p>
        </w:tc>
        <w:tc>
          <w:tcPr>
            <w:tcW w:w="769" w:type="pct"/>
            <w:shd w:val="clear" w:color="C0C0C0" w:fill="auto"/>
          </w:tcPr>
          <w:p w:rsidR="00144BD1" w:rsidRDefault="00CB6AF4" w:rsidP="00104D2D">
            <w:pPr>
              <w:ind w:hanging="40"/>
              <w:rPr>
                <w:szCs w:val="22"/>
              </w:rPr>
            </w:pPr>
            <w:r>
              <w:rPr>
                <w:szCs w:val="22"/>
              </w:rPr>
              <w:t>WPWV359</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4"/>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5"/>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6"/>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7"/>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8"/>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3451CC">
        <w:rPr>
          <w:b/>
          <w:spacing w:val="-2"/>
          <w:szCs w:val="22"/>
        </w:rPr>
        <w:t>March 1</w:t>
      </w:r>
      <w:r w:rsidRPr="00A60F38">
        <w:rPr>
          <w:b/>
          <w:spacing w:val="-2"/>
          <w:szCs w:val="22"/>
        </w:rPr>
        <w:t>, 201</w:t>
      </w:r>
      <w:r w:rsidR="00905DC0">
        <w:rPr>
          <w:b/>
          <w:spacing w:val="-2"/>
          <w:szCs w:val="22"/>
        </w:rPr>
        <w:t>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3451CC">
        <w:rPr>
          <w:b/>
          <w:spacing w:val="-2"/>
          <w:szCs w:val="22"/>
        </w:rPr>
        <w:t>March 8</w:t>
      </w:r>
      <w:r>
        <w:rPr>
          <w:b/>
          <w:spacing w:val="-2"/>
          <w:szCs w:val="22"/>
        </w:rPr>
        <w:t>, 201</w:t>
      </w:r>
      <w:r w:rsidR="00905DC0">
        <w:rPr>
          <w:b/>
          <w:spacing w:val="-2"/>
          <w:szCs w:val="22"/>
        </w:rPr>
        <w:t>7</w:t>
      </w:r>
      <w:r>
        <w:rPr>
          <w:szCs w:val="22"/>
        </w:rPr>
        <w:t xml:space="preserve">.  Replies to such pleadings must be filed no later than </w:t>
      </w:r>
      <w:r w:rsidR="003451CC">
        <w:rPr>
          <w:b/>
          <w:spacing w:val="-2"/>
          <w:szCs w:val="22"/>
        </w:rPr>
        <w:t>March 15</w:t>
      </w:r>
      <w:r>
        <w:rPr>
          <w:b/>
          <w:szCs w:val="22"/>
        </w:rPr>
        <w:t>, 201</w:t>
      </w:r>
      <w:r w:rsidR="00905DC0">
        <w:rPr>
          <w:b/>
          <w:szCs w:val="22"/>
        </w:rPr>
        <w:t>7</w:t>
      </w:r>
      <w:r>
        <w:rPr>
          <w:szCs w:val="22"/>
        </w:rPr>
        <w:t xml:space="preserve">.  All filings concerning matters referenced in this Public Notice should refer to </w:t>
      </w:r>
      <w:r w:rsidRPr="00D65034">
        <w:rPr>
          <w:szCs w:val="22"/>
        </w:rPr>
        <w:t>WT Docket No. 1</w:t>
      </w:r>
      <w:r w:rsidR="00905DC0" w:rsidRPr="00D65034">
        <w:rPr>
          <w:szCs w:val="22"/>
        </w:rPr>
        <w:t>7</w:t>
      </w:r>
      <w:r w:rsidRPr="00D65034">
        <w:rPr>
          <w:szCs w:val="22"/>
        </w:rPr>
        <w:t>-</w:t>
      </w:r>
      <w:r w:rsidR="00D65034">
        <w:rPr>
          <w:szCs w:val="22"/>
        </w:rPr>
        <w:t>36</w:t>
      </w:r>
      <w:r w:rsidRPr="006C4A65">
        <w:rPr>
          <w:szCs w:val="22"/>
        </w:rPr>
        <w:t>.</w:t>
      </w:r>
    </w:p>
    <w:p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9"/>
      </w:r>
      <w:r>
        <w:rPr>
          <w:b/>
          <w:szCs w:val="22"/>
        </w:rPr>
        <w:t xml:space="preserve">  A party or interested person seeking to raise a new issue after the pleading cycle has closed must show good cause why it </w:t>
      </w:r>
      <w:r>
        <w:rPr>
          <w:b/>
          <w:szCs w:val="22"/>
        </w:rPr>
        <w:lastRenderedPageBreak/>
        <w:t>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0"/>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1"/>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CB040C">
        <w:rPr>
          <w:rFonts w:cs="TmsRmn"/>
          <w:szCs w:val="22"/>
        </w:rPr>
        <w:t>Kathy Harris</w:t>
      </w:r>
      <w:r>
        <w:rPr>
          <w:rFonts w:cs="TmsRmn"/>
          <w:szCs w:val="22"/>
        </w:rPr>
        <w:t xml:space="preserve">, </w:t>
      </w:r>
      <w:r>
        <w:rPr>
          <w:szCs w:val="22"/>
        </w:rPr>
        <w:t xml:space="preserve">Mobility Division, </w:t>
      </w:r>
      <w:r>
        <w:rPr>
          <w:rFonts w:cs="TmsRmn"/>
          <w:szCs w:val="22"/>
        </w:rPr>
        <w:t>Wireless Tel</w:t>
      </w:r>
      <w:r w:rsidR="00CB040C">
        <w:rPr>
          <w:rFonts w:cs="TmsRmn"/>
          <w:szCs w:val="22"/>
        </w:rPr>
        <w:t>ecommunications Bureau, at kathy.harris</w:t>
      </w:r>
      <w:r>
        <w:rPr>
          <w:rFonts w:cs="TmsRmn"/>
          <w:szCs w:val="22"/>
        </w:rPr>
        <w:t>@fcc.gov or (202) 418-2643 (facsimile);</w:t>
      </w:r>
      <w:r>
        <w:rPr>
          <w:szCs w:val="22"/>
        </w:rPr>
        <w:t xml:space="preserve"> (2)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sidR="009033E6">
        <w:rPr>
          <w:rFonts w:cs="TmsRmn"/>
          <w:szCs w:val="22"/>
        </w:rPr>
        <w:t>Kathy Harris</w:t>
      </w:r>
      <w:r>
        <w:rPr>
          <w:rFonts w:cs="TmsRmn"/>
          <w:szCs w:val="22"/>
        </w:rPr>
        <w:t xml:space="preserve">, </w:t>
      </w:r>
      <w:r>
        <w:rPr>
          <w:szCs w:val="22"/>
        </w:rPr>
        <w:t>Mobility Division, Wireless Telecommunic</w:t>
      </w:r>
      <w:r w:rsidR="009033E6">
        <w:rPr>
          <w:szCs w:val="22"/>
        </w:rPr>
        <w:t>ations Bureau, at (202) 418-0609</w:t>
      </w:r>
      <w:r>
        <w:rPr>
          <w:szCs w:val="22"/>
        </w:rPr>
        <w:t>, or Kate Matraves, Competition and Infrastructure Policy Division, Wireless Telecommunications Bureau, at (202) 391-6272.</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1B" w:rsidRDefault="00856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1D5DE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1B" w:rsidRDefault="0085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rsidR="00A65B09">
        <w:t xml:space="preserve"> 47 U.S.C. § 310(d).</w:t>
      </w:r>
    </w:p>
  </w:footnote>
  <w:footnote w:id="2">
    <w:p w:rsidR="00E86F74" w:rsidRPr="006900DC" w:rsidRDefault="00E86F74" w:rsidP="00E86F74">
      <w:pPr>
        <w:pStyle w:val="FootnoteText"/>
      </w:pPr>
      <w:r w:rsidRPr="006900DC">
        <w:rPr>
          <w:rStyle w:val="FootnoteReference"/>
        </w:rPr>
        <w:footnoteRef/>
      </w:r>
      <w:r w:rsidRPr="006900DC">
        <w:t xml:space="preserve"> </w:t>
      </w:r>
      <w:r w:rsidRPr="001431A9">
        <w:rPr>
          <w:i/>
        </w:rPr>
        <w:t>Policies Regarding Mobile Spectrum Holdings; Expanding the Economic and Innovation Opportunities of Spectrum Through Incentive Auctions</w:t>
      </w:r>
      <w:r w:rsidRPr="006900DC">
        <w:t xml:space="preserve">, WT Docket No. 12-269, GN Docket No. 12-268, </w:t>
      </w:r>
      <w:r w:rsidRPr="001431A9">
        <w:t>Report and Order</w:t>
      </w:r>
      <w:r w:rsidRPr="006900DC">
        <w:t xml:space="preserve">, </w:t>
      </w:r>
      <w:r>
        <w:t>29 FCC 6133, 6240, paras.</w:t>
      </w:r>
      <w:r w:rsidRPr="006900DC">
        <w:t xml:space="preserve"> 286-88 (2014) (</w:t>
      </w:r>
      <w:r w:rsidRPr="006900DC">
        <w:rPr>
          <w:i/>
        </w:rPr>
        <w:t>Mobile Spectrum Holdings Report and Order</w:t>
      </w:r>
      <w:r w:rsidRPr="002A4C4D">
        <w:t>)</w:t>
      </w:r>
      <w:r>
        <w:rPr>
          <w:color w:val="010101"/>
        </w:rPr>
        <w:t xml:space="preserve">, </w:t>
      </w:r>
      <w:r w:rsidRPr="00D4063C">
        <w:rPr>
          <w:i/>
          <w:color w:val="010101"/>
        </w:rPr>
        <w:t>recon. denied</w:t>
      </w:r>
      <w:r>
        <w:rPr>
          <w:color w:val="010101"/>
        </w:rPr>
        <w:t xml:space="preserve">, </w:t>
      </w:r>
      <w:r w:rsidRPr="00F96539">
        <w:rPr>
          <w:color w:val="010101"/>
        </w:rPr>
        <w:t>Order on Reconsideration</w:t>
      </w:r>
      <w:r>
        <w:rPr>
          <w:color w:val="010101"/>
        </w:rPr>
        <w:t>, 30 FCC Rcd 8635 (2015).</w:t>
      </w:r>
    </w:p>
  </w:footnote>
  <w:footnote w:id="3">
    <w:p w:rsidR="00E86F74" w:rsidRPr="006900DC" w:rsidRDefault="00E86F74" w:rsidP="00E86F74">
      <w:pPr>
        <w:pStyle w:val="FootnoteText"/>
      </w:pPr>
      <w:r w:rsidRPr="006900DC">
        <w:rPr>
          <w:rStyle w:val="FootnoteReference"/>
        </w:rPr>
        <w:footnoteRef/>
      </w:r>
      <w:r w:rsidRPr="006900DC">
        <w:t xml:space="preserve"> </w:t>
      </w:r>
      <w:r w:rsidRPr="006900DC">
        <w:rPr>
          <w:i/>
        </w:rPr>
        <w:t>Mobile Spectrum Holdings Report and Order</w:t>
      </w:r>
      <w:r w:rsidRPr="0013125C">
        <w:t>, 29 FCC at 6240</w:t>
      </w:r>
      <w:r>
        <w:t>, para.</w:t>
      </w:r>
      <w:r w:rsidRPr="0013125C">
        <w:t xml:space="preserve"> 287</w:t>
      </w:r>
      <w:r w:rsidRPr="006900DC">
        <w:t>.</w:t>
      </w:r>
    </w:p>
  </w:footnote>
  <w:footnote w:id="4">
    <w:p w:rsidR="00144BD1" w:rsidRPr="00144BD1" w:rsidRDefault="00144BD1" w:rsidP="00144BD1">
      <w:pPr>
        <w:spacing w:after="120"/>
        <w:rPr>
          <w:sz w:val="20"/>
          <w:lang w:val="pt-BR"/>
        </w:rPr>
      </w:pPr>
      <w:r w:rsidRPr="00144BD1">
        <w:rPr>
          <w:rStyle w:val="FootnoteReference"/>
          <w:sz w:val="20"/>
        </w:rPr>
        <w:footnoteRef/>
      </w:r>
      <w:r w:rsidR="009033E6">
        <w:rPr>
          <w:sz w:val="20"/>
          <w:lang w:val="pt-BR"/>
        </w:rPr>
        <w:t xml:space="preserve"> 47 CF</w:t>
      </w:r>
      <w:r w:rsidR="00D12966">
        <w:rPr>
          <w:sz w:val="20"/>
          <w:lang w:val="pt-BR"/>
        </w:rPr>
        <w:t>R</w:t>
      </w:r>
      <w:r w:rsidRPr="00144BD1">
        <w:rPr>
          <w:sz w:val="20"/>
          <w:lang w:val="pt-BR"/>
        </w:rPr>
        <w:t xml:space="preserve"> § 1.1200(a).</w:t>
      </w:r>
    </w:p>
  </w:footnote>
  <w:footnote w:id="5">
    <w:p w:rsidR="00144BD1" w:rsidRDefault="00144BD1" w:rsidP="00144BD1">
      <w:pPr>
        <w:pStyle w:val="FootnoteText"/>
      </w:pPr>
      <w:r>
        <w:rPr>
          <w:rStyle w:val="FootnoteReference"/>
        </w:rPr>
        <w:footnoteRef/>
      </w:r>
      <w:r w:rsidR="009033E6">
        <w:t xml:space="preserve"> 47 CFR</w:t>
      </w:r>
      <w:r>
        <w:t xml:space="preserve"> § 1.1206.</w:t>
      </w:r>
    </w:p>
  </w:footnote>
  <w:footnote w:id="6">
    <w:p w:rsidR="00144BD1" w:rsidRDefault="00144BD1" w:rsidP="00144BD1">
      <w:pPr>
        <w:pStyle w:val="FootnoteText"/>
      </w:pPr>
      <w:r>
        <w:rPr>
          <w:rStyle w:val="FootnoteReference"/>
        </w:rPr>
        <w:footnoteRef/>
      </w:r>
      <w:r w:rsidR="009033E6">
        <w:t xml:space="preserve"> 47 CFR</w:t>
      </w:r>
      <w:r>
        <w:t xml:space="preserve"> § 1.1206(b)(1).</w:t>
      </w:r>
    </w:p>
  </w:footnote>
  <w:footnote w:id="7">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8">
    <w:p w:rsidR="00144BD1" w:rsidRDefault="00144BD1" w:rsidP="00144BD1">
      <w:pPr>
        <w:pStyle w:val="FootnoteText"/>
      </w:pPr>
      <w:r>
        <w:rPr>
          <w:rStyle w:val="FootnoteReference"/>
        </w:rPr>
        <w:footnoteRef/>
      </w:r>
      <w:r>
        <w:t xml:space="preserve"> </w:t>
      </w:r>
      <w:r w:rsidRPr="00984C82">
        <w:t>47</w:t>
      </w:r>
      <w:r w:rsidR="009033E6">
        <w:t xml:space="preserve"> CFR</w:t>
      </w:r>
      <w:r>
        <w:t xml:space="preserve"> § 1.1206(b).</w:t>
      </w:r>
    </w:p>
  </w:footnote>
  <w:footnote w:id="9">
    <w:p w:rsidR="00144BD1" w:rsidRDefault="00144BD1" w:rsidP="00144BD1">
      <w:pPr>
        <w:pStyle w:val="FootnoteText"/>
      </w:pPr>
      <w:r>
        <w:rPr>
          <w:rStyle w:val="FootnoteReference"/>
        </w:rPr>
        <w:footnoteRef/>
      </w:r>
      <w:r w:rsidR="009033E6">
        <w:t xml:space="preserve"> 47 CFR</w:t>
      </w:r>
      <w:r>
        <w:t xml:space="preserve"> § 1.45(c).</w:t>
      </w:r>
    </w:p>
  </w:footnote>
  <w:footnote w:id="10">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1">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1B" w:rsidRDefault="0085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1B" w:rsidRDefault="00856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50CB7"/>
    <w:rsid w:val="000B654E"/>
    <w:rsid w:val="000D3979"/>
    <w:rsid w:val="000D5731"/>
    <w:rsid w:val="00112BBE"/>
    <w:rsid w:val="001179D3"/>
    <w:rsid w:val="001370AC"/>
    <w:rsid w:val="00144BD1"/>
    <w:rsid w:val="0017015E"/>
    <w:rsid w:val="001D2E9E"/>
    <w:rsid w:val="001D5DEC"/>
    <w:rsid w:val="001E09CB"/>
    <w:rsid w:val="001E3D08"/>
    <w:rsid w:val="001F3955"/>
    <w:rsid w:val="001F70E4"/>
    <w:rsid w:val="00235C25"/>
    <w:rsid w:val="00282594"/>
    <w:rsid w:val="002B1EF2"/>
    <w:rsid w:val="002B6478"/>
    <w:rsid w:val="002C3215"/>
    <w:rsid w:val="002E5169"/>
    <w:rsid w:val="00310E62"/>
    <w:rsid w:val="003378B4"/>
    <w:rsid w:val="003451CC"/>
    <w:rsid w:val="003C5B79"/>
    <w:rsid w:val="00532AA5"/>
    <w:rsid w:val="005377B1"/>
    <w:rsid w:val="005618BE"/>
    <w:rsid w:val="00590A5A"/>
    <w:rsid w:val="00595D32"/>
    <w:rsid w:val="00602577"/>
    <w:rsid w:val="00602DD9"/>
    <w:rsid w:val="006A0023"/>
    <w:rsid w:val="006B0B8D"/>
    <w:rsid w:val="006C4A65"/>
    <w:rsid w:val="006C79CB"/>
    <w:rsid w:val="006E6D3A"/>
    <w:rsid w:val="006F3CF2"/>
    <w:rsid w:val="00701D32"/>
    <w:rsid w:val="00706512"/>
    <w:rsid w:val="0075021A"/>
    <w:rsid w:val="007665F9"/>
    <w:rsid w:val="00767C6A"/>
    <w:rsid w:val="007A67C8"/>
    <w:rsid w:val="007B00E4"/>
    <w:rsid w:val="007B3539"/>
    <w:rsid w:val="007B79E1"/>
    <w:rsid w:val="00803125"/>
    <w:rsid w:val="00814061"/>
    <w:rsid w:val="0085631B"/>
    <w:rsid w:val="008979AB"/>
    <w:rsid w:val="008D11B9"/>
    <w:rsid w:val="008D1CA6"/>
    <w:rsid w:val="008D2D34"/>
    <w:rsid w:val="008D3976"/>
    <w:rsid w:val="008F6D81"/>
    <w:rsid w:val="009033E6"/>
    <w:rsid w:val="00905DC0"/>
    <w:rsid w:val="00923A25"/>
    <w:rsid w:val="009424CB"/>
    <w:rsid w:val="00946884"/>
    <w:rsid w:val="00954718"/>
    <w:rsid w:val="00985B6C"/>
    <w:rsid w:val="009941B5"/>
    <w:rsid w:val="009E6BF1"/>
    <w:rsid w:val="009F23A9"/>
    <w:rsid w:val="00A36F1E"/>
    <w:rsid w:val="00A3716E"/>
    <w:rsid w:val="00A65B09"/>
    <w:rsid w:val="00AA51EF"/>
    <w:rsid w:val="00AF63AF"/>
    <w:rsid w:val="00B10477"/>
    <w:rsid w:val="00B44551"/>
    <w:rsid w:val="00B5085D"/>
    <w:rsid w:val="00B50AFA"/>
    <w:rsid w:val="00B63AD7"/>
    <w:rsid w:val="00BB493B"/>
    <w:rsid w:val="00BC47CF"/>
    <w:rsid w:val="00BD16C8"/>
    <w:rsid w:val="00BE0A82"/>
    <w:rsid w:val="00BF6E8C"/>
    <w:rsid w:val="00BF7452"/>
    <w:rsid w:val="00C11519"/>
    <w:rsid w:val="00C14A30"/>
    <w:rsid w:val="00CB040C"/>
    <w:rsid w:val="00CB6AF4"/>
    <w:rsid w:val="00CD20F2"/>
    <w:rsid w:val="00CF1545"/>
    <w:rsid w:val="00CF480D"/>
    <w:rsid w:val="00D06DBB"/>
    <w:rsid w:val="00D07B74"/>
    <w:rsid w:val="00D12966"/>
    <w:rsid w:val="00D17DC0"/>
    <w:rsid w:val="00D2425F"/>
    <w:rsid w:val="00D545BB"/>
    <w:rsid w:val="00D60EFF"/>
    <w:rsid w:val="00D65034"/>
    <w:rsid w:val="00DD62EB"/>
    <w:rsid w:val="00E25100"/>
    <w:rsid w:val="00E72D84"/>
    <w:rsid w:val="00E83214"/>
    <w:rsid w:val="00E83508"/>
    <w:rsid w:val="00E86F74"/>
    <w:rsid w:val="00EA506D"/>
    <w:rsid w:val="00EE70F7"/>
    <w:rsid w:val="00F00C1B"/>
    <w:rsid w:val="00F74333"/>
    <w:rsid w:val="00F8410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1298</Words>
  <Characters>7413</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2017-02-08T17:01:00Z</dcterms:created>
  <dcterms:modified xsi:type="dcterms:W3CDTF">2017-02-08T17:01:00Z</dcterms:modified>
  <cp:category> </cp:category>
  <cp:contentStatus> </cp:contentStatus>
</cp:coreProperties>
</file>