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2C5D8"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014CD899" w14:textId="77777777" w:rsidR="00921803" w:rsidRDefault="00921803" w:rsidP="00921803">
      <w:pPr>
        <w:pStyle w:val="StyleBoldCentered"/>
      </w:pPr>
      <w:r>
        <w:t>F</w:t>
      </w:r>
      <w:r>
        <w:rPr>
          <w:caps w:val="0"/>
        </w:rPr>
        <w:t>ederal Communications Commission</w:t>
      </w:r>
    </w:p>
    <w:p w14:paraId="7C1E130F" w14:textId="77777777" w:rsidR="004C2EE3" w:rsidRDefault="00810B6F" w:rsidP="00096D8C">
      <w:pPr>
        <w:pStyle w:val="StyleBoldCentered"/>
      </w:pPr>
      <w:r>
        <w:rPr>
          <w:caps w:val="0"/>
        </w:rPr>
        <w:t>Washington, D.C. 20554</w:t>
      </w:r>
    </w:p>
    <w:p w14:paraId="28CE3078" w14:textId="77777777" w:rsidR="004C2EE3" w:rsidRDefault="004C2EE3" w:rsidP="0070224F"/>
    <w:p w14:paraId="092640F1" w14:textId="77777777" w:rsidR="004C2EE3" w:rsidRDefault="004C2EE3" w:rsidP="0070224F"/>
    <w:tbl>
      <w:tblPr>
        <w:tblW w:w="9333" w:type="dxa"/>
        <w:tblLayout w:type="fixed"/>
        <w:tblLook w:val="0000" w:firstRow="0" w:lastRow="0" w:firstColumn="0" w:lastColumn="0" w:noHBand="0" w:noVBand="0"/>
      </w:tblPr>
      <w:tblGrid>
        <w:gridCol w:w="4579"/>
        <w:gridCol w:w="614"/>
        <w:gridCol w:w="4140"/>
      </w:tblGrid>
      <w:tr w:rsidR="004C2EE3" w14:paraId="1132A563" w14:textId="77777777" w:rsidTr="009777A8">
        <w:trPr>
          <w:trHeight w:val="823"/>
        </w:trPr>
        <w:tc>
          <w:tcPr>
            <w:tcW w:w="4579" w:type="dxa"/>
          </w:tcPr>
          <w:p w14:paraId="1B960CC2" w14:textId="77777777" w:rsidR="004C2EE3" w:rsidRDefault="004C2EE3" w:rsidP="009777A8">
            <w:pPr>
              <w:tabs>
                <w:tab w:val="center" w:pos="4680"/>
              </w:tabs>
              <w:suppressAutoHyphens/>
              <w:ind w:left="-108"/>
              <w:rPr>
                <w:spacing w:val="-2"/>
              </w:rPr>
            </w:pPr>
            <w:r>
              <w:rPr>
                <w:spacing w:val="-2"/>
              </w:rPr>
              <w:t>In the Matter of</w:t>
            </w:r>
          </w:p>
          <w:p w14:paraId="66743296" w14:textId="77777777" w:rsidR="004C2EE3" w:rsidRDefault="004C2EE3" w:rsidP="009777A8">
            <w:pPr>
              <w:tabs>
                <w:tab w:val="center" w:pos="4680"/>
              </w:tabs>
              <w:suppressAutoHyphens/>
              <w:ind w:left="-108"/>
              <w:rPr>
                <w:spacing w:val="-2"/>
              </w:rPr>
            </w:pPr>
          </w:p>
          <w:p w14:paraId="12C5829B" w14:textId="77777777" w:rsidR="004C2EE3" w:rsidRDefault="006B5E15" w:rsidP="009777A8">
            <w:pPr>
              <w:tabs>
                <w:tab w:val="center" w:pos="4680"/>
              </w:tabs>
              <w:suppressAutoHyphens/>
              <w:ind w:left="-108"/>
              <w:rPr>
                <w:spacing w:val="-2"/>
              </w:rPr>
            </w:pPr>
            <w:r>
              <w:rPr>
                <w:spacing w:val="-2"/>
              </w:rPr>
              <w:t>Technology Transitions</w:t>
            </w:r>
          </w:p>
          <w:p w14:paraId="756CC71B" w14:textId="2702D112" w:rsidR="00907B3F" w:rsidRDefault="00907B3F" w:rsidP="009777A8">
            <w:pPr>
              <w:tabs>
                <w:tab w:val="center" w:pos="4680"/>
              </w:tabs>
              <w:suppressAutoHyphens/>
              <w:ind w:left="-108"/>
              <w:rPr>
                <w:spacing w:val="-2"/>
              </w:rPr>
            </w:pPr>
          </w:p>
          <w:p w14:paraId="4A046E28" w14:textId="7356ED7F" w:rsidR="00907B3F" w:rsidRDefault="005D404F" w:rsidP="009777A8">
            <w:pPr>
              <w:tabs>
                <w:tab w:val="center" w:pos="4680"/>
              </w:tabs>
              <w:suppressAutoHyphens/>
              <w:ind w:left="-108"/>
              <w:rPr>
                <w:spacing w:val="-2"/>
              </w:rPr>
            </w:pPr>
            <w:r w:rsidRPr="005D404F">
              <w:rPr>
                <w:spacing w:val="-2"/>
              </w:rPr>
              <w:t>USTelecom Petition for Declaratory Ruling That Incumbent Local Exchange Carriers Are Non-Dominant in the Provision of Switched Access Services</w:t>
            </w:r>
          </w:p>
          <w:p w14:paraId="07FFD54C" w14:textId="77777777" w:rsidR="006B5E15" w:rsidRDefault="006B5E15" w:rsidP="009777A8">
            <w:pPr>
              <w:tabs>
                <w:tab w:val="center" w:pos="4680"/>
              </w:tabs>
              <w:suppressAutoHyphens/>
              <w:ind w:left="-108"/>
              <w:rPr>
                <w:spacing w:val="-2"/>
              </w:rPr>
            </w:pPr>
          </w:p>
          <w:p w14:paraId="50549920" w14:textId="68CB5C49" w:rsidR="005D404F" w:rsidRPr="007115F7" w:rsidRDefault="005D404F" w:rsidP="009777A8">
            <w:pPr>
              <w:tabs>
                <w:tab w:val="center" w:pos="4680"/>
              </w:tabs>
              <w:suppressAutoHyphens/>
              <w:ind w:left="-108"/>
              <w:rPr>
                <w:spacing w:val="-2"/>
              </w:rPr>
            </w:pPr>
            <w:r w:rsidRPr="005D404F">
              <w:rPr>
                <w:spacing w:val="-2"/>
              </w:rPr>
              <w:t>Policies and Rules Governing Retirement Of Copper Loops by Incumbent Local Exchange Carriers</w:t>
            </w:r>
          </w:p>
        </w:tc>
        <w:tc>
          <w:tcPr>
            <w:tcW w:w="614" w:type="dxa"/>
          </w:tcPr>
          <w:p w14:paraId="58833B5D" w14:textId="02CE7D9C" w:rsidR="004C2EE3" w:rsidRDefault="004C2EE3">
            <w:pPr>
              <w:tabs>
                <w:tab w:val="center" w:pos="4680"/>
              </w:tabs>
              <w:suppressAutoHyphens/>
              <w:rPr>
                <w:b/>
                <w:spacing w:val="-2"/>
              </w:rPr>
            </w:pPr>
            <w:r>
              <w:rPr>
                <w:b/>
                <w:spacing w:val="-2"/>
              </w:rPr>
              <w:t>)</w:t>
            </w:r>
          </w:p>
          <w:p w14:paraId="3D89375A" w14:textId="77777777" w:rsidR="004C2EE3" w:rsidRDefault="004C2EE3">
            <w:pPr>
              <w:tabs>
                <w:tab w:val="center" w:pos="4680"/>
              </w:tabs>
              <w:suppressAutoHyphens/>
              <w:rPr>
                <w:b/>
                <w:spacing w:val="-2"/>
              </w:rPr>
            </w:pPr>
            <w:r>
              <w:rPr>
                <w:b/>
                <w:spacing w:val="-2"/>
              </w:rPr>
              <w:t>)</w:t>
            </w:r>
          </w:p>
          <w:p w14:paraId="541D45FF" w14:textId="77777777" w:rsidR="004C2EE3" w:rsidRDefault="004C2EE3">
            <w:pPr>
              <w:tabs>
                <w:tab w:val="center" w:pos="4680"/>
              </w:tabs>
              <w:suppressAutoHyphens/>
              <w:rPr>
                <w:b/>
                <w:spacing w:val="-2"/>
              </w:rPr>
            </w:pPr>
            <w:r>
              <w:rPr>
                <w:b/>
                <w:spacing w:val="-2"/>
              </w:rPr>
              <w:t>)</w:t>
            </w:r>
          </w:p>
          <w:p w14:paraId="59E69DBF" w14:textId="77777777" w:rsidR="006B5E15" w:rsidRDefault="0013613A">
            <w:pPr>
              <w:tabs>
                <w:tab w:val="center" w:pos="4680"/>
              </w:tabs>
              <w:suppressAutoHyphens/>
              <w:rPr>
                <w:spacing w:val="-2"/>
              </w:rPr>
            </w:pPr>
            <w:r>
              <w:rPr>
                <w:spacing w:val="-2"/>
              </w:rPr>
              <w:t>)</w:t>
            </w:r>
          </w:p>
          <w:p w14:paraId="2D071239" w14:textId="77777777" w:rsidR="0013613A" w:rsidRDefault="0013613A">
            <w:pPr>
              <w:tabs>
                <w:tab w:val="center" w:pos="4680"/>
              </w:tabs>
              <w:suppressAutoHyphens/>
              <w:rPr>
                <w:spacing w:val="-2"/>
              </w:rPr>
            </w:pPr>
            <w:r>
              <w:rPr>
                <w:spacing w:val="-2"/>
              </w:rPr>
              <w:t>)</w:t>
            </w:r>
          </w:p>
          <w:p w14:paraId="1B32551A" w14:textId="77777777" w:rsidR="0013613A" w:rsidRDefault="0013613A">
            <w:pPr>
              <w:tabs>
                <w:tab w:val="center" w:pos="4680"/>
              </w:tabs>
              <w:suppressAutoHyphens/>
              <w:rPr>
                <w:spacing w:val="-2"/>
              </w:rPr>
            </w:pPr>
            <w:r>
              <w:rPr>
                <w:spacing w:val="-2"/>
              </w:rPr>
              <w:t>)</w:t>
            </w:r>
          </w:p>
          <w:p w14:paraId="63288FC6" w14:textId="77777777" w:rsidR="005D404F" w:rsidRDefault="005D404F">
            <w:pPr>
              <w:tabs>
                <w:tab w:val="center" w:pos="4680"/>
              </w:tabs>
              <w:suppressAutoHyphens/>
              <w:rPr>
                <w:spacing w:val="-2"/>
              </w:rPr>
            </w:pPr>
            <w:r>
              <w:rPr>
                <w:spacing w:val="-2"/>
              </w:rPr>
              <w:t>)</w:t>
            </w:r>
          </w:p>
          <w:p w14:paraId="26207E17" w14:textId="47FF2EC9" w:rsidR="005D404F" w:rsidRDefault="005D404F">
            <w:pPr>
              <w:tabs>
                <w:tab w:val="center" w:pos="4680"/>
              </w:tabs>
              <w:suppressAutoHyphens/>
              <w:rPr>
                <w:spacing w:val="-2"/>
              </w:rPr>
            </w:pPr>
            <w:r>
              <w:rPr>
                <w:spacing w:val="-2"/>
              </w:rPr>
              <w:t>)</w:t>
            </w:r>
          </w:p>
          <w:p w14:paraId="4E5E1886" w14:textId="77777777" w:rsidR="005D404F" w:rsidRDefault="005D404F">
            <w:pPr>
              <w:tabs>
                <w:tab w:val="center" w:pos="4680"/>
              </w:tabs>
              <w:suppressAutoHyphens/>
              <w:rPr>
                <w:spacing w:val="-2"/>
              </w:rPr>
            </w:pPr>
            <w:r>
              <w:rPr>
                <w:spacing w:val="-2"/>
              </w:rPr>
              <w:t>)</w:t>
            </w:r>
          </w:p>
          <w:p w14:paraId="0ADFB402" w14:textId="77777777" w:rsidR="005D404F" w:rsidRDefault="005D404F">
            <w:pPr>
              <w:tabs>
                <w:tab w:val="center" w:pos="4680"/>
              </w:tabs>
              <w:suppressAutoHyphens/>
              <w:rPr>
                <w:spacing w:val="-2"/>
              </w:rPr>
            </w:pPr>
            <w:r>
              <w:rPr>
                <w:spacing w:val="-2"/>
              </w:rPr>
              <w:t>)</w:t>
            </w:r>
          </w:p>
          <w:p w14:paraId="5D1BF09E" w14:textId="312232B3" w:rsidR="005D404F" w:rsidRDefault="005D404F">
            <w:pPr>
              <w:tabs>
                <w:tab w:val="center" w:pos="4680"/>
              </w:tabs>
              <w:suppressAutoHyphens/>
              <w:rPr>
                <w:spacing w:val="-2"/>
              </w:rPr>
            </w:pPr>
            <w:r>
              <w:rPr>
                <w:spacing w:val="-2"/>
              </w:rPr>
              <w:t>)</w:t>
            </w:r>
          </w:p>
          <w:p w14:paraId="54FEDC0E" w14:textId="77777777" w:rsidR="0013613A" w:rsidRDefault="0013613A">
            <w:pPr>
              <w:tabs>
                <w:tab w:val="center" w:pos="4680"/>
              </w:tabs>
              <w:suppressAutoHyphens/>
              <w:rPr>
                <w:spacing w:val="-2"/>
              </w:rPr>
            </w:pPr>
            <w:r>
              <w:rPr>
                <w:spacing w:val="-2"/>
              </w:rPr>
              <w:t>)</w:t>
            </w:r>
          </w:p>
          <w:p w14:paraId="68E2272E" w14:textId="742ACE7C" w:rsidR="005D404F" w:rsidRDefault="005D404F">
            <w:pPr>
              <w:tabs>
                <w:tab w:val="center" w:pos="4680"/>
              </w:tabs>
              <w:suppressAutoHyphens/>
              <w:rPr>
                <w:spacing w:val="-2"/>
              </w:rPr>
            </w:pPr>
          </w:p>
          <w:p w14:paraId="6E746B49" w14:textId="7F3E7CFA" w:rsidR="0013613A" w:rsidRDefault="0013613A">
            <w:pPr>
              <w:tabs>
                <w:tab w:val="center" w:pos="4680"/>
              </w:tabs>
              <w:suppressAutoHyphens/>
              <w:rPr>
                <w:spacing w:val="-2"/>
              </w:rPr>
            </w:pPr>
          </w:p>
        </w:tc>
        <w:tc>
          <w:tcPr>
            <w:tcW w:w="4140" w:type="dxa"/>
          </w:tcPr>
          <w:p w14:paraId="0344B5CD" w14:textId="77777777" w:rsidR="004C2EE3" w:rsidRDefault="004C2EE3">
            <w:pPr>
              <w:tabs>
                <w:tab w:val="center" w:pos="4680"/>
              </w:tabs>
              <w:suppressAutoHyphens/>
              <w:rPr>
                <w:spacing w:val="-2"/>
              </w:rPr>
            </w:pPr>
          </w:p>
          <w:p w14:paraId="7DFF2AB2" w14:textId="77777777" w:rsidR="004C2EE3" w:rsidRDefault="004C2EE3">
            <w:pPr>
              <w:pStyle w:val="TOAHeading"/>
              <w:tabs>
                <w:tab w:val="clear" w:pos="9360"/>
                <w:tab w:val="center" w:pos="4680"/>
              </w:tabs>
              <w:rPr>
                <w:spacing w:val="-2"/>
              </w:rPr>
            </w:pPr>
          </w:p>
          <w:p w14:paraId="4115FBD5" w14:textId="77777777" w:rsidR="004C2EE3" w:rsidRDefault="006B5E15" w:rsidP="009777A8">
            <w:pPr>
              <w:tabs>
                <w:tab w:val="center" w:pos="4680"/>
              </w:tabs>
              <w:suppressAutoHyphens/>
              <w:ind w:left="-81"/>
              <w:rPr>
                <w:spacing w:val="-2"/>
              </w:rPr>
            </w:pPr>
            <w:r>
              <w:rPr>
                <w:spacing w:val="-2"/>
              </w:rPr>
              <w:t>GN Docket No. 13-5</w:t>
            </w:r>
          </w:p>
          <w:p w14:paraId="3F9B0A78" w14:textId="5EA912E1" w:rsidR="0013613A" w:rsidRDefault="0013613A" w:rsidP="009777A8">
            <w:pPr>
              <w:tabs>
                <w:tab w:val="center" w:pos="4680"/>
              </w:tabs>
              <w:suppressAutoHyphens/>
              <w:ind w:left="-81"/>
              <w:rPr>
                <w:spacing w:val="-2"/>
              </w:rPr>
            </w:pPr>
          </w:p>
          <w:p w14:paraId="529FFC90" w14:textId="77777777" w:rsidR="0013613A" w:rsidRDefault="0013613A" w:rsidP="009777A8">
            <w:pPr>
              <w:tabs>
                <w:tab w:val="center" w:pos="4680"/>
              </w:tabs>
              <w:suppressAutoHyphens/>
              <w:ind w:left="-81"/>
              <w:rPr>
                <w:spacing w:val="-2"/>
              </w:rPr>
            </w:pPr>
            <w:r>
              <w:rPr>
                <w:spacing w:val="-2"/>
              </w:rPr>
              <w:t>WC Docket No. 13-3</w:t>
            </w:r>
          </w:p>
          <w:p w14:paraId="693FC867" w14:textId="77777777" w:rsidR="0013613A" w:rsidRDefault="0013613A" w:rsidP="009777A8">
            <w:pPr>
              <w:tabs>
                <w:tab w:val="center" w:pos="4680"/>
              </w:tabs>
              <w:suppressAutoHyphens/>
              <w:ind w:left="-81"/>
              <w:rPr>
                <w:spacing w:val="-2"/>
              </w:rPr>
            </w:pPr>
          </w:p>
          <w:p w14:paraId="23B2BDD9" w14:textId="77777777" w:rsidR="005D404F" w:rsidRDefault="005D404F" w:rsidP="009777A8">
            <w:pPr>
              <w:tabs>
                <w:tab w:val="center" w:pos="4680"/>
              </w:tabs>
              <w:suppressAutoHyphens/>
              <w:ind w:left="-81"/>
              <w:rPr>
                <w:spacing w:val="-2"/>
              </w:rPr>
            </w:pPr>
          </w:p>
          <w:p w14:paraId="1B29E5BB" w14:textId="77777777" w:rsidR="005D404F" w:rsidRDefault="005D404F" w:rsidP="009777A8">
            <w:pPr>
              <w:tabs>
                <w:tab w:val="center" w:pos="4680"/>
              </w:tabs>
              <w:suppressAutoHyphens/>
              <w:ind w:left="-81"/>
              <w:rPr>
                <w:spacing w:val="-2"/>
              </w:rPr>
            </w:pPr>
          </w:p>
          <w:p w14:paraId="315EFDBE" w14:textId="77777777" w:rsidR="005D404F" w:rsidRDefault="005D404F" w:rsidP="009777A8">
            <w:pPr>
              <w:tabs>
                <w:tab w:val="center" w:pos="4680"/>
              </w:tabs>
              <w:suppressAutoHyphens/>
              <w:ind w:left="-81"/>
              <w:rPr>
                <w:spacing w:val="-2"/>
              </w:rPr>
            </w:pPr>
          </w:p>
          <w:p w14:paraId="6F2F9AC0" w14:textId="77777777" w:rsidR="0013613A" w:rsidRDefault="0013613A" w:rsidP="009777A8">
            <w:pPr>
              <w:tabs>
                <w:tab w:val="center" w:pos="4680"/>
              </w:tabs>
              <w:suppressAutoHyphens/>
              <w:ind w:left="-81"/>
              <w:rPr>
                <w:spacing w:val="-2"/>
              </w:rPr>
            </w:pPr>
            <w:r>
              <w:rPr>
                <w:spacing w:val="-2"/>
              </w:rPr>
              <w:t>RM-11358</w:t>
            </w:r>
          </w:p>
          <w:p w14:paraId="410252E3" w14:textId="2F7CABDD" w:rsidR="006B5E15" w:rsidRDefault="006B5E15">
            <w:pPr>
              <w:tabs>
                <w:tab w:val="center" w:pos="4680"/>
              </w:tabs>
              <w:suppressAutoHyphens/>
              <w:rPr>
                <w:spacing w:val="-2"/>
              </w:rPr>
            </w:pPr>
          </w:p>
        </w:tc>
      </w:tr>
    </w:tbl>
    <w:p w14:paraId="08542662" w14:textId="4792060E" w:rsidR="00841AB1" w:rsidRDefault="009777A8" w:rsidP="00F021FA">
      <w:pPr>
        <w:pStyle w:val="StyleBoldCentered"/>
      </w:pPr>
      <w:r>
        <w:t>Ord</w:t>
      </w:r>
      <w:r w:rsidR="00DB3E4F">
        <w:t>er</w:t>
      </w:r>
    </w:p>
    <w:p w14:paraId="1F513D38" w14:textId="77777777" w:rsidR="004C2EE3" w:rsidRDefault="004C2EE3">
      <w:pPr>
        <w:tabs>
          <w:tab w:val="left" w:pos="-720"/>
        </w:tabs>
        <w:suppressAutoHyphens/>
        <w:spacing w:line="227" w:lineRule="auto"/>
        <w:rPr>
          <w:spacing w:val="-2"/>
        </w:rPr>
      </w:pPr>
    </w:p>
    <w:p w14:paraId="0AA648FE" w14:textId="737FD6F2" w:rsidR="004C2EE3" w:rsidRDefault="004C2EE3" w:rsidP="00133F79">
      <w:pPr>
        <w:tabs>
          <w:tab w:val="left" w:pos="720"/>
          <w:tab w:val="right" w:pos="9360"/>
        </w:tabs>
        <w:suppressAutoHyphens/>
        <w:spacing w:line="227" w:lineRule="auto"/>
        <w:rPr>
          <w:spacing w:val="-2"/>
        </w:rPr>
      </w:pPr>
      <w:r>
        <w:rPr>
          <w:b/>
          <w:spacing w:val="-2"/>
        </w:rPr>
        <w:t xml:space="preserve">Adopted:  </w:t>
      </w:r>
      <w:r w:rsidR="008748F2">
        <w:rPr>
          <w:b/>
          <w:spacing w:val="-2"/>
        </w:rPr>
        <w:t>February 10,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748F2">
        <w:rPr>
          <w:b/>
          <w:spacing w:val="-2"/>
        </w:rPr>
        <w:t>February 10, 2017</w:t>
      </w:r>
    </w:p>
    <w:p w14:paraId="284ADBDE" w14:textId="77777777" w:rsidR="00822CE0" w:rsidRDefault="00822CE0"/>
    <w:p w14:paraId="5AE191D6" w14:textId="1B71630F" w:rsidR="004C2EE3" w:rsidRDefault="004C2EE3">
      <w:pPr>
        <w:rPr>
          <w:spacing w:val="-2"/>
        </w:rPr>
      </w:pPr>
      <w:r>
        <w:t xml:space="preserve">By </w:t>
      </w:r>
      <w:r w:rsidR="004E4A22">
        <w:t>the</w:t>
      </w:r>
      <w:r w:rsidR="002A2D2E">
        <w:t xml:space="preserve"> </w:t>
      </w:r>
      <w:r w:rsidR="006B5E15">
        <w:rPr>
          <w:spacing w:val="-2"/>
        </w:rPr>
        <w:t xml:space="preserve">Chief, </w:t>
      </w:r>
      <w:r w:rsidR="00810A74">
        <w:rPr>
          <w:spacing w:val="-2"/>
        </w:rPr>
        <w:t>Competition Policy Division</w:t>
      </w:r>
      <w:r>
        <w:rPr>
          <w:spacing w:val="-2"/>
        </w:rPr>
        <w:t>:</w:t>
      </w:r>
    </w:p>
    <w:p w14:paraId="0526AC3A" w14:textId="2335E039" w:rsidR="002C00E8" w:rsidRDefault="002C00E8" w:rsidP="004450CE">
      <w:pPr>
        <w:pStyle w:val="Heading1"/>
        <w:numPr>
          <w:ilvl w:val="0"/>
          <w:numId w:val="0"/>
        </w:numPr>
      </w:pPr>
    </w:p>
    <w:p w14:paraId="6FE6AFBF" w14:textId="28C4C7EE" w:rsidR="0088422B" w:rsidRDefault="006B5E15" w:rsidP="00760545">
      <w:pPr>
        <w:pStyle w:val="ParaNum"/>
        <w:widowControl/>
      </w:pPr>
      <w:r>
        <w:t xml:space="preserve">In this Order, the </w:t>
      </w:r>
      <w:r w:rsidR="00810A74">
        <w:t>Competition Policy Division</w:t>
      </w:r>
      <w:r>
        <w:t xml:space="preserve"> (</w:t>
      </w:r>
      <w:r w:rsidR="00810A74">
        <w:t>Division</w:t>
      </w:r>
      <w:r>
        <w:t>)</w:t>
      </w:r>
      <w:r w:rsidR="0004413B">
        <w:t xml:space="preserve"> of the Wireline Competition Bureau</w:t>
      </w:r>
      <w:r>
        <w:t xml:space="preserve"> </w:t>
      </w:r>
      <w:r w:rsidR="00EF12B5">
        <w:t xml:space="preserve">clarifies the means by which </w:t>
      </w:r>
      <w:r w:rsidR="00856414">
        <w:t xml:space="preserve">incumbent local exchange </w:t>
      </w:r>
      <w:r w:rsidR="00EF12B5">
        <w:t>carriers</w:t>
      </w:r>
      <w:r w:rsidR="00751A07">
        <w:t xml:space="preserve"> (LECs)</w:t>
      </w:r>
      <w:r w:rsidR="00EF12B5">
        <w:t xml:space="preserve"> may provide interconnecting </w:t>
      </w:r>
      <w:r w:rsidR="00F941FC">
        <w:t xml:space="preserve">entities </w:t>
      </w:r>
      <w:r w:rsidR="00EF12B5">
        <w:t xml:space="preserve">and governmental </w:t>
      </w:r>
      <w:r w:rsidR="00F941FC">
        <w:t xml:space="preserve">authorities </w:t>
      </w:r>
      <w:r w:rsidR="00EF12B5">
        <w:t>with “cop[ies]” of copper retirement notices for purposes of Section 51.332</w:t>
      </w:r>
      <w:r w:rsidR="00376ADF">
        <w:t xml:space="preserve"> </w:t>
      </w:r>
      <w:r w:rsidR="00EF12B5">
        <w:t>of the rules.</w:t>
      </w:r>
      <w:r w:rsidR="00DB3E4F">
        <w:rPr>
          <w:rStyle w:val="FootnoteReference"/>
        </w:rPr>
        <w:footnoteReference w:id="2"/>
      </w:r>
      <w:r w:rsidR="00DB3E4F">
        <w:t xml:space="preserve"> </w:t>
      </w:r>
      <w:r w:rsidR="00376ADF">
        <w:t xml:space="preserve"> </w:t>
      </w:r>
      <w:r w:rsidR="00B21D1A">
        <w:t>Verizon</w:t>
      </w:r>
      <w:r w:rsidR="00856414">
        <w:t xml:space="preserve"> </w:t>
      </w:r>
      <w:r w:rsidR="006577E3">
        <w:t>filed a petition</w:t>
      </w:r>
      <w:r w:rsidR="008F5AA7">
        <w:rPr>
          <w:rStyle w:val="FootnoteReference"/>
        </w:rPr>
        <w:footnoteReference w:id="3"/>
      </w:r>
      <w:r w:rsidR="006577E3">
        <w:t xml:space="preserve"> seeking</w:t>
      </w:r>
      <w:r w:rsidR="00856414">
        <w:t xml:space="preserve"> clarification that a carrier can meet this obligation by providing paper copies that contain,</w:t>
      </w:r>
      <w:r w:rsidR="00B21D1A">
        <w:t xml:space="preserve"> in lieu of a printed list of affected addresses, a “hyperlink to a searchable online </w:t>
      </w:r>
      <w:r w:rsidR="00856414">
        <w:t>list of addresses or locations where copper is to be retired.”</w:t>
      </w:r>
      <w:r w:rsidR="006577E3">
        <w:rPr>
          <w:rStyle w:val="FootnoteReference"/>
        </w:rPr>
        <w:footnoteReference w:id="4"/>
      </w:r>
      <w:r w:rsidR="00856414">
        <w:t xml:space="preserve"> </w:t>
      </w:r>
      <w:r w:rsidR="009D560E">
        <w:t xml:space="preserve"> </w:t>
      </w:r>
      <w:r w:rsidR="006577E3">
        <w:t xml:space="preserve">As explained below, </w:t>
      </w:r>
      <w:r w:rsidR="00856414">
        <w:t>Verizon’s proposed cours</w:t>
      </w:r>
      <w:r w:rsidR="006577E3">
        <w:t xml:space="preserve">e of conduct satisfies the rule, and </w:t>
      </w:r>
      <w:r w:rsidR="00345B55">
        <w:t>the Division grants the petition</w:t>
      </w:r>
      <w:r w:rsidR="006577E3">
        <w:t>.</w:t>
      </w:r>
      <w:r w:rsidR="00D16E90">
        <w:rPr>
          <w:rStyle w:val="FootnoteReference"/>
        </w:rPr>
        <w:footnoteReference w:id="5"/>
      </w:r>
      <w:r w:rsidR="006577E3">
        <w:t xml:space="preserve"> </w:t>
      </w:r>
      <w:r w:rsidR="00856414">
        <w:t xml:space="preserve"> </w:t>
      </w:r>
    </w:p>
    <w:p w14:paraId="02B58370" w14:textId="60EA873C" w:rsidR="006577E3" w:rsidRDefault="002A0980" w:rsidP="00AA4660">
      <w:pPr>
        <w:pStyle w:val="ParaNum"/>
      </w:pPr>
      <w:r>
        <w:t xml:space="preserve">The Commission adopted the </w:t>
      </w:r>
      <w:r w:rsidR="006E7684">
        <w:t>copper retirement notification</w:t>
      </w:r>
      <w:r>
        <w:t xml:space="preserve"> rule in the </w:t>
      </w:r>
      <w:r w:rsidR="006C64B1">
        <w:rPr>
          <w:i/>
        </w:rPr>
        <w:t>Emerging Wireline Networks and Services Order</w:t>
      </w:r>
      <w:r>
        <w:t xml:space="preserve"> </w:t>
      </w:r>
      <w:r w:rsidR="00376ADF">
        <w:t>“</w:t>
      </w:r>
      <w:r>
        <w:t>to address the needs of competitive carriers for more robust notice of planned copper retirements.”</w:t>
      </w:r>
      <w:r>
        <w:rPr>
          <w:rStyle w:val="FootnoteReference"/>
        </w:rPr>
        <w:footnoteReference w:id="6"/>
      </w:r>
      <w:r>
        <w:t xml:space="preserve">  The</w:t>
      </w:r>
      <w:r w:rsidR="006C64B1">
        <w:t xml:space="preserve"> Commission intended this</w:t>
      </w:r>
      <w:r>
        <w:t xml:space="preserve"> </w:t>
      </w:r>
      <w:r w:rsidR="006E7684">
        <w:t xml:space="preserve">rule, in part, </w:t>
      </w:r>
      <w:r>
        <w:t xml:space="preserve">to “allow interconnecting entities to work more closely with their customers to ensure minimal disruption to service as a result of any planned copper retirements” </w:t>
      </w:r>
      <w:r w:rsidR="008B4D70">
        <w:t>through</w:t>
      </w:r>
      <w:r>
        <w:t xml:space="preserve"> a process </w:t>
      </w:r>
      <w:r w:rsidR="008B4D70">
        <w:t>that</w:t>
      </w:r>
      <w:r w:rsidR="006C64B1">
        <w:t xml:space="preserve"> it found</w:t>
      </w:r>
      <w:r w:rsidR="008B4D70">
        <w:t xml:space="preserve"> strikes </w:t>
      </w:r>
      <w:r>
        <w:t>“a sensible and fair balance between meeting the needs of interconnecting carriers and allowing incumbent LECs to manage their networks.”</w:t>
      </w:r>
      <w:r>
        <w:rPr>
          <w:rStyle w:val="FootnoteReference"/>
        </w:rPr>
        <w:footnoteReference w:id="7"/>
      </w:r>
      <w:r w:rsidR="00F941FC">
        <w:t xml:space="preserve"> </w:t>
      </w:r>
    </w:p>
    <w:p w14:paraId="1DC4BBFB" w14:textId="1CF65DB6" w:rsidR="006577E3" w:rsidRDefault="008B4D70" w:rsidP="006B5E15">
      <w:pPr>
        <w:pStyle w:val="ParaNum"/>
      </w:pPr>
      <w:r>
        <w:t xml:space="preserve">In its petition, </w:t>
      </w:r>
      <w:r w:rsidR="00D16E90">
        <w:t>Verizon explains that the</w:t>
      </w:r>
      <w:r w:rsidR="006577E3">
        <w:t xml:space="preserve"> p</w:t>
      </w:r>
      <w:r w:rsidR="00F941FC">
        <w:t>rinted</w:t>
      </w:r>
      <w:r w:rsidR="006577E3">
        <w:t xml:space="preserve"> list</w:t>
      </w:r>
      <w:r w:rsidR="00F941FC">
        <w:t xml:space="preserve"> of addresses</w:t>
      </w:r>
      <w:r w:rsidR="006577E3">
        <w:t xml:space="preserve"> </w:t>
      </w:r>
      <w:r w:rsidR="00F941FC">
        <w:t>it currently provides to interconnecting entities and governmental authorities as part of the “copy” of a copper retirement notice</w:t>
      </w:r>
      <w:r w:rsidR="006577E3">
        <w:t xml:space="preserve"> </w:t>
      </w:r>
      <w:r w:rsidR="00376ADF">
        <w:t xml:space="preserve">it files with the Commission </w:t>
      </w:r>
      <w:r w:rsidR="00F941FC">
        <w:t xml:space="preserve">is </w:t>
      </w:r>
      <w:r w:rsidR="006577E3">
        <w:t>“often unwieldy for interconnecting parties to search, and can significantly increase the costs of paper and postage.”</w:t>
      </w:r>
      <w:r w:rsidR="006577E3">
        <w:rPr>
          <w:rStyle w:val="FootnoteReference"/>
        </w:rPr>
        <w:footnoteReference w:id="8"/>
      </w:r>
      <w:r w:rsidR="006577E3">
        <w:t xml:space="preserve">  Verizon further represents that some recipients of these notices have asked for “searchable electronic documents to determine if they would be impacted by the copper retirement within a specific wire center” and others have “explained that paper copies were less convenient for their systems.”</w:t>
      </w:r>
      <w:r w:rsidR="006577E3">
        <w:rPr>
          <w:rStyle w:val="FootnoteReference"/>
        </w:rPr>
        <w:footnoteReference w:id="9"/>
      </w:r>
      <w:r w:rsidR="006577E3">
        <w:t xml:space="preserve"> </w:t>
      </w:r>
      <w:r>
        <w:t xml:space="preserve"> </w:t>
      </w:r>
      <w:r w:rsidR="006E6E9C">
        <w:t xml:space="preserve">Accordingly, Verizon seeks </w:t>
      </w:r>
      <w:r w:rsidR="006C64B1">
        <w:t xml:space="preserve">confirmation </w:t>
      </w:r>
      <w:r w:rsidR="006E6E9C">
        <w:t>that it can</w:t>
      </w:r>
      <w:r w:rsidR="00A1235B">
        <w:t xml:space="preserve"> modify its current practice by</w:t>
      </w:r>
      <w:r w:rsidR="006E6E9C">
        <w:t xml:space="preserve"> “provid</w:t>
      </w:r>
      <w:r w:rsidR="00A1235B">
        <w:t>ing</w:t>
      </w:r>
      <w:r w:rsidR="006E6E9C">
        <w:t xml:space="preserve"> a hyperlink to a searchable electronic list of addresses or locations where copper is to be retired” </w:t>
      </w:r>
      <w:r w:rsidR="009B6806">
        <w:t xml:space="preserve">but not listing </w:t>
      </w:r>
      <w:r w:rsidR="006E6E9C">
        <w:t>these</w:t>
      </w:r>
      <w:r w:rsidR="009B6806">
        <w:t xml:space="preserve"> addresses</w:t>
      </w:r>
      <w:r w:rsidR="006E6E9C">
        <w:t xml:space="preserve"> in the paper copy.</w:t>
      </w:r>
      <w:r w:rsidR="002517AB">
        <w:rPr>
          <w:rStyle w:val="FootnoteReference"/>
        </w:rPr>
        <w:footnoteReference w:id="10"/>
      </w:r>
      <w:r w:rsidR="00F941FC">
        <w:t xml:space="preserve"> </w:t>
      </w:r>
      <w:r w:rsidR="00A1235B">
        <w:t xml:space="preserve"> </w:t>
      </w:r>
      <w:r>
        <w:t>Verizon states that</w:t>
      </w:r>
      <w:r w:rsidR="00BF612C">
        <w:t xml:space="preserve"> </w:t>
      </w:r>
      <w:r w:rsidR="002517AB">
        <w:t>as part of this approach</w:t>
      </w:r>
      <w:r w:rsidR="00BF612C">
        <w:t xml:space="preserve"> it</w:t>
      </w:r>
      <w:r>
        <w:t xml:space="preserve"> “will provide each interconnecting entity with additional correspondence further discussing any impact to their specific circuits/services and describing a timeline for migration.”</w:t>
      </w:r>
      <w:r>
        <w:rPr>
          <w:rStyle w:val="FootnoteReference"/>
        </w:rPr>
        <w:footnoteReference w:id="11"/>
      </w:r>
      <w:r>
        <w:t xml:space="preserve">  </w:t>
      </w:r>
      <w:r w:rsidR="009A161A">
        <w:t xml:space="preserve"> Verizon </w:t>
      </w:r>
      <w:r w:rsidR="00BF612C">
        <w:t xml:space="preserve">also </w:t>
      </w:r>
      <w:r w:rsidR="00AA444E">
        <w:t xml:space="preserve">commits </w:t>
      </w:r>
      <w:r w:rsidR="00376ADF">
        <w:t xml:space="preserve">that it will </w:t>
      </w:r>
      <w:r w:rsidR="009A161A">
        <w:t>“provide a hard copy</w:t>
      </w:r>
      <w:r w:rsidR="002517AB">
        <w:t xml:space="preserve"> [of affected addresses]</w:t>
      </w:r>
      <w:r w:rsidR="009A161A">
        <w:t xml:space="preserve"> to any interconnecting party or other recipient who so requests one.”</w:t>
      </w:r>
      <w:r w:rsidR="009A161A">
        <w:rPr>
          <w:rStyle w:val="FootnoteReference"/>
        </w:rPr>
        <w:footnoteReference w:id="12"/>
      </w:r>
      <w:r w:rsidR="009A161A">
        <w:t xml:space="preserve">  </w:t>
      </w:r>
    </w:p>
    <w:p w14:paraId="52344D37" w14:textId="1A1D1368" w:rsidR="00D00876" w:rsidRPr="00866ADC" w:rsidRDefault="006C64B1" w:rsidP="00186A16">
      <w:pPr>
        <w:pStyle w:val="ParaNum"/>
      </w:pPr>
      <w:r>
        <w:t xml:space="preserve">For the reasons stated below, </w:t>
      </w:r>
      <w:r w:rsidR="00D16E90" w:rsidRPr="00866ADC">
        <w:t>Verizon’s proposed means of providing</w:t>
      </w:r>
      <w:r w:rsidR="00376ADF">
        <w:t xml:space="preserve"> interconnecting entities and governmental authorities with</w:t>
      </w:r>
      <w:r w:rsidR="00D16E90" w:rsidRPr="00866ADC">
        <w:t xml:space="preserve"> “cop[ies]” of </w:t>
      </w:r>
      <w:r w:rsidR="00E93B98">
        <w:t xml:space="preserve">the </w:t>
      </w:r>
      <w:r w:rsidR="00D16E90" w:rsidRPr="00866ADC">
        <w:t xml:space="preserve">copper </w:t>
      </w:r>
      <w:r w:rsidR="009A161A" w:rsidRPr="00866ADC">
        <w:t xml:space="preserve">retirement notices </w:t>
      </w:r>
      <w:r w:rsidR="00E93B98">
        <w:t xml:space="preserve">it files with the Commission </w:t>
      </w:r>
      <w:r w:rsidR="001670CB">
        <w:t xml:space="preserve">would </w:t>
      </w:r>
      <w:r w:rsidR="009A161A" w:rsidRPr="00866ADC">
        <w:t>compl</w:t>
      </w:r>
      <w:r w:rsidR="001670CB">
        <w:t>y</w:t>
      </w:r>
      <w:r w:rsidR="00D16E90" w:rsidRPr="00866ADC">
        <w:t xml:space="preserve"> with the copper retirement</w:t>
      </w:r>
      <w:r w:rsidR="00BF612C">
        <w:t xml:space="preserve"> notification</w:t>
      </w:r>
      <w:r w:rsidR="00D16E90" w:rsidRPr="00866ADC">
        <w:t xml:space="preserve"> rule.</w:t>
      </w:r>
      <w:r w:rsidR="009A161A" w:rsidRPr="00866ADC">
        <w:t xml:space="preserve"> </w:t>
      </w:r>
      <w:r w:rsidR="00D16E90" w:rsidRPr="00866ADC">
        <w:t xml:space="preserve"> </w:t>
      </w:r>
      <w:r w:rsidR="00186A16" w:rsidRPr="00186A16">
        <w:t xml:space="preserve">Under Verizon’s approach, it will continue to provide paper copies to these interconnecting entities and governmental authorities, but those copies will contain an electronic rather than paper reference to the locations where </w:t>
      </w:r>
      <w:r w:rsidR="00186A16">
        <w:t>the changes will occur</w:t>
      </w:r>
      <w:r w:rsidR="00186A16" w:rsidRPr="00186A16">
        <w:t>.</w:t>
      </w:r>
      <w:r w:rsidR="00186A16">
        <w:t xml:space="preserve">  </w:t>
      </w:r>
      <w:r w:rsidR="00D16E90" w:rsidRPr="00866ADC">
        <w:t xml:space="preserve">The </w:t>
      </w:r>
      <w:r w:rsidR="00BF612C">
        <w:t xml:space="preserve">rule </w:t>
      </w:r>
      <w:r w:rsidR="002517AB">
        <w:t xml:space="preserve">ensures that entities </w:t>
      </w:r>
      <w:r w:rsidR="009A161A" w:rsidRPr="00866ADC">
        <w:t>impacted by copper retirement</w:t>
      </w:r>
      <w:r w:rsidR="00BF612C">
        <w:t>s</w:t>
      </w:r>
      <w:r w:rsidR="009A161A" w:rsidRPr="00866ADC">
        <w:t xml:space="preserve"> </w:t>
      </w:r>
      <w:r w:rsidR="002517AB">
        <w:t xml:space="preserve">have the information they need to </w:t>
      </w:r>
      <w:r w:rsidR="009A161A" w:rsidRPr="00866ADC">
        <w:t xml:space="preserve">adequately prepare for the network change </w:t>
      </w:r>
      <w:r w:rsidR="002517AB">
        <w:t>so as to facilitate the</w:t>
      </w:r>
      <w:r w:rsidR="009A161A" w:rsidRPr="00866ADC">
        <w:t xml:space="preserve"> “deployment of innovative an</w:t>
      </w:r>
      <w:r w:rsidR="0037037F">
        <w:t>d improved communications service</w:t>
      </w:r>
      <w:r w:rsidR="009A161A" w:rsidRPr="00866ADC">
        <w:t>s.”</w:t>
      </w:r>
      <w:r w:rsidR="009A161A" w:rsidRPr="00866ADC">
        <w:rPr>
          <w:rStyle w:val="FootnoteReference"/>
        </w:rPr>
        <w:footnoteReference w:id="13"/>
      </w:r>
      <w:r w:rsidR="009A161A" w:rsidRPr="00866ADC">
        <w:t xml:space="preserve">  Verizon’</w:t>
      </w:r>
      <w:r w:rsidR="00584133" w:rsidRPr="00866ADC">
        <w:t xml:space="preserve">s </w:t>
      </w:r>
      <w:r w:rsidR="002517AB">
        <w:t xml:space="preserve">proposed means of notifying interconnecting entities and governmental </w:t>
      </w:r>
      <w:r w:rsidR="00B06DC0">
        <w:t>authorities</w:t>
      </w:r>
      <w:r w:rsidR="002517AB">
        <w:t xml:space="preserve"> of planned copper retirements preserves timely </w:t>
      </w:r>
      <w:r w:rsidR="00751A07">
        <w:t xml:space="preserve">and convenient </w:t>
      </w:r>
      <w:r w:rsidR="002517AB">
        <w:t xml:space="preserve">access to this information </w:t>
      </w:r>
      <w:r w:rsidR="00BF612C">
        <w:t>while</w:t>
      </w:r>
      <w:r w:rsidR="00BF612C" w:rsidRPr="00866ADC">
        <w:t xml:space="preserve"> </w:t>
      </w:r>
      <w:r w:rsidR="009A161A" w:rsidRPr="00866ADC">
        <w:t>reducing</w:t>
      </w:r>
      <w:r w:rsidR="00584133" w:rsidRPr="00866ADC">
        <w:t xml:space="preserve"> administrative burdens</w:t>
      </w:r>
      <w:r w:rsidR="00FB672E">
        <w:t xml:space="preserve"> on the incumbent LEC</w:t>
      </w:r>
      <w:r w:rsidR="00BF612C">
        <w:t xml:space="preserve">. </w:t>
      </w:r>
      <w:r w:rsidR="00B06DC0">
        <w:t xml:space="preserve"> </w:t>
      </w:r>
      <w:r w:rsidR="00FB672E">
        <w:t xml:space="preserve">As Verizon suggests, a searchable electronic list is likely to improve the convenience of the address listings for many recipients as well.  </w:t>
      </w:r>
      <w:r w:rsidR="00D974C0" w:rsidRPr="00866ADC">
        <w:t xml:space="preserve">Verizon </w:t>
      </w:r>
      <w:r>
        <w:t xml:space="preserve">is correct </w:t>
      </w:r>
      <w:r w:rsidR="00D974C0" w:rsidRPr="00866ADC">
        <w:t xml:space="preserve">that the one commenter to address the petition appears to misconstrue its scope and, at any rate, fails to present </w:t>
      </w:r>
      <w:r w:rsidR="00301340">
        <w:t xml:space="preserve">a persuasive </w:t>
      </w:r>
      <w:r w:rsidR="00D974C0" w:rsidRPr="00866ADC">
        <w:t>objection.</w:t>
      </w:r>
      <w:r w:rsidR="00D974C0" w:rsidRPr="00866ADC">
        <w:rPr>
          <w:rStyle w:val="FootnoteReference"/>
        </w:rPr>
        <w:footnoteReference w:id="14"/>
      </w:r>
      <w:r w:rsidR="00D974C0" w:rsidRPr="00866ADC">
        <w:t xml:space="preserve"> </w:t>
      </w:r>
      <w:r>
        <w:t xml:space="preserve"> </w:t>
      </w:r>
      <w:r w:rsidRPr="006C64B1">
        <w:t>As Verizon explains in its reply, the commenter appears to mistakenly construe the Petition as seeking to eliminate paper notices entirely and as pertaining to the notices that carriers provide directly to retail customers.</w:t>
      </w:r>
      <w:r>
        <w:rPr>
          <w:rStyle w:val="FootnoteReference"/>
        </w:rPr>
        <w:footnoteReference w:id="15"/>
      </w:r>
      <w:r w:rsidRPr="006C64B1">
        <w:t xml:space="preserve">  </w:t>
      </w:r>
      <w:r w:rsidR="00417097">
        <w:t>Notices to retail customers are not within the scope of Verizon’s petition.</w:t>
      </w:r>
    </w:p>
    <w:p w14:paraId="361BB7BA" w14:textId="25888EBA" w:rsidR="005149BA" w:rsidRDefault="005149BA" w:rsidP="00697E83">
      <w:pPr>
        <w:pStyle w:val="ParaNum"/>
      </w:pPr>
      <w:r>
        <w:t xml:space="preserve">For these reasons, </w:t>
      </w:r>
      <w:r w:rsidR="004A7683">
        <w:t>the Division</w:t>
      </w:r>
      <w:r>
        <w:t xml:space="preserve"> clarif</w:t>
      </w:r>
      <w:r w:rsidR="006C64B1">
        <w:t>ies</w:t>
      </w:r>
      <w:r>
        <w:t xml:space="preserve"> that </w:t>
      </w:r>
      <w:r w:rsidR="00D16E90">
        <w:t>Section</w:t>
      </w:r>
      <w:r w:rsidR="00751A07">
        <w:t>s</w:t>
      </w:r>
      <w:r w:rsidR="006D6C0B">
        <w:t xml:space="preserve"> 51.332</w:t>
      </w:r>
      <w:r w:rsidR="007465AA">
        <w:t>(</w:t>
      </w:r>
      <w:r w:rsidR="00FC0A6F">
        <w:t>b</w:t>
      </w:r>
      <w:r w:rsidR="007465AA">
        <w:t>)(2) and (</w:t>
      </w:r>
      <w:r w:rsidR="00FC0A6F">
        <w:t>b</w:t>
      </w:r>
      <w:r w:rsidR="007465AA">
        <w:t>)(4)</w:t>
      </w:r>
      <w:r w:rsidR="00376ADF">
        <w:t xml:space="preserve"> </w:t>
      </w:r>
      <w:r w:rsidR="00FA4BC6">
        <w:t xml:space="preserve">of the rules </w:t>
      </w:r>
      <w:r w:rsidR="00D16E90">
        <w:t xml:space="preserve">permit </w:t>
      </w:r>
      <w:r w:rsidR="002822B3">
        <w:t xml:space="preserve">incumbent </w:t>
      </w:r>
      <w:r w:rsidR="00751A07">
        <w:t>LECs</w:t>
      </w:r>
      <w:r w:rsidR="002822B3">
        <w:t xml:space="preserve"> to provide </w:t>
      </w:r>
      <w:r w:rsidR="00D16E90">
        <w:t xml:space="preserve">“cop[ies]” </w:t>
      </w:r>
      <w:r w:rsidR="00FA4BC6">
        <w:t xml:space="preserve">of copper retirement notifications </w:t>
      </w:r>
      <w:r w:rsidR="002822B3">
        <w:t>to interconnecting entities and governmental authorities in the manner</w:t>
      </w:r>
      <w:r w:rsidR="00376ADF">
        <w:t xml:space="preserve"> </w:t>
      </w:r>
      <w:r w:rsidR="00D16E90">
        <w:t>Verizon proposes</w:t>
      </w:r>
      <w:r w:rsidR="00964657">
        <w:t xml:space="preserve"> in its Petition. </w:t>
      </w:r>
    </w:p>
    <w:p w14:paraId="399C789C" w14:textId="4FF24399" w:rsidR="003863F1" w:rsidRDefault="003863F1" w:rsidP="00697E83">
      <w:pPr>
        <w:pStyle w:val="ParaNum"/>
      </w:pPr>
      <w:r>
        <w:t>Accordingly, IT IS ORDERED that, pursuan</w:t>
      </w:r>
      <w:r w:rsidR="001D7E9C">
        <w:t xml:space="preserve">t </w:t>
      </w:r>
      <w:r w:rsidR="001D7E9C" w:rsidRPr="00866ADC">
        <w:t xml:space="preserve">to </w:t>
      </w:r>
      <w:r w:rsidR="00FB672E">
        <w:t xml:space="preserve">Sections 1-5 and 251 of the Communications Act of 1934, as amended, 47 U.S.C. §§ </w:t>
      </w:r>
      <w:r w:rsidR="00276EF0">
        <w:t>15</w:t>
      </w:r>
      <w:r w:rsidR="00FB672E">
        <w:t>1-</w:t>
      </w:r>
      <w:r w:rsidR="00276EF0">
        <w:t>15</w:t>
      </w:r>
      <w:r w:rsidR="00FB672E">
        <w:t>5</w:t>
      </w:r>
      <w:r w:rsidR="00276EF0">
        <w:t>,</w:t>
      </w:r>
      <w:r w:rsidR="00FB672E">
        <w:t xml:space="preserve"> 251, and </w:t>
      </w:r>
      <w:r w:rsidR="00584133" w:rsidRPr="00866ADC">
        <w:t>Sections 0.91</w:t>
      </w:r>
      <w:r w:rsidRPr="00866ADC">
        <w:t xml:space="preserve"> and </w:t>
      </w:r>
      <w:r w:rsidR="00584133" w:rsidRPr="00866ADC">
        <w:t>0.291</w:t>
      </w:r>
      <w:r w:rsidR="00584133">
        <w:t xml:space="preserve"> </w:t>
      </w:r>
      <w:r>
        <w:t xml:space="preserve">of the Commission’s rules, 47 CFR §§ </w:t>
      </w:r>
      <w:r w:rsidR="00FA4BC6">
        <w:t>0.91</w:t>
      </w:r>
      <w:r w:rsidR="00276EF0">
        <w:t>,</w:t>
      </w:r>
      <w:r w:rsidR="00FA4BC6">
        <w:t xml:space="preserve"> </w:t>
      </w:r>
      <w:r w:rsidR="00276EF0">
        <w:t>0.</w:t>
      </w:r>
      <w:r w:rsidR="00FA4BC6">
        <w:t>291</w:t>
      </w:r>
      <w:r>
        <w:t xml:space="preserve">, Verizon’s </w:t>
      </w:r>
      <w:r w:rsidR="00FA4BC6">
        <w:t xml:space="preserve">December 15, 2016 </w:t>
      </w:r>
      <w:r w:rsidR="00355A48">
        <w:t xml:space="preserve">Petition </w:t>
      </w:r>
      <w:r>
        <w:t xml:space="preserve">for </w:t>
      </w:r>
      <w:r w:rsidR="00355A48">
        <w:t>C</w:t>
      </w:r>
      <w:r>
        <w:t>larification</w:t>
      </w:r>
      <w:r w:rsidR="00FA4BC6">
        <w:t xml:space="preserve"> filed in </w:t>
      </w:r>
      <w:r w:rsidR="00505992">
        <w:t xml:space="preserve">GN </w:t>
      </w:r>
      <w:r w:rsidR="00FA4BC6">
        <w:t>Docket No. 13-5</w:t>
      </w:r>
      <w:r w:rsidR="00113D72">
        <w:t xml:space="preserve"> IS GRANTED</w:t>
      </w:r>
      <w:r w:rsidR="00F33C9B">
        <w:t>,</w:t>
      </w:r>
      <w:r w:rsidR="00113D72">
        <w:t xml:space="preserve"> and </w:t>
      </w:r>
      <w:r w:rsidR="00F33C9B">
        <w:t>Verizon’s</w:t>
      </w:r>
      <w:r w:rsidR="00113D72">
        <w:t xml:space="preserve"> </w:t>
      </w:r>
      <w:r w:rsidR="00276EF0">
        <w:t xml:space="preserve">alternative </w:t>
      </w:r>
      <w:r w:rsidR="00113D72">
        <w:t>request for waiver IS DISMISSED AS MOOT.</w:t>
      </w:r>
      <w:r w:rsidR="00505992">
        <w:t xml:space="preserve">  Said petition is DISMISSED without prejudice in WC Docket 13-3 and RM-11358.</w:t>
      </w:r>
    </w:p>
    <w:p w14:paraId="209F9A08" w14:textId="77777777" w:rsidR="003863F1" w:rsidRDefault="003863F1" w:rsidP="003863F1">
      <w:pPr>
        <w:pStyle w:val="ParaNum"/>
        <w:numPr>
          <w:ilvl w:val="0"/>
          <w:numId w:val="0"/>
        </w:numPr>
        <w:ind w:firstLine="720"/>
      </w:pPr>
    </w:p>
    <w:p w14:paraId="590B853A" w14:textId="77777777" w:rsidR="003863F1" w:rsidRDefault="003863F1" w:rsidP="003863F1">
      <w:pPr>
        <w:pStyle w:val="ParaNum"/>
        <w:numPr>
          <w:ilvl w:val="0"/>
          <w:numId w:val="0"/>
        </w:numPr>
        <w:ind w:left="4320"/>
      </w:pPr>
      <w:r>
        <w:t>FEDERAL COMMUNICATIONS COMMISSION</w:t>
      </w:r>
    </w:p>
    <w:p w14:paraId="4CAC94F1" w14:textId="77777777" w:rsidR="003863F1" w:rsidRDefault="003863F1" w:rsidP="003863F1">
      <w:pPr>
        <w:pStyle w:val="ParaNum"/>
        <w:numPr>
          <w:ilvl w:val="0"/>
          <w:numId w:val="0"/>
        </w:numPr>
        <w:ind w:left="4320"/>
      </w:pPr>
    </w:p>
    <w:p w14:paraId="13DACAE7" w14:textId="77777777" w:rsidR="003863F1" w:rsidRDefault="003863F1" w:rsidP="003863F1">
      <w:pPr>
        <w:pStyle w:val="ParaNum"/>
        <w:numPr>
          <w:ilvl w:val="0"/>
          <w:numId w:val="0"/>
        </w:numPr>
        <w:ind w:left="4320"/>
      </w:pPr>
    </w:p>
    <w:p w14:paraId="4BA6C23B" w14:textId="3BDC09D0" w:rsidR="003863F1" w:rsidRDefault="004A7683" w:rsidP="003863F1">
      <w:pPr>
        <w:pStyle w:val="ParaNum"/>
        <w:numPr>
          <w:ilvl w:val="0"/>
          <w:numId w:val="0"/>
        </w:numPr>
        <w:spacing w:after="0"/>
        <w:ind w:left="4320"/>
      </w:pPr>
      <w:r>
        <w:t>Daniel Kahn</w:t>
      </w:r>
      <w:r w:rsidR="003863F1">
        <w:t xml:space="preserve"> </w:t>
      </w:r>
    </w:p>
    <w:p w14:paraId="577621C1" w14:textId="03714BFB" w:rsidR="003863F1" w:rsidRDefault="003863F1" w:rsidP="003863F1">
      <w:pPr>
        <w:pStyle w:val="ParaNum"/>
        <w:numPr>
          <w:ilvl w:val="0"/>
          <w:numId w:val="0"/>
        </w:numPr>
        <w:spacing w:after="0"/>
        <w:ind w:left="4320"/>
      </w:pPr>
      <w:r>
        <w:t xml:space="preserve">Chief </w:t>
      </w:r>
    </w:p>
    <w:p w14:paraId="31DAACB9" w14:textId="141CB84E" w:rsidR="003863F1" w:rsidRDefault="004A7683" w:rsidP="003863F1">
      <w:pPr>
        <w:pStyle w:val="ParaNum"/>
        <w:numPr>
          <w:ilvl w:val="0"/>
          <w:numId w:val="0"/>
        </w:numPr>
        <w:spacing w:after="0"/>
        <w:ind w:left="4320"/>
      </w:pPr>
      <w:r>
        <w:t>Competition Policy Division</w:t>
      </w:r>
      <w:r w:rsidR="003863F1">
        <w:t xml:space="preserve"> </w:t>
      </w:r>
    </w:p>
    <w:p w14:paraId="057BF3F2" w14:textId="7F4A3E16" w:rsidR="00F33C9B" w:rsidRDefault="00F33C9B" w:rsidP="003863F1">
      <w:pPr>
        <w:pStyle w:val="ParaNum"/>
        <w:numPr>
          <w:ilvl w:val="0"/>
          <w:numId w:val="0"/>
        </w:numPr>
        <w:spacing w:after="0"/>
        <w:ind w:left="4320"/>
      </w:pPr>
      <w:r>
        <w:t>Wireline Competition Bureau</w:t>
      </w:r>
    </w:p>
    <w:p w14:paraId="338F68DD" w14:textId="2A02E8E0" w:rsidR="005149BA" w:rsidRPr="00697E83" w:rsidRDefault="005149BA" w:rsidP="003863F1">
      <w:pPr>
        <w:pStyle w:val="ParaNum"/>
        <w:numPr>
          <w:ilvl w:val="0"/>
          <w:numId w:val="0"/>
        </w:numPr>
        <w:spacing w:after="0"/>
        <w:ind w:left="4320"/>
      </w:pPr>
      <w:r>
        <w:t xml:space="preserve"> </w:t>
      </w:r>
    </w:p>
    <w:sectPr w:rsidR="005149BA" w:rsidRPr="00697E83"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FC333" w14:textId="77777777" w:rsidR="00EC0816" w:rsidRDefault="00EC0816">
      <w:pPr>
        <w:spacing w:line="20" w:lineRule="exact"/>
      </w:pPr>
    </w:p>
  </w:endnote>
  <w:endnote w:type="continuationSeparator" w:id="0">
    <w:p w14:paraId="6B07A1B6" w14:textId="77777777" w:rsidR="00EC0816" w:rsidRDefault="00EC0816">
      <w:r>
        <w:t xml:space="preserve"> </w:t>
      </w:r>
    </w:p>
  </w:endnote>
  <w:endnote w:type="continuationNotice" w:id="1">
    <w:p w14:paraId="3827CA18" w14:textId="77777777" w:rsidR="00EC0816" w:rsidRDefault="00EC081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83116"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3C6000D8"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19068"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1E1E70">
      <w:rPr>
        <w:noProof/>
      </w:rPr>
      <w:t>2</w:t>
    </w:r>
    <w:r>
      <w:fldChar w:fldCharType="end"/>
    </w:r>
  </w:p>
  <w:p w14:paraId="609DCB75" w14:textId="07CE8D1C"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7F503" w14:textId="3B4D5E55"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05CD9" w14:textId="77777777" w:rsidR="00EC0816" w:rsidRDefault="00EC0816">
      <w:r>
        <w:separator/>
      </w:r>
    </w:p>
  </w:footnote>
  <w:footnote w:type="continuationSeparator" w:id="0">
    <w:p w14:paraId="1A047055" w14:textId="77777777" w:rsidR="00EC0816" w:rsidRDefault="00EC0816" w:rsidP="00C721AC">
      <w:pPr>
        <w:spacing w:before="120"/>
        <w:rPr>
          <w:sz w:val="20"/>
        </w:rPr>
      </w:pPr>
      <w:r>
        <w:rPr>
          <w:sz w:val="20"/>
        </w:rPr>
        <w:t xml:space="preserve">(Continued from previous page)  </w:t>
      </w:r>
      <w:r>
        <w:rPr>
          <w:sz w:val="20"/>
        </w:rPr>
        <w:separator/>
      </w:r>
    </w:p>
  </w:footnote>
  <w:footnote w:type="continuationNotice" w:id="1">
    <w:p w14:paraId="7D21605E" w14:textId="77777777" w:rsidR="00EC0816" w:rsidRDefault="00EC0816" w:rsidP="00C721AC">
      <w:pPr>
        <w:jc w:val="right"/>
        <w:rPr>
          <w:sz w:val="20"/>
        </w:rPr>
      </w:pPr>
      <w:r>
        <w:rPr>
          <w:sz w:val="20"/>
        </w:rPr>
        <w:t>(continued….)</w:t>
      </w:r>
    </w:p>
  </w:footnote>
  <w:footnote w:id="2">
    <w:p w14:paraId="1905663A" w14:textId="352C9F0B" w:rsidR="00DB3E4F" w:rsidRDefault="00DB3E4F">
      <w:pPr>
        <w:pStyle w:val="FootnoteText"/>
      </w:pPr>
      <w:r>
        <w:rPr>
          <w:rStyle w:val="FootnoteReference"/>
        </w:rPr>
        <w:footnoteRef/>
      </w:r>
      <w:r w:rsidR="006E7684">
        <w:t xml:space="preserve"> </w:t>
      </w:r>
      <w:r w:rsidR="006E7684" w:rsidRPr="00B06DC0">
        <w:rPr>
          <w:i/>
        </w:rPr>
        <w:t>See</w:t>
      </w:r>
      <w:r>
        <w:t xml:space="preserve"> 47 CFR § 51.332</w:t>
      </w:r>
      <w:r w:rsidR="004C48DF">
        <w:t>.</w:t>
      </w:r>
      <w:r>
        <w:t xml:space="preserve"> </w:t>
      </w:r>
      <w:r w:rsidR="00FA4BC6">
        <w:t>The</w:t>
      </w:r>
      <w:r w:rsidR="00BF612C">
        <w:t xml:space="preserve"> copper retirement notification rule</w:t>
      </w:r>
      <w:r w:rsidR="00FA4BC6">
        <w:t xml:space="preserve"> require</w:t>
      </w:r>
      <w:r w:rsidR="00BF612C">
        <w:t>s</w:t>
      </w:r>
      <w:r w:rsidR="00FA4BC6">
        <w:t xml:space="preserve"> that</w:t>
      </w:r>
      <w:r w:rsidR="00E845D3">
        <w:t xml:space="preserve"> carriers send</w:t>
      </w:r>
      <w:r w:rsidR="00FA4BC6">
        <w:t xml:space="preserve"> “cop[ies]” </w:t>
      </w:r>
      <w:r w:rsidR="006E7684">
        <w:t>of the</w:t>
      </w:r>
      <w:r w:rsidR="00FA4BC6">
        <w:t xml:space="preserve"> copper retirement notices </w:t>
      </w:r>
      <w:r w:rsidR="00E845D3">
        <w:t>they file with</w:t>
      </w:r>
      <w:r w:rsidR="006E7684">
        <w:t xml:space="preserve"> the Commission </w:t>
      </w:r>
      <w:r w:rsidR="00E845D3">
        <w:t xml:space="preserve">to </w:t>
      </w:r>
      <w:r w:rsidR="00FF2BFB">
        <w:t xml:space="preserve">interconnecting entities, </w:t>
      </w:r>
      <w:r w:rsidR="00FF2BFB" w:rsidRPr="009D560E">
        <w:rPr>
          <w:i/>
        </w:rPr>
        <w:t>see id</w:t>
      </w:r>
      <w:r w:rsidR="00FF2BFB" w:rsidRPr="00D65699">
        <w:rPr>
          <w:i/>
        </w:rPr>
        <w:t>.</w:t>
      </w:r>
      <w:r w:rsidR="00FF2BFB">
        <w:t xml:space="preserve"> at (b)(2), as well as public utility commissions, state governors, Tribal </w:t>
      </w:r>
      <w:r w:rsidR="006E7684">
        <w:t>authorities</w:t>
      </w:r>
      <w:r w:rsidR="00FF2BFB">
        <w:t xml:space="preserve">, and the Secretary of Defense.  </w:t>
      </w:r>
      <w:r w:rsidR="00FF2BFB" w:rsidRPr="009D560E">
        <w:rPr>
          <w:i/>
        </w:rPr>
        <w:t>See id</w:t>
      </w:r>
      <w:r w:rsidR="00D14D31" w:rsidRPr="00D65699">
        <w:rPr>
          <w:i/>
        </w:rPr>
        <w:t>.</w:t>
      </w:r>
      <w:r w:rsidR="00D14D31">
        <w:t xml:space="preserve"> at (b)(4).</w:t>
      </w:r>
      <w:r w:rsidR="00FF2BFB">
        <w:t xml:space="preserve"> </w:t>
      </w:r>
    </w:p>
  </w:footnote>
  <w:footnote w:id="3">
    <w:p w14:paraId="2F641F72" w14:textId="2E66AE65" w:rsidR="008F5AA7" w:rsidRDefault="008F5AA7">
      <w:pPr>
        <w:pStyle w:val="FootnoteText"/>
      </w:pPr>
      <w:r>
        <w:rPr>
          <w:rStyle w:val="FootnoteReference"/>
        </w:rPr>
        <w:footnoteRef/>
      </w:r>
      <w:r>
        <w:t xml:space="preserve"> Verizon Request for Clarification, or in the Alternative, Petition for Waiver of Copper Retirement Notification Rules, GN Docket No. 13-5, WC Docket No. 13-3, RM-11358 (Dec. 15, 2016) (Verizon Petition), </w:t>
      </w:r>
      <w:hyperlink r:id="rId1" w:history="1">
        <w:r w:rsidRPr="00985761">
          <w:rPr>
            <w:rStyle w:val="Hyperlink"/>
          </w:rPr>
          <w:t>https://www.fcc.gov/ecfs/filing/121598738856/document/12159873885655cl</w:t>
        </w:r>
      </w:hyperlink>
      <w:r>
        <w:t xml:space="preserve">. </w:t>
      </w:r>
      <w:r w:rsidR="00575097">
        <w:t xml:space="preserve"> </w:t>
      </w:r>
      <w:r>
        <w:t>A Public Notice was released on December 22, 2016</w:t>
      </w:r>
      <w:r w:rsidR="00304D3B">
        <w:t>,</w:t>
      </w:r>
      <w:r>
        <w:t xml:space="preserve"> seeking comment on the Verizon Petition</w:t>
      </w:r>
      <w:r w:rsidR="00D16E90">
        <w:t>.</w:t>
      </w:r>
      <w:r w:rsidR="0040281C">
        <w:t xml:space="preserve">  </w:t>
      </w:r>
      <w:r w:rsidR="0040281C" w:rsidRPr="00304D3B">
        <w:rPr>
          <w:i/>
        </w:rPr>
        <w:t>See</w:t>
      </w:r>
      <w:r w:rsidR="0040281C">
        <w:t xml:space="preserve"> </w:t>
      </w:r>
      <w:r w:rsidR="0040281C" w:rsidRPr="00304D3B">
        <w:rPr>
          <w:i/>
        </w:rPr>
        <w:t>Wireline Competition Bureau Seeks Comment on Verizon Request for Clarification, or in the Alternative, Petition for Waiver of Copper Retirement Notification Rules Regarding the Format of the List of Locations at Which the Changes Will Occur</w:t>
      </w:r>
      <w:r w:rsidR="0040281C">
        <w:t xml:space="preserve">, Public Notice, DA 16-1447 (WCB Dec. 22, 2016). </w:t>
      </w:r>
    </w:p>
  </w:footnote>
  <w:footnote w:id="4">
    <w:p w14:paraId="3C4C0F4F" w14:textId="7C1962F5" w:rsidR="006577E3" w:rsidRDefault="006577E3">
      <w:pPr>
        <w:pStyle w:val="FootnoteText"/>
      </w:pPr>
      <w:r>
        <w:rPr>
          <w:rStyle w:val="FootnoteReference"/>
        </w:rPr>
        <w:footnoteRef/>
      </w:r>
      <w:r>
        <w:t xml:space="preserve"> </w:t>
      </w:r>
      <w:r w:rsidR="008F5AA7">
        <w:t>Verizon Petition</w:t>
      </w:r>
      <w:r w:rsidR="00D00876">
        <w:t xml:space="preserve"> at 3. </w:t>
      </w:r>
      <w:r w:rsidR="00E93B98">
        <w:t xml:space="preserve"> </w:t>
      </w:r>
      <w:r w:rsidR="00D14D31">
        <w:t xml:space="preserve">Under </w:t>
      </w:r>
      <w:r w:rsidR="005609C2">
        <w:t>S</w:t>
      </w:r>
      <w:r w:rsidR="006E7684">
        <w:t>ection</w:t>
      </w:r>
      <w:r w:rsidR="00D14D31">
        <w:t xml:space="preserve"> 51.327(a)(4)</w:t>
      </w:r>
      <w:r w:rsidR="006E7684">
        <w:t xml:space="preserve"> of the rules</w:t>
      </w:r>
      <w:r w:rsidR="00D14D31">
        <w:t xml:space="preserve">, public notice of planned network changes must include </w:t>
      </w:r>
      <w:r w:rsidR="00E845D3">
        <w:t>“[</w:t>
      </w:r>
      <w:r w:rsidR="00D14D31">
        <w:t>t</w:t>
      </w:r>
      <w:r w:rsidR="00E845D3">
        <w:t>]</w:t>
      </w:r>
      <w:r w:rsidR="00D14D31">
        <w:t>he location(s) at which the changes will occur.</w:t>
      </w:r>
      <w:r w:rsidR="00E845D3">
        <w:t>”</w:t>
      </w:r>
      <w:r w:rsidR="006E7684">
        <w:t xml:space="preserve">  </w:t>
      </w:r>
      <w:r w:rsidR="006E7684" w:rsidRPr="00B06DC0">
        <w:rPr>
          <w:i/>
        </w:rPr>
        <w:t>See</w:t>
      </w:r>
      <w:r w:rsidR="006E7684">
        <w:t xml:space="preserve"> 47 CFR § </w:t>
      </w:r>
      <w:r w:rsidR="00E845D3">
        <w:t xml:space="preserve">51.327(a)(4); </w:t>
      </w:r>
      <w:r w:rsidR="00E845D3" w:rsidRPr="00B06DC0">
        <w:rPr>
          <w:i/>
        </w:rPr>
        <w:t>see also</w:t>
      </w:r>
      <w:r w:rsidR="00E845D3">
        <w:t xml:space="preserve"> 47 CFR</w:t>
      </w:r>
      <w:r w:rsidR="00D00876">
        <w:t xml:space="preserve"> </w:t>
      </w:r>
      <w:r w:rsidR="00E845D3">
        <w:t>§ 51.332(c)(1) (providing th</w:t>
      </w:r>
      <w:r w:rsidR="00E93B98">
        <w:t>at the copper retirement notice</w:t>
      </w:r>
      <w:r w:rsidR="00E845D3">
        <w:t xml:space="preserve"> a carrier files with the Commission “</w:t>
      </w:r>
      <w:r w:rsidR="00E845D3" w:rsidRPr="00E845D3">
        <w:t>must set forth the i</w:t>
      </w:r>
      <w:r w:rsidR="00E845D3">
        <w:t xml:space="preserve">nformation required by § 51.327”). </w:t>
      </w:r>
    </w:p>
  </w:footnote>
  <w:footnote w:id="5">
    <w:p w14:paraId="58C063B6" w14:textId="2F1DF501" w:rsidR="00D16E90" w:rsidRDefault="00D16E90">
      <w:pPr>
        <w:pStyle w:val="FootnoteText"/>
      </w:pPr>
      <w:r>
        <w:rPr>
          <w:rStyle w:val="FootnoteReference"/>
        </w:rPr>
        <w:footnoteRef/>
      </w:r>
      <w:r>
        <w:t xml:space="preserve"> </w:t>
      </w:r>
      <w:r w:rsidRPr="00D14D31">
        <w:t>In light of t</w:t>
      </w:r>
      <w:r w:rsidR="00DF3A07">
        <w:t>he clarification we issue in this</w:t>
      </w:r>
      <w:r w:rsidRPr="00D14D31">
        <w:t xml:space="preserve"> Order, we dismiss as moot Verizon’s request “in the alternative” for waiver</w:t>
      </w:r>
      <w:r w:rsidR="00E41612">
        <w:t>.</w:t>
      </w:r>
      <w:r w:rsidRPr="00D14D31">
        <w:t xml:space="preserve"> </w:t>
      </w:r>
      <w:r w:rsidR="00FA4BC6" w:rsidRPr="00D14D31">
        <w:t xml:space="preserve"> </w:t>
      </w:r>
      <w:r w:rsidRPr="00D14D31">
        <w:rPr>
          <w:i/>
        </w:rPr>
        <w:t>See</w:t>
      </w:r>
      <w:r w:rsidRPr="00D14D31">
        <w:t xml:space="preserve"> Verizon Petition at 1</w:t>
      </w:r>
      <w:r>
        <w:t xml:space="preserve">. </w:t>
      </w:r>
      <w:r w:rsidR="00505992">
        <w:t xml:space="preserve"> We also conclude that the petition is not relevant to WC Docket No. 13-3 and RM-11358 and therefore dismiss it insofar as it was captioned therein.</w:t>
      </w:r>
    </w:p>
  </w:footnote>
  <w:footnote w:id="6">
    <w:p w14:paraId="47AAAE68" w14:textId="34C55A7D" w:rsidR="002A0980" w:rsidRPr="002A0980" w:rsidRDefault="002A0980">
      <w:pPr>
        <w:pStyle w:val="FootnoteText"/>
      </w:pPr>
      <w:r>
        <w:rPr>
          <w:rStyle w:val="FootnoteReference"/>
        </w:rPr>
        <w:footnoteRef/>
      </w:r>
      <w:r>
        <w:t xml:space="preserve"> </w:t>
      </w:r>
      <w:r>
        <w:rPr>
          <w:i/>
        </w:rPr>
        <w:t>Tech</w:t>
      </w:r>
      <w:r w:rsidR="00D14D31">
        <w:rPr>
          <w:i/>
        </w:rPr>
        <w:t>nology</w:t>
      </w:r>
      <w:r>
        <w:rPr>
          <w:i/>
        </w:rPr>
        <w:t xml:space="preserve"> Transition</w:t>
      </w:r>
      <w:r w:rsidR="00D14D31">
        <w:rPr>
          <w:i/>
        </w:rPr>
        <w:t>s; Policies and Rules Governing Retirement Of Copper Loops by Incumbent Local Exchange Carriers; Special Access for Price Cap Local Exchange Carriers; AT&amp;T Corporation Petition for Rulemaking to Reform Regulation of Incumbent Local Exchange Carrier Rates for Interstate Special Access Services</w:t>
      </w:r>
      <w:r w:rsidR="00D14D31">
        <w:t>, Report and Order, Order on Reconsideration, and Further Notice of Proposed Rulemaking, 30 FCC Rcd 9372,</w:t>
      </w:r>
      <w:r>
        <w:t xml:space="preserve"> 9383-84, para. 16</w:t>
      </w:r>
      <w:r w:rsidR="00D14D31">
        <w:t xml:space="preserve"> (2015) (</w:t>
      </w:r>
      <w:r w:rsidR="00260EDD">
        <w:rPr>
          <w:i/>
        </w:rPr>
        <w:t>Emerging Wireline Networks and Services Order</w:t>
      </w:r>
      <w:r w:rsidR="008F1E4D">
        <w:t>)</w:t>
      </w:r>
      <w:r>
        <w:t xml:space="preserve">. </w:t>
      </w:r>
    </w:p>
  </w:footnote>
  <w:footnote w:id="7">
    <w:p w14:paraId="3CA39359" w14:textId="4ED02D4D" w:rsidR="002A0980" w:rsidRPr="002A0980" w:rsidRDefault="002A0980">
      <w:pPr>
        <w:pStyle w:val="FootnoteText"/>
      </w:pPr>
      <w:r>
        <w:rPr>
          <w:rStyle w:val="FootnoteReference"/>
        </w:rPr>
        <w:footnoteRef/>
      </w:r>
      <w:r>
        <w:t xml:space="preserve"> </w:t>
      </w:r>
      <w:r>
        <w:rPr>
          <w:i/>
        </w:rPr>
        <w:t xml:space="preserve">Id. </w:t>
      </w:r>
      <w:r>
        <w:t>at 9384, para. 17.</w:t>
      </w:r>
    </w:p>
  </w:footnote>
  <w:footnote w:id="8">
    <w:p w14:paraId="491C56BA" w14:textId="122D392A" w:rsidR="006577E3" w:rsidRPr="003D4AD0" w:rsidRDefault="006577E3" w:rsidP="006577E3">
      <w:pPr>
        <w:pStyle w:val="FootnoteText"/>
      </w:pPr>
      <w:r>
        <w:rPr>
          <w:rStyle w:val="FootnoteReference"/>
        </w:rPr>
        <w:footnoteRef/>
      </w:r>
      <w:r>
        <w:t xml:space="preserve"> </w:t>
      </w:r>
      <w:r w:rsidR="008B4D70">
        <w:t>Verizon Petition</w:t>
      </w:r>
      <w:r>
        <w:rPr>
          <w:i/>
        </w:rPr>
        <w:t xml:space="preserve"> </w:t>
      </w:r>
      <w:r>
        <w:t xml:space="preserve">at 2 (“For example, some of Verizon’s September 2016 copper retirement notices contained more than 400 pages of hard copy lists of addresses </w:t>
      </w:r>
      <w:r w:rsidR="004306E2">
        <w:t xml:space="preserve">. . . .  </w:t>
      </w:r>
      <w:r>
        <w:t xml:space="preserve">Verizon sent paper copies of filings to each interconnecting carrier (a total of more than 1,650 across eight states), state [PUCs], and state government, as well as the Secretary of Defense. </w:t>
      </w:r>
      <w:r w:rsidR="005609C2">
        <w:t xml:space="preserve"> </w:t>
      </w:r>
      <w:r>
        <w:t>Even printed double-sided and in a reasonable font, Verizon in total mailed just under two hundred thousand pages.”)</w:t>
      </w:r>
      <w:r w:rsidR="00D00876">
        <w:t xml:space="preserve">. </w:t>
      </w:r>
      <w:r>
        <w:t xml:space="preserve"> </w:t>
      </w:r>
      <w:r>
        <w:rPr>
          <w:i/>
        </w:rPr>
        <w:t xml:space="preserve">Id. </w:t>
      </w:r>
      <w:r>
        <w:t xml:space="preserve">at 3. </w:t>
      </w:r>
    </w:p>
  </w:footnote>
  <w:footnote w:id="9">
    <w:p w14:paraId="5F3807AB" w14:textId="77777777" w:rsidR="006577E3" w:rsidRPr="00316ECE" w:rsidRDefault="006577E3" w:rsidP="006577E3">
      <w:pPr>
        <w:pStyle w:val="FootnoteText"/>
      </w:pPr>
      <w:r>
        <w:rPr>
          <w:rStyle w:val="FootnoteReference"/>
        </w:rPr>
        <w:footnoteRef/>
      </w:r>
      <w:r>
        <w:t xml:space="preserve"> </w:t>
      </w:r>
      <w:r>
        <w:rPr>
          <w:i/>
        </w:rPr>
        <w:t xml:space="preserve">Id. </w:t>
      </w:r>
      <w:r>
        <w:t>at 3.</w:t>
      </w:r>
    </w:p>
  </w:footnote>
  <w:footnote w:id="10">
    <w:p w14:paraId="0197D291" w14:textId="11737A99" w:rsidR="002517AB" w:rsidRDefault="002517AB">
      <w:pPr>
        <w:pStyle w:val="FootnoteText"/>
      </w:pPr>
      <w:r>
        <w:rPr>
          <w:rStyle w:val="FootnoteReference"/>
        </w:rPr>
        <w:footnoteRef/>
      </w:r>
      <w:r>
        <w:t xml:space="preserve"> </w:t>
      </w:r>
      <w:r w:rsidR="006E6E9C">
        <w:rPr>
          <w:i/>
        </w:rPr>
        <w:t xml:space="preserve">Id. </w:t>
      </w:r>
      <w:r w:rsidR="006E6E9C">
        <w:t>at 4</w:t>
      </w:r>
      <w:r>
        <w:t xml:space="preserve">.  Of course, the use of a link to an online database to </w:t>
      </w:r>
      <w:r w:rsidR="007465AA">
        <w:t xml:space="preserve">notify entities of the </w:t>
      </w:r>
      <w:r>
        <w:t xml:space="preserve">addresses affected by a copper retirement requires a carrier to maintain both the database and the link. </w:t>
      </w:r>
    </w:p>
  </w:footnote>
  <w:footnote w:id="11">
    <w:p w14:paraId="3487BE5C" w14:textId="1632EC64" w:rsidR="008B4D70" w:rsidRPr="008B4D70" w:rsidRDefault="008B4D70">
      <w:pPr>
        <w:pStyle w:val="FootnoteText"/>
        <w:rPr>
          <w:i/>
        </w:rPr>
      </w:pPr>
      <w:r>
        <w:rPr>
          <w:rStyle w:val="FootnoteReference"/>
        </w:rPr>
        <w:footnoteRef/>
      </w:r>
      <w:r>
        <w:t xml:space="preserve"> </w:t>
      </w:r>
      <w:r>
        <w:rPr>
          <w:i/>
        </w:rPr>
        <w:t>Id.</w:t>
      </w:r>
      <w:r w:rsidR="006E6E9C">
        <w:rPr>
          <w:i/>
        </w:rPr>
        <w:t xml:space="preserve"> </w:t>
      </w:r>
      <w:r w:rsidR="006E6E9C" w:rsidRPr="00B06DC0">
        <w:t>at 3</w:t>
      </w:r>
      <w:r w:rsidR="006E6E9C">
        <w:rPr>
          <w:i/>
        </w:rPr>
        <w:t xml:space="preserve">. </w:t>
      </w:r>
    </w:p>
  </w:footnote>
  <w:footnote w:id="12">
    <w:p w14:paraId="765345A7" w14:textId="61FB38F8" w:rsidR="009A161A" w:rsidRPr="009A161A" w:rsidRDefault="009A161A">
      <w:pPr>
        <w:pStyle w:val="FootnoteText"/>
        <w:rPr>
          <w:i/>
        </w:rPr>
      </w:pPr>
      <w:r>
        <w:rPr>
          <w:rStyle w:val="FootnoteReference"/>
        </w:rPr>
        <w:footnoteRef/>
      </w:r>
      <w:r>
        <w:t xml:space="preserve"> </w:t>
      </w:r>
      <w:r>
        <w:rPr>
          <w:i/>
        </w:rPr>
        <w:t>Id.</w:t>
      </w:r>
    </w:p>
  </w:footnote>
  <w:footnote w:id="13">
    <w:p w14:paraId="4670577D" w14:textId="63E68752" w:rsidR="009A161A" w:rsidRPr="009A161A" w:rsidRDefault="009A161A">
      <w:pPr>
        <w:pStyle w:val="FootnoteText"/>
      </w:pPr>
      <w:r>
        <w:rPr>
          <w:rStyle w:val="FootnoteReference"/>
        </w:rPr>
        <w:footnoteRef/>
      </w:r>
      <w:r>
        <w:t xml:space="preserve"> </w:t>
      </w:r>
      <w:r w:rsidR="00D65699">
        <w:rPr>
          <w:i/>
        </w:rPr>
        <w:t xml:space="preserve">Emerging Wireline Networks and Services Order </w:t>
      </w:r>
      <w:r>
        <w:t xml:space="preserve">at </w:t>
      </w:r>
      <w:r w:rsidR="008F1E4D">
        <w:t xml:space="preserve">9373, </w:t>
      </w:r>
      <w:r>
        <w:t xml:space="preserve">para. 1. </w:t>
      </w:r>
    </w:p>
  </w:footnote>
  <w:footnote w:id="14">
    <w:p w14:paraId="6DABC26D" w14:textId="669F18F4" w:rsidR="00D974C0" w:rsidRDefault="00D974C0">
      <w:pPr>
        <w:pStyle w:val="FootnoteText"/>
      </w:pPr>
      <w:r>
        <w:rPr>
          <w:rStyle w:val="FootnoteReference"/>
        </w:rPr>
        <w:footnoteRef/>
      </w:r>
      <w:r>
        <w:t xml:space="preserve"> </w:t>
      </w:r>
      <w:r w:rsidR="006E6E9C">
        <w:rPr>
          <w:i/>
        </w:rPr>
        <w:t xml:space="preserve">See </w:t>
      </w:r>
      <w:r w:rsidR="006E6E9C">
        <w:t>Cohen, Dippell and Everist, P.C.</w:t>
      </w:r>
      <w:r w:rsidR="00575097">
        <w:t>,</w:t>
      </w:r>
      <w:r w:rsidR="006E6E9C">
        <w:t xml:space="preserve"> Comments</w:t>
      </w:r>
      <w:r w:rsidR="00DF27A6">
        <w:t>, GN Docket No. 13-5</w:t>
      </w:r>
      <w:r w:rsidR="001A0FBF">
        <w:t xml:space="preserve"> </w:t>
      </w:r>
      <w:r w:rsidR="006E6E9C">
        <w:t xml:space="preserve">(Jan. 6, 2017) </w:t>
      </w:r>
      <w:r w:rsidR="006E6E9C" w:rsidRPr="00C26BC1">
        <w:t>(</w:t>
      </w:r>
      <w:r w:rsidR="006E6E9C" w:rsidRPr="00EC3120">
        <w:t>objecting to the Petition on grounds that such change would hinder the ability of recipients who rely on mail to receive notice</w:t>
      </w:r>
      <w:r w:rsidR="006E6E9C">
        <w:t>,</w:t>
      </w:r>
      <w:r w:rsidR="006E6E9C" w:rsidRPr="00EC3120">
        <w:t xml:space="preserve"> or might otherwise impact consumer security and privacy</w:t>
      </w:r>
      <w:r w:rsidR="006E6E9C" w:rsidRPr="00C26BC1">
        <w:t>).</w:t>
      </w:r>
    </w:p>
  </w:footnote>
  <w:footnote w:id="15">
    <w:p w14:paraId="4BE35487" w14:textId="122BF5E2" w:rsidR="006C64B1" w:rsidRDefault="006C64B1">
      <w:pPr>
        <w:pStyle w:val="FootnoteText"/>
      </w:pPr>
      <w:r>
        <w:rPr>
          <w:rStyle w:val="FootnoteReference"/>
        </w:rPr>
        <w:footnoteRef/>
      </w:r>
      <w:r>
        <w:t xml:space="preserve"> Verizon Reply</w:t>
      </w:r>
      <w:r w:rsidR="001A0FBF">
        <w:t xml:space="preserve">, GN Docket No. 13-5, </w:t>
      </w:r>
      <w:r w:rsidR="00365A88">
        <w:t>at 2 (Jan. 12, 2017)</w:t>
      </w:r>
      <w:r>
        <w:t xml:space="preserve">.  Verizon also observes that lists of locations and addresses affected by copper retirements are made publicly available.  </w:t>
      </w:r>
      <w:r w:rsidRPr="00B06DC0">
        <w:rPr>
          <w:i/>
        </w:rPr>
        <w:t>Id</w:t>
      </w:r>
      <w:r w:rsidRPr="00D65699">
        <w:rPr>
          <w:i/>
        </w:rPr>
        <w:t>.</w:t>
      </w:r>
      <w:r>
        <w:t xml:space="preserve"> at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D2B11" w14:textId="77777777" w:rsidR="00520D2F" w:rsidRDefault="00520D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510F1" w14:textId="77D7C1EA" w:rsidR="00D25FB5" w:rsidRDefault="00D25FB5" w:rsidP="00810B6F">
    <w:pPr>
      <w:pStyle w:val="Header"/>
      <w:rPr>
        <w:b w:val="0"/>
      </w:rPr>
    </w:pPr>
    <w:r>
      <w:tab/>
      <w:t>Federal Communications Commission</w:t>
    </w:r>
    <w:r>
      <w:tab/>
    </w:r>
    <w:r w:rsidR="00FB672E">
      <w:t>DA 17-</w:t>
    </w:r>
    <w:r w:rsidR="001F1F7A">
      <w:t>162</w:t>
    </w:r>
  </w:p>
  <w:p w14:paraId="4EA7AFF0" w14:textId="2AEFCE96" w:rsidR="00D25FB5" w:rsidRDefault="0088371F">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0A447075" wp14:editId="3CCD4C2A">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3F6D93"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1215617B"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19E4F" w14:textId="6D973806" w:rsidR="00D25FB5" w:rsidRDefault="0088371F" w:rsidP="00810B6F">
    <w:pPr>
      <w:pStyle w:val="Header"/>
      <w:rPr>
        <w:b w:val="0"/>
      </w:rPr>
    </w:pPr>
    <w:r>
      <w:rPr>
        <w:noProof/>
      </w:rPr>
      <mc:AlternateContent>
        <mc:Choice Requires="wps">
          <w:drawing>
            <wp:anchor distT="0" distB="0" distL="114300" distR="114300" simplePos="0" relativeHeight="251658240" behindDoc="1" locked="0" layoutInCell="0" allowOverlap="1" wp14:anchorId="7E9AF066" wp14:editId="7D165CF4">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1A50F6"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6B5E15">
      <w:rPr>
        <w:spacing w:val="-2"/>
      </w:rPr>
      <w:t xml:space="preserve">DA </w:t>
    </w:r>
    <w:r w:rsidR="001F1F7A">
      <w:rPr>
        <w:spacing w:val="-2"/>
      </w:rPr>
      <w:t>17-162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15"/>
    <w:rsid w:val="000335AF"/>
    <w:rsid w:val="00036039"/>
    <w:rsid w:val="00037F90"/>
    <w:rsid w:val="0004413B"/>
    <w:rsid w:val="000501E0"/>
    <w:rsid w:val="000875BF"/>
    <w:rsid w:val="00096D8C"/>
    <w:rsid w:val="000C0B65"/>
    <w:rsid w:val="000E05FE"/>
    <w:rsid w:val="000E3D42"/>
    <w:rsid w:val="000F33EF"/>
    <w:rsid w:val="00113D72"/>
    <w:rsid w:val="00122BD5"/>
    <w:rsid w:val="00133F79"/>
    <w:rsid w:val="0013613A"/>
    <w:rsid w:val="00145280"/>
    <w:rsid w:val="001670CB"/>
    <w:rsid w:val="00186A16"/>
    <w:rsid w:val="00194A66"/>
    <w:rsid w:val="001A0FBF"/>
    <w:rsid w:val="001B2924"/>
    <w:rsid w:val="001D6BCF"/>
    <w:rsid w:val="001D7E9C"/>
    <w:rsid w:val="001E01CA"/>
    <w:rsid w:val="001E1E70"/>
    <w:rsid w:val="001F1F7A"/>
    <w:rsid w:val="002403F9"/>
    <w:rsid w:val="002517AB"/>
    <w:rsid w:val="00257E52"/>
    <w:rsid w:val="00260EDD"/>
    <w:rsid w:val="00275CF5"/>
    <w:rsid w:val="00276EF0"/>
    <w:rsid w:val="002814C8"/>
    <w:rsid w:val="002819EB"/>
    <w:rsid w:val="002822B3"/>
    <w:rsid w:val="0028301F"/>
    <w:rsid w:val="00285017"/>
    <w:rsid w:val="002A0980"/>
    <w:rsid w:val="002A2D2E"/>
    <w:rsid w:val="002B4725"/>
    <w:rsid w:val="002C00E8"/>
    <w:rsid w:val="00301340"/>
    <w:rsid w:val="00304D3B"/>
    <w:rsid w:val="00316ECE"/>
    <w:rsid w:val="00343749"/>
    <w:rsid w:val="00345B55"/>
    <w:rsid w:val="003465D6"/>
    <w:rsid w:val="00355A48"/>
    <w:rsid w:val="00365A88"/>
    <w:rsid w:val="003660ED"/>
    <w:rsid w:val="0037037F"/>
    <w:rsid w:val="00376ADF"/>
    <w:rsid w:val="003863F1"/>
    <w:rsid w:val="003B0550"/>
    <w:rsid w:val="003B694F"/>
    <w:rsid w:val="003D4AD0"/>
    <w:rsid w:val="003F171C"/>
    <w:rsid w:val="003F2C3B"/>
    <w:rsid w:val="003F3832"/>
    <w:rsid w:val="00400FF3"/>
    <w:rsid w:val="0040281C"/>
    <w:rsid w:val="00412FC5"/>
    <w:rsid w:val="00417097"/>
    <w:rsid w:val="00422276"/>
    <w:rsid w:val="004242F1"/>
    <w:rsid w:val="004306E2"/>
    <w:rsid w:val="00443A88"/>
    <w:rsid w:val="004450CE"/>
    <w:rsid w:val="00445A00"/>
    <w:rsid w:val="00451B0F"/>
    <w:rsid w:val="0048640B"/>
    <w:rsid w:val="004A7683"/>
    <w:rsid w:val="004B139E"/>
    <w:rsid w:val="004B4859"/>
    <w:rsid w:val="004C2EE3"/>
    <w:rsid w:val="004C48DF"/>
    <w:rsid w:val="004E4A22"/>
    <w:rsid w:val="004E685A"/>
    <w:rsid w:val="00505992"/>
    <w:rsid w:val="00511968"/>
    <w:rsid w:val="005149BA"/>
    <w:rsid w:val="00520D2F"/>
    <w:rsid w:val="005507F4"/>
    <w:rsid w:val="0055614C"/>
    <w:rsid w:val="005609C2"/>
    <w:rsid w:val="00575097"/>
    <w:rsid w:val="00584133"/>
    <w:rsid w:val="00595E8C"/>
    <w:rsid w:val="005D404F"/>
    <w:rsid w:val="005E14C2"/>
    <w:rsid w:val="005F359C"/>
    <w:rsid w:val="005F4BAE"/>
    <w:rsid w:val="00607BA5"/>
    <w:rsid w:val="00607ECC"/>
    <w:rsid w:val="0061180A"/>
    <w:rsid w:val="00626EB6"/>
    <w:rsid w:val="00655D03"/>
    <w:rsid w:val="006577E3"/>
    <w:rsid w:val="00683388"/>
    <w:rsid w:val="00683F84"/>
    <w:rsid w:val="00697E83"/>
    <w:rsid w:val="006A119E"/>
    <w:rsid w:val="006A6A81"/>
    <w:rsid w:val="006B5E15"/>
    <w:rsid w:val="006C64B1"/>
    <w:rsid w:val="006D22A9"/>
    <w:rsid w:val="006D5A9A"/>
    <w:rsid w:val="006D6C0B"/>
    <w:rsid w:val="006E6E9C"/>
    <w:rsid w:val="006E7684"/>
    <w:rsid w:val="006F38D3"/>
    <w:rsid w:val="006F4373"/>
    <w:rsid w:val="006F7393"/>
    <w:rsid w:val="0070224F"/>
    <w:rsid w:val="007115F7"/>
    <w:rsid w:val="007134B1"/>
    <w:rsid w:val="00724681"/>
    <w:rsid w:val="007456E5"/>
    <w:rsid w:val="007465AA"/>
    <w:rsid w:val="00751A07"/>
    <w:rsid w:val="00760545"/>
    <w:rsid w:val="00772DD3"/>
    <w:rsid w:val="007807EE"/>
    <w:rsid w:val="00785689"/>
    <w:rsid w:val="0079754B"/>
    <w:rsid w:val="007A1E6D"/>
    <w:rsid w:val="007A5C59"/>
    <w:rsid w:val="007B0EB2"/>
    <w:rsid w:val="00810A74"/>
    <w:rsid w:val="00810B6F"/>
    <w:rsid w:val="00822CE0"/>
    <w:rsid w:val="00841AB1"/>
    <w:rsid w:val="00856414"/>
    <w:rsid w:val="00865254"/>
    <w:rsid w:val="00866ADC"/>
    <w:rsid w:val="008748F2"/>
    <w:rsid w:val="0088371F"/>
    <w:rsid w:val="0088422B"/>
    <w:rsid w:val="0088606D"/>
    <w:rsid w:val="008B1F41"/>
    <w:rsid w:val="008B4D70"/>
    <w:rsid w:val="008B6DAB"/>
    <w:rsid w:val="008C68F1"/>
    <w:rsid w:val="008F1E4D"/>
    <w:rsid w:val="008F5AA7"/>
    <w:rsid w:val="00907B3F"/>
    <w:rsid w:val="0091049E"/>
    <w:rsid w:val="00921803"/>
    <w:rsid w:val="00926503"/>
    <w:rsid w:val="0093213A"/>
    <w:rsid w:val="00954F04"/>
    <w:rsid w:val="00964657"/>
    <w:rsid w:val="009726D8"/>
    <w:rsid w:val="009777A8"/>
    <w:rsid w:val="009A161A"/>
    <w:rsid w:val="009B6806"/>
    <w:rsid w:val="009D560E"/>
    <w:rsid w:val="009E0B94"/>
    <w:rsid w:val="009F7674"/>
    <w:rsid w:val="009F76DB"/>
    <w:rsid w:val="00A1235B"/>
    <w:rsid w:val="00A32C3B"/>
    <w:rsid w:val="00A45F4F"/>
    <w:rsid w:val="00A518A2"/>
    <w:rsid w:val="00A558D1"/>
    <w:rsid w:val="00A600A9"/>
    <w:rsid w:val="00AA444E"/>
    <w:rsid w:val="00AA4660"/>
    <w:rsid w:val="00AA55B7"/>
    <w:rsid w:val="00AA5B9E"/>
    <w:rsid w:val="00AB2407"/>
    <w:rsid w:val="00AB53DF"/>
    <w:rsid w:val="00AD4620"/>
    <w:rsid w:val="00AE4D30"/>
    <w:rsid w:val="00B06DC0"/>
    <w:rsid w:val="00B07E5C"/>
    <w:rsid w:val="00B21D1A"/>
    <w:rsid w:val="00B73C09"/>
    <w:rsid w:val="00B811F7"/>
    <w:rsid w:val="00BA5DC6"/>
    <w:rsid w:val="00BA6196"/>
    <w:rsid w:val="00BC6D8C"/>
    <w:rsid w:val="00BF612C"/>
    <w:rsid w:val="00C34006"/>
    <w:rsid w:val="00C426B1"/>
    <w:rsid w:val="00C66160"/>
    <w:rsid w:val="00C721AC"/>
    <w:rsid w:val="00C86890"/>
    <w:rsid w:val="00C90D6A"/>
    <w:rsid w:val="00CA247E"/>
    <w:rsid w:val="00CA27FF"/>
    <w:rsid w:val="00CB3B1C"/>
    <w:rsid w:val="00CC4357"/>
    <w:rsid w:val="00CC72B6"/>
    <w:rsid w:val="00CD1EFB"/>
    <w:rsid w:val="00D00876"/>
    <w:rsid w:val="00D0218D"/>
    <w:rsid w:val="00D14D31"/>
    <w:rsid w:val="00D16E90"/>
    <w:rsid w:val="00D25FB5"/>
    <w:rsid w:val="00D349C5"/>
    <w:rsid w:val="00D44223"/>
    <w:rsid w:val="00D65699"/>
    <w:rsid w:val="00D974C0"/>
    <w:rsid w:val="00DA2529"/>
    <w:rsid w:val="00DB130A"/>
    <w:rsid w:val="00DB2EBB"/>
    <w:rsid w:val="00DB3E4F"/>
    <w:rsid w:val="00DC10A1"/>
    <w:rsid w:val="00DC655F"/>
    <w:rsid w:val="00DD0B59"/>
    <w:rsid w:val="00DD108C"/>
    <w:rsid w:val="00DD7EBD"/>
    <w:rsid w:val="00DE1104"/>
    <w:rsid w:val="00DF27A6"/>
    <w:rsid w:val="00DF3A07"/>
    <w:rsid w:val="00DF62B6"/>
    <w:rsid w:val="00E07225"/>
    <w:rsid w:val="00E2788B"/>
    <w:rsid w:val="00E41612"/>
    <w:rsid w:val="00E5409F"/>
    <w:rsid w:val="00E6525C"/>
    <w:rsid w:val="00E81A01"/>
    <w:rsid w:val="00E845D3"/>
    <w:rsid w:val="00E93B98"/>
    <w:rsid w:val="00E94A23"/>
    <w:rsid w:val="00EC0816"/>
    <w:rsid w:val="00EE6488"/>
    <w:rsid w:val="00EF12B5"/>
    <w:rsid w:val="00F021FA"/>
    <w:rsid w:val="00F22324"/>
    <w:rsid w:val="00F33C9B"/>
    <w:rsid w:val="00F62E97"/>
    <w:rsid w:val="00F64209"/>
    <w:rsid w:val="00F7199D"/>
    <w:rsid w:val="00F93BF5"/>
    <w:rsid w:val="00F941FC"/>
    <w:rsid w:val="00FA3856"/>
    <w:rsid w:val="00FA4BC6"/>
    <w:rsid w:val="00FB4CA8"/>
    <w:rsid w:val="00FB672E"/>
    <w:rsid w:val="00FC0A6F"/>
    <w:rsid w:val="00FF2BFB"/>
    <w:rsid w:val="00FF31F1"/>
    <w:rsid w:val="00FF5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C62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basedOn w:val="DefaultParagraphFont"/>
    <w:rsid w:val="00DB3E4F"/>
    <w:rPr>
      <w:sz w:val="16"/>
      <w:szCs w:val="16"/>
    </w:rPr>
  </w:style>
  <w:style w:type="paragraph" w:styleId="CommentText">
    <w:name w:val="annotation text"/>
    <w:basedOn w:val="Normal"/>
    <w:link w:val="CommentTextChar"/>
    <w:rsid w:val="00DB3E4F"/>
    <w:rPr>
      <w:sz w:val="20"/>
    </w:rPr>
  </w:style>
  <w:style w:type="character" w:customStyle="1" w:styleId="CommentTextChar">
    <w:name w:val="Comment Text Char"/>
    <w:basedOn w:val="DefaultParagraphFont"/>
    <w:link w:val="CommentText"/>
    <w:rsid w:val="00DB3E4F"/>
    <w:rPr>
      <w:snapToGrid w:val="0"/>
      <w:kern w:val="28"/>
    </w:rPr>
  </w:style>
  <w:style w:type="paragraph" w:styleId="CommentSubject">
    <w:name w:val="annotation subject"/>
    <w:basedOn w:val="CommentText"/>
    <w:next w:val="CommentText"/>
    <w:link w:val="CommentSubjectChar"/>
    <w:rsid w:val="00DB3E4F"/>
    <w:rPr>
      <w:b/>
      <w:bCs/>
    </w:rPr>
  </w:style>
  <w:style w:type="character" w:customStyle="1" w:styleId="CommentSubjectChar">
    <w:name w:val="Comment Subject Char"/>
    <w:basedOn w:val="CommentTextChar"/>
    <w:link w:val="CommentSubject"/>
    <w:rsid w:val="00DB3E4F"/>
    <w:rPr>
      <w:b/>
      <w:bCs/>
      <w:snapToGrid w:val="0"/>
      <w:kern w:val="28"/>
    </w:rPr>
  </w:style>
  <w:style w:type="paragraph" w:styleId="BalloonText">
    <w:name w:val="Balloon Text"/>
    <w:basedOn w:val="Normal"/>
    <w:link w:val="BalloonTextChar"/>
    <w:rsid w:val="00DB3E4F"/>
    <w:rPr>
      <w:rFonts w:ascii="Segoe UI" w:hAnsi="Segoe UI" w:cs="Segoe UI"/>
      <w:sz w:val="18"/>
      <w:szCs w:val="18"/>
    </w:rPr>
  </w:style>
  <w:style w:type="character" w:customStyle="1" w:styleId="BalloonTextChar">
    <w:name w:val="Balloon Text Char"/>
    <w:basedOn w:val="DefaultParagraphFont"/>
    <w:link w:val="BalloonText"/>
    <w:rsid w:val="00DB3E4F"/>
    <w:rPr>
      <w:rFonts w:ascii="Segoe UI" w:hAnsi="Segoe UI" w:cs="Segoe UI"/>
      <w:snapToGrid w:val="0"/>
      <w:kern w:val="28"/>
      <w:sz w:val="18"/>
      <w:szCs w:val="18"/>
    </w:rPr>
  </w:style>
  <w:style w:type="paragraph" w:styleId="Revision">
    <w:name w:val="Revision"/>
    <w:hidden/>
    <w:uiPriority w:val="99"/>
    <w:semiHidden/>
    <w:rsid w:val="00400FF3"/>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basedOn w:val="DefaultParagraphFont"/>
    <w:rsid w:val="00DB3E4F"/>
    <w:rPr>
      <w:sz w:val="16"/>
      <w:szCs w:val="16"/>
    </w:rPr>
  </w:style>
  <w:style w:type="paragraph" w:styleId="CommentText">
    <w:name w:val="annotation text"/>
    <w:basedOn w:val="Normal"/>
    <w:link w:val="CommentTextChar"/>
    <w:rsid w:val="00DB3E4F"/>
    <w:rPr>
      <w:sz w:val="20"/>
    </w:rPr>
  </w:style>
  <w:style w:type="character" w:customStyle="1" w:styleId="CommentTextChar">
    <w:name w:val="Comment Text Char"/>
    <w:basedOn w:val="DefaultParagraphFont"/>
    <w:link w:val="CommentText"/>
    <w:rsid w:val="00DB3E4F"/>
    <w:rPr>
      <w:snapToGrid w:val="0"/>
      <w:kern w:val="28"/>
    </w:rPr>
  </w:style>
  <w:style w:type="paragraph" w:styleId="CommentSubject">
    <w:name w:val="annotation subject"/>
    <w:basedOn w:val="CommentText"/>
    <w:next w:val="CommentText"/>
    <w:link w:val="CommentSubjectChar"/>
    <w:rsid w:val="00DB3E4F"/>
    <w:rPr>
      <w:b/>
      <w:bCs/>
    </w:rPr>
  </w:style>
  <w:style w:type="character" w:customStyle="1" w:styleId="CommentSubjectChar">
    <w:name w:val="Comment Subject Char"/>
    <w:basedOn w:val="CommentTextChar"/>
    <w:link w:val="CommentSubject"/>
    <w:rsid w:val="00DB3E4F"/>
    <w:rPr>
      <w:b/>
      <w:bCs/>
      <w:snapToGrid w:val="0"/>
      <w:kern w:val="28"/>
    </w:rPr>
  </w:style>
  <w:style w:type="paragraph" w:styleId="BalloonText">
    <w:name w:val="Balloon Text"/>
    <w:basedOn w:val="Normal"/>
    <w:link w:val="BalloonTextChar"/>
    <w:rsid w:val="00DB3E4F"/>
    <w:rPr>
      <w:rFonts w:ascii="Segoe UI" w:hAnsi="Segoe UI" w:cs="Segoe UI"/>
      <w:sz w:val="18"/>
      <w:szCs w:val="18"/>
    </w:rPr>
  </w:style>
  <w:style w:type="character" w:customStyle="1" w:styleId="BalloonTextChar">
    <w:name w:val="Balloon Text Char"/>
    <w:basedOn w:val="DefaultParagraphFont"/>
    <w:link w:val="BalloonText"/>
    <w:rsid w:val="00DB3E4F"/>
    <w:rPr>
      <w:rFonts w:ascii="Segoe UI" w:hAnsi="Segoe UI" w:cs="Segoe UI"/>
      <w:snapToGrid w:val="0"/>
      <w:kern w:val="28"/>
      <w:sz w:val="18"/>
      <w:szCs w:val="18"/>
    </w:rPr>
  </w:style>
  <w:style w:type="paragraph" w:styleId="Revision">
    <w:name w:val="Revision"/>
    <w:hidden/>
    <w:uiPriority w:val="99"/>
    <w:semiHidden/>
    <w:rsid w:val="00400FF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879870">
      <w:bodyDiv w:val="1"/>
      <w:marLeft w:val="0"/>
      <w:marRight w:val="0"/>
      <w:marTop w:val="0"/>
      <w:marBottom w:val="0"/>
      <w:divBdr>
        <w:top w:val="none" w:sz="0" w:space="0" w:color="auto"/>
        <w:left w:val="none" w:sz="0" w:space="0" w:color="auto"/>
        <w:bottom w:val="none" w:sz="0" w:space="0" w:color="auto"/>
        <w:right w:val="none" w:sz="0" w:space="0" w:color="auto"/>
      </w:divBdr>
    </w:div>
    <w:div w:id="1556744738">
      <w:bodyDiv w:val="1"/>
      <w:marLeft w:val="0"/>
      <w:marRight w:val="0"/>
      <w:marTop w:val="0"/>
      <w:marBottom w:val="0"/>
      <w:divBdr>
        <w:top w:val="none" w:sz="0" w:space="0" w:color="auto"/>
        <w:left w:val="none" w:sz="0" w:space="0" w:color="auto"/>
        <w:bottom w:val="none" w:sz="0" w:space="0" w:color="auto"/>
        <w:right w:val="none" w:sz="0" w:space="0" w:color="auto"/>
      </w:divBdr>
    </w:div>
    <w:div w:id="209789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cc.gov/ecfs/filing/121598738856/document/12159873885655c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828</Words>
  <Characters>4721</Characters>
  <Application>Microsoft Office Word</Application>
  <DocSecurity>0</DocSecurity>
  <Lines>109</Lines>
  <Paragraphs>36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5541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2017-01-27T20:51:00Z</cp:lastPrinted>
  <dcterms:created xsi:type="dcterms:W3CDTF">2017-02-10T16:56:00Z</dcterms:created>
  <dcterms:modified xsi:type="dcterms:W3CDTF">2017-02-10T16:56:00Z</dcterms:modified>
  <cp:category> </cp:category>
  <cp:contentStatus> </cp:contentStatus>
</cp:coreProperties>
</file>