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CC0FA" w14:textId="77777777" w:rsidR="004C2EE3" w:rsidRDefault="00E74D75">
      <w:pPr>
        <w:jc w:val="center"/>
        <w:rPr>
          <w:b/>
        </w:rPr>
      </w:pPr>
      <w:bookmarkStart w:id="0" w:name="_GoBack"/>
      <w:bookmarkEnd w:id="0"/>
      <w:r>
        <w:rPr>
          <w:rFonts w:ascii="Times New Roman Bold" w:hAnsi="Times New Roman Bold"/>
          <w:b/>
          <w:kern w:val="0"/>
          <w:szCs w:val="22"/>
        </w:rPr>
        <w:t xml:space="preserve"> </w:t>
      </w:r>
      <w:r w:rsidR="004C2EE3" w:rsidRPr="0070224F">
        <w:rPr>
          <w:rFonts w:ascii="Times New Roman Bold" w:hAnsi="Times New Roman Bold"/>
          <w:b/>
          <w:kern w:val="0"/>
          <w:szCs w:val="22"/>
        </w:rPr>
        <w:t>Before</w:t>
      </w:r>
      <w:r w:rsidR="004C2EE3">
        <w:rPr>
          <w:b/>
        </w:rPr>
        <w:t xml:space="preserve"> the</w:t>
      </w:r>
    </w:p>
    <w:p w14:paraId="7ED41D65" w14:textId="77777777" w:rsidR="00921803" w:rsidRDefault="00921803" w:rsidP="00921803">
      <w:pPr>
        <w:pStyle w:val="StyleBoldCentered"/>
      </w:pPr>
      <w:r>
        <w:t>F</w:t>
      </w:r>
      <w:r>
        <w:rPr>
          <w:caps w:val="0"/>
        </w:rPr>
        <w:t>ederal Communications Commission</w:t>
      </w:r>
    </w:p>
    <w:p w14:paraId="2A789F15" w14:textId="77777777" w:rsidR="004C2EE3" w:rsidRDefault="00810B6F" w:rsidP="00096D8C">
      <w:pPr>
        <w:pStyle w:val="StyleBoldCentered"/>
      </w:pPr>
      <w:r>
        <w:rPr>
          <w:caps w:val="0"/>
        </w:rPr>
        <w:t>Washington, D.C. 20554</w:t>
      </w:r>
    </w:p>
    <w:p w14:paraId="707BB7FA" w14:textId="77777777" w:rsidR="004C2EE3" w:rsidRDefault="004C2EE3" w:rsidP="0070224F"/>
    <w:p w14:paraId="554DD95F"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479F8AE7" w14:textId="77777777">
        <w:tc>
          <w:tcPr>
            <w:tcW w:w="4698" w:type="dxa"/>
          </w:tcPr>
          <w:p w14:paraId="2698EC8D" w14:textId="77777777" w:rsidR="004C2EE3" w:rsidRDefault="004C2EE3">
            <w:pPr>
              <w:tabs>
                <w:tab w:val="center" w:pos="4680"/>
              </w:tabs>
              <w:suppressAutoHyphens/>
              <w:rPr>
                <w:spacing w:val="-2"/>
              </w:rPr>
            </w:pPr>
            <w:r>
              <w:rPr>
                <w:spacing w:val="-2"/>
              </w:rPr>
              <w:t>In the Matter of</w:t>
            </w:r>
          </w:p>
          <w:p w14:paraId="53B7AB4C" w14:textId="77777777" w:rsidR="002C0D7F" w:rsidRDefault="002C0D7F" w:rsidP="007115F7">
            <w:pPr>
              <w:tabs>
                <w:tab w:val="center" w:pos="4680"/>
              </w:tabs>
              <w:suppressAutoHyphens/>
              <w:rPr>
                <w:spacing w:val="-2"/>
              </w:rPr>
            </w:pPr>
          </w:p>
          <w:p w14:paraId="483366CA" w14:textId="77777777" w:rsidR="004C2EE3" w:rsidRPr="002C0D7F" w:rsidRDefault="003D2498" w:rsidP="007115F7">
            <w:pPr>
              <w:tabs>
                <w:tab w:val="center" w:pos="4680"/>
              </w:tabs>
              <w:suppressAutoHyphens/>
              <w:rPr>
                <w:spacing w:val="-2"/>
              </w:rPr>
            </w:pPr>
            <w:r w:rsidRPr="002C0D7F">
              <w:rPr>
                <w:spacing w:val="-2"/>
              </w:rPr>
              <w:t>Corvex Master Fund LP</w:t>
            </w:r>
          </w:p>
          <w:p w14:paraId="76FB2799" w14:textId="77777777" w:rsidR="00181218" w:rsidRDefault="00181218" w:rsidP="007115F7">
            <w:pPr>
              <w:tabs>
                <w:tab w:val="center" w:pos="4680"/>
              </w:tabs>
              <w:suppressAutoHyphens/>
              <w:rPr>
                <w:b/>
                <w:spacing w:val="-2"/>
              </w:rPr>
            </w:pPr>
          </w:p>
          <w:p w14:paraId="1C2B1F15" w14:textId="77777777" w:rsidR="00531EBC" w:rsidRPr="00531EBC" w:rsidRDefault="00181218" w:rsidP="00531EBC">
            <w:pPr>
              <w:tabs>
                <w:tab w:val="center" w:pos="4680"/>
              </w:tabs>
              <w:suppressAutoHyphens/>
              <w:rPr>
                <w:spacing w:val="-2"/>
              </w:rPr>
            </w:pPr>
            <w:r>
              <w:rPr>
                <w:spacing w:val="-2"/>
              </w:rPr>
              <w:t>Petition for Declaratory Ruling</w:t>
            </w:r>
            <w:r w:rsidR="00DF5C9E">
              <w:rPr>
                <w:spacing w:val="-2"/>
              </w:rPr>
              <w:t xml:space="preserve"> </w:t>
            </w:r>
            <w:r w:rsidR="00531EBC" w:rsidRPr="00531EBC">
              <w:rPr>
                <w:spacing w:val="-2"/>
              </w:rPr>
              <w:t>Under Section</w:t>
            </w:r>
          </w:p>
          <w:p w14:paraId="3D541DE7" w14:textId="77777777" w:rsidR="00531EBC" w:rsidRPr="00531EBC" w:rsidRDefault="00531EBC" w:rsidP="00531EBC">
            <w:pPr>
              <w:tabs>
                <w:tab w:val="center" w:pos="4680"/>
              </w:tabs>
              <w:suppressAutoHyphens/>
              <w:rPr>
                <w:spacing w:val="-2"/>
              </w:rPr>
            </w:pPr>
            <w:r w:rsidRPr="00531EBC">
              <w:rPr>
                <w:spacing w:val="-2"/>
              </w:rPr>
              <w:t>310(b)(4) of the Communications Act of 1934, as</w:t>
            </w:r>
          </w:p>
          <w:p w14:paraId="5F0C0660" w14:textId="77777777" w:rsidR="002C0D7F" w:rsidRPr="00181218" w:rsidRDefault="00531EBC" w:rsidP="00531EBC">
            <w:pPr>
              <w:tabs>
                <w:tab w:val="center" w:pos="4680"/>
              </w:tabs>
              <w:suppressAutoHyphens/>
              <w:rPr>
                <w:spacing w:val="-2"/>
              </w:rPr>
            </w:pPr>
            <w:r w:rsidRPr="00531EBC">
              <w:rPr>
                <w:spacing w:val="-2"/>
              </w:rPr>
              <w:t>Amended</w:t>
            </w:r>
          </w:p>
          <w:p w14:paraId="6B5D7A72" w14:textId="77777777" w:rsidR="00181218" w:rsidRPr="00181218" w:rsidRDefault="00181218" w:rsidP="007115F7">
            <w:pPr>
              <w:tabs>
                <w:tab w:val="center" w:pos="4680"/>
              </w:tabs>
              <w:suppressAutoHyphens/>
              <w:rPr>
                <w:spacing w:val="-2"/>
              </w:rPr>
            </w:pPr>
          </w:p>
        </w:tc>
        <w:tc>
          <w:tcPr>
            <w:tcW w:w="630" w:type="dxa"/>
          </w:tcPr>
          <w:p w14:paraId="7C2F64FE" w14:textId="77777777" w:rsidR="004C2EE3" w:rsidRDefault="004C2EE3">
            <w:pPr>
              <w:tabs>
                <w:tab w:val="center" w:pos="4680"/>
              </w:tabs>
              <w:suppressAutoHyphens/>
              <w:rPr>
                <w:b/>
                <w:spacing w:val="-2"/>
              </w:rPr>
            </w:pPr>
            <w:r>
              <w:rPr>
                <w:b/>
                <w:spacing w:val="-2"/>
              </w:rPr>
              <w:t>)</w:t>
            </w:r>
          </w:p>
          <w:p w14:paraId="41424E99" w14:textId="77777777" w:rsidR="004C2EE3" w:rsidRDefault="004C2EE3">
            <w:pPr>
              <w:tabs>
                <w:tab w:val="center" w:pos="4680"/>
              </w:tabs>
              <w:suppressAutoHyphens/>
              <w:rPr>
                <w:b/>
                <w:spacing w:val="-2"/>
              </w:rPr>
            </w:pPr>
            <w:r>
              <w:rPr>
                <w:b/>
                <w:spacing w:val="-2"/>
              </w:rPr>
              <w:t>)</w:t>
            </w:r>
          </w:p>
          <w:p w14:paraId="27CE13D5" w14:textId="77777777" w:rsidR="004C2EE3" w:rsidRDefault="004C2EE3">
            <w:pPr>
              <w:tabs>
                <w:tab w:val="center" w:pos="4680"/>
              </w:tabs>
              <w:suppressAutoHyphens/>
              <w:rPr>
                <w:b/>
                <w:spacing w:val="-2"/>
              </w:rPr>
            </w:pPr>
            <w:r>
              <w:rPr>
                <w:b/>
                <w:spacing w:val="-2"/>
              </w:rPr>
              <w:t>)</w:t>
            </w:r>
          </w:p>
          <w:p w14:paraId="27DB9A76" w14:textId="77777777" w:rsidR="004C2EE3" w:rsidRDefault="004C2EE3">
            <w:pPr>
              <w:tabs>
                <w:tab w:val="center" w:pos="4680"/>
              </w:tabs>
              <w:suppressAutoHyphens/>
              <w:rPr>
                <w:b/>
                <w:spacing w:val="-2"/>
              </w:rPr>
            </w:pPr>
            <w:r>
              <w:rPr>
                <w:b/>
                <w:spacing w:val="-2"/>
              </w:rPr>
              <w:t>)</w:t>
            </w:r>
          </w:p>
          <w:p w14:paraId="2EC170AB" w14:textId="77777777" w:rsidR="009F0EDC" w:rsidRDefault="004C2EE3">
            <w:pPr>
              <w:tabs>
                <w:tab w:val="center" w:pos="4680"/>
              </w:tabs>
              <w:suppressAutoHyphens/>
              <w:rPr>
                <w:b/>
                <w:spacing w:val="-2"/>
              </w:rPr>
            </w:pPr>
            <w:r>
              <w:rPr>
                <w:b/>
                <w:spacing w:val="-2"/>
              </w:rPr>
              <w:t>)</w:t>
            </w:r>
          </w:p>
          <w:p w14:paraId="4E0C14C1" w14:textId="77777777" w:rsidR="00531EBC" w:rsidRDefault="00531EBC">
            <w:pPr>
              <w:tabs>
                <w:tab w:val="center" w:pos="4680"/>
              </w:tabs>
              <w:suppressAutoHyphens/>
              <w:rPr>
                <w:b/>
                <w:spacing w:val="-2"/>
              </w:rPr>
            </w:pPr>
            <w:r>
              <w:rPr>
                <w:b/>
                <w:spacing w:val="-2"/>
              </w:rPr>
              <w:t>)</w:t>
            </w:r>
          </w:p>
          <w:p w14:paraId="408518A3" w14:textId="77777777" w:rsidR="00531EBC" w:rsidRDefault="00531EBC">
            <w:pPr>
              <w:tabs>
                <w:tab w:val="center" w:pos="4680"/>
              </w:tabs>
              <w:suppressAutoHyphens/>
              <w:rPr>
                <w:b/>
                <w:spacing w:val="-2"/>
              </w:rPr>
            </w:pPr>
            <w:r>
              <w:rPr>
                <w:b/>
                <w:spacing w:val="-2"/>
              </w:rPr>
              <w:t>)</w:t>
            </w:r>
          </w:p>
          <w:p w14:paraId="4D0F0DF7" w14:textId="77777777" w:rsidR="002C0D7F" w:rsidRPr="00181218" w:rsidRDefault="002C0D7F">
            <w:pPr>
              <w:tabs>
                <w:tab w:val="center" w:pos="4680"/>
              </w:tabs>
              <w:suppressAutoHyphens/>
              <w:rPr>
                <w:b/>
                <w:spacing w:val="-2"/>
              </w:rPr>
            </w:pPr>
          </w:p>
        </w:tc>
        <w:tc>
          <w:tcPr>
            <w:tcW w:w="4248" w:type="dxa"/>
          </w:tcPr>
          <w:p w14:paraId="55979405" w14:textId="77777777" w:rsidR="004C2EE3" w:rsidRDefault="004C2EE3">
            <w:pPr>
              <w:tabs>
                <w:tab w:val="center" w:pos="4680"/>
              </w:tabs>
              <w:suppressAutoHyphens/>
              <w:rPr>
                <w:spacing w:val="-2"/>
              </w:rPr>
            </w:pPr>
          </w:p>
          <w:p w14:paraId="3316751C" w14:textId="77777777" w:rsidR="003D6FCD" w:rsidRDefault="003D6FCD">
            <w:pPr>
              <w:pStyle w:val="TOAHeading"/>
              <w:tabs>
                <w:tab w:val="clear" w:pos="9360"/>
                <w:tab w:val="center" w:pos="4680"/>
              </w:tabs>
              <w:rPr>
                <w:spacing w:val="-2"/>
              </w:rPr>
            </w:pPr>
          </w:p>
          <w:p w14:paraId="7F977F38" w14:textId="77777777" w:rsidR="00531EBC" w:rsidRDefault="00531EBC" w:rsidP="003D2498">
            <w:pPr>
              <w:tabs>
                <w:tab w:val="center" w:pos="4680"/>
              </w:tabs>
              <w:suppressAutoHyphens/>
              <w:rPr>
                <w:snapToGrid/>
                <w:kern w:val="0"/>
                <w:szCs w:val="22"/>
              </w:rPr>
            </w:pPr>
            <w:r>
              <w:rPr>
                <w:snapToGrid/>
                <w:kern w:val="0"/>
                <w:szCs w:val="22"/>
              </w:rPr>
              <w:t>KXMZ(FM), Box Elder, South Dakota</w:t>
            </w:r>
          </w:p>
          <w:p w14:paraId="71F8958E" w14:textId="77777777" w:rsidR="00531EBC" w:rsidRDefault="00531EBC" w:rsidP="003D2498">
            <w:pPr>
              <w:tabs>
                <w:tab w:val="center" w:pos="4680"/>
              </w:tabs>
              <w:suppressAutoHyphens/>
              <w:rPr>
                <w:snapToGrid/>
                <w:kern w:val="0"/>
                <w:szCs w:val="22"/>
              </w:rPr>
            </w:pPr>
            <w:r w:rsidRPr="00531EBC">
              <w:rPr>
                <w:snapToGrid/>
                <w:kern w:val="0"/>
                <w:szCs w:val="22"/>
              </w:rPr>
              <w:t>Facility ID No. 164109</w:t>
            </w:r>
          </w:p>
          <w:p w14:paraId="688E5F7F" w14:textId="77777777" w:rsidR="00531EBC" w:rsidRDefault="00531EBC" w:rsidP="003D2498">
            <w:pPr>
              <w:tabs>
                <w:tab w:val="center" w:pos="4680"/>
              </w:tabs>
              <w:suppressAutoHyphens/>
              <w:rPr>
                <w:snapToGrid/>
                <w:kern w:val="0"/>
                <w:szCs w:val="22"/>
              </w:rPr>
            </w:pPr>
          </w:p>
          <w:p w14:paraId="38F26F2B" w14:textId="77777777" w:rsidR="00A55A55" w:rsidRDefault="009F0EDC" w:rsidP="003D2498">
            <w:pPr>
              <w:tabs>
                <w:tab w:val="center" w:pos="4680"/>
              </w:tabs>
              <w:suppressAutoHyphens/>
              <w:rPr>
                <w:spacing w:val="-2"/>
              </w:rPr>
            </w:pPr>
            <w:r w:rsidRPr="009F0EDC">
              <w:rPr>
                <w:snapToGrid/>
                <w:kern w:val="0"/>
                <w:szCs w:val="22"/>
              </w:rPr>
              <w:t xml:space="preserve">MB Docket </w:t>
            </w:r>
            <w:r w:rsidR="003D2498">
              <w:rPr>
                <w:snapToGrid/>
                <w:kern w:val="0"/>
                <w:szCs w:val="22"/>
              </w:rPr>
              <w:t>No. 16-253</w:t>
            </w:r>
          </w:p>
        </w:tc>
      </w:tr>
    </w:tbl>
    <w:p w14:paraId="4EA0A84B" w14:textId="77777777" w:rsidR="00841AB1" w:rsidRDefault="00F64575" w:rsidP="00F021FA">
      <w:pPr>
        <w:pStyle w:val="StyleBoldCentered"/>
      </w:pPr>
      <w:r>
        <w:t>DECLARATORY RULING</w:t>
      </w:r>
    </w:p>
    <w:p w14:paraId="04652010" w14:textId="77777777" w:rsidR="004C2EE3" w:rsidRDefault="004C2EE3">
      <w:pPr>
        <w:tabs>
          <w:tab w:val="left" w:pos="-720"/>
        </w:tabs>
        <w:suppressAutoHyphens/>
        <w:spacing w:line="227" w:lineRule="auto"/>
        <w:rPr>
          <w:spacing w:val="-2"/>
        </w:rPr>
      </w:pPr>
    </w:p>
    <w:p w14:paraId="368BBEFC" w14:textId="67F9BB8A" w:rsidR="004C2EE3" w:rsidRDefault="004C2EE3" w:rsidP="00133F79">
      <w:pPr>
        <w:tabs>
          <w:tab w:val="left" w:pos="720"/>
          <w:tab w:val="right" w:pos="9360"/>
        </w:tabs>
        <w:suppressAutoHyphens/>
        <w:spacing w:line="227" w:lineRule="auto"/>
        <w:rPr>
          <w:spacing w:val="-2"/>
        </w:rPr>
      </w:pPr>
      <w:r>
        <w:rPr>
          <w:b/>
          <w:spacing w:val="-2"/>
        </w:rPr>
        <w:t xml:space="preserve">Adopted:  </w:t>
      </w:r>
      <w:r w:rsidR="006802A4">
        <w:rPr>
          <w:b/>
          <w:spacing w:val="-2"/>
        </w:rPr>
        <w:t>February 14,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802A4">
        <w:rPr>
          <w:b/>
          <w:spacing w:val="-2"/>
        </w:rPr>
        <w:t>February 14, 2017</w:t>
      </w:r>
    </w:p>
    <w:p w14:paraId="2A2A93BA" w14:textId="77777777" w:rsidR="00822CE0" w:rsidRDefault="00822CE0"/>
    <w:p w14:paraId="3E7219AB" w14:textId="77777777" w:rsidR="002C00E8" w:rsidRDefault="004C2EE3" w:rsidP="00AF5298">
      <w:pPr>
        <w:rPr>
          <w:spacing w:val="-2"/>
        </w:rPr>
      </w:pPr>
      <w:r>
        <w:t xml:space="preserve">By </w:t>
      </w:r>
      <w:r w:rsidR="004E4A22">
        <w:t>the</w:t>
      </w:r>
      <w:r w:rsidR="002A2D2E">
        <w:t xml:space="preserve"> </w:t>
      </w:r>
      <w:r w:rsidR="00F64575">
        <w:rPr>
          <w:spacing w:val="-2"/>
        </w:rPr>
        <w:t>Chief, Media Bureau</w:t>
      </w:r>
      <w:r>
        <w:rPr>
          <w:spacing w:val="-2"/>
        </w:rPr>
        <w:t>:</w:t>
      </w:r>
    </w:p>
    <w:p w14:paraId="3A4F7975" w14:textId="77777777" w:rsidR="005E59D3" w:rsidRDefault="005E59D3" w:rsidP="00AF5298">
      <w:pPr>
        <w:rPr>
          <w:spacing w:val="-2"/>
        </w:rPr>
      </w:pPr>
    </w:p>
    <w:p w14:paraId="15F34A29" w14:textId="77777777" w:rsidR="00AF5298" w:rsidRPr="00DB5EEE" w:rsidRDefault="005E59D3" w:rsidP="00DB5EEE">
      <w:pPr>
        <w:pStyle w:val="Heading1"/>
        <w:rPr>
          <w:spacing w:val="-2"/>
        </w:rPr>
      </w:pPr>
      <w:r w:rsidRPr="005E59D3">
        <w:t>INTRODUCTION</w:t>
      </w:r>
    </w:p>
    <w:p w14:paraId="3170B367" w14:textId="726E30CD" w:rsidR="006245B1" w:rsidRPr="00593A72" w:rsidRDefault="00F64575" w:rsidP="006245B1">
      <w:pPr>
        <w:pStyle w:val="ParaNum"/>
      </w:pPr>
      <w:r>
        <w:t xml:space="preserve">In this </w:t>
      </w:r>
      <w:r w:rsidR="00212F11" w:rsidRPr="00212F11">
        <w:rPr>
          <w:i/>
        </w:rPr>
        <w:t>Declaratory Ruling</w:t>
      </w:r>
      <w:r w:rsidR="00AD05CD">
        <w:t xml:space="preserve">, the Media Bureau </w:t>
      </w:r>
      <w:r w:rsidR="00896F2B">
        <w:t xml:space="preserve">(Bureau) </w:t>
      </w:r>
      <w:r w:rsidR="00AD05CD">
        <w:t>a</w:t>
      </w:r>
      <w:r w:rsidR="005B7936">
        <w:t>ddresses a</w:t>
      </w:r>
      <w:r w:rsidR="00AD05CD">
        <w:t xml:space="preserve"> petition for declaratory ru</w:t>
      </w:r>
      <w:r w:rsidR="00591D03">
        <w:t>ling</w:t>
      </w:r>
      <w:r w:rsidR="007058E5">
        <w:t xml:space="preserve"> (Petition)</w:t>
      </w:r>
      <w:r w:rsidR="00591D03">
        <w:t xml:space="preserve"> filed by </w:t>
      </w:r>
      <w:r w:rsidR="00A623CE">
        <w:t>Corvex Master Fund LP</w:t>
      </w:r>
      <w:r w:rsidR="00E956EB">
        <w:t xml:space="preserve"> </w:t>
      </w:r>
      <w:r w:rsidR="009618F0">
        <w:t>(</w:t>
      </w:r>
      <w:r w:rsidR="00A623CE">
        <w:t>Corvex</w:t>
      </w:r>
      <w:r w:rsidR="009618F0">
        <w:t>) on J</w:t>
      </w:r>
      <w:r w:rsidR="00254A5B">
        <w:t>uly 27, 2016</w:t>
      </w:r>
      <w:r w:rsidR="006245B1">
        <w:t xml:space="preserve">, </w:t>
      </w:r>
      <w:r w:rsidR="006245B1" w:rsidRPr="00BE7F4A">
        <w:rPr>
          <w:szCs w:val="18"/>
        </w:rPr>
        <w:t>pursuant to Section 310(b)(4) of the Communications A</w:t>
      </w:r>
      <w:r w:rsidR="006245B1">
        <w:rPr>
          <w:szCs w:val="18"/>
        </w:rPr>
        <w:t>ct of 1934, as amended,</w:t>
      </w:r>
      <w:r w:rsidR="006245B1" w:rsidRPr="00BE7F4A">
        <w:rPr>
          <w:szCs w:val="18"/>
        </w:rPr>
        <w:t xml:space="preserve"> and </w:t>
      </w:r>
      <w:r w:rsidR="006245B1">
        <w:rPr>
          <w:szCs w:val="18"/>
        </w:rPr>
        <w:t xml:space="preserve">the </w:t>
      </w:r>
      <w:r w:rsidR="006245B1" w:rsidRPr="00BE7F4A">
        <w:rPr>
          <w:i/>
          <w:iCs/>
          <w:szCs w:val="22"/>
        </w:rPr>
        <w:t>Pandora Declaratory Ruling</w:t>
      </w:r>
      <w:r w:rsidR="006245B1" w:rsidRPr="00BE7F4A">
        <w:rPr>
          <w:szCs w:val="18"/>
        </w:rPr>
        <w:t>.</w:t>
      </w:r>
      <w:r w:rsidR="006245B1" w:rsidRPr="00BE7F4A">
        <w:rPr>
          <w:szCs w:val="18"/>
          <w:vertAlign w:val="superscript"/>
        </w:rPr>
        <w:footnoteReference w:id="2"/>
      </w:r>
      <w:r w:rsidR="006245B1">
        <w:rPr>
          <w:szCs w:val="18"/>
        </w:rPr>
        <w:t xml:space="preserve"> </w:t>
      </w:r>
      <w:r w:rsidR="006E377A">
        <w:t xml:space="preserve"> </w:t>
      </w:r>
      <w:r w:rsidR="006245B1">
        <w:t>By the Petition, Corvex</w:t>
      </w:r>
      <w:r w:rsidR="005B7936">
        <w:t xml:space="preserve"> </w:t>
      </w:r>
      <w:r w:rsidR="002D3988">
        <w:t xml:space="preserve">asks </w:t>
      </w:r>
      <w:r w:rsidR="005B7936">
        <w:t xml:space="preserve">the Commission to exercise its discretion </w:t>
      </w:r>
      <w:r w:rsidR="00335195">
        <w:t xml:space="preserve">under Section 310(b)(4) </w:t>
      </w:r>
      <w:r w:rsidR="005B7936">
        <w:t xml:space="preserve">to permit </w:t>
      </w:r>
      <w:r w:rsidR="00A623CE">
        <w:t>Corvex</w:t>
      </w:r>
      <w:r w:rsidR="001E17A9">
        <w:t xml:space="preserve"> to</w:t>
      </w:r>
      <w:r w:rsidR="00443355">
        <w:t>: (1) exercise stock options that would</w:t>
      </w:r>
      <w:r w:rsidR="001E17A9">
        <w:t xml:space="preserve"> increase its </w:t>
      </w:r>
      <w:r w:rsidR="00752684">
        <w:t xml:space="preserve">present 4.95 percent </w:t>
      </w:r>
      <w:r w:rsidR="00335195">
        <w:t xml:space="preserve">non-controlling </w:t>
      </w:r>
      <w:r w:rsidR="001E17A9">
        <w:t>voting and equity interest in Pandora Media, Inc. (Pandora</w:t>
      </w:r>
      <w:r w:rsidR="003632D5">
        <w:t xml:space="preserve"> Media), the parent corporation</w:t>
      </w:r>
      <w:r w:rsidR="001E17A9">
        <w:t xml:space="preserve"> of Pa</w:t>
      </w:r>
      <w:r w:rsidR="003632D5">
        <w:t xml:space="preserve">ndora </w:t>
      </w:r>
      <w:r w:rsidR="007223F0">
        <w:t xml:space="preserve">FM </w:t>
      </w:r>
      <w:r w:rsidR="003632D5">
        <w:t>LLC</w:t>
      </w:r>
      <w:r w:rsidR="001E17A9" w:rsidRPr="00BE7F4A">
        <w:rPr>
          <w:szCs w:val="22"/>
        </w:rPr>
        <w:t xml:space="preserve"> (</w:t>
      </w:r>
      <w:r w:rsidR="00FC0230">
        <w:rPr>
          <w:szCs w:val="22"/>
        </w:rPr>
        <w:t>Pandora FM</w:t>
      </w:r>
      <w:r w:rsidR="001E17A9" w:rsidRPr="00BE7F4A">
        <w:rPr>
          <w:szCs w:val="22"/>
        </w:rPr>
        <w:t xml:space="preserve">), </w:t>
      </w:r>
      <w:r w:rsidR="00752684">
        <w:rPr>
          <w:szCs w:val="22"/>
        </w:rPr>
        <w:t>to</w:t>
      </w:r>
      <w:r w:rsidR="001E17A9" w:rsidRPr="00BE7F4A">
        <w:rPr>
          <w:szCs w:val="22"/>
        </w:rPr>
        <w:t xml:space="preserve"> </w:t>
      </w:r>
      <w:r w:rsidR="00752684">
        <w:rPr>
          <w:szCs w:val="22"/>
        </w:rPr>
        <w:t xml:space="preserve">a </w:t>
      </w:r>
      <w:r w:rsidR="00331CD5" w:rsidRPr="00BE7F4A">
        <w:rPr>
          <w:szCs w:val="22"/>
        </w:rPr>
        <w:t>9.99</w:t>
      </w:r>
      <w:r w:rsidR="00A95D7D">
        <w:t xml:space="preserve"> percent </w:t>
      </w:r>
      <w:r w:rsidR="00335195">
        <w:t xml:space="preserve">non-controlling </w:t>
      </w:r>
      <w:r w:rsidR="00A95D7D">
        <w:t>voting and equity interest</w:t>
      </w:r>
      <w:r w:rsidR="00443355">
        <w:rPr>
          <w:szCs w:val="22"/>
        </w:rPr>
        <w:t xml:space="preserve">; and (2) </w:t>
      </w:r>
      <w:r w:rsidR="00E241BC">
        <w:rPr>
          <w:szCs w:val="22"/>
        </w:rPr>
        <w:t>further increase its</w:t>
      </w:r>
      <w:r w:rsidR="00752684">
        <w:rPr>
          <w:szCs w:val="22"/>
        </w:rPr>
        <w:t xml:space="preserve"> voting and equity interest in Pandora Media</w:t>
      </w:r>
      <w:r w:rsidR="00E241BC">
        <w:rPr>
          <w:szCs w:val="22"/>
        </w:rPr>
        <w:t>, at some future time,</w:t>
      </w:r>
      <w:r w:rsidR="00752684">
        <w:rPr>
          <w:szCs w:val="22"/>
        </w:rPr>
        <w:t xml:space="preserve"> </w:t>
      </w:r>
      <w:r w:rsidR="00443355">
        <w:rPr>
          <w:szCs w:val="22"/>
        </w:rPr>
        <w:t>up to</w:t>
      </w:r>
      <w:r w:rsidR="0072522F">
        <w:rPr>
          <w:szCs w:val="22"/>
        </w:rPr>
        <w:t xml:space="preserve"> and including</w:t>
      </w:r>
      <w:r w:rsidR="00E241BC">
        <w:rPr>
          <w:szCs w:val="22"/>
        </w:rPr>
        <w:t xml:space="preserve"> a total non-controlling interest of</w:t>
      </w:r>
      <w:r w:rsidR="00902C8C">
        <w:rPr>
          <w:szCs w:val="22"/>
        </w:rPr>
        <w:t xml:space="preserve"> </w:t>
      </w:r>
      <w:r w:rsidR="001E17A9" w:rsidRPr="00BE7F4A">
        <w:rPr>
          <w:szCs w:val="22"/>
        </w:rPr>
        <w:t>14.99 percent</w:t>
      </w:r>
      <w:r w:rsidR="00752684">
        <w:rPr>
          <w:szCs w:val="22"/>
        </w:rPr>
        <w:t xml:space="preserve"> </w:t>
      </w:r>
      <w:r w:rsidR="001E17A9" w:rsidRPr="00BE7F4A">
        <w:rPr>
          <w:szCs w:val="22"/>
        </w:rPr>
        <w:t xml:space="preserve">without </w:t>
      </w:r>
      <w:r w:rsidR="001E17A9">
        <w:rPr>
          <w:szCs w:val="22"/>
        </w:rPr>
        <w:t>further Commission</w:t>
      </w:r>
      <w:r w:rsidR="001E17A9" w:rsidRPr="00BE7F4A">
        <w:rPr>
          <w:szCs w:val="22"/>
        </w:rPr>
        <w:t xml:space="preserve"> approval.</w:t>
      </w:r>
      <w:r w:rsidR="001E17A9" w:rsidRPr="00BE7F4A">
        <w:rPr>
          <w:szCs w:val="18"/>
          <w:vertAlign w:val="superscript"/>
        </w:rPr>
        <w:footnoteReference w:id="3"/>
      </w:r>
      <w:r w:rsidR="001E17A9">
        <w:rPr>
          <w:szCs w:val="22"/>
        </w:rPr>
        <w:t xml:space="preserve">  </w:t>
      </w:r>
      <w:r w:rsidR="002C0D7F">
        <w:rPr>
          <w:szCs w:val="18"/>
        </w:rPr>
        <w:t xml:space="preserve">The Petition </w:t>
      </w:r>
      <w:r w:rsidR="002A2DA8">
        <w:rPr>
          <w:szCs w:val="18"/>
        </w:rPr>
        <w:t>is</w:t>
      </w:r>
      <w:r w:rsidR="002C0D7F">
        <w:rPr>
          <w:szCs w:val="18"/>
        </w:rPr>
        <w:t xml:space="preserve"> unopposed.  </w:t>
      </w:r>
      <w:r w:rsidR="006245B1">
        <w:t>As</w:t>
      </w:r>
      <w:r w:rsidR="005E59D3" w:rsidRPr="0074744D">
        <w:t xml:space="preserve"> discussed below, we find that it </w:t>
      </w:r>
      <w:r w:rsidR="00862579">
        <w:t>will</w:t>
      </w:r>
      <w:r w:rsidR="00862579" w:rsidRPr="0074744D">
        <w:t xml:space="preserve"> </w:t>
      </w:r>
      <w:r w:rsidR="005E59D3" w:rsidRPr="0074744D">
        <w:t xml:space="preserve">serve the public interest to </w:t>
      </w:r>
      <w:r w:rsidR="0004032A">
        <w:t>grant the Petition</w:t>
      </w:r>
      <w:r w:rsidR="00E96200">
        <w:t xml:space="preserve">, subject to </w:t>
      </w:r>
      <w:r w:rsidR="00335195">
        <w:t xml:space="preserve">the terms and conditions set forth </w:t>
      </w:r>
      <w:r w:rsidR="00132F1F">
        <w:t xml:space="preserve">herein and </w:t>
      </w:r>
      <w:r w:rsidR="00335195">
        <w:t xml:space="preserve">in </w:t>
      </w:r>
      <w:r w:rsidR="00E96200">
        <w:t xml:space="preserve">the </w:t>
      </w:r>
      <w:r w:rsidR="00E96200">
        <w:rPr>
          <w:i/>
        </w:rPr>
        <w:t>Pandora Declaratory Ruling</w:t>
      </w:r>
      <w:r w:rsidR="00437FA4">
        <w:t>.</w:t>
      </w:r>
    </w:p>
    <w:p w14:paraId="4B9F4C36" w14:textId="77777777" w:rsidR="009618F0" w:rsidRDefault="009618F0" w:rsidP="00A37BAB">
      <w:pPr>
        <w:pStyle w:val="Heading1"/>
      </w:pPr>
      <w:r>
        <w:t>Background</w:t>
      </w:r>
    </w:p>
    <w:p w14:paraId="393B8CA2" w14:textId="0DD19502" w:rsidR="00110699" w:rsidRDefault="00FC0230" w:rsidP="00437FA4">
      <w:pPr>
        <w:pStyle w:val="ParaNum"/>
      </w:pPr>
      <w:r>
        <w:rPr>
          <w:i/>
        </w:rPr>
        <w:t>Pandora FM</w:t>
      </w:r>
      <w:r w:rsidR="002A2DA8">
        <w:rPr>
          <w:i/>
        </w:rPr>
        <w:t xml:space="preserve">.  </w:t>
      </w:r>
      <w:r>
        <w:t>Pandora FM</w:t>
      </w:r>
      <w:r w:rsidR="002A2DA8">
        <w:t>, the licensee of Station KXMZ</w:t>
      </w:r>
      <w:r w:rsidR="002764AF">
        <w:t>(FM), Box Elder, South Dakota</w:t>
      </w:r>
      <w:r w:rsidR="002A2DA8">
        <w:t>,</w:t>
      </w:r>
      <w:r w:rsidR="00110699">
        <w:t xml:space="preserve"> is a wholly owned, direct subsidiary of Pandora Media, a publicly traded company incorporated in the State of Delaware.</w:t>
      </w:r>
      <w:r w:rsidR="002764AF">
        <w:rPr>
          <w:rStyle w:val="FootnoteReference"/>
        </w:rPr>
        <w:footnoteReference w:id="4"/>
      </w:r>
      <w:r w:rsidR="00110699">
        <w:t xml:space="preserve">  On May 1, 2015, the Commission issued </w:t>
      </w:r>
      <w:r w:rsidR="008649A7">
        <w:t xml:space="preserve">the </w:t>
      </w:r>
      <w:r w:rsidR="008649A7">
        <w:rPr>
          <w:i/>
        </w:rPr>
        <w:t>Pandora Declaratory Ruling</w:t>
      </w:r>
      <w:r w:rsidR="008649A7">
        <w:t>,</w:t>
      </w:r>
      <w:r w:rsidR="00110699">
        <w:t xml:space="preserve"> permitting aggregate foreign ownership in Pandora Media up to and including 49.99 percent, subject to certain conditions</w:t>
      </w:r>
      <w:r w:rsidR="00981556">
        <w:t>, including</w:t>
      </w:r>
      <w:r w:rsidR="00271CE7" w:rsidRPr="00EF0AC2">
        <w:t xml:space="preserve"> that Pandora obtain prior Commission approval for</w:t>
      </w:r>
      <w:r w:rsidR="003D407B">
        <w:t>:</w:t>
      </w:r>
      <w:r w:rsidR="00271CE7" w:rsidRPr="00EF0AC2">
        <w:t xml:space="preserve"> (1) aggregate foreign equity and/or foreign voting interests in Pandora Media exceeding 49.99 percent; </w:t>
      </w:r>
      <w:r w:rsidR="003D407B">
        <w:t xml:space="preserve">or </w:t>
      </w:r>
      <w:r w:rsidR="00271CE7" w:rsidRPr="00EF0AC2">
        <w:t>(2) any change in the Pandora Media Board of Directors that would result in a majority of foreign members; or (3) any individual foreign investor or “g</w:t>
      </w:r>
      <w:r w:rsidR="003D407B">
        <w:t>roup” acquiring a greater than five</w:t>
      </w:r>
      <w:r w:rsidR="00271CE7" w:rsidRPr="00EF0AC2">
        <w:t xml:space="preserve"> percent voting or equity interest (or </w:t>
      </w:r>
      <w:r w:rsidR="00271CE7">
        <w:lastRenderedPageBreak/>
        <w:t xml:space="preserve">greater than </w:t>
      </w:r>
      <w:r w:rsidR="00271CE7" w:rsidRPr="00EF0AC2">
        <w:t>10 percent for certain institutional investors) in Pandora Media</w:t>
      </w:r>
      <w:r w:rsidR="00110699">
        <w:t>.</w:t>
      </w:r>
      <w:r w:rsidR="00110699">
        <w:rPr>
          <w:rStyle w:val="FootnoteReference"/>
        </w:rPr>
        <w:footnoteReference w:id="5"/>
      </w:r>
      <w:r w:rsidR="003D75C8">
        <w:t xml:space="preserve">  </w:t>
      </w:r>
      <w:r w:rsidR="00271CE7">
        <w:t>The Commission</w:t>
      </w:r>
      <w:r w:rsidR="00271CE7" w:rsidRPr="00EF0AC2">
        <w:t xml:space="preserve"> </w:t>
      </w:r>
      <w:r w:rsidR="00271CE7">
        <w:t xml:space="preserve">also </w:t>
      </w:r>
      <w:r w:rsidR="00271CE7" w:rsidRPr="00EF0AC2">
        <w:t>required Pandora Media to modify its organizational documents to ensure that its Board of Directors has all necessary powers to maintain compliance with Section 310(b)(4), including the right to request and obtain information regarding citizenship of Pandora Media’s interest holders, and the necessary powers to cure noncompliance, specifically:  (1) the right to restrict the transfer of shares to aliens; (2) the right to require disclosure when an alien acquires an equity and/or voting interest; and (3) the right to compel the redemption of shares held by aliens.</w:t>
      </w:r>
      <w:r w:rsidR="00271CE7" w:rsidRPr="00EF0AC2">
        <w:rPr>
          <w:rStyle w:val="FootnoteReference"/>
        </w:rPr>
        <w:footnoteReference w:id="6"/>
      </w:r>
      <w:r w:rsidR="00271CE7">
        <w:t xml:space="preserve">  Subsequently, the Media Bureau granted two petitions for declaratory ruling allowing aggregate foreign investment in broadcast licensees of 49 percent in one case and 49.99 percent in the other case, and granting specific approval for named investors to acquire interests of 40 percent, 49 percent, and 49.99 percent.</w:t>
      </w:r>
      <w:r w:rsidR="00271CE7">
        <w:rPr>
          <w:rStyle w:val="FootnoteReference"/>
        </w:rPr>
        <w:footnoteReference w:id="7"/>
      </w:r>
      <w:r w:rsidR="00271CE7">
        <w:t xml:space="preserve"> </w:t>
      </w:r>
      <w:r w:rsidR="00981556">
        <w:t xml:space="preserve"> The </w:t>
      </w:r>
      <w:r w:rsidR="002764AF">
        <w:t>Pet</w:t>
      </w:r>
      <w:r w:rsidR="00331CD5">
        <w:t>ition</w:t>
      </w:r>
      <w:r w:rsidR="00981556">
        <w:t xml:space="preserve"> is filed</w:t>
      </w:r>
      <w:r w:rsidR="00331CD5">
        <w:t xml:space="preserve"> pursuant to th</w:t>
      </w:r>
      <w:r w:rsidR="00271CE7">
        <w:t>e</w:t>
      </w:r>
      <w:r w:rsidR="00331CD5">
        <w:t xml:space="preserve"> requirement</w:t>
      </w:r>
      <w:r w:rsidR="00271CE7">
        <w:t xml:space="preserve"> for prior approval before </w:t>
      </w:r>
      <w:r w:rsidR="00271CE7" w:rsidRPr="00EF0AC2">
        <w:t>any individual forei</w:t>
      </w:r>
      <w:r w:rsidR="00271CE7">
        <w:t>gn investor or “group” acquires</w:t>
      </w:r>
      <w:r w:rsidR="00271CE7" w:rsidRPr="00EF0AC2">
        <w:t xml:space="preserve"> a greater than 5 percent voting or equity interest (or </w:t>
      </w:r>
      <w:r w:rsidR="00271CE7">
        <w:t xml:space="preserve">greater than </w:t>
      </w:r>
      <w:r w:rsidR="00271CE7" w:rsidRPr="00EF0AC2">
        <w:t>10 percent for certain institutional investors) in Pandora Media</w:t>
      </w:r>
      <w:r w:rsidR="002764AF">
        <w:t>.</w:t>
      </w:r>
      <w:r w:rsidR="00271CE7" w:rsidRPr="00271CE7">
        <w:rPr>
          <w:rStyle w:val="FootnoteReference"/>
        </w:rPr>
        <w:t xml:space="preserve"> </w:t>
      </w:r>
      <w:r w:rsidR="00271CE7">
        <w:rPr>
          <w:rStyle w:val="FootnoteReference"/>
        </w:rPr>
        <w:footnoteReference w:id="8"/>
      </w:r>
      <w:r w:rsidR="002764AF">
        <w:t xml:space="preserve"> </w:t>
      </w:r>
    </w:p>
    <w:p w14:paraId="3C8EF499" w14:textId="7624AD66" w:rsidR="002C0D7F" w:rsidRDefault="002764AF" w:rsidP="00437FA4">
      <w:pPr>
        <w:pStyle w:val="ParaNum"/>
      </w:pPr>
      <w:r>
        <w:rPr>
          <w:i/>
        </w:rPr>
        <w:t xml:space="preserve">Corvex.  </w:t>
      </w:r>
      <w:r w:rsidR="00656BDD">
        <w:t>The Petition proffers the following representations regarding the organizational structure of Corvex and the entities and investors in its vertical chain of ownership</w:t>
      </w:r>
      <w:r w:rsidR="00601AD6">
        <w:t>.</w:t>
      </w:r>
      <w:r w:rsidR="00656BDD">
        <w:t xml:space="preserve">  </w:t>
      </w:r>
      <w:r w:rsidR="006245B1">
        <w:t>Corvex is a</w:t>
      </w:r>
      <w:r w:rsidR="003632D5">
        <w:t>n investment fund organized as a</w:t>
      </w:r>
      <w:r w:rsidR="006245B1">
        <w:t xml:space="preserve"> limited partnership under the laws of the Cayman Islands.  </w:t>
      </w:r>
      <w:r w:rsidR="002C0D7F">
        <w:t xml:space="preserve">Corvex is ultimately controlled by </w:t>
      </w:r>
      <w:r w:rsidR="00A35275">
        <w:t xml:space="preserve">Keith Meister, </w:t>
      </w:r>
      <w:r w:rsidR="002C0D7F">
        <w:t xml:space="preserve">a citizen of the United States, through </w:t>
      </w:r>
      <w:r w:rsidR="00BF0FA5">
        <w:t>two</w:t>
      </w:r>
      <w:r w:rsidR="002C0D7F">
        <w:t xml:space="preserve"> intermedia</w:t>
      </w:r>
      <w:r w:rsidR="00BF0FA5">
        <w:t>te</w:t>
      </w:r>
      <w:r w:rsidR="002C0D7F">
        <w:t xml:space="preserve"> entities organized under Delaware law</w:t>
      </w:r>
      <w:r w:rsidR="00E96200">
        <w:t xml:space="preserve"> and owned and controlled by U.S. citizens</w:t>
      </w:r>
      <w:r w:rsidR="002C0D7F">
        <w:t xml:space="preserve">.  </w:t>
      </w:r>
      <w:r w:rsidR="00FD3CC3">
        <w:t>Specifically, the sole general partner of Corvex is Corvex GP LP</w:t>
      </w:r>
      <w:r w:rsidR="008649A7">
        <w:t xml:space="preserve"> (Corvex GP)</w:t>
      </w:r>
      <w:r w:rsidR="00FD3CC3">
        <w:t xml:space="preserve">, a Delaware limited partnership.  Corvex GP holds 100 percent of the voting interest in Corvex.  </w:t>
      </w:r>
      <w:r w:rsidR="00E96200">
        <w:t>All of the</w:t>
      </w:r>
      <w:r w:rsidR="00FD3CC3">
        <w:t xml:space="preserve"> limited partners</w:t>
      </w:r>
      <w:r w:rsidR="00E96200">
        <w:t xml:space="preserve"> of Corvex</w:t>
      </w:r>
      <w:r w:rsidR="00FD3CC3">
        <w:t xml:space="preserve">, according to the Petition, </w:t>
      </w:r>
      <w:r w:rsidR="00E96200">
        <w:t>are</w:t>
      </w:r>
      <w:r w:rsidR="00FD3CC3">
        <w:t xml:space="preserve"> fully insulated in accordance with the Commission’s </w:t>
      </w:r>
      <w:r w:rsidR="00E96200">
        <w:t>broadcast</w:t>
      </w:r>
      <w:r w:rsidR="00FD3CC3">
        <w:t xml:space="preserve"> attribution rules.</w:t>
      </w:r>
      <w:r w:rsidR="008649A7">
        <w:rPr>
          <w:rStyle w:val="FootnoteReference"/>
        </w:rPr>
        <w:footnoteReference w:id="9"/>
      </w:r>
      <w:r w:rsidR="00FD3CC3">
        <w:t xml:space="preserve">  N</w:t>
      </w:r>
      <w:r w:rsidR="00331CD5">
        <w:t>either</w:t>
      </w:r>
      <w:r w:rsidR="00D12483">
        <w:t xml:space="preserve"> Corvex GP</w:t>
      </w:r>
      <w:r w:rsidR="00FD3CC3">
        <w:t xml:space="preserve"> </w:t>
      </w:r>
      <w:r w:rsidR="00331CD5">
        <w:t>n</w:t>
      </w:r>
      <w:r w:rsidR="00FD3CC3">
        <w:t>or</w:t>
      </w:r>
      <w:r w:rsidR="00331CD5">
        <w:t xml:space="preserve"> any of</w:t>
      </w:r>
      <w:r w:rsidR="00FD3CC3">
        <w:t xml:space="preserve"> the limited partners </w:t>
      </w:r>
      <w:r w:rsidR="00A55294">
        <w:t xml:space="preserve">of Corvex holds </w:t>
      </w:r>
      <w:r w:rsidR="00BF0FA5">
        <w:t xml:space="preserve">or will hold </w:t>
      </w:r>
      <w:r w:rsidR="00A55294">
        <w:t>a greater than one</w:t>
      </w:r>
      <w:r w:rsidR="00FD3CC3">
        <w:t xml:space="preserve"> percent equity interest in Pandora Media.</w:t>
      </w:r>
      <w:r w:rsidR="00437FA4">
        <w:t xml:space="preserve">  </w:t>
      </w:r>
      <w:r w:rsidR="00FD3CC3">
        <w:t>The sole general partner of Corvex GP is Meister GP Holdings LLC</w:t>
      </w:r>
      <w:r w:rsidR="00883D5E">
        <w:t xml:space="preserve"> (Meister Holdings)</w:t>
      </w:r>
      <w:r w:rsidR="00FD3CC3">
        <w:t xml:space="preserve">, a Delaware limited liability company. </w:t>
      </w:r>
      <w:r w:rsidR="00883D5E">
        <w:t xml:space="preserve"> Meister Holdings holds all of the voting interests in Corvex GP.  The limited partners of Corvex GP are all U.S. citizens.  With the exception of Keith Meister, who ultimately controls Corvex GP, the limited partners of Corvex GP are fully insulated in accordance with the Commission’s </w:t>
      </w:r>
      <w:r w:rsidR="00331CD5">
        <w:t xml:space="preserve">broadcast </w:t>
      </w:r>
      <w:r w:rsidR="00883D5E">
        <w:t>attribut</w:t>
      </w:r>
      <w:r w:rsidR="00331CD5">
        <w:t>ion rules.  Neither</w:t>
      </w:r>
      <w:r w:rsidR="00883D5E">
        <w:t xml:space="preserve"> </w:t>
      </w:r>
      <w:r w:rsidR="00D12483">
        <w:t>Meister Holdings</w:t>
      </w:r>
      <w:r w:rsidR="00883D5E">
        <w:t xml:space="preserve"> </w:t>
      </w:r>
      <w:r w:rsidR="00331CD5">
        <w:t>n</w:t>
      </w:r>
      <w:r w:rsidR="00883D5E">
        <w:t>or</w:t>
      </w:r>
      <w:r w:rsidR="00331CD5">
        <w:t xml:space="preserve"> any of</w:t>
      </w:r>
      <w:r w:rsidR="00883D5E">
        <w:t xml:space="preserve"> the limited partners of </w:t>
      </w:r>
      <w:r w:rsidR="00A55294">
        <w:t xml:space="preserve">Corvex GP holds </w:t>
      </w:r>
      <w:r w:rsidR="00BF0FA5">
        <w:t xml:space="preserve">or will hold </w:t>
      </w:r>
      <w:r w:rsidR="00A55294">
        <w:t>a greater than one</w:t>
      </w:r>
      <w:r w:rsidR="00883D5E">
        <w:t xml:space="preserve"> percent equity interest in Pandora Media.  The sole member and manage</w:t>
      </w:r>
      <w:r w:rsidR="0072631D">
        <w:t>r of Meister Holdings is Keith Meister</w:t>
      </w:r>
      <w:r w:rsidR="006C1BB6">
        <w:t>, a U.S. citizen</w:t>
      </w:r>
      <w:r w:rsidR="0072631D">
        <w:t>.</w:t>
      </w:r>
      <w:r w:rsidR="00D963DF">
        <w:t xml:space="preserve"> </w:t>
      </w:r>
      <w:r w:rsidR="0072631D">
        <w:t xml:space="preserve"> </w:t>
      </w:r>
      <w:r w:rsidR="00D963DF">
        <w:t>By contract, i</w:t>
      </w:r>
      <w:r w:rsidR="00BF0FA5">
        <w:t xml:space="preserve">nvestment decisions for Corvex are made by Corvex Management LP, a Delaware partnership, the general partner of which is controlled by Keith Meister.  All of the entities and individuals in the chain of ownership of Corvex Management LP are either organized in the United States or are U.S. citizens, as are all of its limited partners. </w:t>
      </w:r>
    </w:p>
    <w:p w14:paraId="5B2F8608" w14:textId="4E9D138E" w:rsidR="00233F52" w:rsidRPr="00566970" w:rsidRDefault="00233F52" w:rsidP="00233F52">
      <w:pPr>
        <w:pStyle w:val="ParaNum"/>
        <w:tabs>
          <w:tab w:val="clear" w:pos="1170"/>
          <w:tab w:val="num" w:pos="1080"/>
        </w:tabs>
        <w:ind w:left="0"/>
        <w:rPr>
          <w:snapToGrid/>
          <w:kern w:val="0"/>
        </w:rPr>
      </w:pPr>
      <w:r>
        <w:rPr>
          <w:i/>
        </w:rPr>
        <w:t>Pando</w:t>
      </w:r>
      <w:r w:rsidRPr="00566970">
        <w:rPr>
          <w:i/>
        </w:rPr>
        <w:t>ra</w:t>
      </w:r>
      <w:r w:rsidRPr="00566970">
        <w:t xml:space="preserve">.  Pandora FM states that it has reviewed the foreign ownership proposed in the Petition and takes no position on, and thus has no objection to, Corvex exercising its current stock options and/or increasing its future holdings in Pandora Media, Inc. up to the total proposed aggregate ownership </w:t>
      </w:r>
      <w:r w:rsidRPr="00566970">
        <w:lastRenderedPageBreak/>
        <w:t>level of 14.99 percent.</w:t>
      </w:r>
      <w:r w:rsidRPr="00566970">
        <w:rPr>
          <w:rStyle w:val="FootnoteReference"/>
        </w:rPr>
        <w:footnoteReference w:id="10"/>
      </w:r>
      <w:r w:rsidRPr="00566970">
        <w:t xml:space="preserve">  Although Pandora FM notes that is not in a position to attest to the facts submitted by and as they pertain specifically to Corvex, it is aware of no reason why the proposed ownership would be inconsistent with the public interest, and therefore joins the Petition in accordance with the terms of the </w:t>
      </w:r>
      <w:r w:rsidRPr="00566970">
        <w:rPr>
          <w:i/>
        </w:rPr>
        <w:t>Pandora Declaratory Ruling</w:t>
      </w:r>
      <w:r w:rsidRPr="00566970">
        <w:t>.</w:t>
      </w:r>
      <w:r w:rsidRPr="00566970">
        <w:rPr>
          <w:rStyle w:val="FootnoteReference"/>
        </w:rPr>
        <w:footnoteReference w:id="11"/>
      </w:r>
      <w:r w:rsidRPr="00566970">
        <w:t xml:space="preserve">  Pandora </w:t>
      </w:r>
      <w:r w:rsidR="0074399C" w:rsidRPr="00566970">
        <w:t xml:space="preserve">also </w:t>
      </w:r>
      <w:r w:rsidRPr="00566970">
        <w:t xml:space="preserve">acknowledges that it has the responsibility to comply </w:t>
      </w:r>
      <w:r w:rsidR="002E6507" w:rsidRPr="00566970">
        <w:t xml:space="preserve">at all times </w:t>
      </w:r>
      <w:r w:rsidRPr="00566970">
        <w:t>with the terms of the</w:t>
      </w:r>
      <w:r w:rsidRPr="00566970">
        <w:rPr>
          <w:i/>
        </w:rPr>
        <w:t xml:space="preserve"> Pandora Declaratory Ruling</w:t>
      </w:r>
      <w:r w:rsidRPr="00566970">
        <w:t xml:space="preserve">, in particular the 49.99 percent aggregate foreign ownership limit, and must therefore submit on its own behalf any request to modify that or any other condition of the </w:t>
      </w:r>
      <w:r w:rsidRPr="00566970">
        <w:rPr>
          <w:i/>
          <w:iCs/>
        </w:rPr>
        <w:t>Pandora Declaratory Ruling</w:t>
      </w:r>
      <w:r w:rsidR="00FF59A8" w:rsidRPr="00566970">
        <w:rPr>
          <w:iCs/>
        </w:rPr>
        <w:t xml:space="preserve"> if it seeks relief from these conditions</w:t>
      </w:r>
      <w:r w:rsidRPr="00566970">
        <w:t>.</w:t>
      </w:r>
    </w:p>
    <w:p w14:paraId="534A71F0" w14:textId="77777777" w:rsidR="00437FA4" w:rsidRPr="00976284" w:rsidRDefault="002764AF" w:rsidP="00233F52">
      <w:pPr>
        <w:pStyle w:val="ParaNum"/>
      </w:pPr>
      <w:r w:rsidRPr="00566970">
        <w:rPr>
          <w:i/>
        </w:rPr>
        <w:t>Pu</w:t>
      </w:r>
      <w:r>
        <w:rPr>
          <w:i/>
        </w:rPr>
        <w:t xml:space="preserve">blic interest.  </w:t>
      </w:r>
      <w:r w:rsidR="00466568">
        <w:t xml:space="preserve">Corvex </w:t>
      </w:r>
      <w:r w:rsidR="00437FA4">
        <w:t>asserts that</w:t>
      </w:r>
      <w:r w:rsidR="00103ED7">
        <w:t xml:space="preserve"> the proposed transaction </w:t>
      </w:r>
      <w:r w:rsidR="008E4C92">
        <w:t>furthers the public interest goals set out in the</w:t>
      </w:r>
      <w:r w:rsidR="00437FA4">
        <w:t xml:space="preserve"> </w:t>
      </w:r>
      <w:r w:rsidR="00437FA4">
        <w:rPr>
          <w:i/>
        </w:rPr>
        <w:t xml:space="preserve">2013 </w:t>
      </w:r>
      <w:r w:rsidR="00153DCE">
        <w:rPr>
          <w:i/>
        </w:rPr>
        <w:t>Broadcast Clarification</w:t>
      </w:r>
      <w:r w:rsidR="00153DCE" w:rsidRPr="00AC1EE7">
        <w:rPr>
          <w:i/>
        </w:rPr>
        <w:t xml:space="preserve"> Ruling</w:t>
      </w:r>
      <w:r w:rsidR="00153DCE">
        <w:t xml:space="preserve"> </w:t>
      </w:r>
      <w:r w:rsidR="00800241">
        <w:t xml:space="preserve">and </w:t>
      </w:r>
      <w:r w:rsidR="00103ED7">
        <w:t xml:space="preserve">the </w:t>
      </w:r>
      <w:r w:rsidR="00103ED7">
        <w:rPr>
          <w:i/>
        </w:rPr>
        <w:t xml:space="preserve">Pandora Declaratory Ruling </w:t>
      </w:r>
      <w:r w:rsidR="002A2DA8">
        <w:t>because it</w:t>
      </w:r>
      <w:r w:rsidR="00103ED7">
        <w:t xml:space="preserve"> “facilitates Corvex’s investment in a recent entrant to the broadcast radio market</w:t>
      </w:r>
      <w:r w:rsidR="002A2DA8">
        <w:t>” without “increas[ing]</w:t>
      </w:r>
      <w:r w:rsidR="00103ED7">
        <w:t xml:space="preserve"> the likelihood of foreign influence or control of </w:t>
      </w:r>
      <w:r w:rsidR="00FC0230">
        <w:t>Pandora FM</w:t>
      </w:r>
      <w:r w:rsidR="00103ED7">
        <w:t>.”</w:t>
      </w:r>
      <w:r w:rsidR="00103ED7">
        <w:rPr>
          <w:rStyle w:val="FootnoteReference"/>
        </w:rPr>
        <w:footnoteReference w:id="12"/>
      </w:r>
      <w:r w:rsidR="00103ED7">
        <w:t xml:space="preserve">  </w:t>
      </w:r>
      <w:r w:rsidR="009C0CB9">
        <w:t>Corvex emphasizes that even after increasi</w:t>
      </w:r>
      <w:r w:rsidR="00D12483">
        <w:t>ng its stock ownership, it will</w:t>
      </w:r>
      <w:r w:rsidR="009C0CB9">
        <w:t xml:space="preserve"> hold only a minority, non-controlling interest in Pandora Media.  Corvex states that </w:t>
      </w:r>
      <w:r w:rsidR="008E4C92">
        <w:t xml:space="preserve">although it is deemed foreign for Section 310(b)(4) purposes, </w:t>
      </w:r>
      <w:r w:rsidR="009C0CB9">
        <w:t>it is domiciled in the Caym</w:t>
      </w:r>
      <w:r w:rsidR="00D12483">
        <w:t>an Islands for business reasons</w:t>
      </w:r>
      <w:r w:rsidR="008E4C92">
        <w:t xml:space="preserve">, primarily invests in U.S. companies, </w:t>
      </w:r>
      <w:r w:rsidR="009C0CB9">
        <w:t>and is ultimately managed and controlled by U.S. enti</w:t>
      </w:r>
      <w:r w:rsidR="008E4C92">
        <w:t>ties and individuals</w:t>
      </w:r>
      <w:r w:rsidR="009C0CB9">
        <w:t xml:space="preserve">.  </w:t>
      </w:r>
      <w:r w:rsidR="00D963DF">
        <w:t>T</w:t>
      </w:r>
      <w:r w:rsidR="00443355">
        <w:t xml:space="preserve">herefore, Corvex concludes, grant of the Petition will facilitate investment in the broadcast radio market and the efficient operation of secondary markets for shares of a publicly traded company, without increasing the likelihood of foreign influence or control. </w:t>
      </w:r>
    </w:p>
    <w:p w14:paraId="6A01F4A7" w14:textId="77777777" w:rsidR="00DD6C39" w:rsidRDefault="00DD6C39" w:rsidP="00D65A8A">
      <w:pPr>
        <w:pStyle w:val="Heading1"/>
      </w:pPr>
      <w:r>
        <w:t>DISCUSSION</w:t>
      </w:r>
    </w:p>
    <w:p w14:paraId="68139D28" w14:textId="728C0C6E" w:rsidR="006A7C8A" w:rsidRDefault="00C7723C" w:rsidP="005468C3">
      <w:pPr>
        <w:pStyle w:val="ParaNum"/>
        <w:rPr>
          <w:szCs w:val="22"/>
        </w:rPr>
      </w:pPr>
      <w:r>
        <w:rPr>
          <w:i/>
        </w:rPr>
        <w:t xml:space="preserve">Section 310(b)(4) standard. </w:t>
      </w:r>
      <w:r w:rsidRPr="00C7723C">
        <w:rPr>
          <w:i/>
          <w:szCs w:val="22"/>
        </w:rPr>
        <w:t xml:space="preserve"> </w:t>
      </w:r>
      <w:r w:rsidR="00277F5F" w:rsidRPr="00C7723C">
        <w:rPr>
          <w:szCs w:val="22"/>
        </w:rPr>
        <w:t>We review th</w:t>
      </w:r>
      <w:r w:rsidRPr="00C7723C">
        <w:rPr>
          <w:szCs w:val="22"/>
        </w:rPr>
        <w:t xml:space="preserve">e foreign ownership of </w:t>
      </w:r>
      <w:r w:rsidR="00FC0230">
        <w:rPr>
          <w:szCs w:val="22"/>
        </w:rPr>
        <w:t>Pandora FM</w:t>
      </w:r>
      <w:r w:rsidR="00277F5F" w:rsidRPr="00C7723C">
        <w:rPr>
          <w:szCs w:val="22"/>
        </w:rPr>
        <w:t xml:space="preserve"> under </w:t>
      </w:r>
      <w:r w:rsidR="00B07CF4" w:rsidRPr="00C7723C">
        <w:rPr>
          <w:szCs w:val="22"/>
        </w:rPr>
        <w:t>S</w:t>
      </w:r>
      <w:r w:rsidR="00277F5F" w:rsidRPr="00C7723C">
        <w:rPr>
          <w:szCs w:val="22"/>
        </w:rPr>
        <w:t>ection 310(b)(4) of the Act</w:t>
      </w:r>
      <w:r w:rsidR="005468C3" w:rsidRPr="00C7723C">
        <w:rPr>
          <w:szCs w:val="22"/>
        </w:rPr>
        <w:t>, which states that “[n]o broadcast … license shall be granted to or held by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sidR="005468C3" w:rsidRPr="00C7723C">
        <w:rPr>
          <w:rStyle w:val="FootnoteReference"/>
          <w:sz w:val="22"/>
          <w:szCs w:val="22"/>
        </w:rPr>
        <w:footnoteReference w:id="13"/>
      </w:r>
      <w:r w:rsidR="005468C3" w:rsidRPr="00C7723C">
        <w:rPr>
          <w:szCs w:val="22"/>
        </w:rPr>
        <w:t xml:space="preserve">  In </w:t>
      </w:r>
      <w:r w:rsidR="00277F5F" w:rsidRPr="00C7723C">
        <w:rPr>
          <w:szCs w:val="22"/>
        </w:rPr>
        <w:t>the</w:t>
      </w:r>
      <w:r w:rsidR="005468C3" w:rsidRPr="00C7723C">
        <w:rPr>
          <w:szCs w:val="22"/>
        </w:rPr>
        <w:t xml:space="preserve"> </w:t>
      </w:r>
      <w:r w:rsidR="000A562F">
        <w:rPr>
          <w:i/>
        </w:rPr>
        <w:t xml:space="preserve">2013 </w:t>
      </w:r>
      <w:r w:rsidR="00153DCE">
        <w:rPr>
          <w:i/>
        </w:rPr>
        <w:t>Broadcast Clarification</w:t>
      </w:r>
      <w:r w:rsidR="00153DCE" w:rsidRPr="00AC1EE7">
        <w:rPr>
          <w:i/>
        </w:rPr>
        <w:t xml:space="preserve"> Ruling</w:t>
      </w:r>
      <w:r w:rsidR="005468C3" w:rsidRPr="00C7723C">
        <w:rPr>
          <w:szCs w:val="22"/>
        </w:rPr>
        <w:t>,</w:t>
      </w:r>
      <w:r w:rsidR="00435601" w:rsidRPr="00C7723C">
        <w:rPr>
          <w:szCs w:val="22"/>
        </w:rPr>
        <w:t xml:space="preserve"> the Commission </w:t>
      </w:r>
      <w:r w:rsidR="00900FED" w:rsidRPr="00EF0AC2">
        <w:t>clarified the policies and procedures for evaluating potential foreign investment in broadcast licensees under Section 310(b)(4) of the Act to remove apparent uncertainty</w:t>
      </w:r>
      <w:r w:rsidR="00900FED">
        <w:t xml:space="preserve">. </w:t>
      </w:r>
      <w:r w:rsidR="0074399C">
        <w:t xml:space="preserve"> </w:t>
      </w:r>
      <w:r w:rsidR="00900FED">
        <w:t>Recognizing that</w:t>
      </w:r>
      <w:r w:rsidR="00900FED" w:rsidRPr="00EF0AC2">
        <w:t xml:space="preserve"> “changes have occurred in the media landscape and marketplace since the foreign ownership restriction was enacted and that limited access to capital is a concern in the broadcast industry, especially for small business entities and new entrants,</w:t>
      </w:r>
      <w:r w:rsidR="0074399C">
        <w:t xml:space="preserve"> including minorities and women,</w:t>
      </w:r>
      <w:r w:rsidR="00900FED" w:rsidRPr="00EF0AC2">
        <w:t>”</w:t>
      </w:r>
      <w:r w:rsidR="00900FED" w:rsidRPr="00EF0AC2">
        <w:rPr>
          <w:rStyle w:val="FootnoteReference"/>
        </w:rPr>
        <w:footnoteReference w:id="14"/>
      </w:r>
      <w:r w:rsidR="00900FED" w:rsidRPr="00C7723C">
        <w:rPr>
          <w:szCs w:val="22"/>
        </w:rPr>
        <w:t xml:space="preserve"> </w:t>
      </w:r>
      <w:r w:rsidR="0074399C">
        <w:rPr>
          <w:szCs w:val="22"/>
        </w:rPr>
        <w:t>t</w:t>
      </w:r>
      <w:r w:rsidR="00900FED">
        <w:rPr>
          <w:szCs w:val="22"/>
        </w:rPr>
        <w:t xml:space="preserve">he Commission </w:t>
      </w:r>
      <w:r w:rsidR="00435601" w:rsidRPr="00C7723C">
        <w:rPr>
          <w:szCs w:val="22"/>
        </w:rPr>
        <w:t>stated</w:t>
      </w:r>
      <w:r w:rsidR="00277F5F" w:rsidRPr="00C7723C">
        <w:rPr>
          <w:szCs w:val="22"/>
        </w:rPr>
        <w:t xml:space="preserve"> that it would exercise its statutory discretion to consider, on a </w:t>
      </w:r>
      <w:r w:rsidR="00670C60">
        <w:rPr>
          <w:szCs w:val="22"/>
        </w:rPr>
        <w:t xml:space="preserve">fact-specific, </w:t>
      </w:r>
      <w:r w:rsidR="00277F5F" w:rsidRPr="00C7723C">
        <w:rPr>
          <w:szCs w:val="22"/>
        </w:rPr>
        <w:t>case-by-case basis, applications and transactions that propose foreign broadcast ownership exceeding the 25 percent benchmark of Section 310(b)(4).</w:t>
      </w:r>
      <w:r w:rsidR="00277F5F" w:rsidRPr="00C7723C">
        <w:rPr>
          <w:rStyle w:val="FootnoteReference"/>
          <w:sz w:val="22"/>
          <w:szCs w:val="22"/>
        </w:rPr>
        <w:footnoteReference w:id="15"/>
      </w:r>
      <w:r w:rsidR="00BA5B2E" w:rsidRPr="00C7723C">
        <w:rPr>
          <w:szCs w:val="22"/>
        </w:rPr>
        <w:t xml:space="preserve">  </w:t>
      </w:r>
      <w:r w:rsidR="001C327C" w:rsidRPr="00C7723C">
        <w:rPr>
          <w:szCs w:val="22"/>
        </w:rPr>
        <w:t>In assessing the public interest, we afford appropriate def</w:t>
      </w:r>
      <w:r w:rsidR="00E1098B" w:rsidRPr="00C7723C">
        <w:rPr>
          <w:szCs w:val="22"/>
        </w:rPr>
        <w:t>erence to the expertise of the Executive B</w:t>
      </w:r>
      <w:r w:rsidR="001C327C" w:rsidRPr="00C7723C">
        <w:rPr>
          <w:szCs w:val="22"/>
        </w:rPr>
        <w:t>ranch agencies on issues related to national security, law enforcement, foreign policy, and trade policy.</w:t>
      </w:r>
      <w:r w:rsidR="001C327C" w:rsidRPr="00C7723C">
        <w:rPr>
          <w:rStyle w:val="FootnoteReference"/>
          <w:sz w:val="22"/>
          <w:szCs w:val="22"/>
        </w:rPr>
        <w:footnoteReference w:id="16"/>
      </w:r>
    </w:p>
    <w:p w14:paraId="5380F659" w14:textId="71CF13E5" w:rsidR="00690E20" w:rsidRDefault="0091761E" w:rsidP="003F0801">
      <w:pPr>
        <w:pStyle w:val="ParaNum"/>
        <w:tabs>
          <w:tab w:val="num" w:pos="1440"/>
        </w:tabs>
        <w:ind w:left="86"/>
      </w:pPr>
      <w:r>
        <w:t xml:space="preserve">In considering </w:t>
      </w:r>
      <w:r w:rsidR="00692E06">
        <w:t>the P</w:t>
      </w:r>
      <w:r>
        <w:t xml:space="preserve">etition, we are cognizant of the Commission’s recent decision in the </w:t>
      </w:r>
      <w:r w:rsidRPr="00D95D58">
        <w:rPr>
          <w:i/>
        </w:rPr>
        <w:t>2016 Foreign Ownership Order,</w:t>
      </w:r>
      <w:r>
        <w:t xml:space="preserve"> </w:t>
      </w:r>
      <w:r w:rsidR="00762C6A">
        <w:t xml:space="preserve">which </w:t>
      </w:r>
      <w:r w:rsidR="00690E20">
        <w:t>modified</w:t>
      </w:r>
      <w:r w:rsidR="00690E20" w:rsidRPr="00EF0AC2">
        <w:t xml:space="preserve"> the </w:t>
      </w:r>
      <w:r w:rsidR="00690E20">
        <w:t xml:space="preserve">broadcast licensee </w:t>
      </w:r>
      <w:r w:rsidR="00690E20" w:rsidRPr="00EF0AC2">
        <w:t>foreign ownership review</w:t>
      </w:r>
      <w:r w:rsidR="00690E20">
        <w:t xml:space="preserve"> process</w:t>
      </w:r>
      <w:r w:rsidR="00690E20" w:rsidRPr="00EF0AC2">
        <w:t xml:space="preserve"> by extending the streamlined rules and procedures developed f</w:t>
      </w:r>
      <w:r w:rsidR="00690E20">
        <w:t>or review of foreign ownership of</w:t>
      </w:r>
      <w:r w:rsidR="00690E20" w:rsidRPr="00EF0AC2">
        <w:t xml:space="preserve"> common carrier and certain aeronautical licensees under Section 310(b)(4) to the broadcast context</w:t>
      </w:r>
      <w:r w:rsidR="00690E20">
        <w:t>, with certain limited exceptions.</w:t>
      </w:r>
      <w:r w:rsidR="00762C6A" w:rsidRPr="00762C6A">
        <w:rPr>
          <w:rStyle w:val="FootnoteReference"/>
        </w:rPr>
        <w:t xml:space="preserve"> </w:t>
      </w:r>
      <w:r w:rsidR="00762C6A">
        <w:rPr>
          <w:rStyle w:val="FootnoteReference"/>
        </w:rPr>
        <w:footnoteReference w:id="17"/>
      </w:r>
      <w:r w:rsidR="00690E20" w:rsidRPr="00EF0AC2">
        <w:t xml:space="preserve">  </w:t>
      </w:r>
      <w:r w:rsidR="00692E06">
        <w:t>T</w:t>
      </w:r>
      <w:r w:rsidR="00690E20">
        <w:t xml:space="preserve">he Commission </w:t>
      </w:r>
      <w:r w:rsidR="00690E20" w:rsidRPr="00EF0AC2">
        <w:t>also reform</w:t>
      </w:r>
      <w:r w:rsidR="00690E20">
        <w:t>ed</w:t>
      </w:r>
      <w:r w:rsidR="00690E20" w:rsidRPr="00EF0AC2">
        <w:t xml:space="preserve"> </w:t>
      </w:r>
      <w:r w:rsidR="00690E20" w:rsidRPr="00D95D58">
        <w:rPr>
          <w:szCs w:val="22"/>
        </w:rPr>
        <w:t>the methodology used by both common carrier and broadcast licensees to assess compliance with the foreign ownership limits in Sections 310(b)(3)</w:t>
      </w:r>
      <w:r w:rsidR="00690E20">
        <w:rPr>
          <w:rStyle w:val="FootnoteReference"/>
          <w:szCs w:val="22"/>
        </w:rPr>
        <w:footnoteReference w:id="18"/>
      </w:r>
      <w:r w:rsidR="00690E20" w:rsidRPr="00D95D58">
        <w:rPr>
          <w:szCs w:val="22"/>
        </w:rPr>
        <w:t xml:space="preserve"> and 310(b)(4) of the Act, as appropriate, in recognition of the difficulty that U.S. publicly traded companies face in attempting to ascertain their level of foreign ownership.</w:t>
      </w:r>
      <w:r w:rsidR="00690E20">
        <w:rPr>
          <w:rStyle w:val="FootnoteReference"/>
          <w:szCs w:val="22"/>
        </w:rPr>
        <w:footnoteReference w:id="19"/>
      </w:r>
      <w:r w:rsidR="00690E20">
        <w:t xml:space="preserve">  </w:t>
      </w:r>
      <w:r w:rsidR="00D95D58">
        <w:t xml:space="preserve">Because the rules adopted in the </w:t>
      </w:r>
      <w:r w:rsidR="00D95D58" w:rsidRPr="0069330D">
        <w:rPr>
          <w:i/>
        </w:rPr>
        <w:t xml:space="preserve">2016 Foreign Ownership Order </w:t>
      </w:r>
      <w:r w:rsidR="00D95D58">
        <w:t xml:space="preserve">have not yet taken effect, our foreign ownership review process is still governed by the </w:t>
      </w:r>
      <w:r w:rsidR="00D95D58" w:rsidRPr="0069330D">
        <w:rPr>
          <w:i/>
        </w:rPr>
        <w:t xml:space="preserve">2013 </w:t>
      </w:r>
      <w:r w:rsidR="00153DCE">
        <w:rPr>
          <w:i/>
        </w:rPr>
        <w:t>Broadcast Clarification</w:t>
      </w:r>
      <w:r w:rsidR="00153DCE" w:rsidRPr="00AC1EE7">
        <w:rPr>
          <w:i/>
        </w:rPr>
        <w:t xml:space="preserve"> Ruling</w:t>
      </w:r>
      <w:r w:rsidR="00D165BD" w:rsidRPr="00D165BD">
        <w:t>,</w:t>
      </w:r>
      <w:r w:rsidR="00D95D58" w:rsidRPr="0069330D">
        <w:rPr>
          <w:i/>
        </w:rPr>
        <w:t xml:space="preserve"> </w:t>
      </w:r>
      <w:r w:rsidR="00D165BD">
        <w:t xml:space="preserve">rather than the recently adopted rules, but the policies adopted in the </w:t>
      </w:r>
      <w:r w:rsidR="00D165BD" w:rsidRPr="0069330D">
        <w:rPr>
          <w:i/>
        </w:rPr>
        <w:t>2016 Foreign Ownership Order</w:t>
      </w:r>
      <w:r w:rsidR="00D165BD">
        <w:t>, which is currently effective, guide our review.</w:t>
      </w:r>
      <w:r w:rsidR="00E94D62">
        <w:t xml:space="preserve">  </w:t>
      </w:r>
    </w:p>
    <w:p w14:paraId="1577A6FA" w14:textId="253F2395" w:rsidR="00690E20" w:rsidRDefault="00D95D58" w:rsidP="002E6507">
      <w:pPr>
        <w:pStyle w:val="ParaNum"/>
        <w:tabs>
          <w:tab w:val="num" w:pos="1440"/>
        </w:tabs>
        <w:ind w:left="86"/>
      </w:pPr>
      <w:r>
        <w:t>I</w:t>
      </w:r>
      <w:r w:rsidR="00690E20">
        <w:t xml:space="preserve">n the </w:t>
      </w:r>
      <w:r w:rsidR="00690E20" w:rsidRPr="0069330D">
        <w:rPr>
          <w:i/>
        </w:rPr>
        <w:t xml:space="preserve">2013 </w:t>
      </w:r>
      <w:r w:rsidR="00153DCE">
        <w:rPr>
          <w:i/>
        </w:rPr>
        <w:t>Broadcast Clarification</w:t>
      </w:r>
      <w:r w:rsidR="00153DCE" w:rsidRPr="00AC1EE7">
        <w:rPr>
          <w:i/>
        </w:rPr>
        <w:t xml:space="preserve"> Ruling</w:t>
      </w:r>
      <w:r w:rsidR="00BF68F6">
        <w:t>,</w:t>
      </w:r>
      <w:r w:rsidR="00690E20" w:rsidRPr="0069330D">
        <w:rPr>
          <w:i/>
        </w:rPr>
        <w:t xml:space="preserve"> </w:t>
      </w:r>
      <w:r w:rsidR="00690E20">
        <w:t xml:space="preserve">the Commission </w:t>
      </w:r>
      <w:r w:rsidR="00EE5CF8" w:rsidRPr="00EF0AC2">
        <w:t xml:space="preserve">declined to adopt a standardized review </w:t>
      </w:r>
      <w:r w:rsidR="00EE5CF8">
        <w:t>proc</w:t>
      </w:r>
      <w:r w:rsidR="00EE5CF8" w:rsidRPr="002E6507">
        <w:rPr>
          <w:szCs w:val="22"/>
        </w:rPr>
        <w:t>ess and clarified that it would continue follow</w:t>
      </w:r>
      <w:r w:rsidR="00DF70FD">
        <w:rPr>
          <w:szCs w:val="22"/>
        </w:rPr>
        <w:t xml:space="preserve"> </w:t>
      </w:r>
      <w:r w:rsidR="00690E20" w:rsidRPr="002E6507">
        <w:rPr>
          <w:szCs w:val="22"/>
        </w:rPr>
        <w:t>a case-by-case approach to reviewing petitions for declaratory ruling to exceed the 310(b)(4) benchmark</w:t>
      </w:r>
      <w:r w:rsidR="00D12483" w:rsidRPr="002E6507">
        <w:rPr>
          <w:szCs w:val="22"/>
        </w:rPr>
        <w:t>, stating</w:t>
      </w:r>
      <w:r w:rsidR="00690E20" w:rsidRPr="002E6507">
        <w:rPr>
          <w:szCs w:val="22"/>
        </w:rPr>
        <w:t xml:space="preserve"> that “[b]y their nature, these case-by-case reviews will lead to distinct, factually driven results.”</w:t>
      </w:r>
      <w:r w:rsidR="00D12483" w:rsidRPr="002E6507">
        <w:rPr>
          <w:rStyle w:val="FootnoteReference"/>
          <w:sz w:val="22"/>
          <w:szCs w:val="22"/>
        </w:rPr>
        <w:footnoteReference w:id="20"/>
      </w:r>
      <w:r w:rsidR="00D12483" w:rsidRPr="002E6507">
        <w:rPr>
          <w:szCs w:val="22"/>
        </w:rPr>
        <w:t xml:space="preserve"> </w:t>
      </w:r>
      <w:r w:rsidR="00690E20" w:rsidRPr="002E6507">
        <w:rPr>
          <w:szCs w:val="22"/>
        </w:rPr>
        <w:t xml:space="preserve"> </w:t>
      </w:r>
      <w:r w:rsidR="00755F76" w:rsidRPr="002E6507">
        <w:rPr>
          <w:szCs w:val="22"/>
        </w:rPr>
        <w:t>Accordingly, in</w:t>
      </w:r>
      <w:r w:rsidR="00690E20" w:rsidRPr="002E6507">
        <w:rPr>
          <w:szCs w:val="22"/>
        </w:rPr>
        <w:t xml:space="preserve"> the </w:t>
      </w:r>
      <w:r w:rsidR="00690E20" w:rsidRPr="002E6507">
        <w:rPr>
          <w:i/>
          <w:szCs w:val="22"/>
        </w:rPr>
        <w:t>Pandora Declaratory Ruling</w:t>
      </w:r>
      <w:r w:rsidR="00690E20" w:rsidRPr="002E6507">
        <w:rPr>
          <w:szCs w:val="22"/>
        </w:rPr>
        <w:t xml:space="preserve">, the Commission imposed </w:t>
      </w:r>
      <w:r w:rsidR="007B09A4" w:rsidRPr="002E6507">
        <w:rPr>
          <w:szCs w:val="22"/>
        </w:rPr>
        <w:t>terms and</w:t>
      </w:r>
      <w:r w:rsidR="00690E20" w:rsidRPr="002E6507">
        <w:rPr>
          <w:szCs w:val="22"/>
        </w:rPr>
        <w:t xml:space="preserve"> conditions appropriate to th</w:t>
      </w:r>
      <w:r w:rsidR="007B09A4" w:rsidRPr="002E6507">
        <w:rPr>
          <w:szCs w:val="22"/>
        </w:rPr>
        <w:t>e facts and</w:t>
      </w:r>
      <w:r w:rsidR="00690E20" w:rsidRPr="002E6507">
        <w:rPr>
          <w:szCs w:val="22"/>
        </w:rPr>
        <w:t xml:space="preserve"> circumstances.</w:t>
      </w:r>
      <w:r w:rsidR="00690E20" w:rsidRPr="002E6507">
        <w:rPr>
          <w:rStyle w:val="FootnoteReference"/>
          <w:sz w:val="22"/>
          <w:szCs w:val="22"/>
        </w:rPr>
        <w:footnoteReference w:id="21"/>
      </w:r>
      <w:r w:rsidR="00690E20" w:rsidRPr="002E6507">
        <w:rPr>
          <w:szCs w:val="22"/>
        </w:rPr>
        <w:t xml:space="preserve">  </w:t>
      </w:r>
      <w:r w:rsidR="00A01376" w:rsidRPr="002E6507">
        <w:rPr>
          <w:szCs w:val="22"/>
        </w:rPr>
        <w:t xml:space="preserve">One such condition was </w:t>
      </w:r>
      <w:r w:rsidR="007B09A4" w:rsidRPr="002E6507">
        <w:rPr>
          <w:szCs w:val="22"/>
        </w:rPr>
        <w:t xml:space="preserve">that </w:t>
      </w:r>
      <w:r w:rsidR="00755F76" w:rsidRPr="002E6507">
        <w:rPr>
          <w:szCs w:val="22"/>
        </w:rPr>
        <w:t>Pandora</w:t>
      </w:r>
      <w:r w:rsidR="007B09A4" w:rsidRPr="002E6507">
        <w:rPr>
          <w:szCs w:val="22"/>
        </w:rPr>
        <w:t xml:space="preserve"> must</w:t>
      </w:r>
      <w:r w:rsidR="00755F76" w:rsidRPr="002E6507">
        <w:rPr>
          <w:szCs w:val="22"/>
        </w:rPr>
        <w:t xml:space="preserve"> obtain prior Commission approval before</w:t>
      </w:r>
      <w:r w:rsidR="00EE5CF8" w:rsidRPr="002E6507">
        <w:rPr>
          <w:szCs w:val="22"/>
        </w:rPr>
        <w:t xml:space="preserve"> any individual</w:t>
      </w:r>
      <w:r w:rsidR="00755F76" w:rsidRPr="002E6507">
        <w:rPr>
          <w:szCs w:val="22"/>
        </w:rPr>
        <w:t xml:space="preserve"> foreign investor</w:t>
      </w:r>
      <w:r w:rsidR="00EE5CF8" w:rsidRPr="002E6507">
        <w:rPr>
          <w:szCs w:val="22"/>
        </w:rPr>
        <w:t xml:space="preserve"> or “group”</w:t>
      </w:r>
      <w:r w:rsidR="00755F76" w:rsidRPr="002E6507">
        <w:rPr>
          <w:szCs w:val="22"/>
        </w:rPr>
        <w:t xml:space="preserve"> acquires a greater than </w:t>
      </w:r>
      <w:r w:rsidR="00B236B2">
        <w:rPr>
          <w:szCs w:val="22"/>
        </w:rPr>
        <w:t>five</w:t>
      </w:r>
      <w:r w:rsidR="00EE5CF8" w:rsidRPr="002E6507">
        <w:rPr>
          <w:szCs w:val="22"/>
        </w:rPr>
        <w:t xml:space="preserve"> percent </w:t>
      </w:r>
      <w:r w:rsidR="00755F76" w:rsidRPr="002E6507">
        <w:rPr>
          <w:szCs w:val="22"/>
        </w:rPr>
        <w:t xml:space="preserve"> </w:t>
      </w:r>
      <w:r w:rsidR="00EE5CF8" w:rsidRPr="002E6507">
        <w:rPr>
          <w:szCs w:val="22"/>
        </w:rPr>
        <w:t xml:space="preserve">(or greater than 10 percent for certain institutional investors) </w:t>
      </w:r>
      <w:r w:rsidR="00755F76" w:rsidRPr="002E6507">
        <w:rPr>
          <w:szCs w:val="22"/>
        </w:rPr>
        <w:t>voting or equity interest in Pandora Media.</w:t>
      </w:r>
      <w:r w:rsidR="00755F76" w:rsidRPr="002E6507">
        <w:rPr>
          <w:rStyle w:val="FootnoteReference"/>
          <w:sz w:val="22"/>
          <w:szCs w:val="22"/>
        </w:rPr>
        <w:footnoteReference w:id="22"/>
      </w:r>
      <w:r w:rsidR="00755F76" w:rsidRPr="002E6507">
        <w:rPr>
          <w:szCs w:val="22"/>
        </w:rPr>
        <w:t xml:space="preserve">  </w:t>
      </w:r>
      <w:r w:rsidR="00E94D62" w:rsidRPr="002E6507">
        <w:rPr>
          <w:szCs w:val="22"/>
        </w:rPr>
        <w:t xml:space="preserve">In addition, the </w:t>
      </w:r>
      <w:r w:rsidR="00E94D62" w:rsidRPr="001D614A">
        <w:rPr>
          <w:i/>
          <w:szCs w:val="22"/>
        </w:rPr>
        <w:t>2016 Foreign Ownership Order</w:t>
      </w:r>
      <w:r w:rsidR="00E94D62" w:rsidRPr="002E6507">
        <w:rPr>
          <w:szCs w:val="22"/>
        </w:rPr>
        <w:t xml:space="preserve"> reflects a determination that insulated limited partnership interests held by any individual whose </w:t>
      </w:r>
      <w:r w:rsidR="00196639">
        <w:rPr>
          <w:szCs w:val="22"/>
        </w:rPr>
        <w:t xml:space="preserve">direct or </w:t>
      </w:r>
      <w:r w:rsidR="00E94D62" w:rsidRPr="002E6507">
        <w:rPr>
          <w:szCs w:val="22"/>
        </w:rPr>
        <w:t>indirect interest</w:t>
      </w:r>
      <w:r w:rsidR="00196639">
        <w:rPr>
          <w:szCs w:val="22"/>
        </w:rPr>
        <w:t>s</w:t>
      </w:r>
      <w:r w:rsidR="00E94D62" w:rsidRPr="002E6507">
        <w:rPr>
          <w:szCs w:val="22"/>
        </w:rPr>
        <w:t xml:space="preserve"> in the licensee</w:t>
      </w:r>
      <w:r w:rsidR="00196639">
        <w:rPr>
          <w:szCs w:val="22"/>
        </w:rPr>
        <w:t xml:space="preserve">’s controlling </w:t>
      </w:r>
      <w:r w:rsidR="00292AA8">
        <w:rPr>
          <w:szCs w:val="22"/>
        </w:rPr>
        <w:t xml:space="preserve">U.S. </w:t>
      </w:r>
      <w:r w:rsidR="00196639">
        <w:rPr>
          <w:szCs w:val="22"/>
        </w:rPr>
        <w:t>parent</w:t>
      </w:r>
      <w:r w:rsidR="00E94D62" w:rsidRPr="002E6507">
        <w:rPr>
          <w:szCs w:val="22"/>
        </w:rPr>
        <w:t xml:space="preserve"> do n</w:t>
      </w:r>
      <w:r w:rsidR="00B236B2">
        <w:rPr>
          <w:szCs w:val="22"/>
        </w:rPr>
        <w:t>ot exceed five</w:t>
      </w:r>
      <w:r w:rsidR="00DF70FD">
        <w:rPr>
          <w:szCs w:val="22"/>
        </w:rPr>
        <w:t xml:space="preserve"> percent</w:t>
      </w:r>
      <w:r w:rsidR="00F605FB" w:rsidRPr="002E6507">
        <w:rPr>
          <w:szCs w:val="22"/>
        </w:rPr>
        <w:t xml:space="preserve"> do not rise to the level that may be relevant to the concerns applicable to the Section 310(b) review of foreign ownership.</w:t>
      </w:r>
      <w:r w:rsidR="00F605FB" w:rsidRPr="002E6507">
        <w:rPr>
          <w:rStyle w:val="FootnoteReference"/>
          <w:sz w:val="22"/>
          <w:szCs w:val="22"/>
        </w:rPr>
        <w:footnoteReference w:id="23"/>
      </w:r>
      <w:r w:rsidR="00F605FB" w:rsidRPr="002E6507">
        <w:rPr>
          <w:i/>
          <w:color w:val="002060"/>
          <w:szCs w:val="22"/>
        </w:rPr>
        <w:t xml:space="preserve"> </w:t>
      </w:r>
      <w:r w:rsidR="00F605FB" w:rsidRPr="002E6507">
        <w:rPr>
          <w:szCs w:val="22"/>
        </w:rPr>
        <w:t xml:space="preserve"> </w:t>
      </w:r>
      <w:r w:rsidRPr="002E6507">
        <w:rPr>
          <w:szCs w:val="22"/>
        </w:rPr>
        <w:t>In</w:t>
      </w:r>
      <w:r w:rsidR="00755F76" w:rsidRPr="002E6507">
        <w:rPr>
          <w:szCs w:val="22"/>
        </w:rPr>
        <w:t xml:space="preserve"> considering whether to grant Corvex’s request for specific approval</w:t>
      </w:r>
      <w:r w:rsidR="00A70251" w:rsidRPr="002E6507">
        <w:rPr>
          <w:szCs w:val="22"/>
        </w:rPr>
        <w:t xml:space="preserve">, </w:t>
      </w:r>
      <w:r w:rsidR="00755F76" w:rsidRPr="002E6507">
        <w:rPr>
          <w:szCs w:val="22"/>
        </w:rPr>
        <w:t>we take into account the specific facts and circumstances presented by Corvex,</w:t>
      </w:r>
      <w:r w:rsidR="00A70251" w:rsidRPr="002E6507">
        <w:rPr>
          <w:szCs w:val="22"/>
        </w:rPr>
        <w:t xml:space="preserve"> </w:t>
      </w:r>
      <w:r w:rsidR="00153DCE" w:rsidRPr="002E6507">
        <w:rPr>
          <w:szCs w:val="22"/>
        </w:rPr>
        <w:t>as well as input</w:t>
      </w:r>
      <w:r w:rsidR="00A70251" w:rsidRPr="002E6507">
        <w:rPr>
          <w:szCs w:val="22"/>
        </w:rPr>
        <w:t xml:space="preserve"> received from the Executive Branch and Pandora’s history of compliance with the terms and conditions of the </w:t>
      </w:r>
      <w:r w:rsidR="00A70251" w:rsidRPr="002E6507">
        <w:rPr>
          <w:i/>
          <w:szCs w:val="22"/>
        </w:rPr>
        <w:t>Pandora Declaratory Ruling.</w:t>
      </w:r>
      <w:r w:rsidR="00904F60" w:rsidRPr="00566970">
        <w:rPr>
          <w:rStyle w:val="FootnoteReference"/>
          <w:sz w:val="22"/>
          <w:szCs w:val="22"/>
        </w:rPr>
        <w:footnoteReference w:id="24"/>
      </w:r>
      <w:r w:rsidR="002E6507" w:rsidRPr="00566970">
        <w:rPr>
          <w:szCs w:val="22"/>
        </w:rPr>
        <w:t xml:space="preserve"> </w:t>
      </w:r>
      <w:r w:rsidR="00566970">
        <w:rPr>
          <w:szCs w:val="22"/>
        </w:rPr>
        <w:t xml:space="preserve"> </w:t>
      </w:r>
      <w:r w:rsidR="00700980" w:rsidRPr="002E6507">
        <w:rPr>
          <w:szCs w:val="22"/>
        </w:rPr>
        <w:t>Although Corvex is a foreign entity because it is foreign-domiciled, it is controlled by a U.S. citizen, and none of the individual foreign investors, all of whom are insulated pursuant to the Commission’s broadcast attribution rul</w:t>
      </w:r>
      <w:r w:rsidR="00B236B2">
        <w:rPr>
          <w:szCs w:val="22"/>
        </w:rPr>
        <w:t>es, would hold a greater than one</w:t>
      </w:r>
      <w:r w:rsidR="00DF70FD">
        <w:rPr>
          <w:szCs w:val="22"/>
        </w:rPr>
        <w:t xml:space="preserve"> percent</w:t>
      </w:r>
      <w:r w:rsidR="00700980" w:rsidRPr="002E6507">
        <w:rPr>
          <w:szCs w:val="22"/>
        </w:rPr>
        <w:t xml:space="preserve"> indirect interest in Pandora if Corvex increases its ownership interest as proposed.</w:t>
      </w:r>
    </w:p>
    <w:p w14:paraId="2A4D74DA" w14:textId="183525E6" w:rsidR="009C09C4" w:rsidRDefault="009C09C4" w:rsidP="009C09C4">
      <w:pPr>
        <w:pStyle w:val="ParaNum"/>
        <w:widowControl/>
        <w:tabs>
          <w:tab w:val="num" w:pos="1440"/>
        </w:tabs>
      </w:pPr>
      <w:r>
        <w:rPr>
          <w:i/>
        </w:rPr>
        <w:t xml:space="preserve">Public Interest Analysis.  </w:t>
      </w:r>
      <w:r>
        <w:t xml:space="preserve">In both the </w:t>
      </w:r>
      <w:r w:rsidRPr="00AC1EE7">
        <w:rPr>
          <w:i/>
        </w:rPr>
        <w:t xml:space="preserve">2013 </w:t>
      </w:r>
      <w:r>
        <w:rPr>
          <w:i/>
        </w:rPr>
        <w:t>Broadcast Clarification</w:t>
      </w:r>
      <w:r w:rsidRPr="00AC1EE7">
        <w:rPr>
          <w:i/>
        </w:rPr>
        <w:t xml:space="preserve"> Ruling</w:t>
      </w:r>
      <w:r>
        <w:t xml:space="preserve"> and the </w:t>
      </w:r>
      <w:r w:rsidRPr="00AC1EE7">
        <w:rPr>
          <w:i/>
        </w:rPr>
        <w:t xml:space="preserve">2016 Foreign Ownership Order, </w:t>
      </w:r>
      <w:r>
        <w:t>the Commission emphasized the need to encourage new sources of investment in the broadcast industry, including foreign investment</w:t>
      </w:r>
      <w:r w:rsidR="00B236B2">
        <w:t>.</w:t>
      </w:r>
      <w:r>
        <w:rPr>
          <w:rStyle w:val="FootnoteReference"/>
        </w:rPr>
        <w:footnoteReference w:id="25"/>
      </w:r>
      <w:r>
        <w:t xml:space="preserve">  The Commission also </w:t>
      </w:r>
      <w:r w:rsidR="00153DCE">
        <w:t>affirmed</w:t>
      </w:r>
      <w:r>
        <w:t xml:space="preserve"> the need to protect important interests related to national security, law enforcement, foreign policy, trade policy, and other public policy goals while maintaining compliance with Section 310(b).</w:t>
      </w:r>
      <w:r>
        <w:rPr>
          <w:rStyle w:val="FootnoteReference"/>
        </w:rPr>
        <w:footnoteReference w:id="26"/>
      </w:r>
      <w:r w:rsidR="00153DCE">
        <w:t xml:space="preserve">  In this case, </w:t>
      </w:r>
      <w:r w:rsidR="0032496A">
        <w:t>w</w:t>
      </w:r>
      <w:r w:rsidR="0032496A" w:rsidRPr="004A1A70">
        <w:rPr>
          <w:snapToGrid/>
          <w:kern w:val="0"/>
          <w:szCs w:val="22"/>
        </w:rPr>
        <w:t xml:space="preserve">e have coordinated </w:t>
      </w:r>
      <w:r w:rsidR="00196639" w:rsidRPr="00196639">
        <w:rPr>
          <w:szCs w:val="22"/>
        </w:rPr>
        <w:t xml:space="preserve">the request for specific approval of Corvex’s proposed investment in Pandora </w:t>
      </w:r>
      <w:r w:rsidR="0032496A" w:rsidRPr="004A1A70">
        <w:rPr>
          <w:snapToGrid/>
          <w:kern w:val="0"/>
          <w:szCs w:val="22"/>
        </w:rPr>
        <w:t xml:space="preserve">with the relevant Executive Branch agencies </w:t>
      </w:r>
      <w:r w:rsidR="00196639" w:rsidRPr="00566970">
        <w:t>with expertise on issues related to national security, law enforcement, foreign policy, and trade policy,</w:t>
      </w:r>
      <w:r w:rsidR="00196639">
        <w:rPr>
          <w:color w:val="FF0000"/>
        </w:rPr>
        <w:t xml:space="preserve"> </w:t>
      </w:r>
      <w:r w:rsidR="0032496A" w:rsidRPr="004A1A70">
        <w:rPr>
          <w:snapToGrid/>
          <w:kern w:val="0"/>
          <w:szCs w:val="22"/>
        </w:rPr>
        <w:t xml:space="preserve">and </w:t>
      </w:r>
      <w:r w:rsidR="00196639">
        <w:t xml:space="preserve">the </w:t>
      </w:r>
      <w:r w:rsidR="0032496A">
        <w:t>agencies have filed a letter with the Commission stating that they have no objections.</w:t>
      </w:r>
      <w:r w:rsidR="0032496A">
        <w:rPr>
          <w:rStyle w:val="FootnoteReference"/>
          <w:szCs w:val="22"/>
        </w:rPr>
        <w:footnoteReference w:id="27"/>
      </w:r>
      <w:r w:rsidR="0032496A">
        <w:t xml:space="preserve"> </w:t>
      </w:r>
      <w:r w:rsidR="007B09A4">
        <w:t xml:space="preserve"> </w:t>
      </w:r>
      <w:r w:rsidR="007563C4">
        <w:t xml:space="preserve">Moreover, </w:t>
      </w:r>
      <w:r w:rsidR="007B09A4">
        <w:t xml:space="preserve">we find that </w:t>
      </w:r>
      <w:r w:rsidR="007563C4">
        <w:t xml:space="preserve">grant of the Petition would facilitate investment in the publicly traded parent corporation of a recent entrant to the broadcast radio market.  </w:t>
      </w:r>
      <w:r w:rsidR="006913B9">
        <w:t>For these reasons</w:t>
      </w:r>
      <w:r>
        <w:t xml:space="preserve">, we find that grant of the </w:t>
      </w:r>
      <w:r w:rsidR="007563C4">
        <w:t>P</w:t>
      </w:r>
      <w:r>
        <w:t>etition will serve the public interest.</w:t>
      </w:r>
    </w:p>
    <w:p w14:paraId="7888933A" w14:textId="77777777" w:rsidR="009C09C4" w:rsidRPr="009F71DB" w:rsidRDefault="009C09C4" w:rsidP="009C09C4">
      <w:pPr>
        <w:pStyle w:val="Heading1"/>
      </w:pPr>
      <w:r>
        <w:t>declaratory ruling</w:t>
      </w:r>
    </w:p>
    <w:p w14:paraId="2A851594" w14:textId="77777777" w:rsidR="009C09C4" w:rsidRDefault="009C09C4" w:rsidP="006902C9">
      <w:pPr>
        <w:pStyle w:val="ParaNum"/>
        <w:tabs>
          <w:tab w:val="num" w:pos="1440"/>
        </w:tabs>
      </w:pPr>
      <w:r>
        <w:t>Under the</w:t>
      </w:r>
      <w:r w:rsidR="007B09A4">
        <w:t xml:space="preserve"> facts and </w:t>
      </w:r>
      <w:r>
        <w:t>circumstances</w:t>
      </w:r>
      <w:r w:rsidR="007B09A4">
        <w:t xml:space="preserve"> set out above, and</w:t>
      </w:r>
      <w:r>
        <w:t xml:space="preserve"> pursuant to Section 310(b) of the Act, we find that the public interest would not be served by prohibiting </w:t>
      </w:r>
      <w:r w:rsidR="0002661D">
        <w:t>the proposed additional foreign ownership of Pandora Media</w:t>
      </w:r>
      <w:r w:rsidR="00365546">
        <w:t xml:space="preserve"> by Corvex</w:t>
      </w:r>
      <w:r w:rsidR="00E96200">
        <w:t xml:space="preserve">, subject to the </w:t>
      </w:r>
      <w:r w:rsidR="007B09A4">
        <w:t>limitation</w:t>
      </w:r>
      <w:r w:rsidR="00E96200">
        <w:t xml:space="preserve"> discussed below</w:t>
      </w:r>
      <w:r w:rsidR="006913B9">
        <w:t xml:space="preserve">.  </w:t>
      </w:r>
      <w:r w:rsidR="00320F1C">
        <w:t xml:space="preserve">We find that </w:t>
      </w:r>
      <w:r w:rsidR="0032496A">
        <w:t>grant of the Petition</w:t>
      </w:r>
      <w:r w:rsidR="00320F1C">
        <w:t xml:space="preserve"> will facilitate investment from </w:t>
      </w:r>
      <w:r w:rsidR="006902C9">
        <w:t>s</w:t>
      </w:r>
      <w:r w:rsidR="00320F1C">
        <w:t>ources of capital that would not otherwise be available to Pandora Media</w:t>
      </w:r>
      <w:r w:rsidR="007B09A4">
        <w:t>—</w:t>
      </w:r>
      <w:r w:rsidR="006902C9">
        <w:t xml:space="preserve">a new </w:t>
      </w:r>
      <w:r w:rsidR="007B09A4">
        <w:t>entrant in the broadcast market—</w:t>
      </w:r>
      <w:r w:rsidR="00320F1C">
        <w:t>and may encourage reciproc</w:t>
      </w:r>
      <w:r w:rsidR="006902C9">
        <w:t>al investment opportunities for U.S. companies in foreign markets</w:t>
      </w:r>
      <w:r w:rsidR="00320F1C">
        <w:t xml:space="preserve">.  </w:t>
      </w:r>
      <w:r w:rsidR="0032496A">
        <w:t xml:space="preserve">As mentioned above, the relevant Executive Branch agencies with expertise on issues related to national security, law enforcement, foreign policy, and trade policy have been notified of the Petition and have not filed any objections or requested that we impose conditions on its grant.  </w:t>
      </w:r>
      <w:r>
        <w:t>We also find no grounds to ob</w:t>
      </w:r>
      <w:r w:rsidR="006902C9">
        <w:t>ject to the requested specific approval</w:t>
      </w:r>
      <w:r>
        <w:t xml:space="preserve"> and </w:t>
      </w:r>
      <w:r w:rsidR="006902C9">
        <w:t>c</w:t>
      </w:r>
      <w:r>
        <w:t xml:space="preserve">onclude that grant will facilitate the foreign investment </w:t>
      </w:r>
      <w:r w:rsidR="0032496A">
        <w:t>proposed</w:t>
      </w:r>
      <w:r>
        <w:t xml:space="preserve"> by </w:t>
      </w:r>
      <w:r w:rsidR="0032496A">
        <w:t>Corvex</w:t>
      </w:r>
      <w:r>
        <w:t>.</w:t>
      </w:r>
    </w:p>
    <w:p w14:paraId="4E998BD5" w14:textId="4DD97804" w:rsidR="009C09C4" w:rsidRDefault="008A0443" w:rsidP="0072456E">
      <w:pPr>
        <w:pStyle w:val="ParaNum"/>
      </w:pPr>
      <w:r>
        <w:rPr>
          <w:i/>
        </w:rPr>
        <w:t xml:space="preserve">     </w:t>
      </w:r>
      <w:r w:rsidR="00E2134D">
        <w:rPr>
          <w:i/>
        </w:rPr>
        <w:t xml:space="preserve">Specific Approval.  </w:t>
      </w:r>
      <w:r w:rsidR="00E2134D">
        <w:t xml:space="preserve">This </w:t>
      </w:r>
      <w:r w:rsidR="00E2134D">
        <w:rPr>
          <w:i/>
        </w:rPr>
        <w:t xml:space="preserve">Declaratory Ruling </w:t>
      </w:r>
      <w:r w:rsidR="00E2134D">
        <w:t xml:space="preserve">grants </w:t>
      </w:r>
      <w:r w:rsidR="006510CA">
        <w:t>specific approval for Corvex to</w:t>
      </w:r>
      <w:r w:rsidR="001641E6">
        <w:t>:</w:t>
      </w:r>
      <w:r w:rsidR="006510CA">
        <w:t xml:space="preserve"> </w:t>
      </w:r>
      <w:r w:rsidR="001641E6">
        <w:t>(1) exercise stock options that would increase its present 4.95 percent non-controlling voting and equity interest in Pandora Medi</w:t>
      </w:r>
      <w:r w:rsidR="00B236B2">
        <w:t>a</w:t>
      </w:r>
      <w:r w:rsidR="001641E6">
        <w:t xml:space="preserve"> </w:t>
      </w:r>
      <w:r w:rsidR="001641E6">
        <w:rPr>
          <w:szCs w:val="22"/>
        </w:rPr>
        <w:t>to</w:t>
      </w:r>
      <w:r w:rsidR="001641E6" w:rsidRPr="00BE7F4A">
        <w:rPr>
          <w:szCs w:val="22"/>
        </w:rPr>
        <w:t xml:space="preserve"> </w:t>
      </w:r>
      <w:r w:rsidR="001641E6">
        <w:rPr>
          <w:szCs w:val="22"/>
        </w:rPr>
        <w:t xml:space="preserve">a </w:t>
      </w:r>
      <w:r w:rsidR="001641E6" w:rsidRPr="00BE7F4A">
        <w:rPr>
          <w:szCs w:val="22"/>
        </w:rPr>
        <w:t>9.99</w:t>
      </w:r>
      <w:r w:rsidR="001641E6">
        <w:t xml:space="preserve"> percent non-controlling voting and equity interest</w:t>
      </w:r>
      <w:r w:rsidR="001641E6">
        <w:rPr>
          <w:szCs w:val="22"/>
        </w:rPr>
        <w:t xml:space="preserve">; and (2) further increase its voting and equity interest in Pandora Media, at some future time, up to and including a total non-controlling interest of </w:t>
      </w:r>
      <w:r w:rsidR="001641E6" w:rsidRPr="00BE7F4A">
        <w:rPr>
          <w:szCs w:val="22"/>
        </w:rPr>
        <w:t>14.99 percent</w:t>
      </w:r>
      <w:r w:rsidR="001641E6">
        <w:rPr>
          <w:szCs w:val="22"/>
        </w:rPr>
        <w:t xml:space="preserve"> </w:t>
      </w:r>
      <w:r w:rsidR="001641E6" w:rsidRPr="00BE7F4A">
        <w:rPr>
          <w:szCs w:val="22"/>
        </w:rPr>
        <w:t xml:space="preserve">without </w:t>
      </w:r>
      <w:r w:rsidR="001641E6">
        <w:rPr>
          <w:szCs w:val="22"/>
        </w:rPr>
        <w:t>further Commission</w:t>
      </w:r>
      <w:r w:rsidR="001641E6" w:rsidRPr="00BE7F4A">
        <w:rPr>
          <w:szCs w:val="22"/>
        </w:rPr>
        <w:t xml:space="preserve"> approval.</w:t>
      </w:r>
      <w:r w:rsidR="001641E6">
        <w:rPr>
          <w:szCs w:val="22"/>
        </w:rPr>
        <w:t xml:space="preserve">  </w:t>
      </w:r>
      <w:r w:rsidR="00E2134D">
        <w:t>We emphasize that</w:t>
      </w:r>
      <w:r w:rsidR="00E2134D" w:rsidRPr="006510CA">
        <w:t xml:space="preserve"> </w:t>
      </w:r>
      <w:r w:rsidR="00E2134D">
        <w:t>o</w:t>
      </w:r>
      <w:r w:rsidR="00B13CA4">
        <w:t>ur ruling herein</w:t>
      </w:r>
      <w:r w:rsidR="006510CA">
        <w:t xml:space="preserve"> does not modify </w:t>
      </w:r>
      <w:r w:rsidR="005D2CB0">
        <w:t xml:space="preserve">any of </w:t>
      </w:r>
      <w:r w:rsidR="00B1789B">
        <w:t xml:space="preserve">the terms and conditions set out in the </w:t>
      </w:r>
      <w:r w:rsidR="00B1789B" w:rsidRPr="004A1A70">
        <w:rPr>
          <w:i/>
        </w:rPr>
        <w:t>Pandora Declaratory Ruling</w:t>
      </w:r>
      <w:r w:rsidR="004A1A70">
        <w:t xml:space="preserve">, including </w:t>
      </w:r>
      <w:r w:rsidR="003F042E">
        <w:t>the requirement</w:t>
      </w:r>
      <w:r w:rsidR="005D2CB0">
        <w:t xml:space="preserve"> for Pandora</w:t>
      </w:r>
      <w:r w:rsidR="00365546">
        <w:t xml:space="preserve"> </w:t>
      </w:r>
      <w:r w:rsidR="003F042E">
        <w:t>to obtain</w:t>
      </w:r>
      <w:r w:rsidR="004A1A70">
        <w:t xml:space="preserve"> </w:t>
      </w:r>
      <w:r w:rsidR="009C09C4">
        <w:t>prior Commission approval for foreign equity and/or foreign voting interests exceeding 49</w:t>
      </w:r>
      <w:r w:rsidR="00CA378B">
        <w:t>.99</w:t>
      </w:r>
      <w:r w:rsidR="009C09C4">
        <w:t xml:space="preserve"> percent</w:t>
      </w:r>
      <w:r w:rsidR="009C09C4" w:rsidRPr="00481947">
        <w:t xml:space="preserve"> </w:t>
      </w:r>
      <w:r w:rsidR="009C09C4">
        <w:t>in the aggregate</w:t>
      </w:r>
      <w:r w:rsidR="004A1A70">
        <w:t>.</w:t>
      </w:r>
      <w:r w:rsidR="004A1A70">
        <w:rPr>
          <w:rStyle w:val="FootnoteReference"/>
        </w:rPr>
        <w:footnoteReference w:id="28"/>
      </w:r>
      <w:r w:rsidR="00B64265">
        <w:t xml:space="preserve">  </w:t>
      </w:r>
      <w:r w:rsidR="005D2CB0">
        <w:t>Therefore, i</w:t>
      </w:r>
      <w:r w:rsidR="00847162">
        <w:t>f Pandora determines that th</w:t>
      </w:r>
      <w:r w:rsidR="00166710">
        <w:t>is or any</w:t>
      </w:r>
      <w:r w:rsidR="00847162">
        <w:t xml:space="preserve"> proposed transaction would cause it to exceed</w:t>
      </w:r>
      <w:r w:rsidR="00365546">
        <w:t xml:space="preserve"> 49.99 percent foreign ownership</w:t>
      </w:r>
      <w:r w:rsidR="00847162">
        <w:t xml:space="preserve">, it </w:t>
      </w:r>
      <w:r w:rsidR="00166710">
        <w:t xml:space="preserve">must either: (1) take steps to ensure that </w:t>
      </w:r>
      <w:r w:rsidR="00C402ED">
        <w:t>it complies with the</w:t>
      </w:r>
      <w:r w:rsidR="00166710">
        <w:t xml:space="preserve"> limit, including, if necessary, exercising its corporate power to restrict stock ownership; or (2)</w:t>
      </w:r>
      <w:r w:rsidR="005D2CB0">
        <w:t xml:space="preserve"> </w:t>
      </w:r>
      <w:r w:rsidR="00CA378B">
        <w:t>petition the Commission to raise th</w:t>
      </w:r>
      <w:r w:rsidR="002E6507">
        <w:t>at</w:t>
      </w:r>
      <w:r w:rsidR="00CA378B">
        <w:t xml:space="preserve"> limit. </w:t>
      </w:r>
    </w:p>
    <w:p w14:paraId="739645A4" w14:textId="77777777" w:rsidR="003F042E" w:rsidRDefault="003F042E" w:rsidP="003F042E">
      <w:pPr>
        <w:pStyle w:val="Heading1"/>
      </w:pPr>
      <w:r w:rsidRPr="00A37BAB">
        <w:t>Ordering Clauses</w:t>
      </w:r>
      <w:r>
        <w:t xml:space="preserve"> </w:t>
      </w:r>
    </w:p>
    <w:p w14:paraId="342F50D7" w14:textId="6D47B4E9" w:rsidR="003F042E" w:rsidRPr="00AD221C" w:rsidRDefault="003F042E" w:rsidP="00741057">
      <w:pPr>
        <w:pStyle w:val="ParaNum"/>
        <w:widowControl/>
        <w:tabs>
          <w:tab w:val="num" w:pos="1440"/>
        </w:tabs>
        <w:rPr>
          <w:i/>
        </w:rPr>
      </w:pPr>
      <w:r w:rsidRPr="003600AD">
        <w:t xml:space="preserve">Accordingly, IT IS ORDERED that, pursuant to section 310(b)(4) of the Communications Act of 1934, as amended, 47 </w:t>
      </w:r>
      <w:r>
        <w:t xml:space="preserve">U.S.C. </w:t>
      </w:r>
      <w:r w:rsidRPr="003600AD">
        <w:t xml:space="preserve">§ 310(b)(4), </w:t>
      </w:r>
      <w:r w:rsidR="00365546">
        <w:t xml:space="preserve">and section 0.283 of the Commission’s rules, 47 CFR § 0.283, </w:t>
      </w:r>
      <w:r w:rsidRPr="003600AD">
        <w:t xml:space="preserve">the Petition for </w:t>
      </w:r>
      <w:r w:rsidRPr="000E2400">
        <w:t>Declaratory Ruling</w:t>
      </w:r>
      <w:r w:rsidRPr="003600AD">
        <w:t xml:space="preserve"> filed by </w:t>
      </w:r>
      <w:r>
        <w:t xml:space="preserve">Corvex Master Fund LP </w:t>
      </w:r>
      <w:r w:rsidR="00186391">
        <w:t xml:space="preserve">and Pandora </w:t>
      </w:r>
      <w:r w:rsidRPr="003600AD">
        <w:t xml:space="preserve">IS GRANTED </w:t>
      </w:r>
      <w:r w:rsidR="00C402ED">
        <w:t xml:space="preserve">subject to the terms and conditions set forth in paragraph </w:t>
      </w:r>
      <w:r w:rsidR="00292AA8">
        <w:t>11</w:t>
      </w:r>
      <w:r w:rsidR="00C402ED">
        <w:t xml:space="preserve"> of </w:t>
      </w:r>
      <w:r w:rsidRPr="003600AD">
        <w:t>this</w:t>
      </w:r>
      <w:r w:rsidRPr="00AD221C">
        <w:rPr>
          <w:b/>
          <w:i/>
        </w:rPr>
        <w:t xml:space="preserve"> </w:t>
      </w:r>
      <w:r w:rsidRPr="00AD221C">
        <w:rPr>
          <w:i/>
        </w:rPr>
        <w:t>Declaratory Ruling.</w:t>
      </w:r>
    </w:p>
    <w:p w14:paraId="163D246C" w14:textId="77777777" w:rsidR="003F042E" w:rsidRPr="003600AD" w:rsidRDefault="003F042E" w:rsidP="003F042E">
      <w:pPr>
        <w:pStyle w:val="ParaNum"/>
        <w:tabs>
          <w:tab w:val="num" w:pos="1440"/>
        </w:tabs>
      </w:pPr>
      <w:r>
        <w:t xml:space="preserve">IT IS FURTHER ORDERED that this </w:t>
      </w:r>
      <w:r>
        <w:rPr>
          <w:i/>
        </w:rPr>
        <w:t>Declaratory Ruling</w:t>
      </w:r>
      <w:r>
        <w:t xml:space="preserve"> SHALL BE EFFECTIVE upon release. </w:t>
      </w:r>
    </w:p>
    <w:p w14:paraId="42AAEE51" w14:textId="77777777" w:rsidR="009C09C4" w:rsidRPr="009F71DB" w:rsidRDefault="009C09C4" w:rsidP="009C09C4">
      <w:pPr>
        <w:keepNext/>
        <w:keepLines/>
        <w:widowControl/>
      </w:pPr>
      <w:r w:rsidRPr="009F71DB">
        <w:rPr>
          <w:b/>
          <w:szCs w:val="22"/>
        </w:rPr>
        <w:tab/>
      </w:r>
      <w:r w:rsidRPr="009F71DB">
        <w:tab/>
      </w:r>
      <w:r w:rsidRPr="009F71DB">
        <w:tab/>
      </w:r>
      <w:r w:rsidRPr="009F71DB">
        <w:tab/>
      </w:r>
      <w:r w:rsidRPr="009F71DB">
        <w:tab/>
      </w:r>
      <w:r w:rsidRPr="009F71DB">
        <w:tab/>
      </w:r>
    </w:p>
    <w:p w14:paraId="32858446" w14:textId="77777777" w:rsidR="009C09C4" w:rsidRPr="009F71DB" w:rsidRDefault="009C09C4" w:rsidP="009C09C4">
      <w:pPr>
        <w:keepNext/>
        <w:keepLines/>
        <w:widowControl/>
      </w:pPr>
      <w:r w:rsidRPr="009F71DB">
        <w:tab/>
      </w:r>
      <w:r w:rsidRPr="009F71DB">
        <w:tab/>
      </w:r>
      <w:r w:rsidRPr="009F71DB">
        <w:tab/>
      </w:r>
      <w:r w:rsidRPr="009F71DB">
        <w:tab/>
      </w:r>
      <w:r w:rsidRPr="009F71DB">
        <w:tab/>
      </w:r>
      <w:r w:rsidRPr="009F71DB">
        <w:tab/>
        <w:t>FEDERAL COMMUNICATIONS COMMISSION</w:t>
      </w:r>
    </w:p>
    <w:p w14:paraId="47304C05" w14:textId="77777777" w:rsidR="009C09C4" w:rsidRPr="009F71DB" w:rsidRDefault="009C09C4" w:rsidP="009C09C4">
      <w:pPr>
        <w:keepNext/>
        <w:keepLines/>
        <w:widowControl/>
      </w:pPr>
    </w:p>
    <w:p w14:paraId="22E12672" w14:textId="77777777" w:rsidR="009C09C4" w:rsidRPr="009F71DB" w:rsidRDefault="009C09C4" w:rsidP="009C09C4">
      <w:pPr>
        <w:keepNext/>
        <w:keepLines/>
        <w:widowControl/>
      </w:pPr>
    </w:p>
    <w:p w14:paraId="328CB9F5" w14:textId="77777777" w:rsidR="009C09C4" w:rsidRPr="009F71DB" w:rsidRDefault="009C09C4" w:rsidP="009C09C4">
      <w:pPr>
        <w:keepNext/>
        <w:keepLines/>
        <w:widowControl/>
      </w:pPr>
    </w:p>
    <w:p w14:paraId="5BC6BDF9" w14:textId="77777777" w:rsidR="009C09C4" w:rsidRPr="009F71DB" w:rsidRDefault="009C09C4" w:rsidP="009C09C4">
      <w:pPr>
        <w:keepNext/>
        <w:keepLines/>
        <w:widowControl/>
      </w:pPr>
    </w:p>
    <w:p w14:paraId="7272EEB8" w14:textId="77777777" w:rsidR="009C09C4" w:rsidRPr="009F71DB" w:rsidRDefault="009C09C4" w:rsidP="009C09C4">
      <w:pPr>
        <w:keepNext/>
        <w:keepLines/>
        <w:widowControl/>
      </w:pPr>
      <w:r w:rsidRPr="009F71DB">
        <w:tab/>
      </w:r>
      <w:r w:rsidRPr="009F71DB">
        <w:tab/>
      </w:r>
      <w:r w:rsidRPr="009F71DB">
        <w:tab/>
      </w:r>
      <w:r w:rsidRPr="009F71DB">
        <w:tab/>
      </w:r>
      <w:r w:rsidRPr="009F71DB">
        <w:tab/>
      </w:r>
      <w:r w:rsidRPr="009F71DB">
        <w:tab/>
      </w:r>
      <w:r w:rsidR="007026B5">
        <w:t>Michelle Carey</w:t>
      </w:r>
    </w:p>
    <w:p w14:paraId="3E3CECF3" w14:textId="77777777" w:rsidR="009C09C4" w:rsidRPr="009F71DB" w:rsidRDefault="009C09C4" w:rsidP="009C09C4">
      <w:pPr>
        <w:keepNext/>
      </w:pPr>
      <w:r w:rsidRPr="009F71DB">
        <w:tab/>
      </w:r>
      <w:r w:rsidRPr="009F71DB">
        <w:tab/>
      </w:r>
      <w:r w:rsidRPr="009F71DB">
        <w:tab/>
      </w:r>
      <w:r w:rsidRPr="009F71DB">
        <w:tab/>
      </w:r>
      <w:r w:rsidRPr="009F71DB">
        <w:tab/>
      </w:r>
      <w:r w:rsidRPr="009F71DB">
        <w:tab/>
      </w:r>
      <w:r w:rsidR="007026B5">
        <w:t xml:space="preserve">Acting </w:t>
      </w:r>
      <w:r w:rsidRPr="009F71DB">
        <w:t>Chief</w:t>
      </w:r>
    </w:p>
    <w:p w14:paraId="425AF387" w14:textId="77777777" w:rsidR="009C09C4" w:rsidRPr="009F71DB" w:rsidRDefault="009C09C4" w:rsidP="009C09C4">
      <w:pPr>
        <w:keepNext/>
      </w:pPr>
      <w:r w:rsidRPr="009F71DB">
        <w:tab/>
      </w:r>
      <w:r w:rsidRPr="009F71DB">
        <w:tab/>
      </w:r>
      <w:r w:rsidRPr="009F71DB">
        <w:tab/>
      </w:r>
      <w:r w:rsidRPr="009F71DB">
        <w:tab/>
      </w:r>
      <w:r w:rsidRPr="009F71DB">
        <w:tab/>
      </w:r>
      <w:r w:rsidRPr="009F71DB">
        <w:tab/>
      </w:r>
      <w:r>
        <w:t>Media Bureau</w:t>
      </w:r>
    </w:p>
    <w:p w14:paraId="363D664C" w14:textId="77777777" w:rsidR="009C09C4" w:rsidRDefault="009C09C4" w:rsidP="009C09C4">
      <w:pPr>
        <w:pStyle w:val="ParaNum"/>
        <w:numPr>
          <w:ilvl w:val="0"/>
          <w:numId w:val="0"/>
        </w:numPr>
        <w:ind w:left="720"/>
      </w:pPr>
    </w:p>
    <w:p w14:paraId="6C8A4CCB" w14:textId="77777777" w:rsidR="004109D3" w:rsidRPr="00DD6C39" w:rsidRDefault="004109D3" w:rsidP="009C09C4">
      <w:pPr>
        <w:pStyle w:val="ParaNum"/>
        <w:numPr>
          <w:ilvl w:val="0"/>
          <w:numId w:val="0"/>
        </w:numPr>
      </w:pPr>
    </w:p>
    <w:sectPr w:rsidR="004109D3" w:rsidRPr="00DD6C3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0CD1A" w14:textId="77777777" w:rsidR="00DC08F5" w:rsidRDefault="00DC08F5">
      <w:pPr>
        <w:spacing w:line="20" w:lineRule="exact"/>
      </w:pPr>
    </w:p>
  </w:endnote>
  <w:endnote w:type="continuationSeparator" w:id="0">
    <w:p w14:paraId="477B6B01" w14:textId="77777777" w:rsidR="00DC08F5" w:rsidRDefault="00DC08F5">
      <w:r>
        <w:t xml:space="preserve"> </w:t>
      </w:r>
    </w:p>
  </w:endnote>
  <w:endnote w:type="continuationNotice" w:id="1">
    <w:p w14:paraId="6F6EA2AA" w14:textId="77777777" w:rsidR="00DC08F5" w:rsidRDefault="00DC08F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12653" w14:textId="77777777" w:rsidR="00EF627F" w:rsidRDefault="00EF627F" w:rsidP="0055614C">
    <w:pPr>
      <w:pStyle w:val="Footer"/>
      <w:framePr w:wrap="around" w:vAnchor="text" w:hAnchor="margin" w:xAlign="center" w:y="1"/>
    </w:pPr>
    <w:r>
      <w:fldChar w:fldCharType="begin"/>
    </w:r>
    <w:r>
      <w:instrText xml:space="preserve">PAGE  </w:instrText>
    </w:r>
    <w:r>
      <w:fldChar w:fldCharType="end"/>
    </w:r>
  </w:p>
  <w:p w14:paraId="4377EA23" w14:textId="77777777" w:rsidR="00EF627F" w:rsidRDefault="00EF6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C438" w14:textId="77777777" w:rsidR="00EF627F" w:rsidRDefault="00EF627F" w:rsidP="0055614C">
    <w:pPr>
      <w:pStyle w:val="Footer"/>
      <w:framePr w:wrap="around" w:vAnchor="text" w:hAnchor="margin" w:xAlign="center" w:y="1"/>
    </w:pPr>
    <w:r>
      <w:fldChar w:fldCharType="begin"/>
    </w:r>
    <w:r>
      <w:instrText xml:space="preserve">PAGE  </w:instrText>
    </w:r>
    <w:r>
      <w:fldChar w:fldCharType="separate"/>
    </w:r>
    <w:r w:rsidR="008942BE">
      <w:rPr>
        <w:noProof/>
      </w:rPr>
      <w:t>2</w:t>
    </w:r>
    <w:r>
      <w:fldChar w:fldCharType="end"/>
    </w:r>
  </w:p>
  <w:p w14:paraId="462E6778" w14:textId="77777777" w:rsidR="00EF627F" w:rsidRDefault="00EF627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DE20C" w14:textId="77777777" w:rsidR="00EF627F" w:rsidRDefault="00EF627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CB686" w14:textId="77777777" w:rsidR="00DC08F5" w:rsidRDefault="00DC08F5">
      <w:r>
        <w:separator/>
      </w:r>
    </w:p>
  </w:footnote>
  <w:footnote w:type="continuationSeparator" w:id="0">
    <w:p w14:paraId="60C3A3EF" w14:textId="77777777" w:rsidR="00DC08F5" w:rsidRDefault="00DC08F5" w:rsidP="00C721AC">
      <w:pPr>
        <w:spacing w:before="120"/>
        <w:rPr>
          <w:sz w:val="20"/>
        </w:rPr>
      </w:pPr>
      <w:r>
        <w:rPr>
          <w:sz w:val="20"/>
        </w:rPr>
        <w:t xml:space="preserve">(Continued from previous page)  </w:t>
      </w:r>
      <w:r>
        <w:rPr>
          <w:sz w:val="20"/>
        </w:rPr>
        <w:separator/>
      </w:r>
    </w:p>
  </w:footnote>
  <w:footnote w:type="continuationNotice" w:id="1">
    <w:p w14:paraId="3E2CA3F6" w14:textId="77777777" w:rsidR="00DC08F5" w:rsidRDefault="00DC08F5" w:rsidP="00C721AC">
      <w:pPr>
        <w:jc w:val="right"/>
        <w:rPr>
          <w:sz w:val="20"/>
        </w:rPr>
      </w:pPr>
      <w:r>
        <w:rPr>
          <w:sz w:val="20"/>
        </w:rPr>
        <w:t>(continued….)</w:t>
      </w:r>
    </w:p>
  </w:footnote>
  <w:footnote w:id="2">
    <w:p w14:paraId="155500AF" w14:textId="526D5392" w:rsidR="006245B1" w:rsidRPr="0095254B" w:rsidRDefault="006245B1" w:rsidP="006245B1">
      <w:pPr>
        <w:autoSpaceDE w:val="0"/>
        <w:autoSpaceDN w:val="0"/>
        <w:adjustRightInd w:val="0"/>
        <w:spacing w:after="120"/>
        <w:rPr>
          <w:sz w:val="20"/>
        </w:rPr>
      </w:pPr>
      <w:r w:rsidRPr="0095254B">
        <w:rPr>
          <w:rStyle w:val="FootnoteReference"/>
        </w:rPr>
        <w:footnoteRef/>
      </w:r>
      <w:r w:rsidRPr="0095254B">
        <w:rPr>
          <w:sz w:val="20"/>
        </w:rPr>
        <w:t xml:space="preserve"> </w:t>
      </w:r>
      <w:r w:rsidRPr="0095254B">
        <w:rPr>
          <w:i/>
          <w:sz w:val="20"/>
        </w:rPr>
        <w:t xml:space="preserve">See </w:t>
      </w:r>
      <w:r w:rsidRPr="0095254B">
        <w:rPr>
          <w:sz w:val="20"/>
        </w:rPr>
        <w:t>47 U.S.C. § 310(b)(4) (Section 310(b)(4));</w:t>
      </w:r>
      <w:r w:rsidRPr="0095254B">
        <w:rPr>
          <w:i/>
          <w:sz w:val="20"/>
        </w:rPr>
        <w:t xml:space="preserve"> Pandora Radio LLC, Petition for Declaratory Ruling Under Section 310(b)(4) of the Communications Act of 1934, as Amended</w:t>
      </w:r>
      <w:r w:rsidRPr="0095254B">
        <w:rPr>
          <w:sz w:val="20"/>
        </w:rPr>
        <w:t xml:space="preserve">, Declaratory Ruling, </w:t>
      </w:r>
      <w:r w:rsidRPr="0095254B">
        <w:rPr>
          <w:iCs/>
          <w:sz w:val="20"/>
        </w:rPr>
        <w:t>30 FCC Rcd 5094</w:t>
      </w:r>
      <w:r w:rsidRPr="0095254B">
        <w:rPr>
          <w:i/>
          <w:iCs/>
          <w:sz w:val="20"/>
        </w:rPr>
        <w:t xml:space="preserve"> </w:t>
      </w:r>
      <w:r w:rsidRPr="0095254B">
        <w:rPr>
          <w:sz w:val="20"/>
        </w:rPr>
        <w:t xml:space="preserve">(May 4, </w:t>
      </w:r>
      <w:r w:rsidRPr="0095254B">
        <w:rPr>
          <w:iCs/>
          <w:sz w:val="20"/>
        </w:rPr>
        <w:t>2015)</w:t>
      </w:r>
      <w:r w:rsidRPr="0095254B">
        <w:rPr>
          <w:i/>
          <w:iCs/>
          <w:sz w:val="20"/>
        </w:rPr>
        <w:t xml:space="preserve"> </w:t>
      </w:r>
      <w:r w:rsidRPr="0095254B">
        <w:rPr>
          <w:iCs/>
          <w:sz w:val="20"/>
        </w:rPr>
        <w:t>(</w:t>
      </w:r>
      <w:r w:rsidRPr="0095254B">
        <w:rPr>
          <w:i/>
          <w:iCs/>
          <w:sz w:val="20"/>
        </w:rPr>
        <w:t>Pandora Declaratory Ruling</w:t>
      </w:r>
      <w:r w:rsidRPr="0095254B">
        <w:rPr>
          <w:iCs/>
          <w:sz w:val="20"/>
        </w:rPr>
        <w:t>)</w:t>
      </w:r>
      <w:r w:rsidR="00A92F55" w:rsidRPr="00A92F55">
        <w:rPr>
          <w:iCs/>
          <w:sz w:val="20"/>
        </w:rPr>
        <w:t xml:space="preserve">, </w:t>
      </w:r>
      <w:r w:rsidR="00A92F55" w:rsidRPr="00A92F55">
        <w:rPr>
          <w:i/>
          <w:sz w:val="20"/>
        </w:rPr>
        <w:t>recon denied,</w:t>
      </w:r>
      <w:r w:rsidR="00A92F55" w:rsidRPr="00A92F55">
        <w:rPr>
          <w:sz w:val="20"/>
        </w:rPr>
        <w:t xml:space="preserve"> 30 FCC Rcd 10570 (2015)</w:t>
      </w:r>
      <w:r w:rsidRPr="0095254B">
        <w:rPr>
          <w:iCs/>
          <w:sz w:val="20"/>
        </w:rPr>
        <w:t xml:space="preserve">; </w:t>
      </w:r>
      <w:r w:rsidRPr="0095254B">
        <w:rPr>
          <w:i/>
          <w:iCs/>
          <w:sz w:val="20"/>
        </w:rPr>
        <w:t>see also</w:t>
      </w:r>
      <w:r w:rsidRPr="0095254B">
        <w:rPr>
          <w:i/>
          <w:sz w:val="20"/>
        </w:rPr>
        <w:t xml:space="preserve"> Commission Policies and Procedures Under Section 310(b)(4) of the Communications Act, Foreign Investment in Broadcast Licensees</w:t>
      </w:r>
      <w:r w:rsidRPr="0095254B">
        <w:rPr>
          <w:sz w:val="20"/>
        </w:rPr>
        <w:t>, Declaratory Ruling, 28 FCC Rcd 16244 (2013)</w:t>
      </w:r>
      <w:r>
        <w:rPr>
          <w:sz w:val="20"/>
        </w:rPr>
        <w:t xml:space="preserve"> (</w:t>
      </w:r>
      <w:r w:rsidR="00153DCE">
        <w:rPr>
          <w:i/>
          <w:sz w:val="20"/>
        </w:rPr>
        <w:t xml:space="preserve">2013 </w:t>
      </w:r>
      <w:r>
        <w:rPr>
          <w:i/>
          <w:sz w:val="20"/>
        </w:rPr>
        <w:t>B</w:t>
      </w:r>
      <w:r w:rsidR="0091761E">
        <w:rPr>
          <w:i/>
          <w:sz w:val="20"/>
        </w:rPr>
        <w:t>roadcast Clarification Ruling</w:t>
      </w:r>
      <w:r>
        <w:rPr>
          <w:sz w:val="20"/>
        </w:rPr>
        <w:t>)</w:t>
      </w:r>
      <w:r w:rsidRPr="0095254B">
        <w:rPr>
          <w:i/>
          <w:iCs/>
          <w:sz w:val="20"/>
        </w:rPr>
        <w:t>.</w:t>
      </w:r>
      <w:r w:rsidRPr="0095254B">
        <w:rPr>
          <w:sz w:val="20"/>
        </w:rPr>
        <w:t xml:space="preserve"> </w:t>
      </w:r>
    </w:p>
  </w:footnote>
  <w:footnote w:id="3">
    <w:p w14:paraId="7907E4BB" w14:textId="77777777" w:rsidR="001E17A9" w:rsidRPr="0095254B" w:rsidRDefault="001E17A9" w:rsidP="001E17A9">
      <w:pPr>
        <w:pStyle w:val="FootnoteText"/>
      </w:pPr>
      <w:r w:rsidRPr="0095254B">
        <w:rPr>
          <w:rStyle w:val="FootnoteReference"/>
        </w:rPr>
        <w:footnoteRef/>
      </w:r>
      <w:r w:rsidRPr="0095254B">
        <w:t xml:space="preserve"> There are no applications for assignment of license or transfer of control associated with the Petition.</w:t>
      </w:r>
    </w:p>
  </w:footnote>
  <w:footnote w:id="4">
    <w:p w14:paraId="3EDECBC0" w14:textId="77777777" w:rsidR="002764AF" w:rsidRDefault="002764AF">
      <w:pPr>
        <w:pStyle w:val="FootnoteText"/>
      </w:pPr>
      <w:r>
        <w:rPr>
          <w:rStyle w:val="FootnoteReference"/>
        </w:rPr>
        <w:footnoteRef/>
      </w:r>
      <w:r>
        <w:t xml:space="preserve"> </w:t>
      </w:r>
      <w:r w:rsidR="007223F0">
        <w:t xml:space="preserve">On June 17, 2015, the name of the </w:t>
      </w:r>
      <w:r w:rsidR="005D0AC4">
        <w:t>licensee subsidiary</w:t>
      </w:r>
      <w:r w:rsidR="007223F0">
        <w:t xml:space="preserve"> was changed from Pandora Radio LLC to Pandora FM LLC.  </w:t>
      </w:r>
      <w:r>
        <w:t xml:space="preserve">For convenience, we may refer to </w:t>
      </w:r>
      <w:r w:rsidR="00FC0230">
        <w:t>Pandora FM</w:t>
      </w:r>
      <w:r>
        <w:t xml:space="preserve"> and Pandora</w:t>
      </w:r>
      <w:r w:rsidR="00335195">
        <w:t xml:space="preserve"> Media collectively as “Pandora.</w:t>
      </w:r>
      <w:r>
        <w:t xml:space="preserve">” </w:t>
      </w:r>
    </w:p>
  </w:footnote>
  <w:footnote w:id="5">
    <w:p w14:paraId="043B5B4C" w14:textId="77777777" w:rsidR="00110699" w:rsidRPr="00110699" w:rsidRDefault="00110699">
      <w:pPr>
        <w:pStyle w:val="FootnoteText"/>
      </w:pPr>
      <w:r>
        <w:rPr>
          <w:rStyle w:val="FootnoteReference"/>
        </w:rPr>
        <w:footnoteRef/>
      </w:r>
      <w:r>
        <w:t xml:space="preserve"> </w:t>
      </w:r>
      <w:r>
        <w:rPr>
          <w:i/>
        </w:rPr>
        <w:t>Pandora Declaratory Ruling</w:t>
      </w:r>
      <w:r>
        <w:t xml:space="preserve">, 30 FCC Rcd at </w:t>
      </w:r>
      <w:r w:rsidR="003D75C8">
        <w:t>5101-5103</w:t>
      </w:r>
      <w:r w:rsidR="00335195">
        <w:t>, paras. 18-24</w:t>
      </w:r>
      <w:r w:rsidR="003D75C8">
        <w:t xml:space="preserve">. </w:t>
      </w:r>
    </w:p>
  </w:footnote>
  <w:footnote w:id="6">
    <w:p w14:paraId="4CC5844A" w14:textId="77777777" w:rsidR="00271CE7" w:rsidRPr="00EF0AC2" w:rsidRDefault="00271CE7" w:rsidP="00271CE7">
      <w:pPr>
        <w:pStyle w:val="FootnoteText"/>
      </w:pPr>
      <w:r w:rsidRPr="00EF0AC2">
        <w:rPr>
          <w:rStyle w:val="FootnoteReference"/>
        </w:rPr>
        <w:footnoteRef/>
      </w:r>
      <w:r w:rsidRPr="00EF0AC2">
        <w:t xml:space="preserve"> </w:t>
      </w:r>
      <w:r w:rsidRPr="00EF0AC2">
        <w:rPr>
          <w:i/>
        </w:rPr>
        <w:t>Id.</w:t>
      </w:r>
      <w:r w:rsidRPr="00EF0AC2">
        <w:t xml:space="preserve"> at 5101, para. 20.</w:t>
      </w:r>
    </w:p>
  </w:footnote>
  <w:footnote w:id="7">
    <w:p w14:paraId="1BDF5938" w14:textId="65461729" w:rsidR="00271CE7" w:rsidRPr="00DE27DD" w:rsidRDefault="00271CE7" w:rsidP="00271CE7">
      <w:pPr>
        <w:pStyle w:val="FootnoteText"/>
      </w:pPr>
      <w:r>
        <w:rPr>
          <w:rStyle w:val="FootnoteReference"/>
        </w:rPr>
        <w:footnoteRef/>
      </w:r>
      <w:r>
        <w:t xml:space="preserve">  </w:t>
      </w:r>
      <w:r>
        <w:rPr>
          <w:i/>
        </w:rPr>
        <w:t>Univision Holdings, Inc.</w:t>
      </w:r>
      <w:r>
        <w:t>,</w:t>
      </w:r>
      <w:r w:rsidRPr="00344976">
        <w:t xml:space="preserve"> </w:t>
      </w:r>
      <w:r w:rsidR="00184A96">
        <w:t>Declaratory Ruling, DA</w:t>
      </w:r>
      <w:r>
        <w:t xml:space="preserve"> 17-4 (MB Jan. 3, 2017)</w:t>
      </w:r>
      <w:r>
        <w:rPr>
          <w:i/>
        </w:rPr>
        <w:t xml:space="preserve"> </w:t>
      </w:r>
      <w:r>
        <w:t>(</w:t>
      </w:r>
      <w:r>
        <w:rPr>
          <w:i/>
        </w:rPr>
        <w:t>Univision Declaratory Ruling</w:t>
      </w:r>
      <w:r>
        <w:t>) (permitting ag</w:t>
      </w:r>
      <w:r w:rsidR="001641E6">
        <w:t>gregate foreign ownership of 49 percent</w:t>
      </w:r>
      <w:r>
        <w:t xml:space="preserve"> voting and equity and granting specific approva</w:t>
      </w:r>
      <w:r w:rsidR="001641E6">
        <w:t>l for named entities to hold 40 percent</w:t>
      </w:r>
      <w:r w:rsidR="0074399C">
        <w:t xml:space="preserve"> of the voting shares and 49 percent of the</w:t>
      </w:r>
      <w:r>
        <w:t xml:space="preserve"> equity); </w:t>
      </w:r>
      <w:r>
        <w:rPr>
          <w:i/>
        </w:rPr>
        <w:t>Hemisphere Media Group, Inc.</w:t>
      </w:r>
      <w:r>
        <w:t>, Declaratory Ruling, DA 17-79 (MB Jan. 18, 2017) (</w:t>
      </w:r>
      <w:r>
        <w:rPr>
          <w:i/>
        </w:rPr>
        <w:t>Hemisphere Declaratory Ruling</w:t>
      </w:r>
      <w:r>
        <w:t>) (permitting up to 49.99 percent aggregate foreign ownership and granting specific approval to named entities and individuals to hold interests up to that level).  The Commission conditioned these rulings on additional requirements, including monitoring, reportin</w:t>
      </w:r>
      <w:r w:rsidR="00233F52">
        <w:t>g, and compliance requirements.</w:t>
      </w:r>
    </w:p>
  </w:footnote>
  <w:footnote w:id="8">
    <w:p w14:paraId="39F70752" w14:textId="77777777" w:rsidR="00271CE7" w:rsidRPr="003D75C8" w:rsidRDefault="00271CE7" w:rsidP="00271CE7">
      <w:pPr>
        <w:pStyle w:val="FootnoteText"/>
      </w:pPr>
      <w:r>
        <w:rPr>
          <w:rStyle w:val="FootnoteReference"/>
        </w:rPr>
        <w:footnoteRef/>
      </w:r>
      <w:r>
        <w:t xml:space="preserve"> </w:t>
      </w:r>
      <w:r>
        <w:rPr>
          <w:i/>
        </w:rPr>
        <w:t>Pandora Declaratory Ruling</w:t>
      </w:r>
      <w:r>
        <w:t>, 30 FCC Rcd at 5101, para. 19.</w:t>
      </w:r>
    </w:p>
  </w:footnote>
  <w:footnote w:id="9">
    <w:p w14:paraId="0ED6193F" w14:textId="77777777" w:rsidR="008649A7" w:rsidRPr="008649A7" w:rsidRDefault="008649A7">
      <w:pPr>
        <w:pStyle w:val="FootnoteText"/>
      </w:pPr>
      <w:r>
        <w:rPr>
          <w:rStyle w:val="FootnoteReference"/>
        </w:rPr>
        <w:footnoteRef/>
      </w:r>
      <w:r>
        <w:t xml:space="preserve"> </w:t>
      </w:r>
      <w:r>
        <w:rPr>
          <w:i/>
        </w:rPr>
        <w:t xml:space="preserve">See </w:t>
      </w:r>
      <w:r>
        <w:t xml:space="preserve">47 CFR § 73.3555 Note 2. </w:t>
      </w:r>
    </w:p>
  </w:footnote>
  <w:footnote w:id="10">
    <w:p w14:paraId="5AE4BD97" w14:textId="583E26CE" w:rsidR="00233F52" w:rsidRDefault="00233F52">
      <w:pPr>
        <w:pStyle w:val="FootnoteText"/>
      </w:pPr>
      <w:r>
        <w:rPr>
          <w:rStyle w:val="FootnoteReference"/>
        </w:rPr>
        <w:footnoteRef/>
      </w:r>
      <w:r>
        <w:t xml:space="preserve"> </w:t>
      </w:r>
      <w:r w:rsidR="00DB590E" w:rsidRPr="003260BE">
        <w:t xml:space="preserve">Letter from </w:t>
      </w:r>
      <w:r w:rsidR="00DB590E">
        <w:t>Mark D. Schneider, Counsel for Pandora Media, Inc. and Pandora Radio LLC</w:t>
      </w:r>
      <w:r w:rsidR="00DB590E" w:rsidRPr="003260BE">
        <w:t xml:space="preserve">, to </w:t>
      </w:r>
      <w:r w:rsidR="00DB590E">
        <w:t>Marlene H. Dortch, Secretary, FCC</w:t>
      </w:r>
      <w:r w:rsidR="00DB590E" w:rsidRPr="003260BE">
        <w:t xml:space="preserve"> (</w:t>
      </w:r>
      <w:r w:rsidR="00DB590E">
        <w:t>Feb. 7, 2017</w:t>
      </w:r>
      <w:r w:rsidR="00DB590E" w:rsidRPr="003260BE">
        <w:t>)</w:t>
      </w:r>
      <w:r w:rsidR="00DB590E">
        <w:t xml:space="preserve"> </w:t>
      </w:r>
      <w:r w:rsidR="00DB590E" w:rsidRPr="003260BE">
        <w:t xml:space="preserve">(on file in </w:t>
      </w:r>
      <w:r w:rsidR="00DB590E">
        <w:t>MB Docket No. 16-253).</w:t>
      </w:r>
    </w:p>
  </w:footnote>
  <w:footnote w:id="11">
    <w:p w14:paraId="1AB848C5" w14:textId="1B533464" w:rsidR="00233F52" w:rsidRDefault="00233F52">
      <w:pPr>
        <w:pStyle w:val="FootnoteText"/>
      </w:pPr>
      <w:r w:rsidRPr="00566970">
        <w:rPr>
          <w:rStyle w:val="FootnoteReference"/>
        </w:rPr>
        <w:footnoteRef/>
      </w:r>
      <w:r w:rsidRPr="00566970">
        <w:t xml:space="preserve"> </w:t>
      </w:r>
      <w:r w:rsidRPr="00566970">
        <w:rPr>
          <w:i/>
          <w:iCs/>
        </w:rPr>
        <w:t>Pandora Declaratory Ruling</w:t>
      </w:r>
      <w:r w:rsidRPr="00566970">
        <w:t>, 30 FCC Rcd</w:t>
      </w:r>
      <w:r w:rsidR="007C3B26" w:rsidRPr="00566970">
        <w:t xml:space="preserve"> at 5101</w:t>
      </w:r>
      <w:r w:rsidRPr="00566970">
        <w:t>, para. 19.</w:t>
      </w:r>
    </w:p>
  </w:footnote>
  <w:footnote w:id="12">
    <w:p w14:paraId="469343B4" w14:textId="77777777" w:rsidR="00103ED7" w:rsidRDefault="00103ED7">
      <w:pPr>
        <w:pStyle w:val="FootnoteText"/>
      </w:pPr>
      <w:r>
        <w:rPr>
          <w:rStyle w:val="FootnoteReference"/>
        </w:rPr>
        <w:footnoteRef/>
      </w:r>
      <w:r>
        <w:t xml:space="preserve"> Petition at 6 (internal quotation marks omitted). </w:t>
      </w:r>
    </w:p>
  </w:footnote>
  <w:footnote w:id="13">
    <w:p w14:paraId="1A99249D" w14:textId="77777777" w:rsidR="00EF627F" w:rsidRDefault="00EF627F">
      <w:pPr>
        <w:pStyle w:val="FootnoteText"/>
      </w:pPr>
      <w:r>
        <w:rPr>
          <w:rStyle w:val="FootnoteReference"/>
        </w:rPr>
        <w:footnoteRef/>
      </w:r>
      <w:r>
        <w:t xml:space="preserve"> 47 U.S.C. § 310(b)(4).</w:t>
      </w:r>
    </w:p>
  </w:footnote>
  <w:footnote w:id="14">
    <w:p w14:paraId="0DA19489" w14:textId="62930ACD" w:rsidR="00900FED" w:rsidRPr="00EF0AC2" w:rsidRDefault="00900FED" w:rsidP="00900FED">
      <w:pPr>
        <w:pStyle w:val="FootnoteText"/>
      </w:pPr>
      <w:r w:rsidRPr="00EF0AC2">
        <w:rPr>
          <w:rStyle w:val="FootnoteReference"/>
        </w:rPr>
        <w:footnoteRef/>
      </w:r>
      <w:r w:rsidRPr="00EF0AC2">
        <w:t xml:space="preserve"> </w:t>
      </w:r>
      <w:r>
        <w:rPr>
          <w:i/>
        </w:rPr>
        <w:t>Broadcast Clarification Ruling</w:t>
      </w:r>
      <w:r>
        <w:t>, 28 FCC Rcd at 16249</w:t>
      </w:r>
    </w:p>
  </w:footnote>
  <w:footnote w:id="15">
    <w:p w14:paraId="001E54CF" w14:textId="3D0BE7A3" w:rsidR="00EF627F" w:rsidRPr="00DD6C39" w:rsidRDefault="00EF627F" w:rsidP="00277F5F">
      <w:pPr>
        <w:pStyle w:val="FootnoteText"/>
      </w:pPr>
      <w:r>
        <w:rPr>
          <w:rStyle w:val="FootnoteReference"/>
        </w:rPr>
        <w:footnoteRef/>
      </w:r>
      <w:r>
        <w:rPr>
          <w:i/>
        </w:rPr>
        <w:t xml:space="preserve"> </w:t>
      </w:r>
      <w:r w:rsidR="00900FED">
        <w:rPr>
          <w:i/>
        </w:rPr>
        <w:t>Id.</w:t>
      </w:r>
      <w:r w:rsidR="000C65CD">
        <w:rPr>
          <w:i/>
        </w:rPr>
        <w:t xml:space="preserve"> </w:t>
      </w:r>
      <w:r>
        <w:t>(“Congress’ directive is that 25 percent alien ownership is the point at which the Commission must act and exercise its discretion in making a public interest determination on proposed ownership arrangements that would exceed this level.”).</w:t>
      </w:r>
    </w:p>
  </w:footnote>
  <w:footnote w:id="16">
    <w:p w14:paraId="26A83E66" w14:textId="77777777" w:rsidR="00EF627F" w:rsidRPr="001C327C" w:rsidRDefault="00EF627F">
      <w:pPr>
        <w:pStyle w:val="FootnoteText"/>
      </w:pPr>
      <w:r>
        <w:rPr>
          <w:rStyle w:val="FootnoteReference"/>
        </w:rPr>
        <w:footnoteRef/>
      </w:r>
      <w:r>
        <w:t xml:space="preserve"> </w:t>
      </w:r>
      <w:r w:rsidR="004D1CD4">
        <w:rPr>
          <w:i/>
        </w:rPr>
        <w:t>Id</w:t>
      </w:r>
      <w:r w:rsidR="004D1CD4">
        <w:t>.</w:t>
      </w:r>
      <w:r>
        <w:t xml:space="preserve"> at 16251.</w:t>
      </w:r>
    </w:p>
  </w:footnote>
  <w:footnote w:id="17">
    <w:p w14:paraId="72EC192B" w14:textId="13995D45" w:rsidR="00762C6A" w:rsidRPr="005460ED" w:rsidRDefault="00762C6A" w:rsidP="00762C6A">
      <w:pPr>
        <w:pStyle w:val="FootnoteText"/>
      </w:pPr>
      <w:r>
        <w:rPr>
          <w:rStyle w:val="FootnoteReference"/>
        </w:rPr>
        <w:footnoteRef/>
      </w:r>
      <w:r>
        <w:t xml:space="preserve"> </w:t>
      </w:r>
      <w:r>
        <w:rPr>
          <w:i/>
        </w:rPr>
        <w:t>Review of Foreign Ownership Policies for Broadcast, Common Carrier and Aeronautical Radio Licensees under Section 310(b)(4) of the Communications Act of 1934, as Amended,</w:t>
      </w:r>
      <w:r>
        <w:t xml:space="preserve"> Report and Order, 31 FCC Rcd 11272 (2016) (</w:t>
      </w:r>
      <w:r>
        <w:rPr>
          <w:i/>
        </w:rPr>
        <w:t>2016 Foreign Ownership Order</w:t>
      </w:r>
      <w:r>
        <w:t>).</w:t>
      </w:r>
      <w:r w:rsidR="00780B73">
        <w:t xml:space="preserve">  A summary of t</w:t>
      </w:r>
      <w:r>
        <w:t xml:space="preserve">he </w:t>
      </w:r>
      <w:r>
        <w:rPr>
          <w:i/>
        </w:rPr>
        <w:t xml:space="preserve">2016 Foreign Ownership Order </w:t>
      </w:r>
      <w:r>
        <w:t xml:space="preserve">was published in the Federal Register on December 1, 2016.  </w:t>
      </w:r>
      <w:r>
        <w:rPr>
          <w:i/>
        </w:rPr>
        <w:t xml:space="preserve">Review of Foreign Ownership for Broadcast, Common Carrier and Aeronautical Radio Licensees, </w:t>
      </w:r>
      <w:r>
        <w:t>81 Fed.  Reg. 86568 (Dec. 1, 2016).  The order became effective on January 30, 2017, except for those sections requiring</w:t>
      </w:r>
      <w:r w:rsidR="00780B73" w:rsidRPr="00780B73">
        <w:t xml:space="preserve"> </w:t>
      </w:r>
      <w:r w:rsidR="00780B73">
        <w:t>approval by the Office of Management and Budget (OMB) under the Paperwork Reduction Act (PRA)</w:t>
      </w:r>
      <w:r w:rsidR="00B236B2">
        <w:t>.</w:t>
      </w:r>
      <w:r>
        <w:t xml:space="preserve">  </w:t>
      </w:r>
      <w:r w:rsidRPr="00B236B2">
        <w:t>All of the revised rules appearing in Appendix B of the order were submitted to OMB for approval, and notice of that submission</w:t>
      </w:r>
      <w:r w:rsidRPr="00FD40F8">
        <w:t xml:space="preserve"> was</w:t>
      </w:r>
      <w:r>
        <w:t xml:space="preserve"> published on December 29, 2016. 81 Fed. Reg. 95993 (Dec. 29, 2016) (establishing a due date</w:t>
      </w:r>
      <w:r w:rsidRPr="00843089">
        <w:t xml:space="preserve"> </w:t>
      </w:r>
      <w:r>
        <w:t>of February 27, 2017 for PRA comments).</w:t>
      </w:r>
      <w:r w:rsidR="00780B73">
        <w:t xml:space="preserve">  They will become effective after the Commission publishes a notice in the Federal Register announcing such approval and the relevant effective date.</w:t>
      </w:r>
    </w:p>
  </w:footnote>
  <w:footnote w:id="18">
    <w:p w14:paraId="7377AECF" w14:textId="77777777" w:rsidR="00690E20" w:rsidRDefault="00690E20" w:rsidP="00690E20">
      <w:pPr>
        <w:pStyle w:val="FootnoteText"/>
      </w:pPr>
      <w:r>
        <w:rPr>
          <w:rStyle w:val="FootnoteReference"/>
        </w:rPr>
        <w:footnoteRef/>
      </w:r>
      <w:r>
        <w:t xml:space="preserve"> 47 U.S.C. § 310(b)(3)</w:t>
      </w:r>
      <w:r w:rsidR="00A01376">
        <w:t xml:space="preserve"> </w:t>
      </w:r>
      <w:r>
        <w:t>(</w:t>
      </w:r>
      <w:r w:rsidR="00A01376">
        <w:t>p</w:t>
      </w:r>
      <w:r>
        <w:t>rohibiting grant of a</w:t>
      </w:r>
      <w:r w:rsidRPr="000B63E1">
        <w:rPr>
          <w:sz w:val="22"/>
          <w:szCs w:val="22"/>
        </w:rPr>
        <w:t xml:space="preserve"> </w:t>
      </w:r>
      <w:r w:rsidRPr="000B63E1">
        <w:t xml:space="preserve">broadcast, common carrier, aeronautical en route and aeronautical fixed radio license to </w:t>
      </w:r>
      <w:r>
        <w:t>“[A]ny corporation of which more than one-fifth of the capital stock is owned of record or voted by aliens or their representatives or by a foreign government or representative thereof or by any corporation organized under th</w:t>
      </w:r>
      <w:r w:rsidR="00A732A2">
        <w:t>e laws of a foreign country…”).</w:t>
      </w:r>
    </w:p>
  </w:footnote>
  <w:footnote w:id="19">
    <w:p w14:paraId="517A3781" w14:textId="77777777" w:rsidR="00690E20" w:rsidRPr="00084CD3" w:rsidRDefault="00690E20" w:rsidP="00690E20">
      <w:pPr>
        <w:pStyle w:val="FootnoteText"/>
      </w:pPr>
      <w:r>
        <w:rPr>
          <w:rStyle w:val="FootnoteReference"/>
        </w:rPr>
        <w:footnoteRef/>
      </w:r>
      <w:r>
        <w:t xml:space="preserve"> </w:t>
      </w:r>
      <w:r>
        <w:rPr>
          <w:i/>
        </w:rPr>
        <w:t xml:space="preserve">2016 Foreign Ownership Order, </w:t>
      </w:r>
      <w:r w:rsidR="00692E06">
        <w:t xml:space="preserve">31 FCC Rcd </w:t>
      </w:r>
      <w:r>
        <w:t xml:space="preserve">at </w:t>
      </w:r>
      <w:r w:rsidR="00692E06">
        <w:t xml:space="preserve">11289-11307, </w:t>
      </w:r>
      <w:r>
        <w:t>paras. 35-72.</w:t>
      </w:r>
    </w:p>
  </w:footnote>
  <w:footnote w:id="20">
    <w:p w14:paraId="7B36994C" w14:textId="77777777" w:rsidR="00D12483" w:rsidRPr="00C17B4D" w:rsidRDefault="00D12483" w:rsidP="00D12483">
      <w:pPr>
        <w:pStyle w:val="FootnoteText"/>
      </w:pPr>
      <w:r>
        <w:rPr>
          <w:rStyle w:val="FootnoteReference"/>
        </w:rPr>
        <w:footnoteRef/>
      </w:r>
      <w:r>
        <w:t xml:space="preserve"> </w:t>
      </w:r>
      <w:r>
        <w:rPr>
          <w:i/>
        </w:rPr>
        <w:t>2013 Broadcast Clarification</w:t>
      </w:r>
      <w:r w:rsidRPr="00AC1EE7">
        <w:rPr>
          <w:i/>
        </w:rPr>
        <w:t xml:space="preserve"> Ruling</w:t>
      </w:r>
      <w:r>
        <w:rPr>
          <w:i/>
        </w:rPr>
        <w:t xml:space="preserve">, </w:t>
      </w:r>
      <w:r>
        <w:t>28 FCC Rcd at 16252.</w:t>
      </w:r>
    </w:p>
  </w:footnote>
  <w:footnote w:id="21">
    <w:p w14:paraId="78A3FBF5" w14:textId="77777777" w:rsidR="00690E20" w:rsidRPr="00113FAF" w:rsidRDefault="00690E20" w:rsidP="00690E20">
      <w:pPr>
        <w:pStyle w:val="FootnoteText"/>
      </w:pPr>
      <w:r>
        <w:rPr>
          <w:rStyle w:val="FootnoteReference"/>
        </w:rPr>
        <w:footnoteRef/>
      </w:r>
      <w:r>
        <w:t xml:space="preserve"> </w:t>
      </w:r>
      <w:r>
        <w:rPr>
          <w:i/>
        </w:rPr>
        <w:t xml:space="preserve">Pandora Declaratory Ruling, </w:t>
      </w:r>
      <w:r>
        <w:t xml:space="preserve">30 FCC Rcd at 5101-5103.  </w:t>
      </w:r>
    </w:p>
  </w:footnote>
  <w:footnote w:id="22">
    <w:p w14:paraId="4605CFE1" w14:textId="56DD8D22" w:rsidR="00755F76" w:rsidRPr="003D75C8" w:rsidRDefault="00755F76" w:rsidP="00755F76">
      <w:pPr>
        <w:pStyle w:val="FootnoteText"/>
      </w:pPr>
      <w:r>
        <w:rPr>
          <w:rStyle w:val="FootnoteReference"/>
        </w:rPr>
        <w:footnoteRef/>
      </w:r>
      <w:r>
        <w:t xml:space="preserve"> </w:t>
      </w:r>
      <w:r w:rsidR="002777C1">
        <w:rPr>
          <w:i/>
        </w:rPr>
        <w:t>Id</w:t>
      </w:r>
      <w:r w:rsidR="002777C1">
        <w:t>.</w:t>
      </w:r>
      <w:r>
        <w:t xml:space="preserve"> at 5101, para. 19.</w:t>
      </w:r>
    </w:p>
  </w:footnote>
  <w:footnote w:id="23">
    <w:p w14:paraId="670FA4A3" w14:textId="3FA84DF8" w:rsidR="00F605FB" w:rsidRPr="00F605FB" w:rsidRDefault="00F605FB">
      <w:pPr>
        <w:pStyle w:val="FootnoteText"/>
      </w:pPr>
      <w:r>
        <w:rPr>
          <w:rStyle w:val="FootnoteReference"/>
        </w:rPr>
        <w:footnoteRef/>
      </w:r>
      <w:r>
        <w:t xml:space="preserve"> </w:t>
      </w:r>
      <w:r>
        <w:rPr>
          <w:i/>
        </w:rPr>
        <w:t>2016 Foreign Ownership Order</w:t>
      </w:r>
      <w:r>
        <w:t xml:space="preserve">, 31 FCC Rcd at </w:t>
      </w:r>
      <w:r w:rsidRPr="00F605FB">
        <w:t>11283</w:t>
      </w:r>
      <w:r>
        <w:t>-84</w:t>
      </w:r>
      <w:r w:rsidRPr="00F605FB">
        <w:t>, para</w:t>
      </w:r>
      <w:r>
        <w:t>s</w:t>
      </w:r>
      <w:r w:rsidRPr="00F605FB">
        <w:t>. 16</w:t>
      </w:r>
      <w:r>
        <w:t>, 22.</w:t>
      </w:r>
      <w:r w:rsidRPr="00F605FB">
        <w:rPr>
          <w:color w:val="002060"/>
        </w:rPr>
        <w:t xml:space="preserve">  </w:t>
      </w:r>
    </w:p>
  </w:footnote>
  <w:footnote w:id="24">
    <w:p w14:paraId="6804B78A" w14:textId="2AE9C802" w:rsidR="00904F60" w:rsidRPr="00904F60" w:rsidRDefault="00904F60">
      <w:pPr>
        <w:pStyle w:val="FootnoteText"/>
      </w:pPr>
      <w:r>
        <w:rPr>
          <w:rStyle w:val="FootnoteReference"/>
        </w:rPr>
        <w:footnoteRef/>
      </w:r>
      <w:r>
        <w:t xml:space="preserve"> </w:t>
      </w:r>
      <w:r>
        <w:rPr>
          <w:i/>
        </w:rPr>
        <w:t xml:space="preserve">See </w:t>
      </w:r>
      <w:r w:rsidRPr="003260BE">
        <w:t xml:space="preserve">Letter from </w:t>
      </w:r>
      <w:r>
        <w:t>Mark D. Schneider, Counsel for Pandora Media, Inc. and Pandora Radio LLC</w:t>
      </w:r>
      <w:r w:rsidRPr="003260BE">
        <w:t xml:space="preserve">, to </w:t>
      </w:r>
      <w:r>
        <w:t>Marlene H. Dortch, Secretary, FCC</w:t>
      </w:r>
      <w:r w:rsidRPr="003260BE">
        <w:t xml:space="preserve"> (</w:t>
      </w:r>
      <w:r>
        <w:t>Sept. 1, 2016</w:t>
      </w:r>
      <w:r w:rsidRPr="003260BE">
        <w:t>)</w:t>
      </w:r>
      <w:r w:rsidR="00DB590E">
        <w:t xml:space="preserve"> </w:t>
      </w:r>
      <w:r w:rsidR="00DB590E" w:rsidRPr="003260BE">
        <w:t xml:space="preserve">(on file in </w:t>
      </w:r>
      <w:r w:rsidR="00DB590E">
        <w:t>MB Docket No. 16-253</w:t>
      </w:r>
      <w:r w:rsidR="00DB590E" w:rsidRPr="003260BE">
        <w:t>)</w:t>
      </w:r>
      <w:r>
        <w:t xml:space="preserve"> (providing copies of amendments to Pandora Media’s organizational docu</w:t>
      </w:r>
      <w:r w:rsidR="00755F76">
        <w:t>ments and confirming Pandora’s enrollment</w:t>
      </w:r>
      <w:r>
        <w:t xml:space="preserve"> in the Depository Trust Corporation’s SEG-100 program). </w:t>
      </w:r>
    </w:p>
  </w:footnote>
  <w:footnote w:id="25">
    <w:p w14:paraId="180209F1" w14:textId="12DDB369" w:rsidR="009C09C4" w:rsidRPr="00A32781" w:rsidRDefault="009C09C4" w:rsidP="009C09C4">
      <w:pPr>
        <w:pStyle w:val="FootnoteText"/>
      </w:pPr>
      <w:r>
        <w:rPr>
          <w:rStyle w:val="FootnoteReference"/>
        </w:rPr>
        <w:footnoteRef/>
      </w:r>
      <w:r>
        <w:t xml:space="preserve"> </w:t>
      </w:r>
      <w:r>
        <w:rPr>
          <w:i/>
        </w:rPr>
        <w:t>2013 Broadcast Clarification Ruling</w:t>
      </w:r>
      <w:r w:rsidR="002777C1">
        <w:t>,</w:t>
      </w:r>
      <w:r w:rsidR="002777C1" w:rsidRPr="002777C1">
        <w:t xml:space="preserve"> </w:t>
      </w:r>
      <w:r w:rsidR="002777C1">
        <w:t>28 FCC Fcd</w:t>
      </w:r>
      <w:r>
        <w:rPr>
          <w:i/>
        </w:rPr>
        <w:t xml:space="preserve"> </w:t>
      </w:r>
      <w:r>
        <w:t xml:space="preserve">at 16249; </w:t>
      </w:r>
      <w:r>
        <w:rPr>
          <w:i/>
        </w:rPr>
        <w:t xml:space="preserve">2016 Foreign Ownership Order </w:t>
      </w:r>
      <w:r>
        <w:t xml:space="preserve">at para. 2.  </w:t>
      </w:r>
    </w:p>
  </w:footnote>
  <w:footnote w:id="26">
    <w:p w14:paraId="2144301B" w14:textId="7B999183" w:rsidR="009C09C4" w:rsidRDefault="009C09C4" w:rsidP="009C09C4">
      <w:pPr>
        <w:pStyle w:val="FootnoteText"/>
      </w:pPr>
      <w:r>
        <w:rPr>
          <w:rStyle w:val="FootnoteReference"/>
        </w:rPr>
        <w:footnoteRef/>
      </w:r>
      <w:r>
        <w:t xml:space="preserve"> </w:t>
      </w:r>
      <w:r w:rsidR="002777C1">
        <w:rPr>
          <w:i/>
        </w:rPr>
        <w:t>Id</w:t>
      </w:r>
      <w:r w:rsidR="002777C1">
        <w:t>.</w:t>
      </w:r>
      <w:r>
        <w:t xml:space="preserve"> at 16251; </w:t>
      </w:r>
      <w:r>
        <w:rPr>
          <w:i/>
        </w:rPr>
        <w:t xml:space="preserve">2016 Foreign Ownership Order </w:t>
      </w:r>
      <w:r>
        <w:t xml:space="preserve">at para. 2.  </w:t>
      </w:r>
    </w:p>
  </w:footnote>
  <w:footnote w:id="27">
    <w:p w14:paraId="4FF62F35" w14:textId="77777777" w:rsidR="0032496A" w:rsidRDefault="0032496A" w:rsidP="0032496A">
      <w:pPr>
        <w:pStyle w:val="FootnoteText"/>
      </w:pPr>
      <w:r>
        <w:rPr>
          <w:rStyle w:val="FootnoteReference"/>
        </w:rPr>
        <w:footnoteRef/>
      </w:r>
      <w:r>
        <w:t xml:space="preserve"> </w:t>
      </w:r>
      <w:r>
        <w:rPr>
          <w:i/>
        </w:rPr>
        <w:t xml:space="preserve">See </w:t>
      </w:r>
      <w:r w:rsidRPr="003260BE">
        <w:t xml:space="preserve">Letter from </w:t>
      </w:r>
      <w:r>
        <w:t>Bermel R. Paz,</w:t>
      </w:r>
      <w:r w:rsidRPr="003260BE">
        <w:t xml:space="preserve"> </w:t>
      </w:r>
      <w:r w:rsidRPr="00837D80">
        <w:t>National Security Division, U.S. Department of Justice</w:t>
      </w:r>
      <w:r w:rsidRPr="003260BE">
        <w:t xml:space="preserve">, to </w:t>
      </w:r>
      <w:r>
        <w:t>Marlene H. Dortch, Secretary, FCC</w:t>
      </w:r>
      <w:r w:rsidRPr="003260BE">
        <w:t xml:space="preserve"> (</w:t>
      </w:r>
      <w:r>
        <w:t>Dec. 12, 2016</w:t>
      </w:r>
      <w:r w:rsidRPr="003260BE">
        <w:t xml:space="preserve">) (on file in </w:t>
      </w:r>
      <w:r>
        <w:t>MB Docket No. 16-253</w:t>
      </w:r>
      <w:r w:rsidRPr="003260BE">
        <w:t>)</w:t>
      </w:r>
      <w:r>
        <w:t>.</w:t>
      </w:r>
    </w:p>
  </w:footnote>
  <w:footnote w:id="28">
    <w:p w14:paraId="327DF552" w14:textId="77777777" w:rsidR="004A1A70" w:rsidRDefault="004A1A70" w:rsidP="004A1A70">
      <w:pPr>
        <w:pStyle w:val="FootnoteText"/>
      </w:pPr>
      <w:r>
        <w:rPr>
          <w:rStyle w:val="FootnoteReference"/>
        </w:rPr>
        <w:footnoteRef/>
      </w:r>
      <w:r>
        <w:t xml:space="preserve"> </w:t>
      </w:r>
      <w:r>
        <w:rPr>
          <w:i/>
        </w:rPr>
        <w:t xml:space="preserve">See Pandora Declaratory Ruling, </w:t>
      </w:r>
      <w:r>
        <w:t>30 FCC Rcd at 5101</w:t>
      </w:r>
      <w:r w:rsidR="006B2A8E">
        <w:t>, para. 19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4F8D6" w14:textId="77777777" w:rsidR="00323A13" w:rsidRDefault="00323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B2D3" w14:textId="044727AE" w:rsidR="00EF627F" w:rsidRDefault="00EF627F" w:rsidP="00810B6F">
    <w:pPr>
      <w:pStyle w:val="Header"/>
      <w:rPr>
        <w:b w:val="0"/>
      </w:rPr>
    </w:pPr>
    <w:r>
      <w:tab/>
      <w:t>Federal Communications Commission</w:t>
    </w:r>
    <w:r>
      <w:tab/>
    </w:r>
    <w:r w:rsidR="006802A4">
      <w:rPr>
        <w:spacing w:val="-2"/>
      </w:rPr>
      <w:t xml:space="preserve">DA </w:t>
    </w:r>
    <w:r w:rsidR="006802A4" w:rsidRPr="006802A4">
      <w:rPr>
        <w:spacing w:val="-2"/>
      </w:rPr>
      <w:t>17-166</w:t>
    </w:r>
  </w:p>
  <w:p w14:paraId="5C4B232B" w14:textId="77777777" w:rsidR="00EF627F" w:rsidRDefault="00EF627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B88F6C8" wp14:editId="2070051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7A014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9910349" w14:textId="77777777" w:rsidR="00EF627F" w:rsidRDefault="00EF627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4C069" w14:textId="63268E3C" w:rsidR="00EF627F" w:rsidRDefault="00EF627F"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0480F4B1" wp14:editId="6237E4E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FD21F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6802A4">
      <w:rPr>
        <w:spacing w:val="-2"/>
      </w:rPr>
      <w:t xml:space="preserve">DA </w:t>
    </w:r>
    <w:r w:rsidR="006802A4" w:rsidRPr="006802A4">
      <w:rPr>
        <w:spacing w:val="-2"/>
      </w:rPr>
      <w:t>17-166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3E665D0"/>
    <w:lvl w:ilvl="0">
      <w:start w:val="1"/>
      <w:numFmt w:val="decimal"/>
      <w:lvlText w:val="%1."/>
      <w:lvlJc w:val="left"/>
      <w:pPr>
        <w:tabs>
          <w:tab w:val="num" w:pos="0"/>
        </w:tabs>
        <w:ind w:left="0" w:firstLine="720"/>
      </w:pPr>
      <w:rPr>
        <w:rFonts w:ascii="Times New Roman" w:hAnsi="Times New Roman" w:cs="Times New Roman"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60394F"/>
    <w:multiLevelType w:val="hybridMultilevel"/>
    <w:tmpl w:val="B7780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2B400B"/>
    <w:multiLevelType w:val="hybridMultilevel"/>
    <w:tmpl w:val="5CB60738"/>
    <w:lvl w:ilvl="0" w:tplc="31C4758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2300650E"/>
    <w:multiLevelType w:val="hybridMultilevel"/>
    <w:tmpl w:val="093C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4F86978"/>
    <w:multiLevelType w:val="hybridMultilevel"/>
    <w:tmpl w:val="31C6F38C"/>
    <w:lvl w:ilvl="0" w:tplc="A16AF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03D45B4"/>
    <w:multiLevelType w:val="hybridMultilevel"/>
    <w:tmpl w:val="9D484430"/>
    <w:lvl w:ilvl="0" w:tplc="07C8F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C0BA8"/>
    <w:multiLevelType w:val="hybridMultilevel"/>
    <w:tmpl w:val="D944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D34EB8"/>
    <w:multiLevelType w:val="hybridMultilevel"/>
    <w:tmpl w:val="905C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E6247B8"/>
    <w:multiLevelType w:val="hybridMultilevel"/>
    <w:tmpl w:val="BB08B6A6"/>
    <w:lvl w:ilvl="0" w:tplc="E2E28D9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97406A2"/>
    <w:multiLevelType w:val="hybridMultilevel"/>
    <w:tmpl w:val="B964DA4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5">
    <w:nsid w:val="5FE80508"/>
    <w:multiLevelType w:val="hybridMultilevel"/>
    <w:tmpl w:val="6B88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182925"/>
    <w:multiLevelType w:val="singleLevel"/>
    <w:tmpl w:val="FA1C90BC"/>
    <w:lvl w:ilvl="0">
      <w:start w:val="1"/>
      <w:numFmt w:val="decimal"/>
      <w:pStyle w:val="ParaNum"/>
      <w:lvlText w:val="%1."/>
      <w:lvlJc w:val="left"/>
      <w:pPr>
        <w:tabs>
          <w:tab w:val="num" w:pos="1170"/>
        </w:tabs>
        <w:ind w:left="90" w:firstLine="720"/>
      </w:pPr>
      <w:rPr>
        <w:i w:val="0"/>
      </w:rPr>
    </w:lvl>
  </w:abstractNum>
  <w:abstractNum w:abstractNumId="17">
    <w:nsid w:val="65A95038"/>
    <w:multiLevelType w:val="hybridMultilevel"/>
    <w:tmpl w:val="8A5EB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191772"/>
    <w:multiLevelType w:val="hybridMultilevel"/>
    <w:tmpl w:val="C324DC0C"/>
    <w:lvl w:ilvl="0" w:tplc="8D1838F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75016D31"/>
    <w:multiLevelType w:val="hybridMultilevel"/>
    <w:tmpl w:val="95542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393619"/>
    <w:multiLevelType w:val="hybridMultilevel"/>
    <w:tmpl w:val="5A5A9A22"/>
    <w:lvl w:ilvl="0" w:tplc="67A8373C">
      <w:start w:val="1"/>
      <w:numFmt w:val="upp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16"/>
  </w:num>
  <w:num w:numId="3">
    <w:abstractNumId w:val="8"/>
  </w:num>
  <w:num w:numId="4">
    <w:abstractNumId w:val="12"/>
  </w:num>
  <w:num w:numId="5">
    <w:abstractNumId w:val="6"/>
  </w:num>
  <w:num w:numId="6">
    <w:abstractNumId w:val="1"/>
  </w:num>
  <w:num w:numId="7">
    <w:abstractNumId w:val="15"/>
  </w:num>
  <w:num w:numId="8">
    <w:abstractNumId w:val="9"/>
  </w:num>
  <w:num w:numId="9">
    <w:abstractNumId w:val="7"/>
  </w:num>
  <w:num w:numId="10">
    <w:abstractNumId w:val="16"/>
    <w:lvlOverride w:ilvl="0">
      <w:startOverride w:val="1"/>
    </w:lvlOverride>
  </w:num>
  <w:num w:numId="11">
    <w:abstractNumId w:val="16"/>
  </w:num>
  <w:num w:numId="12">
    <w:abstractNumId w:val="8"/>
    <w:lvlOverride w:ilvl="0">
      <w:startOverride w:val="1"/>
    </w:lvlOverride>
    <w:lvlOverride w:ilvl="1">
      <w:startOverride w:val="1"/>
    </w:lvlOverride>
    <w:lvlOverride w:ilvl="2">
      <w:startOverride w:val="4"/>
    </w:lvlOverride>
  </w:num>
  <w:num w:numId="13">
    <w:abstractNumId w:val="1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4"/>
  </w:num>
  <w:num w:numId="20">
    <w:abstractNumId w:val="20"/>
  </w:num>
  <w:num w:numId="21">
    <w:abstractNumId w:val="14"/>
  </w:num>
  <w:num w:numId="22">
    <w:abstractNumId w:val="16"/>
  </w:num>
  <w:num w:numId="23">
    <w:abstractNumId w:val="1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num>
  <w:num w:numId="26">
    <w:abstractNumId w:val="16"/>
    <w:lvlOverride w:ilvl="0">
      <w:startOverride w:val="1"/>
    </w:lvlOverride>
  </w:num>
  <w:num w:numId="27">
    <w:abstractNumId w:val="16"/>
  </w:num>
  <w:num w:numId="28">
    <w:abstractNumId w:val="16"/>
  </w:num>
  <w:num w:numId="29">
    <w:abstractNumId w:val="16"/>
  </w:num>
  <w:num w:numId="30">
    <w:abstractNumId w:val="16"/>
  </w:num>
  <w:num w:numId="31">
    <w:abstractNumId w:val="0"/>
  </w:num>
  <w:num w:numId="32">
    <w:abstractNumId w:val="16"/>
  </w:num>
  <w:num w:numId="33">
    <w:abstractNumId w:val="17"/>
  </w:num>
  <w:num w:numId="34">
    <w:abstractNumId w:val="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18"/>
    <w:rsid w:val="000006F6"/>
    <w:rsid w:val="00006256"/>
    <w:rsid w:val="0002661D"/>
    <w:rsid w:val="00036039"/>
    <w:rsid w:val="00037F90"/>
    <w:rsid w:val="0004032A"/>
    <w:rsid w:val="00052A0A"/>
    <w:rsid w:val="00054EA3"/>
    <w:rsid w:val="00054F60"/>
    <w:rsid w:val="00062004"/>
    <w:rsid w:val="00062DD9"/>
    <w:rsid w:val="00072471"/>
    <w:rsid w:val="00076BA0"/>
    <w:rsid w:val="00080796"/>
    <w:rsid w:val="00082182"/>
    <w:rsid w:val="00084839"/>
    <w:rsid w:val="000875BF"/>
    <w:rsid w:val="00096D8C"/>
    <w:rsid w:val="000A562F"/>
    <w:rsid w:val="000B35BB"/>
    <w:rsid w:val="000C04B9"/>
    <w:rsid w:val="000C0B65"/>
    <w:rsid w:val="000C65CD"/>
    <w:rsid w:val="000D0BD4"/>
    <w:rsid w:val="000D25E1"/>
    <w:rsid w:val="000E05FE"/>
    <w:rsid w:val="000E2400"/>
    <w:rsid w:val="000E31FC"/>
    <w:rsid w:val="000E3D42"/>
    <w:rsid w:val="000E4F60"/>
    <w:rsid w:val="000F2BB8"/>
    <w:rsid w:val="000F317B"/>
    <w:rsid w:val="00103ED7"/>
    <w:rsid w:val="001044E9"/>
    <w:rsid w:val="00110699"/>
    <w:rsid w:val="00110DE2"/>
    <w:rsid w:val="001126D4"/>
    <w:rsid w:val="001168D0"/>
    <w:rsid w:val="00122BD5"/>
    <w:rsid w:val="00132F1F"/>
    <w:rsid w:val="00133F79"/>
    <w:rsid w:val="00153C8D"/>
    <w:rsid w:val="00153DCE"/>
    <w:rsid w:val="00155D71"/>
    <w:rsid w:val="00162930"/>
    <w:rsid w:val="001641E6"/>
    <w:rsid w:val="00166710"/>
    <w:rsid w:val="00172A1A"/>
    <w:rsid w:val="00173AD6"/>
    <w:rsid w:val="00181218"/>
    <w:rsid w:val="00182124"/>
    <w:rsid w:val="00184A96"/>
    <w:rsid w:val="00186391"/>
    <w:rsid w:val="00187CAB"/>
    <w:rsid w:val="00194A66"/>
    <w:rsid w:val="00194E16"/>
    <w:rsid w:val="00196639"/>
    <w:rsid w:val="001C1053"/>
    <w:rsid w:val="001C327C"/>
    <w:rsid w:val="001C45E1"/>
    <w:rsid w:val="001D614A"/>
    <w:rsid w:val="001D6BCF"/>
    <w:rsid w:val="001E01CA"/>
    <w:rsid w:val="001E17A9"/>
    <w:rsid w:val="001E17F1"/>
    <w:rsid w:val="001E3E27"/>
    <w:rsid w:val="001E4B69"/>
    <w:rsid w:val="001E6374"/>
    <w:rsid w:val="001F02D2"/>
    <w:rsid w:val="00212F11"/>
    <w:rsid w:val="00215C67"/>
    <w:rsid w:val="00216CD0"/>
    <w:rsid w:val="00233F52"/>
    <w:rsid w:val="00251E84"/>
    <w:rsid w:val="00254A5B"/>
    <w:rsid w:val="00262A1B"/>
    <w:rsid w:val="00267836"/>
    <w:rsid w:val="00271CE7"/>
    <w:rsid w:val="00275CF5"/>
    <w:rsid w:val="00276498"/>
    <w:rsid w:val="002764AF"/>
    <w:rsid w:val="002777C1"/>
    <w:rsid w:val="00277F5F"/>
    <w:rsid w:val="00280F1F"/>
    <w:rsid w:val="0028301F"/>
    <w:rsid w:val="00285017"/>
    <w:rsid w:val="00287938"/>
    <w:rsid w:val="00292AA8"/>
    <w:rsid w:val="0029529B"/>
    <w:rsid w:val="002A2D2E"/>
    <w:rsid w:val="002A2DA8"/>
    <w:rsid w:val="002C00E8"/>
    <w:rsid w:val="002C0ACB"/>
    <w:rsid w:val="002C0D7F"/>
    <w:rsid w:val="002D3988"/>
    <w:rsid w:val="002E0C8F"/>
    <w:rsid w:val="002E4ABB"/>
    <w:rsid w:val="002E6507"/>
    <w:rsid w:val="002F3CD9"/>
    <w:rsid w:val="003018EF"/>
    <w:rsid w:val="003051C4"/>
    <w:rsid w:val="00320F1C"/>
    <w:rsid w:val="0032101C"/>
    <w:rsid w:val="00321D19"/>
    <w:rsid w:val="00323A13"/>
    <w:rsid w:val="0032496A"/>
    <w:rsid w:val="003260BE"/>
    <w:rsid w:val="00331CD5"/>
    <w:rsid w:val="00332544"/>
    <w:rsid w:val="00335195"/>
    <w:rsid w:val="00343749"/>
    <w:rsid w:val="003453B2"/>
    <w:rsid w:val="003525EE"/>
    <w:rsid w:val="003600AD"/>
    <w:rsid w:val="003632D5"/>
    <w:rsid w:val="00363FF0"/>
    <w:rsid w:val="00365546"/>
    <w:rsid w:val="003660ED"/>
    <w:rsid w:val="00381002"/>
    <w:rsid w:val="00386B38"/>
    <w:rsid w:val="00387390"/>
    <w:rsid w:val="00387AF6"/>
    <w:rsid w:val="00392401"/>
    <w:rsid w:val="003B0550"/>
    <w:rsid w:val="003B1742"/>
    <w:rsid w:val="003B1D93"/>
    <w:rsid w:val="003B451D"/>
    <w:rsid w:val="003B694F"/>
    <w:rsid w:val="003C40C7"/>
    <w:rsid w:val="003D2498"/>
    <w:rsid w:val="003D407B"/>
    <w:rsid w:val="003D6FCD"/>
    <w:rsid w:val="003D75C8"/>
    <w:rsid w:val="003E1621"/>
    <w:rsid w:val="003E4B60"/>
    <w:rsid w:val="003F042E"/>
    <w:rsid w:val="003F0801"/>
    <w:rsid w:val="003F171C"/>
    <w:rsid w:val="003F1D75"/>
    <w:rsid w:val="004109D3"/>
    <w:rsid w:val="00412FC5"/>
    <w:rsid w:val="004209F6"/>
    <w:rsid w:val="00422276"/>
    <w:rsid w:val="00422417"/>
    <w:rsid w:val="004242F1"/>
    <w:rsid w:val="00430354"/>
    <w:rsid w:val="00435601"/>
    <w:rsid w:val="00437FA4"/>
    <w:rsid w:val="00443355"/>
    <w:rsid w:val="004433C2"/>
    <w:rsid w:val="00445A00"/>
    <w:rsid w:val="0045021A"/>
    <w:rsid w:val="00451B0F"/>
    <w:rsid w:val="004537EB"/>
    <w:rsid w:val="00466568"/>
    <w:rsid w:val="00474A9C"/>
    <w:rsid w:val="00477286"/>
    <w:rsid w:val="004839F1"/>
    <w:rsid w:val="0048799F"/>
    <w:rsid w:val="004923EA"/>
    <w:rsid w:val="00494669"/>
    <w:rsid w:val="0049510F"/>
    <w:rsid w:val="004A1166"/>
    <w:rsid w:val="004A1A70"/>
    <w:rsid w:val="004A4870"/>
    <w:rsid w:val="004A51C5"/>
    <w:rsid w:val="004C2EE3"/>
    <w:rsid w:val="004C4E8B"/>
    <w:rsid w:val="004D014A"/>
    <w:rsid w:val="004D1CD4"/>
    <w:rsid w:val="004E4A22"/>
    <w:rsid w:val="004E63E0"/>
    <w:rsid w:val="004E647B"/>
    <w:rsid w:val="004E7C60"/>
    <w:rsid w:val="004F71DA"/>
    <w:rsid w:val="004F7492"/>
    <w:rsid w:val="00503BA6"/>
    <w:rsid w:val="00511968"/>
    <w:rsid w:val="00512735"/>
    <w:rsid w:val="005315EC"/>
    <w:rsid w:val="00531EBC"/>
    <w:rsid w:val="00536516"/>
    <w:rsid w:val="00542B30"/>
    <w:rsid w:val="005468C3"/>
    <w:rsid w:val="0055614C"/>
    <w:rsid w:val="00564485"/>
    <w:rsid w:val="0056680A"/>
    <w:rsid w:val="00566970"/>
    <w:rsid w:val="00580D22"/>
    <w:rsid w:val="00584677"/>
    <w:rsid w:val="00591D03"/>
    <w:rsid w:val="005929EF"/>
    <w:rsid w:val="00593A72"/>
    <w:rsid w:val="00596C7D"/>
    <w:rsid w:val="005A001E"/>
    <w:rsid w:val="005A47BF"/>
    <w:rsid w:val="005B7936"/>
    <w:rsid w:val="005D0AC4"/>
    <w:rsid w:val="005D2CB0"/>
    <w:rsid w:val="005E14C2"/>
    <w:rsid w:val="005E484D"/>
    <w:rsid w:val="005E59D3"/>
    <w:rsid w:val="005F7AC2"/>
    <w:rsid w:val="00601AD6"/>
    <w:rsid w:val="00606CA6"/>
    <w:rsid w:val="00607BA5"/>
    <w:rsid w:val="0061180A"/>
    <w:rsid w:val="0061238D"/>
    <w:rsid w:val="006156C3"/>
    <w:rsid w:val="006245B1"/>
    <w:rsid w:val="006245D9"/>
    <w:rsid w:val="00626EB6"/>
    <w:rsid w:val="0062718F"/>
    <w:rsid w:val="00640ABE"/>
    <w:rsid w:val="0064644E"/>
    <w:rsid w:val="006510CA"/>
    <w:rsid w:val="006541E8"/>
    <w:rsid w:val="00655D03"/>
    <w:rsid w:val="00656BDD"/>
    <w:rsid w:val="00670C60"/>
    <w:rsid w:val="00673A16"/>
    <w:rsid w:val="006802A4"/>
    <w:rsid w:val="00683388"/>
    <w:rsid w:val="00683F84"/>
    <w:rsid w:val="006902C9"/>
    <w:rsid w:val="00690E20"/>
    <w:rsid w:val="006913B9"/>
    <w:rsid w:val="00692E06"/>
    <w:rsid w:val="006973D9"/>
    <w:rsid w:val="006A6A81"/>
    <w:rsid w:val="006A7C8A"/>
    <w:rsid w:val="006B2A8E"/>
    <w:rsid w:val="006C1BB6"/>
    <w:rsid w:val="006C4F63"/>
    <w:rsid w:val="006C52E8"/>
    <w:rsid w:val="006E1BF6"/>
    <w:rsid w:val="006E377A"/>
    <w:rsid w:val="006F01FA"/>
    <w:rsid w:val="006F067A"/>
    <w:rsid w:val="006F7393"/>
    <w:rsid w:val="00700299"/>
    <w:rsid w:val="00700980"/>
    <w:rsid w:val="0070224F"/>
    <w:rsid w:val="007026B5"/>
    <w:rsid w:val="00704E5B"/>
    <w:rsid w:val="007058E5"/>
    <w:rsid w:val="007115F7"/>
    <w:rsid w:val="0071368A"/>
    <w:rsid w:val="007223F0"/>
    <w:rsid w:val="007234D2"/>
    <w:rsid w:val="0072456E"/>
    <w:rsid w:val="0072522F"/>
    <w:rsid w:val="0072631D"/>
    <w:rsid w:val="007333D5"/>
    <w:rsid w:val="00737FAE"/>
    <w:rsid w:val="0074060E"/>
    <w:rsid w:val="0074399C"/>
    <w:rsid w:val="00746D00"/>
    <w:rsid w:val="0074744D"/>
    <w:rsid w:val="00751401"/>
    <w:rsid w:val="00752684"/>
    <w:rsid w:val="00755F76"/>
    <w:rsid w:val="007563C4"/>
    <w:rsid w:val="00762C6A"/>
    <w:rsid w:val="007662C5"/>
    <w:rsid w:val="00780B73"/>
    <w:rsid w:val="00785689"/>
    <w:rsid w:val="00791876"/>
    <w:rsid w:val="00792705"/>
    <w:rsid w:val="007947E9"/>
    <w:rsid w:val="0079754B"/>
    <w:rsid w:val="00797B2C"/>
    <w:rsid w:val="007A1E6D"/>
    <w:rsid w:val="007A50F1"/>
    <w:rsid w:val="007A747F"/>
    <w:rsid w:val="007B09A4"/>
    <w:rsid w:val="007B0EB2"/>
    <w:rsid w:val="007C3B26"/>
    <w:rsid w:val="007C5DE4"/>
    <w:rsid w:val="007D6E7D"/>
    <w:rsid w:val="007E2A33"/>
    <w:rsid w:val="007E6DF4"/>
    <w:rsid w:val="007F05C7"/>
    <w:rsid w:val="00800241"/>
    <w:rsid w:val="00805CC1"/>
    <w:rsid w:val="00810B6F"/>
    <w:rsid w:val="00811A1C"/>
    <w:rsid w:val="00822CE0"/>
    <w:rsid w:val="008243DA"/>
    <w:rsid w:val="00837D80"/>
    <w:rsid w:val="00841AB1"/>
    <w:rsid w:val="00842FFC"/>
    <w:rsid w:val="00843089"/>
    <w:rsid w:val="00847162"/>
    <w:rsid w:val="0084754E"/>
    <w:rsid w:val="00852A6C"/>
    <w:rsid w:val="00862579"/>
    <w:rsid w:val="008649A7"/>
    <w:rsid w:val="00883D5E"/>
    <w:rsid w:val="008942BE"/>
    <w:rsid w:val="00896F2B"/>
    <w:rsid w:val="008A0443"/>
    <w:rsid w:val="008A07ED"/>
    <w:rsid w:val="008B550F"/>
    <w:rsid w:val="008C4703"/>
    <w:rsid w:val="008C68F1"/>
    <w:rsid w:val="008C71D2"/>
    <w:rsid w:val="008D4100"/>
    <w:rsid w:val="008E4C92"/>
    <w:rsid w:val="008E5793"/>
    <w:rsid w:val="008E5F0F"/>
    <w:rsid w:val="00900FED"/>
    <w:rsid w:val="00902C8C"/>
    <w:rsid w:val="00904AEA"/>
    <w:rsid w:val="00904F60"/>
    <w:rsid w:val="0091761E"/>
    <w:rsid w:val="00921803"/>
    <w:rsid w:val="00923770"/>
    <w:rsid w:val="0092468B"/>
    <w:rsid w:val="00925A12"/>
    <w:rsid w:val="00926503"/>
    <w:rsid w:val="00927884"/>
    <w:rsid w:val="00934EFE"/>
    <w:rsid w:val="00941BA3"/>
    <w:rsid w:val="00952790"/>
    <w:rsid w:val="00960F14"/>
    <w:rsid w:val="009618F0"/>
    <w:rsid w:val="009726D8"/>
    <w:rsid w:val="00981556"/>
    <w:rsid w:val="00985C9D"/>
    <w:rsid w:val="009B2DFE"/>
    <w:rsid w:val="009C09C4"/>
    <w:rsid w:val="009C0CB9"/>
    <w:rsid w:val="009C45F8"/>
    <w:rsid w:val="009D1E55"/>
    <w:rsid w:val="009D6DB3"/>
    <w:rsid w:val="009E3FBE"/>
    <w:rsid w:val="009E7B5E"/>
    <w:rsid w:val="009F0EDC"/>
    <w:rsid w:val="009F76DB"/>
    <w:rsid w:val="00A00B6F"/>
    <w:rsid w:val="00A01376"/>
    <w:rsid w:val="00A0241C"/>
    <w:rsid w:val="00A044F2"/>
    <w:rsid w:val="00A217F1"/>
    <w:rsid w:val="00A32C3B"/>
    <w:rsid w:val="00A35275"/>
    <w:rsid w:val="00A36E31"/>
    <w:rsid w:val="00A37245"/>
    <w:rsid w:val="00A37BAB"/>
    <w:rsid w:val="00A43BE4"/>
    <w:rsid w:val="00A45F4F"/>
    <w:rsid w:val="00A47D19"/>
    <w:rsid w:val="00A55294"/>
    <w:rsid w:val="00A55A55"/>
    <w:rsid w:val="00A600A9"/>
    <w:rsid w:val="00A623CE"/>
    <w:rsid w:val="00A62789"/>
    <w:rsid w:val="00A63571"/>
    <w:rsid w:val="00A661F5"/>
    <w:rsid w:val="00A70251"/>
    <w:rsid w:val="00A732A2"/>
    <w:rsid w:val="00A779F1"/>
    <w:rsid w:val="00A8043A"/>
    <w:rsid w:val="00A92F55"/>
    <w:rsid w:val="00A95D7D"/>
    <w:rsid w:val="00AA1D7A"/>
    <w:rsid w:val="00AA55B7"/>
    <w:rsid w:val="00AA5B9E"/>
    <w:rsid w:val="00AB1968"/>
    <w:rsid w:val="00AB2407"/>
    <w:rsid w:val="00AB53DF"/>
    <w:rsid w:val="00AC74D7"/>
    <w:rsid w:val="00AD05CD"/>
    <w:rsid w:val="00AD19A6"/>
    <w:rsid w:val="00AD221C"/>
    <w:rsid w:val="00AD7A67"/>
    <w:rsid w:val="00AE5A7C"/>
    <w:rsid w:val="00AF2FB0"/>
    <w:rsid w:val="00AF5298"/>
    <w:rsid w:val="00AF5A6A"/>
    <w:rsid w:val="00B07CF4"/>
    <w:rsid w:val="00B07E5C"/>
    <w:rsid w:val="00B13CA4"/>
    <w:rsid w:val="00B14AC0"/>
    <w:rsid w:val="00B1789B"/>
    <w:rsid w:val="00B215D0"/>
    <w:rsid w:val="00B236B2"/>
    <w:rsid w:val="00B3409E"/>
    <w:rsid w:val="00B364AE"/>
    <w:rsid w:val="00B401E8"/>
    <w:rsid w:val="00B41159"/>
    <w:rsid w:val="00B46E6D"/>
    <w:rsid w:val="00B50309"/>
    <w:rsid w:val="00B53416"/>
    <w:rsid w:val="00B60EE0"/>
    <w:rsid w:val="00B64265"/>
    <w:rsid w:val="00B703DB"/>
    <w:rsid w:val="00B71D21"/>
    <w:rsid w:val="00B726F9"/>
    <w:rsid w:val="00B75066"/>
    <w:rsid w:val="00B811F7"/>
    <w:rsid w:val="00B82786"/>
    <w:rsid w:val="00B93019"/>
    <w:rsid w:val="00B93390"/>
    <w:rsid w:val="00B94BE9"/>
    <w:rsid w:val="00BA5B2E"/>
    <w:rsid w:val="00BA5DC6"/>
    <w:rsid w:val="00BA6196"/>
    <w:rsid w:val="00BB59F8"/>
    <w:rsid w:val="00BC6D8C"/>
    <w:rsid w:val="00BE1B67"/>
    <w:rsid w:val="00BE2E7A"/>
    <w:rsid w:val="00BE38EE"/>
    <w:rsid w:val="00BE528D"/>
    <w:rsid w:val="00BF0FA5"/>
    <w:rsid w:val="00BF68F6"/>
    <w:rsid w:val="00C00233"/>
    <w:rsid w:val="00C34006"/>
    <w:rsid w:val="00C402ED"/>
    <w:rsid w:val="00C417A4"/>
    <w:rsid w:val="00C426B1"/>
    <w:rsid w:val="00C66160"/>
    <w:rsid w:val="00C70406"/>
    <w:rsid w:val="00C721AC"/>
    <w:rsid w:val="00C7723C"/>
    <w:rsid w:val="00C90D6A"/>
    <w:rsid w:val="00C96443"/>
    <w:rsid w:val="00CA1BFC"/>
    <w:rsid w:val="00CA247E"/>
    <w:rsid w:val="00CA378B"/>
    <w:rsid w:val="00CA4800"/>
    <w:rsid w:val="00CA5C66"/>
    <w:rsid w:val="00CB438A"/>
    <w:rsid w:val="00CC72B6"/>
    <w:rsid w:val="00CD2639"/>
    <w:rsid w:val="00D0218D"/>
    <w:rsid w:val="00D11028"/>
    <w:rsid w:val="00D12483"/>
    <w:rsid w:val="00D13280"/>
    <w:rsid w:val="00D146C1"/>
    <w:rsid w:val="00D165BD"/>
    <w:rsid w:val="00D17A05"/>
    <w:rsid w:val="00D227AF"/>
    <w:rsid w:val="00D25E59"/>
    <w:rsid w:val="00D25FB5"/>
    <w:rsid w:val="00D2763B"/>
    <w:rsid w:val="00D32879"/>
    <w:rsid w:val="00D405D3"/>
    <w:rsid w:val="00D4179B"/>
    <w:rsid w:val="00D44223"/>
    <w:rsid w:val="00D5191B"/>
    <w:rsid w:val="00D530F0"/>
    <w:rsid w:val="00D5329B"/>
    <w:rsid w:val="00D55F37"/>
    <w:rsid w:val="00D57D8D"/>
    <w:rsid w:val="00D6589C"/>
    <w:rsid w:val="00D65A8A"/>
    <w:rsid w:val="00D93A48"/>
    <w:rsid w:val="00D95D58"/>
    <w:rsid w:val="00D963DF"/>
    <w:rsid w:val="00DA0D1F"/>
    <w:rsid w:val="00DA2529"/>
    <w:rsid w:val="00DA48AA"/>
    <w:rsid w:val="00DA6461"/>
    <w:rsid w:val="00DB130A"/>
    <w:rsid w:val="00DB2EBB"/>
    <w:rsid w:val="00DB426C"/>
    <w:rsid w:val="00DB590E"/>
    <w:rsid w:val="00DB5EEE"/>
    <w:rsid w:val="00DC08F5"/>
    <w:rsid w:val="00DC10A1"/>
    <w:rsid w:val="00DC1E3C"/>
    <w:rsid w:val="00DC655F"/>
    <w:rsid w:val="00DC68F5"/>
    <w:rsid w:val="00DD0B59"/>
    <w:rsid w:val="00DD6C39"/>
    <w:rsid w:val="00DD7EBD"/>
    <w:rsid w:val="00DE3BA3"/>
    <w:rsid w:val="00DE6260"/>
    <w:rsid w:val="00DF5C9E"/>
    <w:rsid w:val="00DF62B6"/>
    <w:rsid w:val="00DF70FD"/>
    <w:rsid w:val="00E01B9A"/>
    <w:rsid w:val="00E0333D"/>
    <w:rsid w:val="00E07225"/>
    <w:rsid w:val="00E1098B"/>
    <w:rsid w:val="00E11678"/>
    <w:rsid w:val="00E2134D"/>
    <w:rsid w:val="00E241BC"/>
    <w:rsid w:val="00E33F21"/>
    <w:rsid w:val="00E34506"/>
    <w:rsid w:val="00E4100A"/>
    <w:rsid w:val="00E52E1F"/>
    <w:rsid w:val="00E5409F"/>
    <w:rsid w:val="00E66679"/>
    <w:rsid w:val="00E711D3"/>
    <w:rsid w:val="00E74D75"/>
    <w:rsid w:val="00E80BBF"/>
    <w:rsid w:val="00E8348A"/>
    <w:rsid w:val="00E940EE"/>
    <w:rsid w:val="00E94D62"/>
    <w:rsid w:val="00E956EB"/>
    <w:rsid w:val="00E96200"/>
    <w:rsid w:val="00EB0B79"/>
    <w:rsid w:val="00EB268A"/>
    <w:rsid w:val="00EB415C"/>
    <w:rsid w:val="00EB6036"/>
    <w:rsid w:val="00EC056F"/>
    <w:rsid w:val="00EC1BF9"/>
    <w:rsid w:val="00EE5CF8"/>
    <w:rsid w:val="00EE5F86"/>
    <w:rsid w:val="00EE6488"/>
    <w:rsid w:val="00EE7A46"/>
    <w:rsid w:val="00EF627F"/>
    <w:rsid w:val="00F021FA"/>
    <w:rsid w:val="00F03363"/>
    <w:rsid w:val="00F2082B"/>
    <w:rsid w:val="00F21292"/>
    <w:rsid w:val="00F37499"/>
    <w:rsid w:val="00F52227"/>
    <w:rsid w:val="00F605FB"/>
    <w:rsid w:val="00F616D5"/>
    <w:rsid w:val="00F61F69"/>
    <w:rsid w:val="00F62E97"/>
    <w:rsid w:val="00F64209"/>
    <w:rsid w:val="00F64575"/>
    <w:rsid w:val="00F6480F"/>
    <w:rsid w:val="00F6798F"/>
    <w:rsid w:val="00F8192D"/>
    <w:rsid w:val="00F840FB"/>
    <w:rsid w:val="00F86267"/>
    <w:rsid w:val="00F910FD"/>
    <w:rsid w:val="00F923FE"/>
    <w:rsid w:val="00F93BF5"/>
    <w:rsid w:val="00F93BFA"/>
    <w:rsid w:val="00FA3C6B"/>
    <w:rsid w:val="00FA786C"/>
    <w:rsid w:val="00FB7501"/>
    <w:rsid w:val="00FC0230"/>
    <w:rsid w:val="00FC52A0"/>
    <w:rsid w:val="00FD3CC3"/>
    <w:rsid w:val="00FD40F8"/>
    <w:rsid w:val="00FD6C12"/>
    <w:rsid w:val="00FE1771"/>
    <w:rsid w:val="00FF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56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fn Char Char"/>
    <w:link w:val="FootnoteTextChar"/>
    <w:qFormat/>
    <w:rsid w:val="000E3D42"/>
    <w:pPr>
      <w:spacing w:after="120"/>
    </w:pPr>
  </w:style>
  <w:style w:type="character" w:styleId="FootnoteReference">
    <w:name w:val="footnote reference"/>
    <w:aliases w:val="o,fr,Style 3,Appel note de bas de p,(NECG) Footnote Reference,Style 17,FR,Style 12,Style 124,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D5191B"/>
    <w:rPr>
      <w:rFonts w:ascii="Tahoma" w:hAnsi="Tahoma" w:cs="Tahoma"/>
      <w:sz w:val="16"/>
      <w:szCs w:val="16"/>
    </w:rPr>
  </w:style>
  <w:style w:type="character" w:customStyle="1" w:styleId="BalloonTextChar">
    <w:name w:val="Balloon Text Char"/>
    <w:basedOn w:val="DefaultParagraphFont"/>
    <w:link w:val="BalloonText"/>
    <w:rsid w:val="00D5191B"/>
    <w:rPr>
      <w:rFonts w:ascii="Tahoma" w:hAnsi="Tahoma" w:cs="Tahoma"/>
      <w:snapToGrid w:val="0"/>
      <w:kern w:val="28"/>
      <w:sz w:val="16"/>
      <w:szCs w:val="16"/>
    </w:rPr>
  </w:style>
  <w:style w:type="paragraph" w:styleId="ListParagraph">
    <w:name w:val="List Paragraph"/>
    <w:basedOn w:val="Normal"/>
    <w:uiPriority w:val="34"/>
    <w:qFormat/>
    <w:rsid w:val="00B60EE0"/>
    <w:pPr>
      <w:ind w:left="720"/>
      <w:contextualSpacing/>
    </w:pPr>
  </w:style>
  <w:style w:type="character" w:styleId="CommentReference">
    <w:name w:val="annotation reference"/>
    <w:basedOn w:val="DefaultParagraphFont"/>
    <w:rsid w:val="005A001E"/>
    <w:rPr>
      <w:sz w:val="16"/>
      <w:szCs w:val="16"/>
    </w:rPr>
  </w:style>
  <w:style w:type="paragraph" w:styleId="CommentText">
    <w:name w:val="annotation text"/>
    <w:basedOn w:val="Normal"/>
    <w:link w:val="CommentTextChar"/>
    <w:rsid w:val="005A001E"/>
    <w:rPr>
      <w:sz w:val="20"/>
    </w:rPr>
  </w:style>
  <w:style w:type="character" w:customStyle="1" w:styleId="CommentTextChar">
    <w:name w:val="Comment Text Char"/>
    <w:basedOn w:val="DefaultParagraphFont"/>
    <w:link w:val="CommentText"/>
    <w:rsid w:val="005A001E"/>
    <w:rPr>
      <w:snapToGrid w:val="0"/>
      <w:kern w:val="28"/>
    </w:rPr>
  </w:style>
  <w:style w:type="paragraph" w:styleId="CommentSubject">
    <w:name w:val="annotation subject"/>
    <w:basedOn w:val="CommentText"/>
    <w:next w:val="CommentText"/>
    <w:link w:val="CommentSubjectChar"/>
    <w:rsid w:val="005A001E"/>
    <w:rPr>
      <w:b/>
      <w:bCs/>
    </w:rPr>
  </w:style>
  <w:style w:type="character" w:customStyle="1" w:styleId="CommentSubjectChar">
    <w:name w:val="Comment Subject Char"/>
    <w:basedOn w:val="CommentTextChar"/>
    <w:link w:val="CommentSubject"/>
    <w:rsid w:val="005A001E"/>
    <w:rPr>
      <w:b/>
      <w:bCs/>
      <w:snapToGrid w:val="0"/>
      <w:kern w:val="28"/>
    </w:rPr>
  </w:style>
  <w:style w:type="character" w:customStyle="1" w:styleId="ParaNumChar">
    <w:name w:val="ParaNum Char"/>
    <w:basedOn w:val="DefaultParagraphFont"/>
    <w:link w:val="ParaNum"/>
    <w:rsid w:val="003600AD"/>
    <w:rPr>
      <w:snapToGrid w:val="0"/>
      <w:kern w:val="28"/>
      <w:sz w:val="22"/>
    </w:rPr>
  </w:style>
  <w:style w:type="paragraph" w:styleId="Revision">
    <w:name w:val="Revision"/>
    <w:hidden/>
    <w:uiPriority w:val="99"/>
    <w:semiHidden/>
    <w:rsid w:val="0048799F"/>
    <w:rPr>
      <w:snapToGrid w:val="0"/>
      <w:kern w:val="28"/>
      <w:sz w:val="22"/>
    </w:rPr>
  </w:style>
  <w:style w:type="character" w:customStyle="1" w:styleId="emphi">
    <w:name w:val="emphi"/>
    <w:basedOn w:val="DefaultParagraphFont"/>
    <w:rsid w:val="00162930"/>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fn Char Char Char"/>
    <w:basedOn w:val="DefaultParagraphFont"/>
    <w:link w:val="FootnoteText"/>
    <w:rsid w:val="00C7723C"/>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9C09C4"/>
    <w:rPr>
      <w:rFonts w:ascii="Times New Roman Bold" w:hAnsi="Times New Roman Bold"/>
      <w:b/>
      <w:caps/>
      <w:snapToGrid w:val="0"/>
      <w:kern w:val="28"/>
      <w:sz w:val="22"/>
    </w:rPr>
  </w:style>
  <w:style w:type="character" w:customStyle="1" w:styleId="cosearchwithinterm">
    <w:name w:val="co_searchwithinterm"/>
    <w:basedOn w:val="DefaultParagraphFont"/>
    <w:rsid w:val="00430354"/>
  </w:style>
  <w:style w:type="character" w:styleId="Emphasis">
    <w:name w:val="Emphasis"/>
    <w:basedOn w:val="DefaultParagraphFont"/>
    <w:uiPriority w:val="20"/>
    <w:qFormat/>
    <w:rsid w:val="004303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fn Char Char"/>
    <w:link w:val="FootnoteTextChar"/>
    <w:qFormat/>
    <w:rsid w:val="000E3D42"/>
    <w:pPr>
      <w:spacing w:after="120"/>
    </w:pPr>
  </w:style>
  <w:style w:type="character" w:styleId="FootnoteReference">
    <w:name w:val="footnote reference"/>
    <w:aliases w:val="o,fr,Style 3,Appel note de bas de p,(NECG) Footnote Reference,Style 17,FR,Style 12,Style 124,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D5191B"/>
    <w:rPr>
      <w:rFonts w:ascii="Tahoma" w:hAnsi="Tahoma" w:cs="Tahoma"/>
      <w:sz w:val="16"/>
      <w:szCs w:val="16"/>
    </w:rPr>
  </w:style>
  <w:style w:type="character" w:customStyle="1" w:styleId="BalloonTextChar">
    <w:name w:val="Balloon Text Char"/>
    <w:basedOn w:val="DefaultParagraphFont"/>
    <w:link w:val="BalloonText"/>
    <w:rsid w:val="00D5191B"/>
    <w:rPr>
      <w:rFonts w:ascii="Tahoma" w:hAnsi="Tahoma" w:cs="Tahoma"/>
      <w:snapToGrid w:val="0"/>
      <w:kern w:val="28"/>
      <w:sz w:val="16"/>
      <w:szCs w:val="16"/>
    </w:rPr>
  </w:style>
  <w:style w:type="paragraph" w:styleId="ListParagraph">
    <w:name w:val="List Paragraph"/>
    <w:basedOn w:val="Normal"/>
    <w:uiPriority w:val="34"/>
    <w:qFormat/>
    <w:rsid w:val="00B60EE0"/>
    <w:pPr>
      <w:ind w:left="720"/>
      <w:contextualSpacing/>
    </w:pPr>
  </w:style>
  <w:style w:type="character" w:styleId="CommentReference">
    <w:name w:val="annotation reference"/>
    <w:basedOn w:val="DefaultParagraphFont"/>
    <w:rsid w:val="005A001E"/>
    <w:rPr>
      <w:sz w:val="16"/>
      <w:szCs w:val="16"/>
    </w:rPr>
  </w:style>
  <w:style w:type="paragraph" w:styleId="CommentText">
    <w:name w:val="annotation text"/>
    <w:basedOn w:val="Normal"/>
    <w:link w:val="CommentTextChar"/>
    <w:rsid w:val="005A001E"/>
    <w:rPr>
      <w:sz w:val="20"/>
    </w:rPr>
  </w:style>
  <w:style w:type="character" w:customStyle="1" w:styleId="CommentTextChar">
    <w:name w:val="Comment Text Char"/>
    <w:basedOn w:val="DefaultParagraphFont"/>
    <w:link w:val="CommentText"/>
    <w:rsid w:val="005A001E"/>
    <w:rPr>
      <w:snapToGrid w:val="0"/>
      <w:kern w:val="28"/>
    </w:rPr>
  </w:style>
  <w:style w:type="paragraph" w:styleId="CommentSubject">
    <w:name w:val="annotation subject"/>
    <w:basedOn w:val="CommentText"/>
    <w:next w:val="CommentText"/>
    <w:link w:val="CommentSubjectChar"/>
    <w:rsid w:val="005A001E"/>
    <w:rPr>
      <w:b/>
      <w:bCs/>
    </w:rPr>
  </w:style>
  <w:style w:type="character" w:customStyle="1" w:styleId="CommentSubjectChar">
    <w:name w:val="Comment Subject Char"/>
    <w:basedOn w:val="CommentTextChar"/>
    <w:link w:val="CommentSubject"/>
    <w:rsid w:val="005A001E"/>
    <w:rPr>
      <w:b/>
      <w:bCs/>
      <w:snapToGrid w:val="0"/>
      <w:kern w:val="28"/>
    </w:rPr>
  </w:style>
  <w:style w:type="character" w:customStyle="1" w:styleId="ParaNumChar">
    <w:name w:val="ParaNum Char"/>
    <w:basedOn w:val="DefaultParagraphFont"/>
    <w:link w:val="ParaNum"/>
    <w:rsid w:val="003600AD"/>
    <w:rPr>
      <w:snapToGrid w:val="0"/>
      <w:kern w:val="28"/>
      <w:sz w:val="22"/>
    </w:rPr>
  </w:style>
  <w:style w:type="paragraph" w:styleId="Revision">
    <w:name w:val="Revision"/>
    <w:hidden/>
    <w:uiPriority w:val="99"/>
    <w:semiHidden/>
    <w:rsid w:val="0048799F"/>
    <w:rPr>
      <w:snapToGrid w:val="0"/>
      <w:kern w:val="28"/>
      <w:sz w:val="22"/>
    </w:rPr>
  </w:style>
  <w:style w:type="character" w:customStyle="1" w:styleId="emphi">
    <w:name w:val="emphi"/>
    <w:basedOn w:val="DefaultParagraphFont"/>
    <w:rsid w:val="00162930"/>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fn Char Char Char"/>
    <w:basedOn w:val="DefaultParagraphFont"/>
    <w:link w:val="FootnoteText"/>
    <w:rsid w:val="00C7723C"/>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9C09C4"/>
    <w:rPr>
      <w:rFonts w:ascii="Times New Roman Bold" w:hAnsi="Times New Roman Bold"/>
      <w:b/>
      <w:caps/>
      <w:snapToGrid w:val="0"/>
      <w:kern w:val="28"/>
      <w:sz w:val="22"/>
    </w:rPr>
  </w:style>
  <w:style w:type="character" w:customStyle="1" w:styleId="cosearchwithinterm">
    <w:name w:val="co_searchwithinterm"/>
    <w:basedOn w:val="DefaultParagraphFont"/>
    <w:rsid w:val="00430354"/>
  </w:style>
  <w:style w:type="character" w:styleId="Emphasis">
    <w:name w:val="Emphasis"/>
    <w:basedOn w:val="DefaultParagraphFont"/>
    <w:uiPriority w:val="20"/>
    <w:qFormat/>
    <w:rsid w:val="00430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1284">
      <w:bodyDiv w:val="1"/>
      <w:marLeft w:val="0"/>
      <w:marRight w:val="0"/>
      <w:marTop w:val="0"/>
      <w:marBottom w:val="0"/>
      <w:divBdr>
        <w:top w:val="none" w:sz="0" w:space="0" w:color="auto"/>
        <w:left w:val="none" w:sz="0" w:space="0" w:color="auto"/>
        <w:bottom w:val="none" w:sz="0" w:space="0" w:color="auto"/>
        <w:right w:val="none" w:sz="0" w:space="0" w:color="auto"/>
      </w:divBdr>
      <w:divsChild>
        <w:div w:id="435949469">
          <w:marLeft w:val="0"/>
          <w:marRight w:val="0"/>
          <w:marTop w:val="0"/>
          <w:marBottom w:val="0"/>
          <w:divBdr>
            <w:top w:val="none" w:sz="0" w:space="0" w:color="auto"/>
            <w:left w:val="none" w:sz="0" w:space="0" w:color="auto"/>
            <w:bottom w:val="none" w:sz="0" w:space="0" w:color="auto"/>
            <w:right w:val="none" w:sz="0" w:space="0" w:color="auto"/>
          </w:divBdr>
          <w:divsChild>
            <w:div w:id="1573392282">
              <w:marLeft w:val="0"/>
              <w:marRight w:val="0"/>
              <w:marTop w:val="0"/>
              <w:marBottom w:val="0"/>
              <w:divBdr>
                <w:top w:val="none" w:sz="0" w:space="0" w:color="auto"/>
                <w:left w:val="none" w:sz="0" w:space="0" w:color="auto"/>
                <w:bottom w:val="none" w:sz="0" w:space="0" w:color="auto"/>
                <w:right w:val="none" w:sz="0" w:space="0" w:color="auto"/>
              </w:divBdr>
              <w:divsChild>
                <w:div w:id="309986610">
                  <w:marLeft w:val="0"/>
                  <w:marRight w:val="0"/>
                  <w:marTop w:val="0"/>
                  <w:marBottom w:val="0"/>
                  <w:divBdr>
                    <w:top w:val="none" w:sz="0" w:space="0" w:color="auto"/>
                    <w:left w:val="none" w:sz="0" w:space="0" w:color="auto"/>
                    <w:bottom w:val="none" w:sz="0" w:space="0" w:color="auto"/>
                    <w:right w:val="none" w:sz="0" w:space="0" w:color="auto"/>
                  </w:divBdr>
                  <w:divsChild>
                    <w:div w:id="824392006">
                      <w:marLeft w:val="0"/>
                      <w:marRight w:val="0"/>
                      <w:marTop w:val="0"/>
                      <w:marBottom w:val="0"/>
                      <w:divBdr>
                        <w:top w:val="none" w:sz="0" w:space="0" w:color="auto"/>
                        <w:left w:val="none" w:sz="0" w:space="0" w:color="auto"/>
                        <w:bottom w:val="none" w:sz="0" w:space="0" w:color="auto"/>
                        <w:right w:val="none" w:sz="0" w:space="0" w:color="auto"/>
                      </w:divBdr>
                    </w:div>
                    <w:div w:id="1496140094">
                      <w:marLeft w:val="0"/>
                      <w:marRight w:val="0"/>
                      <w:marTop w:val="0"/>
                      <w:marBottom w:val="0"/>
                      <w:divBdr>
                        <w:top w:val="none" w:sz="0" w:space="0" w:color="auto"/>
                        <w:left w:val="none" w:sz="0" w:space="0" w:color="auto"/>
                        <w:bottom w:val="none" w:sz="0" w:space="0" w:color="auto"/>
                        <w:right w:val="none" w:sz="0" w:space="0" w:color="auto"/>
                      </w:divBdr>
                      <w:divsChild>
                        <w:div w:id="1592860746">
                          <w:marLeft w:val="0"/>
                          <w:marRight w:val="0"/>
                          <w:marTop w:val="0"/>
                          <w:marBottom w:val="0"/>
                          <w:divBdr>
                            <w:top w:val="none" w:sz="0" w:space="0" w:color="auto"/>
                            <w:left w:val="none" w:sz="0" w:space="0" w:color="auto"/>
                            <w:bottom w:val="none" w:sz="0" w:space="0" w:color="auto"/>
                            <w:right w:val="none" w:sz="0" w:space="0" w:color="auto"/>
                          </w:divBdr>
                          <w:divsChild>
                            <w:div w:id="10112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558587">
      <w:bodyDiv w:val="1"/>
      <w:marLeft w:val="0"/>
      <w:marRight w:val="0"/>
      <w:marTop w:val="0"/>
      <w:marBottom w:val="0"/>
      <w:divBdr>
        <w:top w:val="none" w:sz="0" w:space="0" w:color="auto"/>
        <w:left w:val="none" w:sz="0" w:space="0" w:color="auto"/>
        <w:bottom w:val="none" w:sz="0" w:space="0" w:color="auto"/>
        <w:right w:val="none" w:sz="0" w:space="0" w:color="auto"/>
      </w:divBdr>
    </w:div>
    <w:div w:id="733548064">
      <w:bodyDiv w:val="1"/>
      <w:marLeft w:val="0"/>
      <w:marRight w:val="0"/>
      <w:marTop w:val="0"/>
      <w:marBottom w:val="0"/>
      <w:divBdr>
        <w:top w:val="none" w:sz="0" w:space="0" w:color="auto"/>
        <w:left w:val="none" w:sz="0" w:space="0" w:color="auto"/>
        <w:bottom w:val="none" w:sz="0" w:space="0" w:color="auto"/>
        <w:right w:val="none" w:sz="0" w:space="0" w:color="auto"/>
      </w:divBdr>
    </w:div>
    <w:div w:id="827478235">
      <w:bodyDiv w:val="1"/>
      <w:marLeft w:val="0"/>
      <w:marRight w:val="0"/>
      <w:marTop w:val="0"/>
      <w:marBottom w:val="0"/>
      <w:divBdr>
        <w:top w:val="none" w:sz="0" w:space="0" w:color="auto"/>
        <w:left w:val="none" w:sz="0" w:space="0" w:color="auto"/>
        <w:bottom w:val="none" w:sz="0" w:space="0" w:color="auto"/>
        <w:right w:val="none" w:sz="0" w:space="0" w:color="auto"/>
      </w:divBdr>
    </w:div>
    <w:div w:id="991299085">
      <w:bodyDiv w:val="1"/>
      <w:marLeft w:val="0"/>
      <w:marRight w:val="0"/>
      <w:marTop w:val="0"/>
      <w:marBottom w:val="0"/>
      <w:divBdr>
        <w:top w:val="none" w:sz="0" w:space="0" w:color="auto"/>
        <w:left w:val="none" w:sz="0" w:space="0" w:color="auto"/>
        <w:bottom w:val="none" w:sz="0" w:space="0" w:color="auto"/>
        <w:right w:val="none" w:sz="0" w:space="0" w:color="auto"/>
      </w:divBdr>
    </w:div>
    <w:div w:id="179400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2425</Words>
  <Characters>13450</Characters>
  <Application>Microsoft Office Word</Application>
  <DocSecurity>0</DocSecurity>
  <Lines>205</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15932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2017-01-13T23:00:00Z</cp:lastPrinted>
  <dcterms:created xsi:type="dcterms:W3CDTF">2017-02-14T14:23:00Z</dcterms:created>
  <dcterms:modified xsi:type="dcterms:W3CDTF">2017-02-14T14:23:00Z</dcterms:modified>
  <cp:category> </cp:category>
  <cp:contentStatus> </cp:contentStatus>
</cp:coreProperties>
</file>