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B3371" w14:textId="789F27E8"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8611FD2" w14:textId="77777777" w:rsidR="00921803" w:rsidRDefault="00921803" w:rsidP="00921803">
      <w:pPr>
        <w:pStyle w:val="StyleBoldCentered"/>
      </w:pPr>
      <w:r>
        <w:t>F</w:t>
      </w:r>
      <w:r>
        <w:rPr>
          <w:caps w:val="0"/>
        </w:rPr>
        <w:t>ederal Communications Commission</w:t>
      </w:r>
    </w:p>
    <w:p w14:paraId="210EB277" w14:textId="77777777" w:rsidR="004C2EE3" w:rsidRDefault="00810B6F" w:rsidP="00096D8C">
      <w:pPr>
        <w:pStyle w:val="StyleBoldCentered"/>
      </w:pPr>
      <w:r>
        <w:rPr>
          <w:caps w:val="0"/>
        </w:rPr>
        <w:t>Washington, D.C. 20554</w:t>
      </w:r>
    </w:p>
    <w:p w14:paraId="4BE14211" w14:textId="77777777" w:rsidR="004C2EE3" w:rsidRDefault="004C2EE3" w:rsidP="0070224F"/>
    <w:p w14:paraId="1BB060EB"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71151AB" w14:textId="77777777">
        <w:tc>
          <w:tcPr>
            <w:tcW w:w="4698" w:type="dxa"/>
          </w:tcPr>
          <w:p w14:paraId="5882C992" w14:textId="77777777" w:rsidR="004C2EE3" w:rsidRDefault="004C2EE3">
            <w:pPr>
              <w:tabs>
                <w:tab w:val="center" w:pos="4680"/>
              </w:tabs>
              <w:suppressAutoHyphens/>
              <w:rPr>
                <w:spacing w:val="-2"/>
              </w:rPr>
            </w:pPr>
            <w:r>
              <w:rPr>
                <w:spacing w:val="-2"/>
              </w:rPr>
              <w:t>In the Matter of</w:t>
            </w:r>
          </w:p>
          <w:p w14:paraId="2C7BDAB4" w14:textId="77777777" w:rsidR="004C2EE3" w:rsidRDefault="004C2EE3">
            <w:pPr>
              <w:tabs>
                <w:tab w:val="center" w:pos="4680"/>
              </w:tabs>
              <w:suppressAutoHyphens/>
              <w:rPr>
                <w:spacing w:val="-2"/>
              </w:rPr>
            </w:pPr>
          </w:p>
          <w:p w14:paraId="2681FE1D" w14:textId="77777777" w:rsidR="004C2EE3" w:rsidRDefault="000D64F9" w:rsidP="007115F7">
            <w:pPr>
              <w:tabs>
                <w:tab w:val="center" w:pos="4680"/>
              </w:tabs>
              <w:suppressAutoHyphens/>
              <w:rPr>
                <w:spacing w:val="-2"/>
              </w:rPr>
            </w:pPr>
            <w:r>
              <w:rPr>
                <w:spacing w:val="-2"/>
              </w:rPr>
              <w:t>Conroy Dawson,</w:t>
            </w:r>
          </w:p>
          <w:p w14:paraId="63FE6664" w14:textId="77777777" w:rsidR="000D64F9" w:rsidRPr="007115F7" w:rsidRDefault="000D64F9" w:rsidP="00F02F88">
            <w:pPr>
              <w:tabs>
                <w:tab w:val="center" w:pos="4680"/>
              </w:tabs>
              <w:suppressAutoHyphens/>
              <w:rPr>
                <w:spacing w:val="-2"/>
              </w:rPr>
            </w:pPr>
            <w:r>
              <w:rPr>
                <w:spacing w:val="-2"/>
              </w:rPr>
              <w:t>Paterson, New Jersey</w:t>
            </w:r>
          </w:p>
        </w:tc>
        <w:tc>
          <w:tcPr>
            <w:tcW w:w="630" w:type="dxa"/>
          </w:tcPr>
          <w:p w14:paraId="31AAEB96" w14:textId="77777777" w:rsidR="004C2EE3" w:rsidRDefault="004C2EE3">
            <w:pPr>
              <w:tabs>
                <w:tab w:val="center" w:pos="4680"/>
              </w:tabs>
              <w:suppressAutoHyphens/>
              <w:rPr>
                <w:b/>
                <w:spacing w:val="-2"/>
              </w:rPr>
            </w:pPr>
            <w:r>
              <w:rPr>
                <w:b/>
                <w:spacing w:val="-2"/>
              </w:rPr>
              <w:t>)</w:t>
            </w:r>
          </w:p>
          <w:p w14:paraId="051CAA7E" w14:textId="77777777" w:rsidR="004C2EE3" w:rsidRDefault="004C2EE3">
            <w:pPr>
              <w:tabs>
                <w:tab w:val="center" w:pos="4680"/>
              </w:tabs>
              <w:suppressAutoHyphens/>
              <w:rPr>
                <w:b/>
                <w:spacing w:val="-2"/>
              </w:rPr>
            </w:pPr>
            <w:r>
              <w:rPr>
                <w:b/>
                <w:spacing w:val="-2"/>
              </w:rPr>
              <w:t>)</w:t>
            </w:r>
          </w:p>
          <w:p w14:paraId="37C564D0" w14:textId="77777777" w:rsidR="004C2EE3" w:rsidRDefault="004C2EE3">
            <w:pPr>
              <w:tabs>
                <w:tab w:val="center" w:pos="4680"/>
              </w:tabs>
              <w:suppressAutoHyphens/>
              <w:rPr>
                <w:b/>
                <w:spacing w:val="-2"/>
              </w:rPr>
            </w:pPr>
            <w:r>
              <w:rPr>
                <w:b/>
                <w:spacing w:val="-2"/>
              </w:rPr>
              <w:t>)</w:t>
            </w:r>
          </w:p>
          <w:p w14:paraId="2AB94C84" w14:textId="77777777" w:rsidR="004C2EE3" w:rsidRDefault="004C2EE3">
            <w:pPr>
              <w:tabs>
                <w:tab w:val="center" w:pos="4680"/>
              </w:tabs>
              <w:suppressAutoHyphens/>
              <w:rPr>
                <w:b/>
                <w:spacing w:val="-2"/>
              </w:rPr>
            </w:pPr>
            <w:r>
              <w:rPr>
                <w:b/>
                <w:spacing w:val="-2"/>
              </w:rPr>
              <w:t>)</w:t>
            </w:r>
          </w:p>
          <w:p w14:paraId="21B92C56" w14:textId="77777777" w:rsidR="004C2EE3" w:rsidRDefault="004C2EE3">
            <w:pPr>
              <w:tabs>
                <w:tab w:val="center" w:pos="4680"/>
              </w:tabs>
              <w:suppressAutoHyphens/>
              <w:rPr>
                <w:b/>
                <w:spacing w:val="-2"/>
              </w:rPr>
            </w:pPr>
            <w:r>
              <w:rPr>
                <w:b/>
                <w:spacing w:val="-2"/>
              </w:rPr>
              <w:t>)</w:t>
            </w:r>
          </w:p>
          <w:p w14:paraId="57E6A48D" w14:textId="77777777" w:rsidR="004C2EE3" w:rsidRDefault="004C2EE3">
            <w:pPr>
              <w:tabs>
                <w:tab w:val="center" w:pos="4680"/>
              </w:tabs>
              <w:suppressAutoHyphens/>
              <w:rPr>
                <w:b/>
                <w:spacing w:val="-2"/>
              </w:rPr>
            </w:pPr>
            <w:r>
              <w:rPr>
                <w:b/>
                <w:spacing w:val="-2"/>
              </w:rPr>
              <w:t>)</w:t>
            </w:r>
          </w:p>
          <w:p w14:paraId="46438FBC" w14:textId="77777777" w:rsidR="004C2EE3" w:rsidRDefault="004C2EE3">
            <w:pPr>
              <w:tabs>
                <w:tab w:val="center" w:pos="4680"/>
              </w:tabs>
              <w:suppressAutoHyphens/>
              <w:rPr>
                <w:b/>
                <w:spacing w:val="-2"/>
              </w:rPr>
            </w:pPr>
            <w:r>
              <w:rPr>
                <w:b/>
                <w:spacing w:val="-2"/>
              </w:rPr>
              <w:t>)</w:t>
            </w:r>
          </w:p>
          <w:p w14:paraId="28EE0952" w14:textId="77777777" w:rsidR="004C2EE3" w:rsidRDefault="004C2EE3">
            <w:pPr>
              <w:tabs>
                <w:tab w:val="center" w:pos="4680"/>
              </w:tabs>
              <w:suppressAutoHyphens/>
              <w:rPr>
                <w:b/>
                <w:spacing w:val="-2"/>
              </w:rPr>
            </w:pPr>
            <w:r>
              <w:rPr>
                <w:b/>
                <w:spacing w:val="-2"/>
              </w:rPr>
              <w:t>)</w:t>
            </w:r>
          </w:p>
          <w:p w14:paraId="4EE86974" w14:textId="77777777" w:rsidR="004C2EE3" w:rsidRDefault="004C2EE3">
            <w:pPr>
              <w:tabs>
                <w:tab w:val="center" w:pos="4680"/>
              </w:tabs>
              <w:suppressAutoHyphens/>
              <w:rPr>
                <w:spacing w:val="-2"/>
              </w:rPr>
            </w:pPr>
            <w:r>
              <w:rPr>
                <w:b/>
                <w:spacing w:val="-2"/>
              </w:rPr>
              <w:t>)</w:t>
            </w:r>
          </w:p>
        </w:tc>
        <w:tc>
          <w:tcPr>
            <w:tcW w:w="4248" w:type="dxa"/>
          </w:tcPr>
          <w:p w14:paraId="452258BD" w14:textId="77777777" w:rsidR="004C2EE3" w:rsidRDefault="004C2EE3">
            <w:pPr>
              <w:tabs>
                <w:tab w:val="center" w:pos="4680"/>
              </w:tabs>
              <w:suppressAutoHyphens/>
              <w:rPr>
                <w:spacing w:val="-2"/>
              </w:rPr>
            </w:pPr>
          </w:p>
          <w:p w14:paraId="51B31D15" w14:textId="77777777" w:rsidR="004C2EE3" w:rsidRDefault="004C2EE3">
            <w:pPr>
              <w:pStyle w:val="TOAHeading"/>
              <w:tabs>
                <w:tab w:val="clear" w:pos="9360"/>
                <w:tab w:val="center" w:pos="4680"/>
              </w:tabs>
              <w:rPr>
                <w:spacing w:val="-2"/>
              </w:rPr>
            </w:pPr>
          </w:p>
          <w:p w14:paraId="5F6F80F9" w14:textId="4C11721A" w:rsidR="004C2EE3" w:rsidRDefault="000D64F9">
            <w:pPr>
              <w:tabs>
                <w:tab w:val="center" w:pos="4680"/>
              </w:tabs>
              <w:suppressAutoHyphens/>
              <w:rPr>
                <w:spacing w:val="-2"/>
              </w:rPr>
            </w:pPr>
            <w:r>
              <w:rPr>
                <w:spacing w:val="-2"/>
              </w:rPr>
              <w:t>File No. EB-FIELDNER-16-00022155</w:t>
            </w:r>
            <w:r w:rsidR="00640978">
              <w:rPr>
                <w:rStyle w:val="FootnoteReference"/>
                <w:spacing w:val="-2"/>
              </w:rPr>
              <w:footnoteReference w:id="2"/>
            </w:r>
          </w:p>
          <w:p w14:paraId="53B3C233" w14:textId="6E8F8104" w:rsidR="000D64F9" w:rsidRDefault="000D64F9">
            <w:pPr>
              <w:tabs>
                <w:tab w:val="center" w:pos="4680"/>
              </w:tabs>
              <w:suppressAutoHyphens/>
              <w:rPr>
                <w:spacing w:val="-2"/>
              </w:rPr>
            </w:pPr>
            <w:r>
              <w:rPr>
                <w:spacing w:val="-2"/>
              </w:rPr>
              <w:t xml:space="preserve">NAL/Acct. No.: </w:t>
            </w:r>
            <w:r w:rsidR="00922E1F" w:rsidRPr="00922E1F">
              <w:rPr>
                <w:spacing w:val="-2"/>
              </w:rPr>
              <w:t>201732380001</w:t>
            </w:r>
          </w:p>
          <w:p w14:paraId="322DEE07" w14:textId="3FC6FFB6" w:rsidR="000D64F9" w:rsidRDefault="000D64F9" w:rsidP="00ED35F9">
            <w:pPr>
              <w:tabs>
                <w:tab w:val="center" w:pos="4680"/>
              </w:tabs>
              <w:suppressAutoHyphens/>
              <w:rPr>
                <w:spacing w:val="-2"/>
              </w:rPr>
            </w:pPr>
            <w:r>
              <w:rPr>
                <w:spacing w:val="-2"/>
              </w:rPr>
              <w:t xml:space="preserve">FRN: </w:t>
            </w:r>
            <w:r w:rsidR="00ED35F9">
              <w:t xml:space="preserve"> </w:t>
            </w:r>
            <w:r w:rsidR="00ED35F9" w:rsidRPr="00ED35F9">
              <w:rPr>
                <w:spacing w:val="-2"/>
              </w:rPr>
              <w:t>0026151753</w:t>
            </w:r>
          </w:p>
        </w:tc>
      </w:tr>
    </w:tbl>
    <w:p w14:paraId="5E76DFC4" w14:textId="77777777" w:rsidR="004C2EE3" w:rsidRDefault="004C2EE3" w:rsidP="0070224F"/>
    <w:p w14:paraId="11734975" w14:textId="77777777" w:rsidR="00841AB1" w:rsidRDefault="000D64F9" w:rsidP="00F021FA">
      <w:pPr>
        <w:pStyle w:val="StyleBoldCentered"/>
      </w:pPr>
      <w:r>
        <w:t>Notce of apparent liability for forfeiture</w:t>
      </w:r>
    </w:p>
    <w:p w14:paraId="0ED5CC86" w14:textId="77777777" w:rsidR="004C2EE3" w:rsidRDefault="004C2EE3">
      <w:pPr>
        <w:tabs>
          <w:tab w:val="left" w:pos="-720"/>
        </w:tabs>
        <w:suppressAutoHyphens/>
        <w:spacing w:line="227" w:lineRule="auto"/>
        <w:rPr>
          <w:spacing w:val="-2"/>
        </w:rPr>
      </w:pPr>
    </w:p>
    <w:p w14:paraId="3B13DAF1" w14:textId="4E328BA5" w:rsidR="004C2EE3" w:rsidRDefault="004C2EE3" w:rsidP="00133F79">
      <w:pPr>
        <w:tabs>
          <w:tab w:val="left" w:pos="720"/>
          <w:tab w:val="right" w:pos="9360"/>
        </w:tabs>
        <w:suppressAutoHyphens/>
        <w:spacing w:line="227" w:lineRule="auto"/>
        <w:rPr>
          <w:spacing w:val="-2"/>
        </w:rPr>
      </w:pPr>
      <w:r>
        <w:rPr>
          <w:b/>
          <w:spacing w:val="-2"/>
        </w:rPr>
        <w:t xml:space="preserve">Adopted:  </w:t>
      </w:r>
      <w:r w:rsidR="0053476F">
        <w:rPr>
          <w:b/>
          <w:spacing w:val="-2"/>
        </w:rPr>
        <w:t>January 11,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3476F">
        <w:rPr>
          <w:b/>
          <w:spacing w:val="-2"/>
        </w:rPr>
        <w:t>January 12, 2017</w:t>
      </w:r>
    </w:p>
    <w:p w14:paraId="03C3141D" w14:textId="77777777" w:rsidR="00822CE0" w:rsidRDefault="00822CE0"/>
    <w:p w14:paraId="6DE757BA" w14:textId="77777777" w:rsidR="004C2EE3" w:rsidRDefault="004C2EE3">
      <w:pPr>
        <w:rPr>
          <w:spacing w:val="-2"/>
        </w:rPr>
      </w:pPr>
      <w:r>
        <w:t xml:space="preserve">By </w:t>
      </w:r>
      <w:r w:rsidR="004E4A22">
        <w:t>the</w:t>
      </w:r>
      <w:r w:rsidR="000D64F9">
        <w:t xml:space="preserve"> Regional Director, Region One, Enforcement Bureau:</w:t>
      </w:r>
    </w:p>
    <w:p w14:paraId="5F1D6771" w14:textId="77777777" w:rsidR="00822CE0" w:rsidRDefault="00822CE0">
      <w:pPr>
        <w:rPr>
          <w:spacing w:val="-2"/>
        </w:rPr>
      </w:pPr>
    </w:p>
    <w:p w14:paraId="0616310C" w14:textId="77777777" w:rsidR="00412FC5" w:rsidRDefault="00412FC5" w:rsidP="00412FC5"/>
    <w:p w14:paraId="1C64486B" w14:textId="77777777" w:rsidR="002C00E8" w:rsidRDefault="00514E97" w:rsidP="002C00E8">
      <w:pPr>
        <w:pStyle w:val="Heading1"/>
      </w:pPr>
      <w:r>
        <w:t>Introduction</w:t>
      </w:r>
    </w:p>
    <w:p w14:paraId="4E3AE70B" w14:textId="067B1E25" w:rsidR="00514E97" w:rsidRDefault="00514E97" w:rsidP="00D37F0B">
      <w:pPr>
        <w:pStyle w:val="ParaNum"/>
        <w:widowControl/>
      </w:pPr>
      <w:r>
        <w:t>We propose a penalty of $</w:t>
      </w:r>
      <w:r w:rsidR="008D57CF">
        <w:t>2</w:t>
      </w:r>
      <w:r w:rsidR="00B26269">
        <w:t>5,000</w:t>
      </w:r>
      <w:r>
        <w:t xml:space="preserve"> against Conroy Dawson for operating an unlicensed radio station on </w:t>
      </w:r>
      <w:r w:rsidR="000A4544">
        <w:t>97.5 MHz</w:t>
      </w:r>
      <w:r>
        <w:t xml:space="preserve"> in Paterson, New Jersey.  The Commission previously warned Mr. Dawson that operation of this unlicensed station was illegal and that continued operation could result in further enforcement action</w:t>
      </w:r>
      <w:r w:rsidR="000A4544">
        <w:t xml:space="preserve">.  Mr. Dawson’s deliberate disregard of the Commission’s warning warrants a significant penalty.  Commission action in this </w:t>
      </w:r>
      <w:r w:rsidR="00F02F88">
        <w:t>area is essential because un</w:t>
      </w:r>
      <w:r w:rsidR="000A4544">
        <w:t>li</w:t>
      </w:r>
      <w:r w:rsidR="00F02F88">
        <w:t>c</w:t>
      </w:r>
      <w:r w:rsidR="000A4544">
        <w:t xml:space="preserve">ensed radio station create a danger of interference to licensed communications and undermine the Commission’s authority over FM broadcast radio operations.  </w:t>
      </w:r>
    </w:p>
    <w:p w14:paraId="44BE7759" w14:textId="77777777" w:rsidR="000A4544" w:rsidRDefault="000A4544" w:rsidP="000A4544">
      <w:pPr>
        <w:pStyle w:val="Heading1"/>
      </w:pPr>
      <w:r>
        <w:t>Background</w:t>
      </w:r>
    </w:p>
    <w:p w14:paraId="7465A4C2" w14:textId="2670FCBB" w:rsidR="00922E1F" w:rsidRDefault="00922E1F" w:rsidP="00922E1F">
      <w:pPr>
        <w:pStyle w:val="ParaNum"/>
        <w:widowControl/>
      </w:pPr>
      <w:r>
        <w:t xml:space="preserve">On October 17, 2015 the Commission received a complaint from the licensee of an FM translator station located </w:t>
      </w:r>
      <w:r w:rsidR="00D5788D">
        <w:t xml:space="preserve">in Jersey City, </w:t>
      </w:r>
      <w:r>
        <w:t>New Jersey</w:t>
      </w:r>
      <w:r w:rsidR="00B131C9">
        <w:t>,</w:t>
      </w:r>
      <w:r>
        <w:t xml:space="preserve"> alleging that an unauthorized station was causing co-channel interference on 97.5 MHz.  </w:t>
      </w:r>
      <w:r w:rsidR="008D57CF">
        <w:t xml:space="preserve">On November 17, 2015, </w:t>
      </w:r>
      <w:r>
        <w:t xml:space="preserve">two agents from the Commission’s New York Field Office (New York Office) used direction finding techniques to trace the source of the interfering signal on 97.5 MHz to a residential building located </w:t>
      </w:r>
      <w:r w:rsidR="008D57CF">
        <w:t>in Paterson, New Jersey</w:t>
      </w:r>
      <w:r>
        <w:t xml:space="preserve"> (First Site).  The agents observed an FM broadcast antenna mounted on the roof of the First Site and recorded a portion of the station’s audio stream in which the announcer identified the station as “Big Link Radio” and announced a telephone number that listeners could use to reach the station’s studio (Call-In Number).  </w:t>
      </w:r>
      <w:r w:rsidRPr="005E21BC">
        <w:t>The agent</w:t>
      </w:r>
      <w:r w:rsidR="008D57CF">
        <w:t>s</w:t>
      </w:r>
      <w:r w:rsidRPr="005E21BC">
        <w:t xml:space="preserve"> took field strength measurements of the station’s signal and determined that the transmissions on </w:t>
      </w:r>
      <w:r>
        <w:t>97.5 MHz</w:t>
      </w:r>
      <w:r w:rsidRPr="005E21BC">
        <w:t xml:space="preserve"> exceeded the limits for operation under Part 15 of the Commission’s rules (Rules), and therefore required a license.</w:t>
      </w:r>
      <w:r>
        <w:rPr>
          <w:rStyle w:val="FootnoteReference"/>
        </w:rPr>
        <w:footnoteReference w:id="3"/>
      </w:r>
      <w:r w:rsidRPr="005E21BC">
        <w:t xml:space="preserve">  The agent</w:t>
      </w:r>
      <w:r w:rsidR="008D57CF">
        <w:t>s</w:t>
      </w:r>
      <w:r w:rsidRPr="005E21BC">
        <w:t xml:space="preserve"> consulted the Commission’s records and confirmed that the </w:t>
      </w:r>
      <w:r w:rsidRPr="005E21BC">
        <w:lastRenderedPageBreak/>
        <w:t xml:space="preserve">Commission had not authorized an FM broadcast station to operate on </w:t>
      </w:r>
      <w:r>
        <w:t>97.5 MHz</w:t>
      </w:r>
      <w:r w:rsidRPr="005E21BC">
        <w:t xml:space="preserve"> at or near </w:t>
      </w:r>
      <w:r>
        <w:t xml:space="preserve">the First Site.  </w:t>
      </w:r>
      <w:r w:rsidRPr="005E21BC">
        <w:t>The agent</w:t>
      </w:r>
      <w:r w:rsidR="008D57CF">
        <w:t>s</w:t>
      </w:r>
      <w:r w:rsidRPr="005E21BC">
        <w:t xml:space="preserve"> consulted the online property tax records </w:t>
      </w:r>
      <w:r>
        <w:t>of Paterson, New Jersey and</w:t>
      </w:r>
      <w:r w:rsidR="00D37F0B">
        <w:t xml:space="preserve">, after identifying </w:t>
      </w:r>
      <w:r>
        <w:t xml:space="preserve">Mantari </w:t>
      </w:r>
      <w:r w:rsidR="008D57CF">
        <w:t xml:space="preserve">Investments LLC (Mantari) </w:t>
      </w:r>
      <w:r w:rsidR="00D37F0B">
        <w:t xml:space="preserve">as the owner of </w:t>
      </w:r>
      <w:r>
        <w:t>the First Site</w:t>
      </w:r>
      <w:r w:rsidR="00D37F0B">
        <w:t xml:space="preserve">, issued to </w:t>
      </w:r>
      <w:r>
        <w:t xml:space="preserve">Mantari </w:t>
      </w:r>
      <w:r w:rsidRPr="005E21BC">
        <w:t>a Notice of Unlicensed Operation</w:t>
      </w:r>
      <w:r w:rsidR="00D7461C">
        <w:t xml:space="preserve"> (NOUO)</w:t>
      </w:r>
      <w:r w:rsidR="00D37F0B">
        <w:t xml:space="preserve">, dated December 2, 2015.  The NOUO informed Mantari </w:t>
      </w:r>
      <w:r w:rsidRPr="005E21BC">
        <w:t xml:space="preserve">that an unlicensed radio station was operating at </w:t>
      </w:r>
      <w:r>
        <w:t>97.5 MHz</w:t>
      </w:r>
      <w:r w:rsidRPr="005E21BC">
        <w:t xml:space="preserve"> at </w:t>
      </w:r>
      <w:r>
        <w:t xml:space="preserve">the First Site </w:t>
      </w:r>
      <w:r w:rsidR="00D37F0B">
        <w:t>and warned</w:t>
      </w:r>
      <w:r w:rsidRPr="005E21BC">
        <w:t xml:space="preserve"> it that continued unlicensed operations could result in additional enforcement action.</w:t>
      </w:r>
      <w:r>
        <w:rPr>
          <w:rStyle w:val="FootnoteReference"/>
        </w:rPr>
        <w:footnoteReference w:id="4"/>
      </w:r>
      <w:r w:rsidRPr="005E21BC">
        <w:t xml:space="preserve">  </w:t>
      </w:r>
      <w:r>
        <w:t xml:space="preserve">On January 20, 2016, agents from the New York Office confirmed that the pirate broadcast station was no longer operating on 97.5 MHz from the First Site. </w:t>
      </w:r>
    </w:p>
    <w:p w14:paraId="1E263A14" w14:textId="149FED22" w:rsidR="00922E1F" w:rsidRDefault="00922E1F" w:rsidP="00922E1F">
      <w:pPr>
        <w:pStyle w:val="ParaNum"/>
        <w:widowControl/>
      </w:pPr>
      <w:r>
        <w:t>On May 9, 2016, the Commission received a new complaint that an unlicensed station</w:t>
      </w:r>
      <w:r w:rsidR="008D57CF">
        <w:t xml:space="preserve">, </w:t>
      </w:r>
      <w:r>
        <w:t>identifying itself as WBLR</w:t>
      </w:r>
      <w:r w:rsidR="008D57CF">
        <w:t>,</w:t>
      </w:r>
      <w:r>
        <w:t xml:space="preserve"> was again operating on 97.5 MHz in Paterson, New Jersey.</w:t>
      </w:r>
      <w:r>
        <w:rPr>
          <w:rStyle w:val="FootnoteReference"/>
        </w:rPr>
        <w:footnoteReference w:id="5"/>
      </w:r>
      <w:r>
        <w:t xml:space="preserve">  The next day, an agent used direction finding techniques to trace the source of the signal on 97.5 MHz to the First Site.  The agent recorded a portion of the station’s audio in which the announcer identified the station as “WBLR – Big Link Radio 97.5 FM.”  </w:t>
      </w:r>
      <w:r w:rsidRPr="005E21BC">
        <w:t xml:space="preserve">The agent took field strength measurements of the station’s signal and determined that the transmissions on </w:t>
      </w:r>
      <w:r>
        <w:t>97.5 MHz</w:t>
      </w:r>
      <w:r w:rsidRPr="005E21BC">
        <w:t xml:space="preserve"> exceeded the limits for operation under Part 15 of the Rules and therefore required a license.</w:t>
      </w:r>
      <w:r>
        <w:rPr>
          <w:rStyle w:val="FootnoteReference"/>
        </w:rPr>
        <w:footnoteReference w:id="6"/>
      </w:r>
      <w:r w:rsidRPr="005E21BC">
        <w:t xml:space="preserve">  The agent consulted the Commission’s records and confirmed that the Commission had not authorized an FM broadcast station to operate on </w:t>
      </w:r>
      <w:r>
        <w:t>97.5 MHz</w:t>
      </w:r>
      <w:r w:rsidRPr="005E21BC">
        <w:t xml:space="preserve"> at or near </w:t>
      </w:r>
      <w:r>
        <w:t xml:space="preserve">the First Site.  </w:t>
      </w:r>
      <w:r w:rsidR="008D57CF">
        <w:t>O</w:t>
      </w:r>
      <w:r>
        <w:t xml:space="preserve">n May 17, 2016, the agent returned to the First Site and spoke with building maintenance personnel, who accompanied the agent to the building’s roof, where the agent observed an FM broadcast antenna with coaxial cable that ran to </w:t>
      </w:r>
      <w:r w:rsidR="008D57CF">
        <w:t>an apartment within the First Site (Apartment)</w:t>
      </w:r>
      <w:r>
        <w:t xml:space="preserve">.  The building maintenance personnel confirmed that a radio station operated from </w:t>
      </w:r>
      <w:r w:rsidR="008D57CF">
        <w:t>the Apartment.</w:t>
      </w:r>
      <w:r>
        <w:t xml:space="preserve">  Upon interviewing another tenant at the First Site, the agent </w:t>
      </w:r>
      <w:r w:rsidR="008D57CF">
        <w:t xml:space="preserve">confirmed </w:t>
      </w:r>
      <w:r>
        <w:t xml:space="preserve">that Mr. Dawson and one of Mr. Dawson’s relatives occupied </w:t>
      </w:r>
      <w:r w:rsidR="008D57CF">
        <w:t>the Apartment and operated a radio station from that location</w:t>
      </w:r>
      <w:r>
        <w:t xml:space="preserve">.  On May 23, 2016, the New York Office </w:t>
      </w:r>
      <w:r w:rsidRPr="005E21BC">
        <w:t xml:space="preserve">sent </w:t>
      </w:r>
      <w:r>
        <w:t xml:space="preserve">Mr. Dawson </w:t>
      </w:r>
      <w:r w:rsidRPr="005E21BC">
        <w:t xml:space="preserve">a </w:t>
      </w:r>
      <w:r w:rsidR="00D7461C">
        <w:t xml:space="preserve">NOUO </w:t>
      </w:r>
      <w:r w:rsidRPr="005E21BC">
        <w:t>(</w:t>
      </w:r>
      <w:r>
        <w:t xml:space="preserve">Dawson </w:t>
      </w:r>
      <w:r w:rsidRPr="005E21BC">
        <w:t xml:space="preserve">NOUO) informing </w:t>
      </w:r>
      <w:r>
        <w:t xml:space="preserve">him </w:t>
      </w:r>
      <w:r w:rsidRPr="005E21BC">
        <w:t xml:space="preserve">that an unlicensed radio station was operating at </w:t>
      </w:r>
      <w:r>
        <w:t>97.5 MHz</w:t>
      </w:r>
      <w:r w:rsidRPr="005E21BC">
        <w:t xml:space="preserve"> at </w:t>
      </w:r>
      <w:r>
        <w:t xml:space="preserve">the First Site </w:t>
      </w:r>
      <w:r w:rsidRPr="005E21BC">
        <w:t xml:space="preserve">and warning </w:t>
      </w:r>
      <w:r>
        <w:t xml:space="preserve">him </w:t>
      </w:r>
      <w:r w:rsidRPr="005E21BC">
        <w:t>that continued unlicensed operations could result in additional enforcement action.</w:t>
      </w:r>
      <w:r>
        <w:rPr>
          <w:rStyle w:val="FootnoteReference"/>
        </w:rPr>
        <w:footnoteReference w:id="7"/>
      </w:r>
      <w:r w:rsidRPr="005E21BC">
        <w:t xml:space="preserve">  </w:t>
      </w:r>
      <w:r>
        <w:t xml:space="preserve">That same day, the New York Office also sent Mantari a second </w:t>
      </w:r>
      <w:r w:rsidR="00D7461C">
        <w:t>NOUO</w:t>
      </w:r>
      <w:r>
        <w:t>.</w:t>
      </w:r>
      <w:r>
        <w:rPr>
          <w:rStyle w:val="FootnoteReference"/>
        </w:rPr>
        <w:footnoteReference w:id="8"/>
      </w:r>
      <w:r>
        <w:t xml:space="preserve"> </w:t>
      </w:r>
    </w:p>
    <w:p w14:paraId="6FF69FAD" w14:textId="7143B84B" w:rsidR="00922E1F" w:rsidRDefault="00922E1F" w:rsidP="00922E1F">
      <w:pPr>
        <w:pStyle w:val="ParaNum"/>
        <w:widowControl/>
      </w:pPr>
      <w:r>
        <w:t xml:space="preserve">On May 31, 2016, a representative of Mantari contacted the New York Office, confirmed that Mr. Dawson was operating a station from the First Site, and stated that Mantari had requested that Mr. Dawson remove the FM broadcast antenna from the First Site.  The Mantari representative also stated that Mr. Dawson claimed to have a Commission license to operate the station, but he was unable to produce a copy of the license upon Mantari’s request.  On June 1, 2016, Mr. Dawson </w:t>
      </w:r>
      <w:r w:rsidR="008D57CF">
        <w:t xml:space="preserve">contacted the New York Office and </w:t>
      </w:r>
      <w:r>
        <w:t xml:space="preserve">spoke with an agent, who advised Mr. Dawson that </w:t>
      </w:r>
      <w:r w:rsidR="008D57CF">
        <w:t>(</w:t>
      </w:r>
      <w:r w:rsidR="008D57CF" w:rsidRPr="00C759E8">
        <w:rPr>
          <w:i/>
        </w:rPr>
        <w:t>a</w:t>
      </w:r>
      <w:r w:rsidR="008D57CF">
        <w:t xml:space="preserve">) </w:t>
      </w:r>
      <w:r>
        <w:t>he needed a license to operate an FM broadcast station on 97.5 MHz in Paterson, New Jersey</w:t>
      </w:r>
      <w:r w:rsidR="008D57CF">
        <w:t xml:space="preserve"> and (</w:t>
      </w:r>
      <w:r w:rsidR="008D57CF" w:rsidRPr="00C759E8">
        <w:rPr>
          <w:i/>
        </w:rPr>
        <w:t>b</w:t>
      </w:r>
      <w:r w:rsidR="008D57CF">
        <w:t>) continued unlicensed operations could result in additional enforcement actions</w:t>
      </w:r>
      <w:r>
        <w:t>.  During the conversation with the agent, Mr. Dawson stated that he had applied for a Commission license to operate the station, but he did not provide the agent with more information about the purported application.</w:t>
      </w:r>
      <w:r>
        <w:rPr>
          <w:rStyle w:val="FootnoteReference"/>
        </w:rPr>
        <w:footnoteReference w:id="9"/>
      </w:r>
      <w:r>
        <w:t xml:space="preserve">  Mr. Dawson then told the agent that he would remove the transmission equipment from </w:t>
      </w:r>
      <w:r w:rsidR="008D57CF">
        <w:t>the Apartment</w:t>
      </w:r>
      <w:r>
        <w:t xml:space="preserve">.  On June 6, 2016, a representative from Mantari contacted the New York Office and confirmed the removal of the FM broadcast antenna from the First Site. </w:t>
      </w:r>
    </w:p>
    <w:p w14:paraId="26481548" w14:textId="7712FA2B" w:rsidR="00922E1F" w:rsidRDefault="00E021EF" w:rsidP="00922E1F">
      <w:pPr>
        <w:pStyle w:val="ParaNum"/>
        <w:widowControl/>
      </w:pPr>
      <w:r>
        <w:t xml:space="preserve">On July 6, 2016, the New York Office received a complaint alleging that an unlicensed station was operating on 97.5 MHz in Paterson, New Jersey.  On August 2, 2016, an agent from the New York Office used direction finding techniques to trace the source of the interfering signal on 97.5 MHz to </w:t>
      </w:r>
      <w:r w:rsidR="00C759E8">
        <w:t xml:space="preserve">a different </w:t>
      </w:r>
      <w:r>
        <w:t xml:space="preserve">residential building </w:t>
      </w:r>
      <w:r w:rsidR="00C759E8">
        <w:t xml:space="preserve">in </w:t>
      </w:r>
      <w:r>
        <w:t>Paterson, New Jersey</w:t>
      </w:r>
      <w:r w:rsidR="005431AD">
        <w:t xml:space="preserve"> </w:t>
      </w:r>
      <w:r w:rsidR="00055269">
        <w:t xml:space="preserve">(Second </w:t>
      </w:r>
      <w:r w:rsidR="005431AD">
        <w:t>Site</w:t>
      </w:r>
      <w:r w:rsidR="00055269">
        <w:t xml:space="preserve">). The agent observed an FM broadcast antenna mounted on the roof of the Second </w:t>
      </w:r>
      <w:r w:rsidR="005431AD">
        <w:t>Site</w:t>
      </w:r>
      <w:r w:rsidR="00055269">
        <w:t xml:space="preserve"> and recorded a portion of the station’s audio</w:t>
      </w:r>
      <w:r w:rsidR="00C759E8">
        <w:t xml:space="preserve"> stream</w:t>
      </w:r>
      <w:r w:rsidR="00055269">
        <w:t xml:space="preserve">, </w:t>
      </w:r>
      <w:r w:rsidR="00C759E8">
        <w:t xml:space="preserve">during </w:t>
      </w:r>
      <w:r w:rsidR="00055269">
        <w:t xml:space="preserve">which the announcer identified the station as “WBLR – Big Link Radio” and </w:t>
      </w:r>
      <w:r w:rsidR="00C759E8">
        <w:t>publicized the Call-In Number as a way to contact the station’s studio.</w:t>
      </w:r>
      <w:r w:rsidR="00055269">
        <w:t xml:space="preserve">  </w:t>
      </w:r>
      <w:r w:rsidR="00055269" w:rsidRPr="005E21BC">
        <w:t xml:space="preserve">The agent took field strength measurements of the station’s signal and determined that the transmissions on </w:t>
      </w:r>
      <w:r w:rsidR="00055269">
        <w:t>97.5 MHz</w:t>
      </w:r>
      <w:r w:rsidR="00055269" w:rsidRPr="005E21BC">
        <w:t xml:space="preserve"> exceeded the limits for operation under Part 15 of the Rules, and therefore required a license.</w:t>
      </w:r>
      <w:r w:rsidR="00055269">
        <w:rPr>
          <w:rStyle w:val="FootnoteReference"/>
        </w:rPr>
        <w:footnoteReference w:id="10"/>
      </w:r>
      <w:r w:rsidR="00055269" w:rsidRPr="005E21BC">
        <w:t xml:space="preserve">  The agent consulted the Commission’s records and confirmed that the Commission had not authorized an FM broadcast station to operate on </w:t>
      </w:r>
      <w:r w:rsidR="00055269">
        <w:t>97.5 MHz</w:t>
      </w:r>
      <w:r w:rsidR="00055269" w:rsidRPr="005E21BC">
        <w:t xml:space="preserve"> at or near </w:t>
      </w:r>
      <w:r w:rsidR="00055269">
        <w:t xml:space="preserve">the Second </w:t>
      </w:r>
      <w:r w:rsidR="005431AD">
        <w:t>Site</w:t>
      </w:r>
      <w:r w:rsidR="00055269">
        <w:t xml:space="preserve">.  The agent then posted a Notice of Unlicensed Radio Operation on the front door of the Second </w:t>
      </w:r>
      <w:r w:rsidR="005431AD">
        <w:t>Site</w:t>
      </w:r>
      <w:r w:rsidR="00055269">
        <w:t>.</w:t>
      </w:r>
      <w:r w:rsidR="00055269">
        <w:rPr>
          <w:rStyle w:val="FootnoteReference"/>
        </w:rPr>
        <w:footnoteReference w:id="11"/>
      </w:r>
      <w:r w:rsidR="00055269">
        <w:t xml:space="preserve">  </w:t>
      </w:r>
    </w:p>
    <w:p w14:paraId="1389E7F3" w14:textId="7C5724B9" w:rsidR="00922E1F" w:rsidRDefault="00055269" w:rsidP="00922E1F">
      <w:pPr>
        <w:pStyle w:val="ParaNum"/>
        <w:widowControl/>
      </w:pPr>
      <w:r>
        <w:t xml:space="preserve">On August 9, </w:t>
      </w:r>
      <w:r w:rsidR="005431AD">
        <w:t xml:space="preserve">2016, </w:t>
      </w:r>
      <w:r>
        <w:t xml:space="preserve">the agent from the New York Office returned to the Second </w:t>
      </w:r>
      <w:r w:rsidR="005431AD">
        <w:t>Site</w:t>
      </w:r>
      <w:r>
        <w:t xml:space="preserve"> to determine whether the unlicensed station was still broadcasting.  At the Second </w:t>
      </w:r>
      <w:r w:rsidR="005431AD">
        <w:t>Site</w:t>
      </w:r>
      <w:r>
        <w:t xml:space="preserve">, the agent observed that the unlicensed station remained on the air and that an FM broadcast antenna was still present on the building’s roof.  However, </w:t>
      </w:r>
      <w:r w:rsidR="00C759E8">
        <w:t xml:space="preserve">after further observation, </w:t>
      </w:r>
      <w:r>
        <w:t xml:space="preserve">the agent concluded that the unlicensed station was no longer operating from the Second </w:t>
      </w:r>
      <w:r w:rsidR="005431AD">
        <w:t>Site</w:t>
      </w:r>
      <w:r>
        <w:t xml:space="preserve">.  The agent then used direction finding techniques to trace the </w:t>
      </w:r>
      <w:r w:rsidR="00D5788D">
        <w:t xml:space="preserve">source of the unlicensed </w:t>
      </w:r>
      <w:r>
        <w:t xml:space="preserve">signal on 97.5 MHz to </w:t>
      </w:r>
      <w:r w:rsidR="00D5788D">
        <w:t>a possible location in Paterson, New Jersey</w:t>
      </w:r>
      <w:r w:rsidR="00B91452">
        <w:t xml:space="preserve">.  However, </w:t>
      </w:r>
      <w:r w:rsidR="00D5788D">
        <w:t>before the agent was able to establish the station’s precise location, the station was taken off the air.  While the station was on the air, however, the agent recorded a portion of the station’s audio stream</w:t>
      </w:r>
      <w:r w:rsidR="009A7C83">
        <w:t xml:space="preserve">, in which the announcer identified the station as “WBLR – Big Link Radio.”  </w:t>
      </w:r>
    </w:p>
    <w:p w14:paraId="37CF80A4" w14:textId="22AB3EF5" w:rsidR="00FC1727" w:rsidRDefault="009A7C83" w:rsidP="00922E1F">
      <w:pPr>
        <w:pStyle w:val="ParaNum"/>
        <w:widowControl/>
      </w:pPr>
      <w:r>
        <w:t xml:space="preserve">On August 17, 2016, the agent returned to the Second </w:t>
      </w:r>
      <w:r w:rsidR="005431AD">
        <w:t>Site</w:t>
      </w:r>
      <w:r>
        <w:t xml:space="preserve"> and observed that the FM broadcast antenna remained on the building’s roof but that the unlicensed station was operating from a different location.  Using direction finding techniques, the agent traced the source of the transmissions to a single family dwelling </w:t>
      </w:r>
      <w:r w:rsidR="00C759E8">
        <w:t xml:space="preserve">in </w:t>
      </w:r>
      <w:r>
        <w:t>Paterson, New Jersey (</w:t>
      </w:r>
      <w:r w:rsidR="00B91452">
        <w:t xml:space="preserve">Third </w:t>
      </w:r>
      <w:r w:rsidR="005431AD">
        <w:t>Site</w:t>
      </w:r>
      <w:r>
        <w:t xml:space="preserve">).  The agent observed the presence of an FM broadcast antenna in a tree at the </w:t>
      </w:r>
      <w:r w:rsidR="00B91452">
        <w:t xml:space="preserve">Third </w:t>
      </w:r>
      <w:r w:rsidR="005431AD">
        <w:t>Site</w:t>
      </w:r>
      <w:r>
        <w:t xml:space="preserve"> and recorded a portion of the station’s audio, in which the announcer identified the station as “WBLR – Big Link Radio.”  </w:t>
      </w:r>
      <w:r w:rsidRPr="005E21BC">
        <w:t xml:space="preserve">The agent took field strength measurements of the station’s signal and determined that the transmissions on </w:t>
      </w:r>
      <w:r>
        <w:t>97.5 MHz</w:t>
      </w:r>
      <w:r w:rsidRPr="005E21BC">
        <w:t xml:space="preserve"> exceeded the limits for operation under Part 15 of the Rules, and therefore required a license.</w:t>
      </w:r>
      <w:r>
        <w:rPr>
          <w:rStyle w:val="FootnoteReference"/>
        </w:rPr>
        <w:footnoteReference w:id="12"/>
      </w:r>
      <w:r w:rsidRPr="005E21BC">
        <w:t xml:space="preserve">  The agent consulted the Commission’s records and confirmed that the Commission had not authorized an FM broadcast station to operate on </w:t>
      </w:r>
      <w:r>
        <w:t>97.5 MHz</w:t>
      </w:r>
      <w:r w:rsidRPr="005E21BC">
        <w:t xml:space="preserve"> at or near </w:t>
      </w:r>
      <w:r>
        <w:t xml:space="preserve">the </w:t>
      </w:r>
      <w:r w:rsidR="00B91452">
        <w:t>Third</w:t>
      </w:r>
      <w:r>
        <w:t xml:space="preserve"> </w:t>
      </w:r>
      <w:r w:rsidR="005431AD">
        <w:t>Site</w:t>
      </w:r>
      <w:r>
        <w:t xml:space="preserve">.  </w:t>
      </w:r>
    </w:p>
    <w:p w14:paraId="77335071" w14:textId="4FD5121B" w:rsidR="0030440E" w:rsidRDefault="0030440E" w:rsidP="0030440E">
      <w:pPr>
        <w:pStyle w:val="Heading1"/>
      </w:pPr>
      <w:r>
        <w:t>Discussion</w:t>
      </w:r>
    </w:p>
    <w:p w14:paraId="2B0166C9" w14:textId="26E78166" w:rsidR="00922E1F" w:rsidRDefault="00E806B5" w:rsidP="00922E1F">
      <w:pPr>
        <w:pStyle w:val="ParaNum"/>
        <w:widowControl/>
      </w:pPr>
      <w:r w:rsidRPr="00E806B5">
        <w:t xml:space="preserve">We find that </w:t>
      </w:r>
      <w:r w:rsidR="002A5247">
        <w:t xml:space="preserve">Mr. </w:t>
      </w:r>
      <w:r>
        <w:t xml:space="preserve">Dawson </w:t>
      </w:r>
      <w:r w:rsidRPr="00E806B5">
        <w:t>apparently willfully and repeatedly violated Section 301 of the Communications Act of 1934, as amended (Act).  Section 301 of the Act states that no person shall use or operate any apparatus for the transmission of energy or communications or signals by radio within the United States without a license granted by the Commission.</w:t>
      </w:r>
      <w:r>
        <w:rPr>
          <w:rStyle w:val="FootnoteReference"/>
        </w:rPr>
        <w:footnoteReference w:id="13"/>
      </w:r>
      <w:r>
        <w:t xml:space="preserve">  As noted above, </w:t>
      </w:r>
      <w:r w:rsidR="00604C34">
        <w:t xml:space="preserve">after Mr. Dawson removed the unlicensed FM broadcast station’s equipment from the First Site, </w:t>
      </w:r>
      <w:r>
        <w:t xml:space="preserve">agents from the New York Office determined that </w:t>
      </w:r>
      <w:r w:rsidR="00604C34">
        <w:t xml:space="preserve">Mr. </w:t>
      </w:r>
      <w:r>
        <w:t xml:space="preserve">Dawson has repeatedly operated </w:t>
      </w:r>
      <w:r w:rsidR="00D7461C">
        <w:t xml:space="preserve">his </w:t>
      </w:r>
      <w:r>
        <w:t xml:space="preserve">unlicensed FM broadcast station on 97.5 MHz from </w:t>
      </w:r>
      <w:r w:rsidR="00604C34">
        <w:t xml:space="preserve">three additional locations </w:t>
      </w:r>
      <w:r>
        <w:t>in Paterson, New Jersey.</w:t>
      </w:r>
      <w:r w:rsidR="00D7461C">
        <w:rPr>
          <w:rStyle w:val="FootnoteReference"/>
        </w:rPr>
        <w:footnoteReference w:id="14"/>
      </w:r>
      <w:r>
        <w:t xml:space="preserve">  Despite receiving a written warning from the New York Office and a subsequent verbal warning from an agent of the New York Office</w:t>
      </w:r>
      <w:r w:rsidR="00604C34">
        <w:t xml:space="preserve"> in connection with his operations from the First Site</w:t>
      </w:r>
      <w:r>
        <w:t>, Mr. Dawson has chosen to continue to operate hi</w:t>
      </w:r>
      <w:r w:rsidR="00D7461C">
        <w:t xml:space="preserve">s illegal station on 97.5 MHz and </w:t>
      </w:r>
      <w:r>
        <w:t xml:space="preserve">has established a pattern of relocating his </w:t>
      </w:r>
      <w:r w:rsidRPr="005E21BC">
        <w:t xml:space="preserve">unlicensed FM broadcast station shortly after </w:t>
      </w:r>
      <w:r w:rsidR="00D7461C">
        <w:t xml:space="preserve">the New York Office issues a NOUO to the applicable building owner.  </w:t>
      </w:r>
      <w:r>
        <w:t xml:space="preserve">This course of conduct demonstrates Mr. Dawson’s continued awareness that his </w:t>
      </w:r>
      <w:r w:rsidR="00D7461C">
        <w:t xml:space="preserve">operation of an </w:t>
      </w:r>
      <w:r>
        <w:t xml:space="preserve">unlicensed </w:t>
      </w:r>
      <w:r w:rsidR="00D7461C">
        <w:t xml:space="preserve">FM station on </w:t>
      </w:r>
      <w:r>
        <w:t xml:space="preserve">97.5 MHz </w:t>
      </w:r>
      <w:r w:rsidR="00D7461C">
        <w:t xml:space="preserve">in Paterson, New Jersey </w:t>
      </w:r>
      <w:r>
        <w:t xml:space="preserve">violates Section 301 of the Act. </w:t>
      </w:r>
    </w:p>
    <w:p w14:paraId="47F4D615" w14:textId="77777777" w:rsidR="00D7461C" w:rsidRDefault="00FD5843" w:rsidP="00D7461C">
      <w:pPr>
        <w:pStyle w:val="ParaNum"/>
        <w:widowControl/>
      </w:pPr>
      <w: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15"/>
      </w:r>
      <w:r>
        <w:t xml:space="preserve">  Here, Section 503(b)(2)(D) of the Act authorizes us to assess a forfeiture against Mr. Dawson up to $18,936  for each day of a continuing violation, up to a statutory maximum of $142,021 for a single act or failure to act.</w:t>
      </w:r>
      <w:r>
        <w:rPr>
          <w:rStyle w:val="FootnoteReference"/>
        </w:rPr>
        <w:footnoteReference w:id="16"/>
      </w:r>
      <w:r>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7"/>
      </w:r>
      <w:r>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18"/>
      </w:r>
      <w:r>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19"/>
      </w:r>
      <w:r>
        <w:t xml:space="preserve">  </w:t>
      </w:r>
      <w:r w:rsidRPr="0005582E">
        <w:t>Section 1.80(b) of the Rules sets a base forfeiture of $10,000 for operation without an instrument of authorization for each violation or each day of a continuing violation.</w:t>
      </w:r>
      <w:r>
        <w:rPr>
          <w:rStyle w:val="FootnoteReference"/>
        </w:rPr>
        <w:footnoteReference w:id="20"/>
      </w:r>
      <w:r w:rsidRPr="0005582E">
        <w:t xml:space="preserve">  </w:t>
      </w:r>
    </w:p>
    <w:p w14:paraId="0BDFF94F" w14:textId="5D6C2542" w:rsidR="00F4535E" w:rsidRPr="00F4535E" w:rsidRDefault="00D7461C" w:rsidP="00B24D2E">
      <w:pPr>
        <w:pStyle w:val="ParaNum"/>
        <w:widowControl/>
      </w:pPr>
      <w:r>
        <w:t>Through its investigation, the Enforcement Bureau has determined that Mr. Dawson operated an unlicensed FM station on 97.5 MHz (a) on May 10, 2016</w:t>
      </w:r>
      <w:r w:rsidR="00B24D2E">
        <w:t>,</w:t>
      </w:r>
      <w:r>
        <w:t xml:space="preserve"> from the First Site, and (b) between </w:t>
      </w:r>
      <w:r w:rsidR="00B24D2E">
        <w:t>August 2 and August 17, 2016, from the Second Site</w:t>
      </w:r>
      <w:r w:rsidR="00B91452">
        <w:t xml:space="preserve"> and </w:t>
      </w:r>
      <w:r w:rsidR="00B24D2E">
        <w:t xml:space="preserve">the Third Site, all in </w:t>
      </w:r>
      <w:r>
        <w:t>apparent violation of Section 301 of the Act. In light of these findings, we propose a</w:t>
      </w:r>
      <w:r w:rsidR="00B24D2E">
        <w:t xml:space="preserve">n aggregate </w:t>
      </w:r>
      <w:r>
        <w:t>base</w:t>
      </w:r>
      <w:r w:rsidR="00B24D2E">
        <w:t xml:space="preserve"> forfeiture of $2</w:t>
      </w:r>
      <w:r>
        <w:t xml:space="preserve">0,000 for </w:t>
      </w:r>
      <w:r w:rsidR="00B24D2E">
        <w:t xml:space="preserve">these apparent violations of Section 301 of the Act.  </w:t>
      </w:r>
      <w:r w:rsidR="00FD5843" w:rsidRPr="0005582E">
        <w:t>We have discretion, however, to depart from these guidelines, taking into account the particular facts of each individual case.</w:t>
      </w:r>
      <w:r w:rsidR="00FD5843">
        <w:rPr>
          <w:rStyle w:val="FootnoteReference"/>
        </w:rPr>
        <w:footnoteReference w:id="21"/>
      </w:r>
      <w:r w:rsidR="00FD5843" w:rsidRPr="0005582E">
        <w:t xml:space="preserve">  </w:t>
      </w:r>
      <w:r w:rsidR="00604C34">
        <w:t xml:space="preserve">Given the totality of the circumstances, and consistent with the </w:t>
      </w:r>
      <w:r w:rsidR="00604C34" w:rsidRPr="00B24D2E">
        <w:rPr>
          <w:i/>
        </w:rPr>
        <w:t>Forfeiture Policy Statement</w:t>
      </w:r>
      <w:r w:rsidR="00604C34">
        <w:t xml:space="preserve">, we conclude that a significant upward adjustment is warranted.  While still operating at the First Site, Mr. Dawson was instructed to cease operating his unlicensed FM broadcast station.  Yet, instead of complying with the Commission’s instructions, Mr. Dawson continued to operate his illegal station from a series of different locations.  </w:t>
      </w:r>
      <w:r w:rsidR="00B24D2E">
        <w:t xml:space="preserve">We therefore propose an upward adjustment of $5,000 based on the repeated nature of Mr. Dawson’s apparent violations of Section 301 of the Act.  </w:t>
      </w:r>
      <w:r w:rsidR="00604C34">
        <w:t>A</w:t>
      </w:r>
      <w:r w:rsidR="00FD5843" w:rsidRPr="0005582E">
        <w:t xml:space="preserve">fter applying the </w:t>
      </w:r>
      <w:r w:rsidR="00FD5843" w:rsidRPr="00B24D2E">
        <w:rPr>
          <w:i/>
        </w:rPr>
        <w:t>Forfeiture Policy Statement</w:t>
      </w:r>
      <w:r w:rsidR="00FD5843" w:rsidRPr="0005582E">
        <w:t xml:space="preserve">, Section 1.80 of the Rules, and the statutory factors, we </w:t>
      </w:r>
      <w:r w:rsidR="00B24D2E">
        <w:t>therefor</w:t>
      </w:r>
      <w:r w:rsidR="000F50A0">
        <w:t>e</w:t>
      </w:r>
      <w:r w:rsidR="00B24D2E">
        <w:t xml:space="preserve"> </w:t>
      </w:r>
      <w:r w:rsidR="00FD5843" w:rsidRPr="0005582E">
        <w:t xml:space="preserve">propose a total </w:t>
      </w:r>
      <w:r w:rsidR="00B24D2E">
        <w:t xml:space="preserve">monetary </w:t>
      </w:r>
      <w:r w:rsidR="00FD5843" w:rsidRPr="0005582E">
        <w:t>forfeiture of $</w:t>
      </w:r>
      <w:r w:rsidR="00B24D2E">
        <w:t>2</w:t>
      </w:r>
      <w:r w:rsidR="00604C34">
        <w:t>5</w:t>
      </w:r>
      <w:r w:rsidR="00FD5843" w:rsidRPr="0005582E">
        <w:t xml:space="preserve">,000 for which Mr. </w:t>
      </w:r>
      <w:r w:rsidR="00FD5843">
        <w:t xml:space="preserve">Dawson </w:t>
      </w:r>
      <w:r w:rsidR="00604C34">
        <w:t xml:space="preserve">is </w:t>
      </w:r>
      <w:r w:rsidR="00FD5843">
        <w:t xml:space="preserve">apparently liable.  </w:t>
      </w:r>
    </w:p>
    <w:p w14:paraId="0F27D22D" w14:textId="5097E512" w:rsidR="00B83CE6" w:rsidRDefault="00B83CE6" w:rsidP="00B83CE6">
      <w:pPr>
        <w:pStyle w:val="Heading1"/>
      </w:pPr>
      <w:r>
        <w:t>Conclusion</w:t>
      </w:r>
    </w:p>
    <w:p w14:paraId="6E3BC458" w14:textId="00BDD62B" w:rsidR="00B83CE6" w:rsidRDefault="004F2A44" w:rsidP="00922E1F">
      <w:pPr>
        <w:pStyle w:val="ParaNum"/>
        <w:widowControl/>
      </w:pPr>
      <w:r>
        <w:t>We have determined that Mr. Dawson apparently willfully and repeatedly violated Section 301 of the Act.  As such, Mr. Dawson is apparently liable for a forfeiture of $</w:t>
      </w:r>
      <w:r w:rsidR="00B24D2E">
        <w:t>2</w:t>
      </w:r>
      <w:r>
        <w:t>5,000.</w:t>
      </w:r>
      <w:r w:rsidR="00B83CE6">
        <w:t xml:space="preserve"> </w:t>
      </w:r>
    </w:p>
    <w:p w14:paraId="05E857E3" w14:textId="092903F5" w:rsidR="00B83CE6" w:rsidRDefault="00B83CE6" w:rsidP="00B83CE6">
      <w:pPr>
        <w:pStyle w:val="Heading1"/>
      </w:pPr>
      <w:r>
        <w:t xml:space="preserve">Ordering Clauses </w:t>
      </w:r>
    </w:p>
    <w:p w14:paraId="23406C4A" w14:textId="6A70F65B" w:rsidR="00922E1F" w:rsidRDefault="005431AD" w:rsidP="00922E1F">
      <w:pPr>
        <w:pStyle w:val="ParaNum"/>
        <w:widowControl/>
      </w:pPr>
      <w:r>
        <w:t xml:space="preserve">Accordingly, </w:t>
      </w:r>
      <w:r w:rsidRPr="0031546A">
        <w:rPr>
          <w:b/>
        </w:rPr>
        <w:t>IT IS ORDERED</w:t>
      </w:r>
      <w:r>
        <w:t xml:space="preserve"> that, pursuant to Section 503(b) of the Act</w:t>
      </w:r>
      <w:r>
        <w:rPr>
          <w:rStyle w:val="FootnoteReference"/>
        </w:rPr>
        <w:footnoteReference w:id="22"/>
      </w:r>
      <w:r>
        <w:t xml:space="preserve"> and Sections 1.80 of the Rules,</w:t>
      </w:r>
      <w:r>
        <w:rPr>
          <w:rStyle w:val="FootnoteReference"/>
        </w:rPr>
        <w:footnoteReference w:id="23"/>
      </w:r>
      <w:r>
        <w:t xml:space="preserve"> </w:t>
      </w:r>
      <w:r w:rsidR="004F2A44">
        <w:t xml:space="preserve">Conroy Dawson </w:t>
      </w:r>
      <w:r>
        <w:t xml:space="preserve">is hereby </w:t>
      </w:r>
      <w:r w:rsidRPr="0031546A">
        <w:rPr>
          <w:b/>
        </w:rPr>
        <w:t>NOTIFIED</w:t>
      </w:r>
      <w:r>
        <w:t xml:space="preserve"> of this </w:t>
      </w:r>
      <w:r w:rsidRPr="0031546A">
        <w:rPr>
          <w:b/>
        </w:rPr>
        <w:t>APPARENT</w:t>
      </w:r>
      <w:r>
        <w:t xml:space="preserve"> </w:t>
      </w:r>
      <w:r w:rsidRPr="0031546A">
        <w:rPr>
          <w:b/>
        </w:rPr>
        <w:t>LIABILITY FOR A FORFEITURE</w:t>
      </w:r>
      <w:r>
        <w:t xml:space="preserve"> in the amount of </w:t>
      </w:r>
      <w:r w:rsidR="00B24D2E">
        <w:t xml:space="preserve">Twenty-Five Thousand Dollars ($25,000) </w:t>
      </w:r>
      <w:r>
        <w:t xml:space="preserve">for willful and repeated violations of </w:t>
      </w:r>
      <w:r w:rsidR="004F2A44">
        <w:t>Section 301 of the Act</w:t>
      </w:r>
      <w:r>
        <w:t>.</w:t>
      </w:r>
      <w:r>
        <w:rPr>
          <w:rStyle w:val="FootnoteReference"/>
        </w:rPr>
        <w:footnoteReference w:id="24"/>
      </w:r>
      <w:r>
        <w:t xml:space="preserve">  </w:t>
      </w:r>
    </w:p>
    <w:p w14:paraId="52673E40" w14:textId="2EFA9DE9" w:rsidR="00922E1F" w:rsidRDefault="005431AD" w:rsidP="00922E1F">
      <w:pPr>
        <w:pStyle w:val="ParaNum"/>
        <w:widowControl/>
      </w:pPr>
      <w:r w:rsidRPr="00922E1F">
        <w:rPr>
          <w:b/>
        </w:rPr>
        <w:t>IT IS FURTHER ORDERED</w:t>
      </w:r>
      <w:r>
        <w:t xml:space="preserve"> that, pursuant to Section 1.80 of the Rules,</w:t>
      </w:r>
      <w:r>
        <w:rPr>
          <w:rStyle w:val="FootnoteReference"/>
        </w:rPr>
        <w:footnoteReference w:id="25"/>
      </w:r>
      <w:r>
        <w:t xml:space="preserve"> within thirty (30) calendar days of the release date of this Notice of Apparent Liability for Forfeiture, </w:t>
      </w:r>
      <w:r w:rsidR="004F2A44">
        <w:t>Conroy Dawson</w:t>
      </w:r>
      <w:r>
        <w:t xml:space="preserve"> </w:t>
      </w:r>
      <w:r w:rsidRPr="00922E1F">
        <w:rPr>
          <w:b/>
        </w:rPr>
        <w:t>SHALL PAY</w:t>
      </w:r>
      <w:r>
        <w:t xml:space="preserve"> the full amount of the proposed forfeiture or </w:t>
      </w:r>
      <w:r w:rsidRPr="00922E1F">
        <w:rPr>
          <w:b/>
        </w:rPr>
        <w:t>SHALL FILE</w:t>
      </w:r>
      <w:r>
        <w:t xml:space="preserve"> a written statement seeking reduction or cancellation of the proposed forfeit</w:t>
      </w:r>
      <w:r w:rsidR="00A20D85">
        <w:t xml:space="preserve">ure consistent with paragraph </w:t>
      </w:r>
      <w:r w:rsidR="004F2A44">
        <w:t>1</w:t>
      </w:r>
      <w:r w:rsidR="00B24D2E">
        <w:t>6</w:t>
      </w:r>
      <w:r>
        <w:t xml:space="preserve"> below.</w:t>
      </w:r>
    </w:p>
    <w:p w14:paraId="28F8504E" w14:textId="5D9182EE" w:rsidR="005431AD" w:rsidRDefault="005431AD" w:rsidP="00922E1F">
      <w:pPr>
        <w:pStyle w:val="ParaNum"/>
        <w:widowControl/>
      </w:pPr>
      <w:r>
        <w:t xml:space="preserve">Payment of the forfeiture must be made by check or similar instrument, wire transfer, or credit card, and must include the NAL/Account Number and FRN referenced above.  Public Safety Technologies, Inc. shall send electronic notification of payment to </w:t>
      </w:r>
      <w:hyperlink r:id="rId8" w:history="1">
        <w:r w:rsidR="00B24D2E" w:rsidRPr="00D33814">
          <w:rPr>
            <w:rStyle w:val="Hyperlink"/>
          </w:rPr>
          <w:t>NER-Response@fcc.gov</w:t>
        </w:r>
      </w:hyperlink>
      <w:r>
        <w:t xml:space="preserve"> and </w:t>
      </w:r>
      <w:hyperlink r:id="rId9" w:history="1">
        <w:r w:rsidR="00B24D2E" w:rsidRPr="00D33814">
          <w:rPr>
            <w:rStyle w:val="Hyperlink"/>
          </w:rPr>
          <w:t>Matthew.Gibson@fcc.gov</w:t>
        </w:r>
      </w:hyperlink>
      <w:r w:rsidR="00B24D2E">
        <w:t xml:space="preserve"> </w:t>
      </w:r>
      <w:r>
        <w:t>on the date said payment is made.  Regardless of the form of payment, a completed FCC Form 159 (Remittance Advice) must be submitted.</w:t>
      </w:r>
      <w:r>
        <w:rPr>
          <w:rStyle w:val="FootnoteReference"/>
        </w:rPr>
        <w:footnoteReference w:id="26"/>
      </w:r>
      <w: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tab/>
      </w:r>
    </w:p>
    <w:p w14:paraId="592D954E" w14:textId="77777777" w:rsidR="005431AD" w:rsidRDefault="005431AD" w:rsidP="005431AD">
      <w:pPr>
        <w:widowControl/>
        <w:numPr>
          <w:ilvl w:val="0"/>
          <w:numId w:val="7"/>
        </w:numPr>
        <w:spacing w:after="120"/>
      </w:pPr>
      <w: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44C5AA6D" w14:textId="77777777" w:rsidR="005431AD" w:rsidRDefault="005431AD" w:rsidP="005431AD">
      <w:pPr>
        <w:widowControl/>
        <w:numPr>
          <w:ilvl w:val="0"/>
          <w:numId w:val="7"/>
        </w:numPr>
        <w:spacing w:after="120"/>
      </w:pPr>
      <w: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6E27F04F" w14:textId="77777777" w:rsidR="005431AD" w:rsidRDefault="005431AD" w:rsidP="005431AD">
      <w:pPr>
        <w:widowControl/>
        <w:numPr>
          <w:ilvl w:val="0"/>
          <w:numId w:val="7"/>
        </w:numPr>
        <w:spacing w:after="120"/>
      </w:pPr>
      <w: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4D3547A5" w14:textId="38373AE4" w:rsidR="00922E1F" w:rsidRDefault="005431AD" w:rsidP="00922E1F">
      <w:pPr>
        <w:pStyle w:val="ParaNum"/>
        <w:widowControl/>
      </w:pPr>
      <w:r>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27"/>
      </w:r>
      <w:r>
        <w:t xml:space="preserve">  Questions regarding payment procedures should be directed to the Financial Operations Group Help Desk by phone, 1-877-480-3201, or by e-mail, </w:t>
      </w:r>
      <w:hyperlink r:id="rId10" w:history="1">
        <w:r w:rsidR="00922E1F" w:rsidRPr="00F6582F">
          <w:rPr>
            <w:rStyle w:val="Hyperlink"/>
          </w:rPr>
          <w:t>ARINQUIRIES@fcc.gov</w:t>
        </w:r>
      </w:hyperlink>
      <w:r>
        <w:t>.</w:t>
      </w:r>
    </w:p>
    <w:p w14:paraId="1BE987E2" w14:textId="74402BAC" w:rsidR="00922E1F" w:rsidRDefault="005431AD" w:rsidP="00B24D2E">
      <w:pPr>
        <w:pStyle w:val="ParaNum"/>
        <w:widowControl/>
      </w:pPr>
      <w:r>
        <w:t>The written statement seeking reduction or cancellation of the proposed forfeiture, if any, must include a detailed factual statement supported by appropriate documentation and affidavits pursuant to Sections 1.16 and 1.80(f)(3) of the Rules.</w:t>
      </w:r>
      <w:r>
        <w:rPr>
          <w:rStyle w:val="FootnoteReference"/>
        </w:rPr>
        <w:footnoteReference w:id="28"/>
      </w:r>
      <w:r>
        <w:t xml:space="preserve">  The written </w:t>
      </w:r>
      <w:r w:rsidR="00B24D2E">
        <w:t xml:space="preserve">statement must be mailed to Region One Regional Office, </w:t>
      </w:r>
      <w:r>
        <w:t xml:space="preserve">Federal Communications Commission, </w:t>
      </w:r>
      <w:r w:rsidR="00B24D2E">
        <w:t>9200 Farm House Lane, Columbia MD 21046</w:t>
      </w:r>
      <w:r>
        <w:t xml:space="preserve">, and must include the NAL/Account Number referenced in the caption.  The statement must also be e-mailed to </w:t>
      </w:r>
      <w:hyperlink r:id="rId11" w:history="1">
        <w:r w:rsidR="00B24D2E" w:rsidRPr="00D33814">
          <w:rPr>
            <w:rStyle w:val="Hyperlink"/>
          </w:rPr>
          <w:t>NER-Response@fcc.gov</w:t>
        </w:r>
      </w:hyperlink>
      <w:r>
        <w:t xml:space="preserve"> and </w:t>
      </w:r>
      <w:hyperlink r:id="rId12" w:history="1">
        <w:r w:rsidR="00B24D2E" w:rsidRPr="00D33814">
          <w:rPr>
            <w:rStyle w:val="Hyperlink"/>
          </w:rPr>
          <w:t>Matthew.Gibson@fcc.gov</w:t>
        </w:r>
      </w:hyperlink>
      <w:r w:rsidR="00B24D2E">
        <w:t xml:space="preserve">. </w:t>
      </w:r>
    </w:p>
    <w:p w14:paraId="072F77DB" w14:textId="77777777" w:rsidR="00922E1F" w:rsidRDefault="005431AD" w:rsidP="00922E1F">
      <w:pPr>
        <w:pStyle w:val="ParaNum"/>
        <w:widowControl/>
      </w:pPr>
      <w:r>
        <w:t>The Commission will not consider reducing or canceling a forfeiture in response to a claim of inability to pay unless the petitioner submits:  (</w:t>
      </w:r>
      <w:r w:rsidRPr="00922E1F">
        <w:rPr>
          <w:i/>
        </w:rPr>
        <w:t>1</w:t>
      </w:r>
      <w:r>
        <w:t>)</w:t>
      </w:r>
      <w:r w:rsidR="00A20D85">
        <w:t> </w:t>
      </w:r>
      <w:r>
        <w:t>federal tax returns for the most recent three-year period; (</w:t>
      </w:r>
      <w:r w:rsidRPr="00922E1F">
        <w:rPr>
          <w:i/>
        </w:rPr>
        <w:t>2</w:t>
      </w:r>
      <w:r>
        <w:t>)</w:t>
      </w:r>
      <w:r w:rsidR="00A20D85">
        <w:t> </w:t>
      </w:r>
      <w:r>
        <w:t>financial statements prepared according to generally accepted accounting practices; or (</w:t>
      </w:r>
      <w:r w:rsidRPr="00922E1F">
        <w:rPr>
          <w:i/>
        </w:rPr>
        <w:t>3</w:t>
      </w:r>
      <w:r>
        <w:t>)</w:t>
      </w:r>
      <w:r w:rsidR="00A20D85">
        <w:t> </w:t>
      </w:r>
      <w:r>
        <w:t>some other reliable and objective documentation that accurately reflects the petitioner’s current financial status.  Any claim of inability to pay must specifically identify the basis for the claim by reference to the financial documentation.</w:t>
      </w:r>
    </w:p>
    <w:p w14:paraId="6619DC65" w14:textId="4315C4AE" w:rsidR="00B83CE6" w:rsidRDefault="005431AD" w:rsidP="00640978">
      <w:pPr>
        <w:pStyle w:val="ParaNum"/>
        <w:keepNext/>
        <w:widowControl/>
      </w:pPr>
      <w:r w:rsidRPr="00922E1F">
        <w:rPr>
          <w:b/>
        </w:rPr>
        <w:t>IT IS FURTHER ORDERED</w:t>
      </w:r>
      <w:r>
        <w:t xml:space="preserve"> that a copy of this Notice of Apparent Liability for Forfeiture shall be sent by first class mail and certified mail, return receipt requested, </w:t>
      </w:r>
      <w:r w:rsidR="00A20D85">
        <w:t>Conroy Dawson at his address of record</w:t>
      </w:r>
      <w:r>
        <w:t>.</w:t>
      </w:r>
    </w:p>
    <w:p w14:paraId="631CD982" w14:textId="77777777" w:rsidR="008B34D1" w:rsidRDefault="008B34D1" w:rsidP="00734EB2">
      <w:pPr>
        <w:pStyle w:val="ParaNum"/>
        <w:keepNext/>
        <w:widowControl/>
        <w:numPr>
          <w:ilvl w:val="0"/>
          <w:numId w:val="0"/>
        </w:numPr>
        <w:ind w:left="720"/>
      </w:pPr>
    </w:p>
    <w:p w14:paraId="1B4549C3" w14:textId="384E6931" w:rsidR="00B26269" w:rsidRDefault="00B26269" w:rsidP="00640978">
      <w:pPr>
        <w:keepNext/>
        <w:ind w:left="4320"/>
      </w:pPr>
      <w:r>
        <w:t>FEDERAL COMMUNICATIONS COMMISSION</w:t>
      </w:r>
    </w:p>
    <w:p w14:paraId="59A325A6" w14:textId="0AE0D478" w:rsidR="00B24D2E" w:rsidRDefault="00B24D2E" w:rsidP="00B26269">
      <w:pPr>
        <w:ind w:left="4320"/>
      </w:pPr>
    </w:p>
    <w:p w14:paraId="39AF085E" w14:textId="77777777" w:rsidR="00B24D2E" w:rsidRDefault="00B24D2E" w:rsidP="00B26269">
      <w:pPr>
        <w:ind w:left="4320"/>
      </w:pPr>
    </w:p>
    <w:p w14:paraId="13632836" w14:textId="77777777" w:rsidR="00640978" w:rsidRDefault="00640978" w:rsidP="00B26269">
      <w:pPr>
        <w:ind w:left="4320"/>
      </w:pPr>
    </w:p>
    <w:p w14:paraId="2968CF93" w14:textId="77777777" w:rsidR="00B26269" w:rsidRDefault="00B26269" w:rsidP="00B26269">
      <w:pPr>
        <w:ind w:left="4320"/>
      </w:pPr>
    </w:p>
    <w:p w14:paraId="3C88E00D" w14:textId="1D98FC7B" w:rsidR="00B26269" w:rsidRDefault="00B26269" w:rsidP="00B26269">
      <w:pPr>
        <w:ind w:left="4320"/>
      </w:pPr>
      <w:r>
        <w:t>David Dombrowski,</w:t>
      </w:r>
    </w:p>
    <w:p w14:paraId="7741424A" w14:textId="1ECB28FF" w:rsidR="00B26269" w:rsidRDefault="00B26269" w:rsidP="00B26269">
      <w:pPr>
        <w:ind w:left="4320"/>
      </w:pPr>
      <w:r>
        <w:t>Regional Director, Region One</w:t>
      </w:r>
    </w:p>
    <w:p w14:paraId="19B70F1A" w14:textId="3932AA12" w:rsidR="00B26269" w:rsidRPr="00B83CE6" w:rsidRDefault="00B26269" w:rsidP="00B26269">
      <w:pPr>
        <w:ind w:left="4320"/>
      </w:pPr>
      <w:r>
        <w:t>Enforcement Bureau</w:t>
      </w:r>
    </w:p>
    <w:sectPr w:rsidR="00B26269" w:rsidRPr="00B83CE6"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2FD9E" w14:textId="77777777" w:rsidR="00174A86" w:rsidRDefault="00174A86">
      <w:pPr>
        <w:spacing w:line="20" w:lineRule="exact"/>
      </w:pPr>
    </w:p>
  </w:endnote>
  <w:endnote w:type="continuationSeparator" w:id="0">
    <w:p w14:paraId="0D957B7E" w14:textId="77777777" w:rsidR="00174A86" w:rsidRDefault="00174A86">
      <w:r>
        <w:t xml:space="preserve"> </w:t>
      </w:r>
    </w:p>
  </w:endnote>
  <w:endnote w:type="continuationNotice" w:id="1">
    <w:p w14:paraId="707B4130" w14:textId="77777777" w:rsidR="00174A86" w:rsidRDefault="00174A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3C31"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E21115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64FA1"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7705B">
      <w:rPr>
        <w:noProof/>
      </w:rPr>
      <w:t>2</w:t>
    </w:r>
    <w:r>
      <w:fldChar w:fldCharType="end"/>
    </w:r>
  </w:p>
  <w:p w14:paraId="611988E9"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6A62"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7783B" w14:textId="77777777" w:rsidR="00174A86" w:rsidRDefault="00174A86">
      <w:r>
        <w:separator/>
      </w:r>
    </w:p>
  </w:footnote>
  <w:footnote w:type="continuationSeparator" w:id="0">
    <w:p w14:paraId="29EC272C" w14:textId="77777777" w:rsidR="00174A86" w:rsidRDefault="00174A86" w:rsidP="00C721AC">
      <w:pPr>
        <w:spacing w:before="120"/>
        <w:rPr>
          <w:sz w:val="20"/>
        </w:rPr>
      </w:pPr>
      <w:r>
        <w:rPr>
          <w:sz w:val="20"/>
        </w:rPr>
        <w:t xml:space="preserve">(Continued from previous page)  </w:t>
      </w:r>
      <w:r>
        <w:rPr>
          <w:sz w:val="20"/>
        </w:rPr>
        <w:separator/>
      </w:r>
    </w:p>
  </w:footnote>
  <w:footnote w:type="continuationNotice" w:id="1">
    <w:p w14:paraId="2EFECA6C" w14:textId="77777777" w:rsidR="00174A86" w:rsidRDefault="00174A86" w:rsidP="00C721AC">
      <w:pPr>
        <w:jc w:val="right"/>
        <w:rPr>
          <w:sz w:val="20"/>
        </w:rPr>
      </w:pPr>
      <w:r>
        <w:rPr>
          <w:sz w:val="20"/>
        </w:rPr>
        <w:t>(continued….)</w:t>
      </w:r>
    </w:p>
  </w:footnote>
  <w:footnote w:id="2">
    <w:p w14:paraId="54532B15" w14:textId="33851429" w:rsidR="00640978" w:rsidRDefault="00640978">
      <w:pPr>
        <w:pStyle w:val="FootnoteText"/>
      </w:pPr>
      <w:r>
        <w:rPr>
          <w:rStyle w:val="FootnoteReference"/>
        </w:rPr>
        <w:footnoteRef/>
      </w:r>
      <w:r>
        <w:t xml:space="preserve"> </w:t>
      </w:r>
      <w:r w:rsidRPr="00640978">
        <w:t xml:space="preserve">The investigation began under </w:t>
      </w:r>
      <w:r>
        <w:t xml:space="preserve">File Nos. EB-FIELDNER-15-00020409 and EB-FIELDNER-16-00021696 </w:t>
      </w:r>
      <w:r w:rsidRPr="00640978">
        <w:t xml:space="preserve">and was subsequently assigned File No. </w:t>
      </w:r>
      <w:r>
        <w:t xml:space="preserve">EB-FIELDNER-16-00022155. </w:t>
      </w:r>
      <w:r w:rsidRPr="00640978">
        <w:t>Any future correspondence with the Commission concerning this matter should reflect the new case number.</w:t>
      </w:r>
    </w:p>
  </w:footnote>
  <w:footnote w:id="3">
    <w:p w14:paraId="1EF34A1C" w14:textId="77777777" w:rsidR="00922E1F" w:rsidRDefault="00922E1F" w:rsidP="00922E1F">
      <w:pPr>
        <w:pStyle w:val="FootnoteText"/>
      </w:pPr>
      <w:r>
        <w:rPr>
          <w:rStyle w:val="FootnoteReference"/>
        </w:rPr>
        <w:footnoteRef/>
      </w:r>
      <w:r>
        <w:t xml:space="preserve"> </w:t>
      </w:r>
      <w:r w:rsidRPr="00995946">
        <w:t>Section 15.239 of the Rules provides that non-licensed broadcasting in the 88-108</w:t>
      </w:r>
      <w:r>
        <w:t> MHz</w:t>
      </w:r>
      <w:r w:rsidRPr="00995946">
        <w:t xml:space="preserve"> band is permitted only if the field strength of the transmission does not exceed 250 micro volts per meter (“μV/m”) at three meters. </w:t>
      </w:r>
      <w:r>
        <w:t xml:space="preserve"> </w:t>
      </w:r>
      <w:r w:rsidRPr="00995946">
        <w:t>47 CFR §</w:t>
      </w:r>
      <w:r>
        <w:t> </w:t>
      </w:r>
      <w:r w:rsidRPr="00995946">
        <w:t xml:space="preserve">15.239. </w:t>
      </w:r>
      <w:r>
        <w:t xml:space="preserve"> </w:t>
      </w:r>
      <w:r w:rsidRPr="00995946">
        <w:t>Measurements showed that the field strength of the station's signal exceeded the permissible level for a non-licensed Part 15 transmitter.</w:t>
      </w:r>
    </w:p>
  </w:footnote>
  <w:footnote w:id="4">
    <w:p w14:paraId="766EE23F" w14:textId="3887D367" w:rsidR="00922E1F" w:rsidRPr="008D57CF" w:rsidRDefault="00922E1F" w:rsidP="00922E1F">
      <w:pPr>
        <w:pStyle w:val="FootnoteText"/>
      </w:pPr>
      <w:r>
        <w:rPr>
          <w:rStyle w:val="FootnoteReference"/>
        </w:rPr>
        <w:footnoteRef/>
      </w:r>
      <w:r>
        <w:t xml:space="preserve"> </w:t>
      </w:r>
      <w:r w:rsidR="008D57CF">
        <w:rPr>
          <w:i/>
        </w:rPr>
        <w:t>Mantari Investments LLC</w:t>
      </w:r>
      <w:r w:rsidR="008D57CF">
        <w:t>, Notice of Unlicensed Operation (New York Office, EB, Dec. 2, 2015).</w:t>
      </w:r>
      <w:r w:rsidR="00D7461C">
        <w:t xml:space="preserve">  On December 8, 2015, the New York Office received confirmation that the NOUO had been delivered to Mantari, but the New York Office did not receive a written response from Mantari.</w:t>
      </w:r>
    </w:p>
  </w:footnote>
  <w:footnote w:id="5">
    <w:p w14:paraId="16EA6F12" w14:textId="77777777" w:rsidR="00922E1F" w:rsidRDefault="00922E1F" w:rsidP="00922E1F">
      <w:pPr>
        <w:pStyle w:val="FootnoteText"/>
      </w:pPr>
      <w:r>
        <w:rPr>
          <w:rStyle w:val="FootnoteReference"/>
        </w:rPr>
        <w:footnoteRef/>
      </w:r>
      <w:r>
        <w:t xml:space="preserve"> We note that the Commission has assigned the WBLR call sign to an AM broadcast station licensed to Augusta Radio Fellowship Institute, Inc. in Batesburg, South Carolina.</w:t>
      </w:r>
    </w:p>
  </w:footnote>
  <w:footnote w:id="6">
    <w:p w14:paraId="3AB3B379" w14:textId="77777777" w:rsidR="00922E1F" w:rsidRDefault="00922E1F" w:rsidP="00922E1F">
      <w:pPr>
        <w:pStyle w:val="FootnoteText"/>
      </w:pPr>
      <w:r>
        <w:rPr>
          <w:rStyle w:val="FootnoteReference"/>
        </w:rPr>
        <w:footnoteRef/>
      </w:r>
      <w:r>
        <w:t xml:space="preserve"> </w:t>
      </w:r>
      <w:r>
        <w:rPr>
          <w:i/>
        </w:rPr>
        <w:t xml:space="preserve">See </w:t>
      </w:r>
      <w:r>
        <w:t xml:space="preserve">47 CFR § 15.239. </w:t>
      </w:r>
    </w:p>
  </w:footnote>
  <w:footnote w:id="7">
    <w:p w14:paraId="1AF8E9B3" w14:textId="77777777" w:rsidR="00922E1F" w:rsidRPr="005431AD" w:rsidRDefault="00922E1F" w:rsidP="00922E1F">
      <w:pPr>
        <w:pStyle w:val="FootnoteText"/>
      </w:pPr>
      <w:r>
        <w:rPr>
          <w:rStyle w:val="FootnoteReference"/>
        </w:rPr>
        <w:footnoteRef/>
      </w:r>
      <w:r>
        <w:t xml:space="preserve"> </w:t>
      </w:r>
      <w:r>
        <w:rPr>
          <w:i/>
        </w:rPr>
        <w:t>Conroy Dawson</w:t>
      </w:r>
      <w:r>
        <w:t xml:space="preserve">, Notice of Unlicensed Operation (New York Office, EB, May 23, 2016).  The New York Office confirmed with the U.S. Postal Service that the Dawson NOUO was delivered on May 26, 2016. </w:t>
      </w:r>
    </w:p>
  </w:footnote>
  <w:footnote w:id="8">
    <w:p w14:paraId="5A2A291B" w14:textId="56FDFFB0" w:rsidR="00922E1F" w:rsidRPr="008D57CF" w:rsidRDefault="00922E1F" w:rsidP="00922E1F">
      <w:pPr>
        <w:pStyle w:val="FootnoteText"/>
      </w:pPr>
      <w:r>
        <w:rPr>
          <w:rStyle w:val="FootnoteReference"/>
        </w:rPr>
        <w:footnoteRef/>
      </w:r>
      <w:r>
        <w:t xml:space="preserve"> </w:t>
      </w:r>
      <w:r w:rsidR="008D57CF">
        <w:rPr>
          <w:i/>
        </w:rPr>
        <w:t>Mantari Investments LLC</w:t>
      </w:r>
      <w:r w:rsidR="008D57CF">
        <w:t xml:space="preserve">, Notice of Unlicensed Operation (New York Office, EB, </w:t>
      </w:r>
      <w:r w:rsidR="00C759E8">
        <w:t>May 23, 2016).</w:t>
      </w:r>
    </w:p>
  </w:footnote>
  <w:footnote w:id="9">
    <w:p w14:paraId="7480B5A8" w14:textId="77777777" w:rsidR="00922E1F" w:rsidRDefault="00922E1F" w:rsidP="00922E1F">
      <w:pPr>
        <w:pStyle w:val="FootnoteText"/>
      </w:pPr>
      <w:r>
        <w:rPr>
          <w:rStyle w:val="FootnoteReference"/>
        </w:rPr>
        <w:footnoteRef/>
      </w:r>
      <w:r>
        <w:t xml:space="preserve"> Following the conversation with Mr. Dawson, the agent reviewed the Commission’s licensing databases and could not find evidence of Mr. Dawson having applied for a broadcast license. </w:t>
      </w:r>
    </w:p>
  </w:footnote>
  <w:footnote w:id="10">
    <w:p w14:paraId="3B6650F8" w14:textId="2F37CC23" w:rsidR="00055269" w:rsidRDefault="00055269" w:rsidP="00055269">
      <w:pPr>
        <w:pStyle w:val="FootnoteText"/>
      </w:pPr>
      <w:r>
        <w:rPr>
          <w:rStyle w:val="FootnoteReference"/>
        </w:rPr>
        <w:footnoteRef/>
      </w:r>
      <w:r>
        <w:t xml:space="preserve"> </w:t>
      </w:r>
      <w:r w:rsidR="009A7C83">
        <w:t xml:space="preserve">47 CFR § </w:t>
      </w:r>
      <w:r w:rsidRPr="00995946">
        <w:t>15.239</w:t>
      </w:r>
      <w:r w:rsidR="009A7C83">
        <w:t>.</w:t>
      </w:r>
    </w:p>
  </w:footnote>
  <w:footnote w:id="11">
    <w:p w14:paraId="2C64C9FE" w14:textId="591E7B86" w:rsidR="00055269" w:rsidRDefault="00055269">
      <w:pPr>
        <w:pStyle w:val="FootnoteText"/>
      </w:pPr>
      <w:r>
        <w:rPr>
          <w:rStyle w:val="FootnoteReference"/>
        </w:rPr>
        <w:footnoteRef/>
      </w:r>
      <w:r>
        <w:t xml:space="preserve"> </w:t>
      </w:r>
      <w:r w:rsidR="0085251B" w:rsidRPr="0085251B">
        <w:rPr>
          <w:i/>
        </w:rPr>
        <w:t>Owner</w:t>
      </w:r>
      <w:r w:rsidR="0085251B">
        <w:t xml:space="preserve">, Notice of Unlicensed Radio Operation (New York Office, EB, Aug. 2, 2016). </w:t>
      </w:r>
    </w:p>
  </w:footnote>
  <w:footnote w:id="12">
    <w:p w14:paraId="6314043F" w14:textId="606312A7" w:rsidR="009A7C83" w:rsidRDefault="009A7C83">
      <w:pPr>
        <w:pStyle w:val="FootnoteText"/>
      </w:pPr>
      <w:r>
        <w:rPr>
          <w:rStyle w:val="FootnoteReference"/>
        </w:rPr>
        <w:footnoteRef/>
      </w:r>
      <w:r>
        <w:t xml:space="preserve"> 47 CFR § </w:t>
      </w:r>
      <w:r w:rsidRPr="00995946">
        <w:t>15.239</w:t>
      </w:r>
    </w:p>
  </w:footnote>
  <w:footnote w:id="13">
    <w:p w14:paraId="629DD209" w14:textId="6674C931" w:rsidR="00E806B5" w:rsidRDefault="00E806B5">
      <w:pPr>
        <w:pStyle w:val="FootnoteText"/>
      </w:pPr>
      <w:r>
        <w:rPr>
          <w:rStyle w:val="FootnoteReference"/>
        </w:rPr>
        <w:footnoteRef/>
      </w:r>
      <w:r>
        <w:t xml:space="preserve"> 47 U.S.C. § 301. </w:t>
      </w:r>
    </w:p>
  </w:footnote>
  <w:footnote w:id="14">
    <w:p w14:paraId="76786675" w14:textId="3D74E803" w:rsidR="00D7461C" w:rsidRPr="00D7461C" w:rsidRDefault="00D7461C">
      <w:pPr>
        <w:pStyle w:val="FootnoteText"/>
      </w:pPr>
      <w:r>
        <w:rPr>
          <w:rStyle w:val="FootnoteReference"/>
        </w:rPr>
        <w:footnoteRef/>
      </w:r>
      <w:r>
        <w:t xml:space="preserve"> </w:t>
      </w:r>
      <w:r>
        <w:rPr>
          <w:i/>
        </w:rPr>
        <w:t>See</w:t>
      </w:r>
      <w:r>
        <w:t xml:space="preserve"> paras</w:t>
      </w:r>
      <w:r w:rsidR="00B131C9">
        <w:t>.</w:t>
      </w:r>
      <w:r>
        <w:t xml:space="preserve"> 5</w:t>
      </w:r>
      <w:r w:rsidR="00B131C9">
        <w:t>-7</w:t>
      </w:r>
      <w:r>
        <w:t xml:space="preserve">, </w:t>
      </w:r>
      <w:r>
        <w:rPr>
          <w:i/>
        </w:rPr>
        <w:t>supra</w:t>
      </w:r>
      <w:r>
        <w:t>.</w:t>
      </w:r>
    </w:p>
  </w:footnote>
  <w:footnote w:id="15">
    <w:p w14:paraId="137AE955" w14:textId="77777777" w:rsidR="00FD5843" w:rsidRDefault="00FD5843" w:rsidP="00FD5843">
      <w:pPr>
        <w:pStyle w:val="FootnoteText"/>
      </w:pPr>
      <w:r>
        <w:rPr>
          <w:rStyle w:val="FootnoteReference"/>
        </w:rPr>
        <w:footnoteRef/>
      </w:r>
      <w:r>
        <w:t xml:space="preserve"> </w:t>
      </w:r>
      <w:r w:rsidRPr="00D21FAE">
        <w:rPr>
          <w:color w:val="000000"/>
        </w:rPr>
        <w:t>47 U.S.C. § 503(b).</w:t>
      </w:r>
    </w:p>
  </w:footnote>
  <w:footnote w:id="16">
    <w:p w14:paraId="6D56132E" w14:textId="75CE4ECA" w:rsidR="00FD5843" w:rsidRDefault="00FD5843" w:rsidP="00FD5843">
      <w:pPr>
        <w:pStyle w:val="FootnoteText"/>
      </w:pPr>
      <w:r>
        <w:rPr>
          <w:rStyle w:val="FootnoteReference"/>
        </w:rPr>
        <w:footnoteRef/>
      </w:r>
      <w:r>
        <w:t xml:space="preserve"> </w:t>
      </w:r>
      <w:r w:rsidRPr="00540D70">
        <w:rPr>
          <w:i/>
          <w:color w:val="000000"/>
        </w:rPr>
        <w:t>See</w:t>
      </w:r>
      <w:r w:rsidRPr="00540D70">
        <w:rPr>
          <w:color w:val="000000"/>
        </w:rPr>
        <w:t xml:space="preserve"> 47 U.S.C. § 503(b)(2)(D); 47 CFR §§ 1.80(b)(7), (9).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Pr="00981FF8">
        <w:t xml:space="preserve"> </w:t>
      </w:r>
      <w:r>
        <w:t xml:space="preserve">as further amended by the Federal Reports Elimination Act of 1998, Pub. L. No. 105-362, Sec. 1301, 112 Stat. 3280, </w:t>
      </w:r>
      <w:r w:rsidRPr="00540D70">
        <w:rPr>
          <w:color w:val="000000"/>
        </w:rPr>
        <w:t xml:space="preserve">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Pr="00540D70">
        <w:rPr>
          <w:i/>
          <w:color w:val="000000"/>
        </w:rPr>
        <w:t>See</w:t>
      </w:r>
      <w:r w:rsidRPr="00540D70">
        <w:rPr>
          <w:color w:val="000000"/>
        </w:rPr>
        <w:t xml:space="preserve"> 28 U.S.C. § 2461 note.  The Commission published those interim final rules on June 30, 2016.  </w:t>
      </w:r>
      <w:r w:rsidRPr="00540D70">
        <w:rPr>
          <w:i/>
          <w:color w:val="000000"/>
        </w:rPr>
        <w:t>See</w:t>
      </w:r>
      <w:r w:rsidRPr="00540D70">
        <w:rPr>
          <w:color w:val="000000"/>
        </w:rPr>
        <w:t xml:space="preserve"> </w:t>
      </w:r>
      <w:r w:rsidRPr="00540D70">
        <w:rPr>
          <w:i/>
          <w:color w:val="000000"/>
        </w:rPr>
        <w:t>Amendment of Section 1.80(b) of the Commission’s Rules, Adjustment of Civil Monetary Penalties to Reflect Inflation</w:t>
      </w:r>
      <w:r w:rsidRPr="00540D70">
        <w:rPr>
          <w:color w:val="000000"/>
        </w:rPr>
        <w:t xml:space="preserve">, Order, </w:t>
      </w:r>
      <w:r w:rsidR="007155BA">
        <w:rPr>
          <w:color w:val="000000"/>
        </w:rPr>
        <w:t>31 FCC Rcd 6793</w:t>
      </w:r>
      <w:r w:rsidRPr="00540D70">
        <w:rPr>
          <w:color w:val="000000"/>
        </w:rPr>
        <w:t xml:space="preserve"> (EB 2016); </w:t>
      </w:r>
      <w:r w:rsidRPr="00540D70">
        <w:rPr>
          <w:i/>
          <w:color w:val="000000"/>
        </w:rPr>
        <w:t>see also</w:t>
      </w:r>
      <w:r w:rsidRPr="00540D70">
        <w:rPr>
          <w:color w:val="000000"/>
        </w:rPr>
        <w:t xml:space="preserve"> </w:t>
      </w:r>
      <w:r w:rsidRPr="00540D70">
        <w:rPr>
          <w:i/>
          <w:color w:val="000000"/>
        </w:rPr>
        <w:t>Adjustment of Civil Monetary Penalties to Reflect Inflation</w:t>
      </w:r>
      <w:r w:rsidRPr="00540D70">
        <w:rPr>
          <w:color w:val="000000"/>
        </w:rPr>
        <w:t xml:space="preserve">,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Pr="00540D70">
        <w:rPr>
          <w:i/>
          <w:color w:val="000000"/>
        </w:rPr>
        <w:t>See</w:t>
      </w:r>
      <w:r w:rsidRPr="00540D70">
        <w:rPr>
          <w:color w:val="000000"/>
        </w:rPr>
        <w:t xml:space="preserve"> 28 U.S.C. § 2461 note (6).   </w:t>
      </w:r>
    </w:p>
  </w:footnote>
  <w:footnote w:id="17">
    <w:p w14:paraId="1A2AB97C" w14:textId="77777777" w:rsidR="00FD5843" w:rsidRDefault="00FD5843" w:rsidP="00FD5843">
      <w:pPr>
        <w:pStyle w:val="FootnoteText"/>
      </w:pPr>
      <w:r>
        <w:rPr>
          <w:rStyle w:val="FootnoteReference"/>
        </w:rPr>
        <w:footnoteRef/>
      </w:r>
      <w:r>
        <w:t xml:space="preserve"> </w:t>
      </w:r>
      <w:r w:rsidRPr="00D21FAE">
        <w:rPr>
          <w:color w:val="000000"/>
          <w:lang w:val="es-ES"/>
        </w:rPr>
        <w:t>47 U.S.C. § 503(b)(2)(E).</w:t>
      </w:r>
    </w:p>
  </w:footnote>
  <w:footnote w:id="18">
    <w:p w14:paraId="741A8191" w14:textId="77777777" w:rsidR="00FD5843" w:rsidRDefault="00FD5843" w:rsidP="00FD5843">
      <w:pPr>
        <w:pStyle w:val="FootnoteText"/>
      </w:pPr>
      <w:r>
        <w:rPr>
          <w:rStyle w:val="FootnoteReference"/>
        </w:rPr>
        <w:footnoteRef/>
      </w:r>
      <w:r>
        <w:t xml:space="preserve"> </w:t>
      </w:r>
      <w:r w:rsidRPr="00D21FAE">
        <w:rPr>
          <w:color w:val="000000"/>
        </w:rPr>
        <w:t>47 CFR § 1.80(b)(8), Note to paragraph (b)(8).</w:t>
      </w:r>
    </w:p>
  </w:footnote>
  <w:footnote w:id="19">
    <w:p w14:paraId="37E9885E" w14:textId="77777777" w:rsidR="00FD5843" w:rsidRDefault="00FD5843" w:rsidP="00FD5843">
      <w:pPr>
        <w:pStyle w:val="FootnoteText"/>
      </w:pPr>
      <w:r>
        <w:rPr>
          <w:rStyle w:val="FootnoteReference"/>
        </w:rPr>
        <w:footnoteRef/>
      </w:r>
      <w:r>
        <w:t xml:space="preserve"> </w:t>
      </w:r>
      <w:r w:rsidRPr="00D21FAE">
        <w:rPr>
          <w:i/>
          <w:color w:val="000000"/>
        </w:rPr>
        <w:t>Id</w:t>
      </w:r>
      <w:r w:rsidRPr="00D21FAE">
        <w:rPr>
          <w:color w:val="000000"/>
        </w:rPr>
        <w:t>.</w:t>
      </w:r>
    </w:p>
  </w:footnote>
  <w:footnote w:id="20">
    <w:p w14:paraId="17354BEF" w14:textId="77777777" w:rsidR="00FD5843" w:rsidRDefault="00FD5843" w:rsidP="00FD5843">
      <w:pPr>
        <w:pStyle w:val="FootnoteText"/>
      </w:pPr>
      <w:r>
        <w:rPr>
          <w:rStyle w:val="FootnoteReference"/>
        </w:rPr>
        <w:footnoteRef/>
      </w:r>
      <w:r>
        <w:t xml:space="preserve"> </w:t>
      </w:r>
      <w:r w:rsidRPr="0005582E">
        <w:rPr>
          <w:color w:val="000000"/>
        </w:rPr>
        <w:t>47 CFR § 1.80(b).</w:t>
      </w:r>
    </w:p>
  </w:footnote>
  <w:footnote w:id="21">
    <w:p w14:paraId="72AEC805" w14:textId="77777777" w:rsidR="00FD5843" w:rsidRDefault="00FD5843" w:rsidP="00FD5843">
      <w:pPr>
        <w:pStyle w:val="FootnoteText"/>
      </w:pPr>
      <w:r>
        <w:rPr>
          <w:rStyle w:val="FootnoteReference"/>
        </w:rPr>
        <w:footnoteRef/>
      </w:r>
      <w:r>
        <w:t xml:space="preserve"> </w:t>
      </w:r>
      <w:r w:rsidRPr="0005582E">
        <w:rPr>
          <w:i/>
          <w:color w:val="000000"/>
        </w:rPr>
        <w:t>The Commission’s Forfeiture Policy Statement and Amendment of Section 1.80 of the Rules to Incorporate the Forfeiture Guidelines</w:t>
      </w:r>
      <w:r w:rsidRPr="0005582E">
        <w:rPr>
          <w:color w:val="000000"/>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05582E">
        <w:rPr>
          <w:i/>
          <w:color w:val="000000"/>
        </w:rPr>
        <w:t>Forfeiture Policy Statement</w:t>
      </w:r>
      <w:r w:rsidRPr="0005582E">
        <w:rPr>
          <w:color w:val="000000"/>
        </w:rPr>
        <w:t xml:space="preserve">), </w:t>
      </w:r>
      <w:r w:rsidRPr="0005582E">
        <w:rPr>
          <w:i/>
          <w:color w:val="000000"/>
        </w:rPr>
        <w:t>recons. denied</w:t>
      </w:r>
      <w:r w:rsidRPr="0005582E">
        <w:rPr>
          <w:color w:val="000000"/>
        </w:rPr>
        <w:t>, Memorandum Opinion and Order, 15 FCC Rcd 303 (1999).</w:t>
      </w:r>
    </w:p>
  </w:footnote>
  <w:footnote w:id="22">
    <w:p w14:paraId="7D131E4B" w14:textId="77777777" w:rsidR="005431AD" w:rsidRDefault="005431AD" w:rsidP="005431AD">
      <w:pPr>
        <w:pStyle w:val="FootnoteText"/>
      </w:pPr>
      <w:r>
        <w:rPr>
          <w:rStyle w:val="FootnoteReference"/>
        </w:rPr>
        <w:footnoteRef/>
      </w:r>
      <w:r>
        <w:t xml:space="preserve"> </w:t>
      </w:r>
      <w:r w:rsidRPr="00D21FAE">
        <w:rPr>
          <w:color w:val="000000"/>
        </w:rPr>
        <w:t>47 U.S.C. § 503(b).</w:t>
      </w:r>
    </w:p>
  </w:footnote>
  <w:footnote w:id="23">
    <w:p w14:paraId="617E313C" w14:textId="77777777" w:rsidR="005431AD" w:rsidRDefault="005431AD" w:rsidP="005431AD">
      <w:pPr>
        <w:pStyle w:val="FootnoteText"/>
      </w:pPr>
      <w:r>
        <w:rPr>
          <w:rStyle w:val="FootnoteReference"/>
        </w:rPr>
        <w:footnoteRef/>
      </w:r>
      <w:r>
        <w:t xml:space="preserve"> </w:t>
      </w:r>
      <w:r w:rsidRPr="00D21FAE">
        <w:rPr>
          <w:color w:val="000000"/>
          <w:lang w:val="es-ES"/>
        </w:rPr>
        <w:t>47 CFR § 1.80.</w:t>
      </w:r>
    </w:p>
  </w:footnote>
  <w:footnote w:id="24">
    <w:p w14:paraId="4133ACBA" w14:textId="111F442F" w:rsidR="005431AD" w:rsidRDefault="005431AD" w:rsidP="005431AD">
      <w:pPr>
        <w:pStyle w:val="FootnoteText"/>
      </w:pPr>
      <w:r>
        <w:rPr>
          <w:rStyle w:val="FootnoteReference"/>
        </w:rPr>
        <w:footnoteRef/>
      </w:r>
      <w:r w:rsidR="00B24D2E">
        <w:t xml:space="preserve"> 47 U.S.C. § 301.</w:t>
      </w:r>
    </w:p>
  </w:footnote>
  <w:footnote w:id="25">
    <w:p w14:paraId="767644EB" w14:textId="77777777" w:rsidR="005431AD" w:rsidRDefault="005431AD" w:rsidP="005431AD">
      <w:pPr>
        <w:pStyle w:val="FootnoteText"/>
      </w:pPr>
      <w:r>
        <w:rPr>
          <w:rStyle w:val="FootnoteReference"/>
        </w:rPr>
        <w:footnoteRef/>
      </w:r>
      <w:r>
        <w:t xml:space="preserve"> </w:t>
      </w:r>
      <w:r w:rsidRPr="00D21FAE">
        <w:rPr>
          <w:color w:val="000000"/>
        </w:rPr>
        <w:t>47 CFR § 1.80.</w:t>
      </w:r>
    </w:p>
  </w:footnote>
  <w:footnote w:id="26">
    <w:p w14:paraId="323ED40C" w14:textId="77777777" w:rsidR="005431AD" w:rsidRDefault="005431AD" w:rsidP="005431AD">
      <w:pPr>
        <w:pStyle w:val="FootnoteText"/>
      </w:pPr>
      <w:r>
        <w:rPr>
          <w:rStyle w:val="FootnoteReference"/>
        </w:rPr>
        <w:footnoteRef/>
      </w:r>
      <w:r>
        <w:t xml:space="preserve"> </w:t>
      </w:r>
      <w:r w:rsidRPr="00D21FAE">
        <w:rPr>
          <w:rFonts w:eastAsia="MS Mincho"/>
          <w:color w:val="000000"/>
        </w:rPr>
        <w:t>An FCC Form 159 and detailed instructions for completing the form may be obtained at http://www.fcc.gov/Forms/Form159/159.pdf.</w:t>
      </w:r>
    </w:p>
  </w:footnote>
  <w:footnote w:id="27">
    <w:p w14:paraId="2F59A0C2" w14:textId="77777777" w:rsidR="005431AD" w:rsidRDefault="005431AD" w:rsidP="005431AD">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28">
    <w:p w14:paraId="1C79087F" w14:textId="77777777" w:rsidR="005431AD" w:rsidRDefault="005431AD" w:rsidP="005431AD">
      <w:pPr>
        <w:pStyle w:val="FootnoteText"/>
      </w:pPr>
      <w:r>
        <w:rPr>
          <w:rStyle w:val="FootnoteReference"/>
        </w:rPr>
        <w:footnoteRef/>
      </w:r>
      <w:r>
        <w:t xml:space="preserve"> </w:t>
      </w:r>
      <w:r w:rsidRPr="00D21FAE">
        <w:rPr>
          <w:color w:val="000000"/>
        </w:rPr>
        <w:t>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5D9F" w14:textId="77777777" w:rsidR="00E7705B" w:rsidRDefault="00E77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53A29" w14:textId="6D5FA961" w:rsidR="00D25FB5" w:rsidRDefault="00D25FB5" w:rsidP="002D0252">
    <w:pPr>
      <w:pStyle w:val="Header"/>
      <w:rPr>
        <w:b w:val="0"/>
      </w:rPr>
    </w:pPr>
    <w:r>
      <w:tab/>
      <w:t>Federal Communications Commission</w:t>
    </w:r>
    <w:r>
      <w:tab/>
    </w:r>
    <w:r w:rsidR="002D0252">
      <w:t>DA 17-</w:t>
    </w:r>
    <w:r w:rsidR="00ED706A">
      <w:t>16</w:t>
    </w:r>
  </w:p>
  <w:p w14:paraId="5B2503C5" w14:textId="77777777" w:rsidR="00D25FB5" w:rsidRDefault="00823A1F">
    <w:pPr>
      <w:tabs>
        <w:tab w:val="left" w:pos="-720"/>
      </w:tabs>
      <w:suppressAutoHyphens/>
      <w:spacing w:line="19" w:lineRule="exact"/>
      <w:rPr>
        <w:spacing w:val="-2"/>
      </w:rPr>
    </w:pPr>
    <w:r>
      <w:rPr>
        <w:noProof/>
      </w:rPr>
      <w:pict w14:anchorId="68E7A7A4">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360E8458"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EBEF1" w14:textId="7DAA930B" w:rsidR="00D25FB5" w:rsidRDefault="00823A1F" w:rsidP="00810B6F">
    <w:pPr>
      <w:pStyle w:val="Header"/>
      <w:rPr>
        <w:b w:val="0"/>
      </w:rPr>
    </w:pPr>
    <w:r>
      <w:rPr>
        <w:noProof/>
      </w:rPr>
      <w:pict w14:anchorId="1A17254F">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14E97">
      <w:t xml:space="preserve">DA </w:t>
    </w:r>
    <w:r w:rsidR="002D0252">
      <w:t>17</w:t>
    </w:r>
    <w:r w:rsidR="00514E97">
      <w:t>-</w:t>
    </w:r>
    <w:r w:rsidR="00ED706A">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A043BE"/>
    <w:lvl w:ilvl="0">
      <w:start w:val="1"/>
      <w:numFmt w:val="decimal"/>
      <w:lvlText w:val="%1."/>
      <w:lvlJc w:val="left"/>
      <w:pPr>
        <w:tabs>
          <w:tab w:val="num" w:pos="1800"/>
        </w:tabs>
        <w:ind w:left="1800" w:hanging="360"/>
      </w:pPr>
    </w:lvl>
  </w:abstractNum>
  <w:abstractNum w:abstractNumId="1">
    <w:nsid w:val="FFFFFF7D"/>
    <w:multiLevelType w:val="singleLevel"/>
    <w:tmpl w:val="06A08496"/>
    <w:lvl w:ilvl="0">
      <w:start w:val="1"/>
      <w:numFmt w:val="decimal"/>
      <w:lvlText w:val="%1."/>
      <w:lvlJc w:val="left"/>
      <w:pPr>
        <w:tabs>
          <w:tab w:val="num" w:pos="1440"/>
        </w:tabs>
        <w:ind w:left="1440" w:hanging="360"/>
      </w:pPr>
    </w:lvl>
  </w:abstractNum>
  <w:abstractNum w:abstractNumId="2">
    <w:nsid w:val="FFFFFF7E"/>
    <w:multiLevelType w:val="singleLevel"/>
    <w:tmpl w:val="1D5488F0"/>
    <w:lvl w:ilvl="0">
      <w:start w:val="1"/>
      <w:numFmt w:val="decimal"/>
      <w:lvlText w:val="%1."/>
      <w:lvlJc w:val="left"/>
      <w:pPr>
        <w:tabs>
          <w:tab w:val="num" w:pos="1080"/>
        </w:tabs>
        <w:ind w:left="1080" w:hanging="360"/>
      </w:pPr>
    </w:lvl>
  </w:abstractNum>
  <w:abstractNum w:abstractNumId="3">
    <w:nsid w:val="FFFFFF7F"/>
    <w:multiLevelType w:val="singleLevel"/>
    <w:tmpl w:val="F6BADB34"/>
    <w:lvl w:ilvl="0">
      <w:start w:val="1"/>
      <w:numFmt w:val="decimal"/>
      <w:lvlText w:val="%1."/>
      <w:lvlJc w:val="left"/>
      <w:pPr>
        <w:tabs>
          <w:tab w:val="num" w:pos="720"/>
        </w:tabs>
        <w:ind w:left="720" w:hanging="360"/>
      </w:pPr>
    </w:lvl>
  </w:abstractNum>
  <w:abstractNum w:abstractNumId="4">
    <w:nsid w:val="FFFFFF80"/>
    <w:multiLevelType w:val="singleLevel"/>
    <w:tmpl w:val="C92418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EE08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6C71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BA62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4CA24E"/>
    <w:lvl w:ilvl="0">
      <w:start w:val="1"/>
      <w:numFmt w:val="decimal"/>
      <w:lvlText w:val="%1."/>
      <w:lvlJc w:val="left"/>
      <w:pPr>
        <w:tabs>
          <w:tab w:val="num" w:pos="360"/>
        </w:tabs>
        <w:ind w:left="360" w:hanging="360"/>
      </w:pPr>
    </w:lvl>
  </w:abstractNum>
  <w:abstractNum w:abstractNumId="9">
    <w:nsid w:val="FFFFFF89"/>
    <w:multiLevelType w:val="singleLevel"/>
    <w:tmpl w:val="0F7EB20A"/>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11581C69"/>
    <w:multiLevelType w:val="hybridMultilevel"/>
    <w:tmpl w:val="33D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16"/>
  </w:num>
  <w:num w:numId="3">
    <w:abstractNumId w:val="14"/>
  </w:num>
  <w:num w:numId="4">
    <w:abstractNumId w:val="15"/>
  </w:num>
  <w:num w:numId="5">
    <w:abstractNumId w:val="13"/>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lvlOverride w:ilvl="0">
      <w:startOverride w:val="1"/>
    </w:lvlOverride>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784"/>
    <w:rsid w:val="000216D8"/>
    <w:rsid w:val="00036039"/>
    <w:rsid w:val="00037F90"/>
    <w:rsid w:val="00046784"/>
    <w:rsid w:val="00055269"/>
    <w:rsid w:val="000875BF"/>
    <w:rsid w:val="0009608F"/>
    <w:rsid w:val="00096D8C"/>
    <w:rsid w:val="000A4544"/>
    <w:rsid w:val="000C0B65"/>
    <w:rsid w:val="000D64F9"/>
    <w:rsid w:val="000E05FE"/>
    <w:rsid w:val="000E3D42"/>
    <w:rsid w:val="000F50A0"/>
    <w:rsid w:val="00122BD5"/>
    <w:rsid w:val="00133F79"/>
    <w:rsid w:val="00174A86"/>
    <w:rsid w:val="00194A66"/>
    <w:rsid w:val="001D6BCF"/>
    <w:rsid w:val="001E01CA"/>
    <w:rsid w:val="001F7BE5"/>
    <w:rsid w:val="00273E8F"/>
    <w:rsid w:val="00275CF5"/>
    <w:rsid w:val="0028301F"/>
    <w:rsid w:val="00285017"/>
    <w:rsid w:val="002A2D2E"/>
    <w:rsid w:val="002A5247"/>
    <w:rsid w:val="002C00E8"/>
    <w:rsid w:val="002D0252"/>
    <w:rsid w:val="002F1089"/>
    <w:rsid w:val="0030440E"/>
    <w:rsid w:val="00343749"/>
    <w:rsid w:val="003660ED"/>
    <w:rsid w:val="003B0550"/>
    <w:rsid w:val="003B694F"/>
    <w:rsid w:val="003F171C"/>
    <w:rsid w:val="00406BAC"/>
    <w:rsid w:val="00412FC5"/>
    <w:rsid w:val="00422276"/>
    <w:rsid w:val="004242F1"/>
    <w:rsid w:val="00445A00"/>
    <w:rsid w:val="00451B0F"/>
    <w:rsid w:val="004A0318"/>
    <w:rsid w:val="004A5C3B"/>
    <w:rsid w:val="004C2EE3"/>
    <w:rsid w:val="004D786E"/>
    <w:rsid w:val="004E4A22"/>
    <w:rsid w:val="004F2A44"/>
    <w:rsid w:val="00511968"/>
    <w:rsid w:val="00514E97"/>
    <w:rsid w:val="0053476F"/>
    <w:rsid w:val="005431AD"/>
    <w:rsid w:val="0055614C"/>
    <w:rsid w:val="005E14C2"/>
    <w:rsid w:val="00604C34"/>
    <w:rsid w:val="00607BA5"/>
    <w:rsid w:val="0061180A"/>
    <w:rsid w:val="00626EB6"/>
    <w:rsid w:val="00640978"/>
    <w:rsid w:val="00655D03"/>
    <w:rsid w:val="00661860"/>
    <w:rsid w:val="00683388"/>
    <w:rsid w:val="00683F84"/>
    <w:rsid w:val="006A6A81"/>
    <w:rsid w:val="006F7393"/>
    <w:rsid w:val="0070224F"/>
    <w:rsid w:val="007115F7"/>
    <w:rsid w:val="007155BA"/>
    <w:rsid w:val="00734EB2"/>
    <w:rsid w:val="00785689"/>
    <w:rsid w:val="0079754B"/>
    <w:rsid w:val="007A1E6D"/>
    <w:rsid w:val="007B0EB2"/>
    <w:rsid w:val="00810B6F"/>
    <w:rsid w:val="00822CE0"/>
    <w:rsid w:val="00823A1F"/>
    <w:rsid w:val="00823E81"/>
    <w:rsid w:val="00841AB1"/>
    <w:rsid w:val="0085251B"/>
    <w:rsid w:val="008932CB"/>
    <w:rsid w:val="008B34D1"/>
    <w:rsid w:val="008C68F1"/>
    <w:rsid w:val="008D57CF"/>
    <w:rsid w:val="008D7FEF"/>
    <w:rsid w:val="00921803"/>
    <w:rsid w:val="00922E1F"/>
    <w:rsid w:val="00926503"/>
    <w:rsid w:val="009726D8"/>
    <w:rsid w:val="009751AC"/>
    <w:rsid w:val="009A7C83"/>
    <w:rsid w:val="009F76DB"/>
    <w:rsid w:val="00A20D85"/>
    <w:rsid w:val="00A32C3B"/>
    <w:rsid w:val="00A45F4F"/>
    <w:rsid w:val="00A600A9"/>
    <w:rsid w:val="00A96D05"/>
    <w:rsid w:val="00AA55B7"/>
    <w:rsid w:val="00AA5B9E"/>
    <w:rsid w:val="00AB2407"/>
    <w:rsid w:val="00AB53DF"/>
    <w:rsid w:val="00AE5DA5"/>
    <w:rsid w:val="00B07E5C"/>
    <w:rsid w:val="00B131C9"/>
    <w:rsid w:val="00B24D2E"/>
    <w:rsid w:val="00B26269"/>
    <w:rsid w:val="00B74489"/>
    <w:rsid w:val="00B811F7"/>
    <w:rsid w:val="00B83CE6"/>
    <w:rsid w:val="00B91452"/>
    <w:rsid w:val="00BA5DC6"/>
    <w:rsid w:val="00BA6196"/>
    <w:rsid w:val="00BC6D8C"/>
    <w:rsid w:val="00C34006"/>
    <w:rsid w:val="00C426B1"/>
    <w:rsid w:val="00C66160"/>
    <w:rsid w:val="00C721AC"/>
    <w:rsid w:val="00C759E8"/>
    <w:rsid w:val="00C90D6A"/>
    <w:rsid w:val="00CA247E"/>
    <w:rsid w:val="00CC72B6"/>
    <w:rsid w:val="00D0218D"/>
    <w:rsid w:val="00D043CF"/>
    <w:rsid w:val="00D25FB5"/>
    <w:rsid w:val="00D37F0B"/>
    <w:rsid w:val="00D44223"/>
    <w:rsid w:val="00D5788D"/>
    <w:rsid w:val="00D7461C"/>
    <w:rsid w:val="00DA2529"/>
    <w:rsid w:val="00DB130A"/>
    <w:rsid w:val="00DB2EBB"/>
    <w:rsid w:val="00DC10A1"/>
    <w:rsid w:val="00DC655F"/>
    <w:rsid w:val="00DD0B59"/>
    <w:rsid w:val="00DD7EBD"/>
    <w:rsid w:val="00DF62B6"/>
    <w:rsid w:val="00E021EF"/>
    <w:rsid w:val="00E07225"/>
    <w:rsid w:val="00E5409F"/>
    <w:rsid w:val="00E67F38"/>
    <w:rsid w:val="00E7705B"/>
    <w:rsid w:val="00E806B5"/>
    <w:rsid w:val="00ED35F9"/>
    <w:rsid w:val="00ED4966"/>
    <w:rsid w:val="00ED706A"/>
    <w:rsid w:val="00EE6488"/>
    <w:rsid w:val="00EF2EDA"/>
    <w:rsid w:val="00F01A10"/>
    <w:rsid w:val="00F021FA"/>
    <w:rsid w:val="00F02F88"/>
    <w:rsid w:val="00F147B6"/>
    <w:rsid w:val="00F20654"/>
    <w:rsid w:val="00F4535E"/>
    <w:rsid w:val="00F62E97"/>
    <w:rsid w:val="00F64209"/>
    <w:rsid w:val="00F93BF5"/>
    <w:rsid w:val="00FC1727"/>
    <w:rsid w:val="00FD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A7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1F"/>
    <w:pPr>
      <w:widowControl w:val="0"/>
    </w:pPr>
    <w:rPr>
      <w:snapToGrid w:val="0"/>
      <w:kern w:val="28"/>
      <w:sz w:val="22"/>
    </w:rPr>
  </w:style>
  <w:style w:type="paragraph" w:styleId="Heading1">
    <w:name w:val="heading 1"/>
    <w:basedOn w:val="Normal"/>
    <w:next w:val="ParaNum"/>
    <w:qFormat/>
    <w:rsid w:val="00823A1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23A1F"/>
    <w:pPr>
      <w:keepNext/>
      <w:numPr>
        <w:ilvl w:val="1"/>
        <w:numId w:val="3"/>
      </w:numPr>
      <w:spacing w:after="120"/>
      <w:outlineLvl w:val="1"/>
    </w:pPr>
    <w:rPr>
      <w:b/>
    </w:rPr>
  </w:style>
  <w:style w:type="paragraph" w:styleId="Heading3">
    <w:name w:val="heading 3"/>
    <w:basedOn w:val="Normal"/>
    <w:next w:val="ParaNum"/>
    <w:qFormat/>
    <w:rsid w:val="00823A1F"/>
    <w:pPr>
      <w:keepNext/>
      <w:numPr>
        <w:ilvl w:val="2"/>
        <w:numId w:val="3"/>
      </w:numPr>
      <w:tabs>
        <w:tab w:val="left" w:pos="2160"/>
      </w:tabs>
      <w:spacing w:after="120"/>
      <w:outlineLvl w:val="2"/>
    </w:pPr>
    <w:rPr>
      <w:b/>
    </w:rPr>
  </w:style>
  <w:style w:type="paragraph" w:styleId="Heading4">
    <w:name w:val="heading 4"/>
    <w:basedOn w:val="Normal"/>
    <w:next w:val="ParaNum"/>
    <w:qFormat/>
    <w:rsid w:val="00823A1F"/>
    <w:pPr>
      <w:keepNext/>
      <w:numPr>
        <w:ilvl w:val="3"/>
        <w:numId w:val="3"/>
      </w:numPr>
      <w:tabs>
        <w:tab w:val="left" w:pos="2880"/>
      </w:tabs>
      <w:spacing w:after="120"/>
      <w:outlineLvl w:val="3"/>
    </w:pPr>
    <w:rPr>
      <w:b/>
    </w:rPr>
  </w:style>
  <w:style w:type="paragraph" w:styleId="Heading5">
    <w:name w:val="heading 5"/>
    <w:basedOn w:val="Normal"/>
    <w:next w:val="ParaNum"/>
    <w:qFormat/>
    <w:rsid w:val="00823A1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23A1F"/>
    <w:pPr>
      <w:numPr>
        <w:ilvl w:val="5"/>
        <w:numId w:val="3"/>
      </w:numPr>
      <w:tabs>
        <w:tab w:val="left" w:pos="4320"/>
      </w:tabs>
      <w:spacing w:after="120"/>
      <w:outlineLvl w:val="5"/>
    </w:pPr>
    <w:rPr>
      <w:b/>
    </w:rPr>
  </w:style>
  <w:style w:type="paragraph" w:styleId="Heading7">
    <w:name w:val="heading 7"/>
    <w:basedOn w:val="Normal"/>
    <w:next w:val="ParaNum"/>
    <w:qFormat/>
    <w:rsid w:val="00823A1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23A1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23A1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23A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A1F"/>
  </w:style>
  <w:style w:type="paragraph" w:customStyle="1" w:styleId="ParaNum">
    <w:name w:val="ParaNum"/>
    <w:basedOn w:val="Normal"/>
    <w:link w:val="ParaNumChar"/>
    <w:rsid w:val="00823A1F"/>
    <w:pPr>
      <w:numPr>
        <w:numId w:val="2"/>
      </w:numPr>
      <w:tabs>
        <w:tab w:val="clear" w:pos="1080"/>
        <w:tab w:val="num" w:pos="1440"/>
      </w:tabs>
      <w:spacing w:after="120"/>
    </w:pPr>
  </w:style>
  <w:style w:type="paragraph" w:styleId="EndnoteText">
    <w:name w:val="endnote text"/>
    <w:basedOn w:val="Normal"/>
    <w:semiHidden/>
    <w:rsid w:val="00823A1F"/>
    <w:rPr>
      <w:sz w:val="20"/>
    </w:rPr>
  </w:style>
  <w:style w:type="character" w:styleId="EndnoteReference">
    <w:name w:val="endnote reference"/>
    <w:semiHidden/>
    <w:rsid w:val="00823A1F"/>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823A1F"/>
    <w:pPr>
      <w:spacing w:after="120"/>
    </w:pPr>
  </w:style>
  <w:style w:type="character" w:styleId="FootnoteReference">
    <w:name w:val="footnote reference"/>
    <w:aliases w:val="Style 4,Appel note de bas de p,Style 12,(NECG) Footnote Reference,Style 124,Style 13,o,fr,Style 3,Footnote Reference1,FR,Style 17,Style 6,Footnote Reference/"/>
    <w:rsid w:val="00823A1F"/>
    <w:rPr>
      <w:rFonts w:ascii="Times New Roman" w:hAnsi="Times New Roman"/>
      <w:dstrike w:val="0"/>
      <w:color w:val="auto"/>
      <w:sz w:val="20"/>
      <w:vertAlign w:val="superscript"/>
    </w:rPr>
  </w:style>
  <w:style w:type="paragraph" w:styleId="TOC1">
    <w:name w:val="toc 1"/>
    <w:basedOn w:val="Normal"/>
    <w:next w:val="Normal"/>
    <w:semiHidden/>
    <w:rsid w:val="00823A1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23A1F"/>
    <w:pPr>
      <w:tabs>
        <w:tab w:val="left" w:pos="720"/>
        <w:tab w:val="right" w:leader="dot" w:pos="9360"/>
      </w:tabs>
      <w:suppressAutoHyphens/>
      <w:ind w:left="720" w:right="720" w:hanging="360"/>
    </w:pPr>
    <w:rPr>
      <w:noProof/>
    </w:rPr>
  </w:style>
  <w:style w:type="paragraph" w:styleId="TOC3">
    <w:name w:val="toc 3"/>
    <w:basedOn w:val="Normal"/>
    <w:next w:val="Normal"/>
    <w:semiHidden/>
    <w:rsid w:val="00823A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23A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23A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23A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23A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23A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23A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23A1F"/>
    <w:pPr>
      <w:tabs>
        <w:tab w:val="right" w:pos="9360"/>
      </w:tabs>
      <w:suppressAutoHyphens/>
    </w:pPr>
  </w:style>
  <w:style w:type="character" w:customStyle="1" w:styleId="EquationCaption">
    <w:name w:val="_Equation Caption"/>
    <w:rsid w:val="00823A1F"/>
  </w:style>
  <w:style w:type="paragraph" w:styleId="Header">
    <w:name w:val="header"/>
    <w:basedOn w:val="Normal"/>
    <w:link w:val="HeaderChar"/>
    <w:autoRedefine/>
    <w:rsid w:val="00823A1F"/>
    <w:pPr>
      <w:tabs>
        <w:tab w:val="center" w:pos="4680"/>
        <w:tab w:val="right" w:pos="9360"/>
      </w:tabs>
    </w:pPr>
    <w:rPr>
      <w:b/>
    </w:rPr>
  </w:style>
  <w:style w:type="paragraph" w:styleId="Footer">
    <w:name w:val="footer"/>
    <w:basedOn w:val="Normal"/>
    <w:rsid w:val="00823A1F"/>
    <w:pPr>
      <w:tabs>
        <w:tab w:val="center" w:pos="4320"/>
        <w:tab w:val="right" w:pos="8640"/>
      </w:tabs>
    </w:pPr>
  </w:style>
  <w:style w:type="character" w:styleId="PageNumber">
    <w:name w:val="page number"/>
    <w:basedOn w:val="DefaultParagraphFont"/>
    <w:rsid w:val="00823A1F"/>
  </w:style>
  <w:style w:type="paragraph" w:styleId="BlockText">
    <w:name w:val="Block Text"/>
    <w:basedOn w:val="Normal"/>
    <w:rsid w:val="00823A1F"/>
    <w:pPr>
      <w:spacing w:after="240"/>
      <w:ind w:left="1440" w:right="1440"/>
    </w:pPr>
  </w:style>
  <w:style w:type="paragraph" w:customStyle="1" w:styleId="Paratitle">
    <w:name w:val="Para title"/>
    <w:basedOn w:val="Normal"/>
    <w:rsid w:val="00823A1F"/>
    <w:pPr>
      <w:tabs>
        <w:tab w:val="center" w:pos="9270"/>
      </w:tabs>
      <w:spacing w:after="240"/>
    </w:pPr>
    <w:rPr>
      <w:spacing w:val="-2"/>
    </w:rPr>
  </w:style>
  <w:style w:type="paragraph" w:customStyle="1" w:styleId="Bullet">
    <w:name w:val="Bullet"/>
    <w:basedOn w:val="Normal"/>
    <w:rsid w:val="00823A1F"/>
    <w:pPr>
      <w:tabs>
        <w:tab w:val="left" w:pos="2160"/>
      </w:tabs>
      <w:spacing w:after="220"/>
      <w:ind w:left="2160" w:hanging="720"/>
    </w:pPr>
  </w:style>
  <w:style w:type="paragraph" w:customStyle="1" w:styleId="TableFormat">
    <w:name w:val="TableFormat"/>
    <w:basedOn w:val="Bullet"/>
    <w:rsid w:val="00823A1F"/>
    <w:pPr>
      <w:tabs>
        <w:tab w:val="clear" w:pos="2160"/>
        <w:tab w:val="left" w:pos="5040"/>
      </w:tabs>
      <w:ind w:left="5040" w:hanging="3600"/>
    </w:pPr>
  </w:style>
  <w:style w:type="paragraph" w:customStyle="1" w:styleId="TOCTitle">
    <w:name w:val="TOC Title"/>
    <w:basedOn w:val="Normal"/>
    <w:rsid w:val="00823A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23A1F"/>
    <w:pPr>
      <w:jc w:val="center"/>
    </w:pPr>
    <w:rPr>
      <w:rFonts w:ascii="Times New Roman Bold" w:hAnsi="Times New Roman Bold"/>
      <w:b/>
      <w:bCs/>
      <w:caps/>
      <w:szCs w:val="22"/>
    </w:rPr>
  </w:style>
  <w:style w:type="character" w:styleId="Hyperlink">
    <w:name w:val="Hyperlink"/>
    <w:rsid w:val="00823A1F"/>
    <w:rPr>
      <w:color w:val="0000FF"/>
      <w:u w:val="single"/>
    </w:rPr>
  </w:style>
  <w:style w:type="character" w:customStyle="1" w:styleId="HeaderChar">
    <w:name w:val="Header Char"/>
    <w:link w:val="Header"/>
    <w:locked/>
    <w:rsid w:val="00514E97"/>
    <w:rPr>
      <w:b/>
      <w:snapToGrid w:val="0"/>
      <w:kern w:val="28"/>
      <w:sz w:val="22"/>
    </w:rPr>
  </w:style>
  <w:style w:type="character" w:styleId="CommentReference">
    <w:name w:val="annotation reference"/>
    <w:rsid w:val="00F02F88"/>
    <w:rPr>
      <w:sz w:val="16"/>
      <w:szCs w:val="16"/>
    </w:rPr>
  </w:style>
  <w:style w:type="paragraph" w:styleId="CommentText">
    <w:name w:val="annotation text"/>
    <w:basedOn w:val="Normal"/>
    <w:link w:val="CommentTextChar"/>
    <w:rsid w:val="00F02F88"/>
    <w:rPr>
      <w:sz w:val="20"/>
    </w:rPr>
  </w:style>
  <w:style w:type="character" w:customStyle="1" w:styleId="CommentTextChar">
    <w:name w:val="Comment Text Char"/>
    <w:link w:val="CommentText"/>
    <w:rsid w:val="00F02F88"/>
    <w:rPr>
      <w:snapToGrid w:val="0"/>
      <w:kern w:val="28"/>
    </w:rPr>
  </w:style>
  <w:style w:type="paragraph" w:styleId="CommentSubject">
    <w:name w:val="annotation subject"/>
    <w:basedOn w:val="CommentText"/>
    <w:next w:val="CommentText"/>
    <w:link w:val="CommentSubjectChar"/>
    <w:rsid w:val="00F02F88"/>
    <w:rPr>
      <w:b/>
      <w:bCs/>
    </w:rPr>
  </w:style>
  <w:style w:type="character" w:customStyle="1" w:styleId="CommentSubjectChar">
    <w:name w:val="Comment Subject Char"/>
    <w:link w:val="CommentSubject"/>
    <w:rsid w:val="00F02F88"/>
    <w:rPr>
      <w:b/>
      <w:bCs/>
      <w:snapToGrid w:val="0"/>
      <w:kern w:val="28"/>
    </w:rPr>
  </w:style>
  <w:style w:type="paragraph" w:styleId="BalloonText">
    <w:name w:val="Balloon Text"/>
    <w:basedOn w:val="Normal"/>
    <w:link w:val="BalloonTextChar"/>
    <w:rsid w:val="00F02F88"/>
    <w:rPr>
      <w:rFonts w:ascii="Segoe UI" w:hAnsi="Segoe UI" w:cs="Segoe UI"/>
      <w:sz w:val="18"/>
      <w:szCs w:val="18"/>
    </w:rPr>
  </w:style>
  <w:style w:type="character" w:customStyle="1" w:styleId="BalloonTextChar">
    <w:name w:val="Balloon Text Char"/>
    <w:link w:val="BalloonText"/>
    <w:rsid w:val="00F02F88"/>
    <w:rPr>
      <w:rFonts w:ascii="Segoe UI" w:hAnsi="Segoe UI" w:cs="Segoe UI"/>
      <w:snapToGrid w:val="0"/>
      <w:kern w:val="28"/>
      <w:sz w:val="18"/>
      <w:szCs w:val="18"/>
    </w:rPr>
  </w:style>
  <w:style w:type="character" w:customStyle="1" w:styleId="ParaNumChar">
    <w:name w:val="ParaNum Char"/>
    <w:link w:val="ParaNum"/>
    <w:locked/>
    <w:rsid w:val="005431AD"/>
    <w:rPr>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A20D85"/>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8D7F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tthew.Gibson@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R-Respons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INQUIRIE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hew.Gibson@fcc.gov"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2757</Words>
  <Characters>14505</Characters>
  <Application>Microsoft Office Word</Application>
  <DocSecurity>0</DocSecurity>
  <Lines>227</Lines>
  <Paragraphs>51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17311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2017-01-11T15:00:00Z</dcterms:created>
  <dcterms:modified xsi:type="dcterms:W3CDTF">2017-01-11T15:00:00Z</dcterms:modified>
  <cp:category> </cp:category>
  <cp:contentStatus> </cp:contentStatus>
</cp:coreProperties>
</file>