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E69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673F25F" w14:textId="77777777" w:rsidR="00921803" w:rsidRDefault="00921803" w:rsidP="00921803">
      <w:pPr>
        <w:pStyle w:val="StyleBoldCentered"/>
      </w:pPr>
      <w:r>
        <w:t>F</w:t>
      </w:r>
      <w:r>
        <w:rPr>
          <w:caps w:val="0"/>
        </w:rPr>
        <w:t>ederal Communications Commission</w:t>
      </w:r>
    </w:p>
    <w:p w14:paraId="2925CCE0" w14:textId="77777777" w:rsidR="004C2EE3" w:rsidRDefault="00810B6F" w:rsidP="00096D8C">
      <w:pPr>
        <w:pStyle w:val="StyleBoldCentered"/>
      </w:pPr>
      <w:r>
        <w:rPr>
          <w:caps w:val="0"/>
        </w:rPr>
        <w:t>Washington, D.C. 20554</w:t>
      </w:r>
    </w:p>
    <w:p w14:paraId="2A318737" w14:textId="77777777" w:rsidR="004C2EE3" w:rsidRDefault="004C2EE3" w:rsidP="0070224F"/>
    <w:p w14:paraId="491D1AA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ACAC323" w14:textId="77777777">
        <w:tc>
          <w:tcPr>
            <w:tcW w:w="4698" w:type="dxa"/>
          </w:tcPr>
          <w:p w14:paraId="7C94520E" w14:textId="77777777" w:rsidR="004C2EE3" w:rsidRDefault="004C2EE3">
            <w:pPr>
              <w:tabs>
                <w:tab w:val="center" w:pos="4680"/>
              </w:tabs>
              <w:suppressAutoHyphens/>
              <w:rPr>
                <w:spacing w:val="-2"/>
              </w:rPr>
            </w:pPr>
            <w:r>
              <w:rPr>
                <w:spacing w:val="-2"/>
              </w:rPr>
              <w:t>In the Matter of</w:t>
            </w:r>
          </w:p>
          <w:p w14:paraId="611CD7AC" w14:textId="77777777" w:rsidR="004C2EE3" w:rsidRDefault="004C2EE3">
            <w:pPr>
              <w:tabs>
                <w:tab w:val="center" w:pos="4680"/>
              </w:tabs>
              <w:suppressAutoHyphens/>
              <w:rPr>
                <w:spacing w:val="-2"/>
              </w:rPr>
            </w:pPr>
          </w:p>
          <w:p w14:paraId="2A8AD39A" w14:textId="77777777" w:rsidR="004C2EE3" w:rsidRDefault="005C610B" w:rsidP="007115F7">
            <w:pPr>
              <w:tabs>
                <w:tab w:val="center" w:pos="4680"/>
              </w:tabs>
              <w:suppressAutoHyphens/>
              <w:rPr>
                <w:spacing w:val="-2"/>
              </w:rPr>
            </w:pPr>
            <w:r>
              <w:rPr>
                <w:spacing w:val="-2"/>
              </w:rPr>
              <w:t xml:space="preserve">City of </w:t>
            </w:r>
            <w:r w:rsidR="00204506">
              <w:rPr>
                <w:spacing w:val="-2"/>
              </w:rPr>
              <w:t>Bainbridge Island</w:t>
            </w:r>
            <w:r>
              <w:rPr>
                <w:spacing w:val="-2"/>
              </w:rPr>
              <w:t xml:space="preserve">, </w:t>
            </w:r>
            <w:r w:rsidR="00204506">
              <w:rPr>
                <w:spacing w:val="-2"/>
              </w:rPr>
              <w:t>Washington</w:t>
            </w:r>
          </w:p>
          <w:p w14:paraId="2AE486ED" w14:textId="77777777" w:rsidR="005C610B" w:rsidRDefault="005C610B" w:rsidP="007115F7">
            <w:pPr>
              <w:tabs>
                <w:tab w:val="center" w:pos="4680"/>
              </w:tabs>
              <w:suppressAutoHyphens/>
              <w:rPr>
                <w:spacing w:val="-2"/>
              </w:rPr>
            </w:pPr>
          </w:p>
          <w:p w14:paraId="1C18EC9F" w14:textId="77777777" w:rsidR="005C610B" w:rsidRDefault="005C610B" w:rsidP="007115F7">
            <w:pPr>
              <w:tabs>
                <w:tab w:val="center" w:pos="4680"/>
              </w:tabs>
              <w:suppressAutoHyphens/>
            </w:pPr>
            <w:r>
              <w:rPr>
                <w:spacing w:val="-2"/>
              </w:rPr>
              <w:t xml:space="preserve">Request for Waiver of Section </w:t>
            </w:r>
            <w:r>
              <w:t>90.242(b)(4)(iv)</w:t>
            </w:r>
          </w:p>
          <w:p w14:paraId="033A3DEC" w14:textId="77777777" w:rsidR="005C610B" w:rsidRPr="007115F7" w:rsidRDefault="005C610B" w:rsidP="007115F7">
            <w:pPr>
              <w:tabs>
                <w:tab w:val="center" w:pos="4680"/>
              </w:tabs>
              <w:suppressAutoHyphens/>
              <w:rPr>
                <w:spacing w:val="-2"/>
              </w:rPr>
            </w:pPr>
            <w:r>
              <w:t>Of the Commission’s Rules</w:t>
            </w:r>
          </w:p>
        </w:tc>
        <w:tc>
          <w:tcPr>
            <w:tcW w:w="630" w:type="dxa"/>
          </w:tcPr>
          <w:p w14:paraId="6C663603" w14:textId="77777777" w:rsidR="004C2EE3" w:rsidRDefault="004C2EE3">
            <w:pPr>
              <w:tabs>
                <w:tab w:val="center" w:pos="4680"/>
              </w:tabs>
              <w:suppressAutoHyphens/>
              <w:rPr>
                <w:b/>
                <w:spacing w:val="-2"/>
              </w:rPr>
            </w:pPr>
            <w:r>
              <w:rPr>
                <w:b/>
                <w:spacing w:val="-2"/>
              </w:rPr>
              <w:t>)</w:t>
            </w:r>
          </w:p>
          <w:p w14:paraId="28330289" w14:textId="77777777" w:rsidR="004C2EE3" w:rsidRDefault="004C2EE3">
            <w:pPr>
              <w:tabs>
                <w:tab w:val="center" w:pos="4680"/>
              </w:tabs>
              <w:suppressAutoHyphens/>
              <w:rPr>
                <w:b/>
                <w:spacing w:val="-2"/>
              </w:rPr>
            </w:pPr>
            <w:r>
              <w:rPr>
                <w:b/>
                <w:spacing w:val="-2"/>
              </w:rPr>
              <w:t>)</w:t>
            </w:r>
          </w:p>
          <w:p w14:paraId="47F50C79" w14:textId="77777777" w:rsidR="004C2EE3" w:rsidRDefault="004C2EE3">
            <w:pPr>
              <w:tabs>
                <w:tab w:val="center" w:pos="4680"/>
              </w:tabs>
              <w:suppressAutoHyphens/>
              <w:rPr>
                <w:b/>
                <w:spacing w:val="-2"/>
              </w:rPr>
            </w:pPr>
            <w:r>
              <w:rPr>
                <w:b/>
                <w:spacing w:val="-2"/>
              </w:rPr>
              <w:t>)</w:t>
            </w:r>
          </w:p>
          <w:p w14:paraId="1EEC5B78" w14:textId="77777777" w:rsidR="004C2EE3" w:rsidRDefault="004C2EE3">
            <w:pPr>
              <w:tabs>
                <w:tab w:val="center" w:pos="4680"/>
              </w:tabs>
              <w:suppressAutoHyphens/>
              <w:rPr>
                <w:b/>
                <w:spacing w:val="-2"/>
              </w:rPr>
            </w:pPr>
            <w:r>
              <w:rPr>
                <w:b/>
                <w:spacing w:val="-2"/>
              </w:rPr>
              <w:t>)</w:t>
            </w:r>
          </w:p>
          <w:p w14:paraId="6C7DD871" w14:textId="77777777" w:rsidR="004C2EE3" w:rsidRDefault="004C2EE3">
            <w:pPr>
              <w:tabs>
                <w:tab w:val="center" w:pos="4680"/>
              </w:tabs>
              <w:suppressAutoHyphens/>
              <w:rPr>
                <w:b/>
                <w:spacing w:val="-2"/>
              </w:rPr>
            </w:pPr>
            <w:r>
              <w:rPr>
                <w:b/>
                <w:spacing w:val="-2"/>
              </w:rPr>
              <w:t>)</w:t>
            </w:r>
          </w:p>
          <w:p w14:paraId="32E55CB0" w14:textId="77777777" w:rsidR="004C2EE3" w:rsidRPr="005C610B" w:rsidRDefault="004C2EE3">
            <w:pPr>
              <w:tabs>
                <w:tab w:val="center" w:pos="4680"/>
              </w:tabs>
              <w:suppressAutoHyphens/>
              <w:rPr>
                <w:b/>
                <w:spacing w:val="-2"/>
              </w:rPr>
            </w:pPr>
            <w:r>
              <w:rPr>
                <w:b/>
                <w:spacing w:val="-2"/>
              </w:rPr>
              <w:t>)</w:t>
            </w:r>
          </w:p>
        </w:tc>
        <w:tc>
          <w:tcPr>
            <w:tcW w:w="4248" w:type="dxa"/>
          </w:tcPr>
          <w:p w14:paraId="2421ACAC" w14:textId="77777777" w:rsidR="004C2EE3" w:rsidRDefault="004C2EE3">
            <w:pPr>
              <w:tabs>
                <w:tab w:val="center" w:pos="4680"/>
              </w:tabs>
              <w:suppressAutoHyphens/>
              <w:rPr>
                <w:spacing w:val="-2"/>
              </w:rPr>
            </w:pPr>
          </w:p>
          <w:p w14:paraId="3AEA0911" w14:textId="77777777" w:rsidR="004C2EE3" w:rsidRDefault="004C2EE3">
            <w:pPr>
              <w:pStyle w:val="TOAHeading"/>
              <w:tabs>
                <w:tab w:val="clear" w:pos="9360"/>
                <w:tab w:val="center" w:pos="4680"/>
              </w:tabs>
              <w:rPr>
                <w:spacing w:val="-2"/>
              </w:rPr>
            </w:pPr>
          </w:p>
          <w:p w14:paraId="3F6AAF10" w14:textId="77777777" w:rsidR="004C2EE3" w:rsidRDefault="00613011">
            <w:pPr>
              <w:tabs>
                <w:tab w:val="center" w:pos="4680"/>
              </w:tabs>
              <w:suppressAutoHyphens/>
              <w:rPr>
                <w:spacing w:val="-2"/>
              </w:rPr>
            </w:pPr>
            <w:r>
              <w:rPr>
                <w:spacing w:val="-2"/>
              </w:rPr>
              <w:t xml:space="preserve">File No. </w:t>
            </w:r>
            <w:r w:rsidR="00204506" w:rsidRPr="00204506">
              <w:rPr>
                <w:spacing w:val="-2"/>
              </w:rPr>
              <w:t>0007083089</w:t>
            </w:r>
          </w:p>
        </w:tc>
      </w:tr>
    </w:tbl>
    <w:p w14:paraId="4FAD1D1C" w14:textId="77777777" w:rsidR="004C2EE3" w:rsidRDefault="004C2EE3" w:rsidP="0070224F"/>
    <w:p w14:paraId="3F429DB4" w14:textId="77777777" w:rsidR="00841AB1" w:rsidRDefault="00FF4A34" w:rsidP="00F021FA">
      <w:pPr>
        <w:pStyle w:val="StyleBoldCentered"/>
      </w:pPr>
      <w:r>
        <w:t>Order</w:t>
      </w:r>
    </w:p>
    <w:p w14:paraId="79A8D6C2" w14:textId="77777777" w:rsidR="004C2EE3" w:rsidRDefault="004C2EE3">
      <w:pPr>
        <w:tabs>
          <w:tab w:val="left" w:pos="-720"/>
        </w:tabs>
        <w:suppressAutoHyphens/>
        <w:spacing w:line="227" w:lineRule="auto"/>
        <w:rPr>
          <w:spacing w:val="-2"/>
        </w:rPr>
      </w:pPr>
    </w:p>
    <w:p w14:paraId="5D43BE8B" w14:textId="10DEE036" w:rsidR="004C2EE3" w:rsidRDefault="004C2EE3" w:rsidP="00133F79">
      <w:pPr>
        <w:tabs>
          <w:tab w:val="left" w:pos="720"/>
          <w:tab w:val="right" w:pos="9360"/>
        </w:tabs>
        <w:suppressAutoHyphens/>
        <w:spacing w:line="227" w:lineRule="auto"/>
        <w:rPr>
          <w:spacing w:val="-2"/>
        </w:rPr>
      </w:pPr>
      <w:r>
        <w:rPr>
          <w:b/>
          <w:spacing w:val="-2"/>
        </w:rPr>
        <w:t xml:space="preserve">Adopted:  </w:t>
      </w:r>
      <w:r w:rsidR="00487E83">
        <w:rPr>
          <w:b/>
          <w:spacing w:val="-2"/>
        </w:rPr>
        <w:t>February 2</w:t>
      </w:r>
      <w:r w:rsidR="00E557F5">
        <w:rPr>
          <w:b/>
          <w:spacing w:val="-2"/>
        </w:rPr>
        <w:t>2</w:t>
      </w:r>
      <w:r w:rsidR="00487E83">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7E83">
        <w:rPr>
          <w:b/>
          <w:spacing w:val="-2"/>
        </w:rPr>
        <w:t>February 22, 2017</w:t>
      </w:r>
    </w:p>
    <w:p w14:paraId="0AF1D442" w14:textId="77777777" w:rsidR="00822CE0" w:rsidRDefault="00822CE0"/>
    <w:p w14:paraId="7A68A1D1" w14:textId="1335DCAD" w:rsidR="004C2EE3" w:rsidRDefault="004C2EE3">
      <w:pPr>
        <w:rPr>
          <w:spacing w:val="-2"/>
        </w:rPr>
      </w:pPr>
      <w:r>
        <w:t xml:space="preserve">By </w:t>
      </w:r>
      <w:r w:rsidR="004E4A22">
        <w:t>the</w:t>
      </w:r>
      <w:r w:rsidR="002A2D2E">
        <w:t xml:space="preserve"> </w:t>
      </w:r>
      <w:r w:rsidR="00D37DBD">
        <w:t xml:space="preserve">Acting </w:t>
      </w:r>
      <w:r w:rsidR="00613011">
        <w:rPr>
          <w:spacing w:val="-2"/>
        </w:rPr>
        <w:t>Chief, Policy and Licensing Division, Public Safety and Homeland Security Bureau</w:t>
      </w:r>
      <w:r>
        <w:rPr>
          <w:spacing w:val="-2"/>
        </w:rPr>
        <w:t>:</w:t>
      </w:r>
    </w:p>
    <w:p w14:paraId="1B14D7D3" w14:textId="77777777" w:rsidR="00412FC5" w:rsidRDefault="00412FC5" w:rsidP="00412FC5"/>
    <w:p w14:paraId="09A867BD" w14:textId="77777777" w:rsidR="002C00E8" w:rsidRDefault="00613011" w:rsidP="002C00E8">
      <w:pPr>
        <w:pStyle w:val="Heading1"/>
      </w:pPr>
      <w:r>
        <w:t>Introduction</w:t>
      </w:r>
    </w:p>
    <w:p w14:paraId="1CA065F9" w14:textId="7427A628" w:rsidR="00613011" w:rsidRDefault="008D78A1" w:rsidP="00613011">
      <w:pPr>
        <w:pStyle w:val="ParaNum"/>
      </w:pPr>
      <w:r>
        <w:t xml:space="preserve">On </w:t>
      </w:r>
      <w:r w:rsidR="00A32B90">
        <w:t>January 5</w:t>
      </w:r>
      <w:r>
        <w:t xml:space="preserve">, 2016, the City of </w:t>
      </w:r>
      <w:r w:rsidR="00204506">
        <w:t>Bainbridge Island</w:t>
      </w:r>
      <w:r>
        <w:t xml:space="preserve">, </w:t>
      </w:r>
      <w:r w:rsidR="00204506">
        <w:t xml:space="preserve">Washington </w:t>
      </w:r>
      <w:r>
        <w:t>(</w:t>
      </w:r>
      <w:r w:rsidR="00204506">
        <w:t>Bainbridge</w:t>
      </w:r>
      <w:r>
        <w:t xml:space="preserve">, or the City) filed an application and waiver request to modify its Travelers Information Station (TIS) </w:t>
      </w:r>
      <w:r w:rsidR="00204506">
        <w:t>WQVI729</w:t>
      </w:r>
      <w:r>
        <w:t xml:space="preserve"> by </w:t>
      </w:r>
      <w:r w:rsidR="00631B94">
        <w:t>correcting the coordinates of its transmitter site, eliminating use of frequency 1700 kilohertz</w:t>
      </w:r>
      <w:r w:rsidR="00E34B82">
        <w:t>,</w:t>
      </w:r>
      <w:r w:rsidR="00631B94">
        <w:t xml:space="preserve"> and </w:t>
      </w:r>
      <w:r>
        <w:t>expanding its service area.</w:t>
      </w:r>
      <w:r w:rsidR="00CE7144">
        <w:rPr>
          <w:rStyle w:val="FootnoteReference"/>
        </w:rPr>
        <w:footnoteReference w:id="2"/>
      </w:r>
      <w:r>
        <w:t xml:space="preserve">  </w:t>
      </w:r>
      <w:r w:rsidR="00204506">
        <w:t>Bainbridge</w:t>
      </w:r>
      <w:r w:rsidR="005F069B">
        <w:t>’s</w:t>
      </w:r>
      <w:r>
        <w:t xml:space="preserve"> TIS operates on frequency </w:t>
      </w:r>
      <w:r w:rsidR="00204506">
        <w:t>600</w:t>
      </w:r>
      <w:r w:rsidR="005D56C9">
        <w:t xml:space="preserve"> kilohertz</w:t>
      </w:r>
      <w:r>
        <w:t xml:space="preserve"> in the AM radio band.</w:t>
      </w:r>
      <w:r w:rsidR="00BD0410">
        <w:t xml:space="preserve">  </w:t>
      </w:r>
      <w:r w:rsidR="00204506">
        <w:t>Bainbridge</w:t>
      </w:r>
      <w:r w:rsidR="00BD0410">
        <w:t xml:space="preserve"> requests a waiver of Section 90.242(b)(4)(iv) of the Commission’s rules</w:t>
      </w:r>
      <w:r w:rsidR="00095BEC">
        <w:t>,</w:t>
      </w:r>
      <w:r w:rsidR="00095BEC" w:rsidRPr="00095BEC">
        <w:rPr>
          <w:szCs w:val="22"/>
        </w:rPr>
        <w:t xml:space="preserve"> </w:t>
      </w:r>
      <w:r w:rsidR="00095BEC" w:rsidRPr="001B04FB">
        <w:rPr>
          <w:szCs w:val="22"/>
        </w:rPr>
        <w:t xml:space="preserve">which imposes a 2 mV/m </w:t>
      </w:r>
      <w:r w:rsidR="002875B2" w:rsidRPr="001B04FB">
        <w:rPr>
          <w:szCs w:val="22"/>
        </w:rPr>
        <w:t xml:space="preserve">field strength limit </w:t>
      </w:r>
      <w:r w:rsidR="00095BEC" w:rsidRPr="001B04FB">
        <w:rPr>
          <w:szCs w:val="22"/>
        </w:rPr>
        <w:t xml:space="preserve">at 1.5 kilometers </w:t>
      </w:r>
      <w:r w:rsidR="002875B2">
        <w:rPr>
          <w:szCs w:val="22"/>
        </w:rPr>
        <w:t>from</w:t>
      </w:r>
      <w:r w:rsidR="00095BEC" w:rsidRPr="001B04FB">
        <w:rPr>
          <w:szCs w:val="22"/>
        </w:rPr>
        <w:t xml:space="preserve"> TIS transmitters</w:t>
      </w:r>
      <w:r w:rsidR="005B63F5">
        <w:rPr>
          <w:szCs w:val="22"/>
        </w:rPr>
        <w:t>,</w:t>
      </w:r>
      <w:r w:rsidR="00BD0410">
        <w:rPr>
          <w:rStyle w:val="FootnoteReference"/>
        </w:rPr>
        <w:footnoteReference w:id="3"/>
      </w:r>
      <w:r w:rsidR="00BD0410">
        <w:t xml:space="preserve"> </w:t>
      </w:r>
      <w:r w:rsidR="005B63F5">
        <w:t>so that it may</w:t>
      </w:r>
      <w:r w:rsidR="00BD0410">
        <w:t xml:space="preserve"> expand its 2 mV/m service contour up to </w:t>
      </w:r>
      <w:r w:rsidR="009503C7">
        <w:t>2.9</w:t>
      </w:r>
      <w:r w:rsidR="00BD0410">
        <w:t xml:space="preserve"> kilometers from the transmitter.</w:t>
      </w:r>
      <w:r w:rsidR="00396953">
        <w:rPr>
          <w:rStyle w:val="FootnoteReference"/>
        </w:rPr>
        <w:footnoteReference w:id="4"/>
      </w:r>
      <w:r w:rsidR="007A0319">
        <w:t xml:space="preserve">  The City plans to maintain </w:t>
      </w:r>
      <w:r w:rsidR="005D56C9">
        <w:t xml:space="preserve">the </w:t>
      </w:r>
      <w:r w:rsidR="007A0319">
        <w:t xml:space="preserve">power </w:t>
      </w:r>
      <w:r w:rsidR="005D56C9">
        <w:t xml:space="preserve">of the station </w:t>
      </w:r>
      <w:r w:rsidR="007A0319">
        <w:t>at ten watts, the maximum power level permitted for TIS conventional antennas under the Commission’s rules.</w:t>
      </w:r>
      <w:r w:rsidR="007A0319">
        <w:rPr>
          <w:rStyle w:val="FootnoteReference"/>
        </w:rPr>
        <w:footnoteReference w:id="5"/>
      </w:r>
      <w:r w:rsidR="007A0319">
        <w:t xml:space="preserve"> </w:t>
      </w:r>
      <w:r w:rsidR="005B63F5">
        <w:t>For the reasons we discuss herein, we grant the request for waiver.</w:t>
      </w:r>
    </w:p>
    <w:p w14:paraId="5074D0A8" w14:textId="77777777" w:rsidR="00E8753B" w:rsidRDefault="00E8753B" w:rsidP="00E8753B">
      <w:pPr>
        <w:pStyle w:val="Heading1"/>
        <w:tabs>
          <w:tab w:val="left" w:pos="720"/>
        </w:tabs>
      </w:pPr>
      <w:r w:rsidRPr="00E8753B">
        <w:t>BACKGROUND</w:t>
      </w:r>
    </w:p>
    <w:p w14:paraId="57881E64" w14:textId="1D224926" w:rsidR="000F199A" w:rsidRDefault="00204506" w:rsidP="008F13FF">
      <w:pPr>
        <w:pStyle w:val="ParaNum"/>
        <w:widowControl/>
      </w:pPr>
      <w:r>
        <w:t>Bainbridge</w:t>
      </w:r>
      <w:r w:rsidR="00BD0410">
        <w:t xml:space="preserve"> is located </w:t>
      </w:r>
      <w:r w:rsidRPr="00EF7352">
        <w:t xml:space="preserve">to the west of </w:t>
      </w:r>
      <w:r>
        <w:t xml:space="preserve">the City of </w:t>
      </w:r>
      <w:r w:rsidRPr="00EF7352">
        <w:t>Seattle</w:t>
      </w:r>
      <w:r>
        <w:t>, Washington</w:t>
      </w:r>
      <w:r w:rsidRPr="00EF7352">
        <w:t xml:space="preserve"> across Puget Sound</w:t>
      </w:r>
      <w:r w:rsidR="00BD0410">
        <w:t xml:space="preserve">, measures </w:t>
      </w:r>
      <w:r>
        <w:t>27</w:t>
      </w:r>
      <w:r w:rsidR="00BD0410">
        <w:t xml:space="preserve"> square miles, and has a population of 2</w:t>
      </w:r>
      <w:r>
        <w:t>3</w:t>
      </w:r>
      <w:r w:rsidR="00BD0410">
        <w:t>,</w:t>
      </w:r>
      <w:r>
        <w:t>0</w:t>
      </w:r>
      <w:r w:rsidR="00BD0410">
        <w:t>00</w:t>
      </w:r>
      <w:r w:rsidR="0023603E">
        <w:t>.</w:t>
      </w:r>
      <w:r w:rsidR="0023603E">
        <w:rPr>
          <w:rStyle w:val="FootnoteReference"/>
        </w:rPr>
        <w:footnoteReference w:id="6"/>
      </w:r>
      <w:r w:rsidR="00BD0410">
        <w:t xml:space="preserve">  </w:t>
      </w:r>
      <w:r w:rsidR="00235FB6" w:rsidRPr="00EF7352">
        <w:t xml:space="preserve">Its only connection to the </w:t>
      </w:r>
      <w:r w:rsidR="00235FB6">
        <w:t xml:space="preserve">Kitsap County’s </w:t>
      </w:r>
      <w:r w:rsidR="00235FB6" w:rsidRPr="00EF7352">
        <w:t>mainland is a two-lane bridge on the north side of the island.</w:t>
      </w:r>
      <w:r w:rsidR="00235FB6">
        <w:rPr>
          <w:rStyle w:val="FootnoteReference"/>
        </w:rPr>
        <w:footnoteReference w:id="7"/>
      </w:r>
      <w:r w:rsidR="00235FB6" w:rsidRPr="00EF7352">
        <w:t xml:space="preserve">  </w:t>
      </w:r>
      <w:r w:rsidR="00235FB6">
        <w:t>The City depends on f</w:t>
      </w:r>
      <w:r w:rsidR="00235FB6" w:rsidRPr="00EF7352">
        <w:t>err</w:t>
      </w:r>
      <w:r w:rsidR="00235FB6">
        <w:t>y service</w:t>
      </w:r>
      <w:r w:rsidR="00235FB6" w:rsidRPr="00EF7352">
        <w:t xml:space="preserve"> </w:t>
      </w:r>
      <w:r w:rsidR="00235FB6">
        <w:t xml:space="preserve">for direct access to both </w:t>
      </w:r>
      <w:r w:rsidR="00235FB6" w:rsidRPr="00EF7352">
        <w:t>Seattle and King County.</w:t>
      </w:r>
      <w:r w:rsidR="00235FB6">
        <w:rPr>
          <w:rStyle w:val="FootnoteReference"/>
        </w:rPr>
        <w:footnoteReference w:id="8"/>
      </w:r>
      <w:r w:rsidR="00235FB6" w:rsidRPr="00EF7352">
        <w:t xml:space="preserve">  Unloading of vehicles from ferries creates </w:t>
      </w:r>
      <w:r w:rsidR="00235FB6">
        <w:t>“</w:t>
      </w:r>
      <w:r w:rsidR="00235FB6" w:rsidRPr="00EF7352">
        <w:t xml:space="preserve">heavy surge </w:t>
      </w:r>
      <w:r w:rsidR="00235FB6">
        <w:t xml:space="preserve">[of vehicles] </w:t>
      </w:r>
      <w:r w:rsidR="00235FB6" w:rsidRPr="00EF7352">
        <w:t>on</w:t>
      </w:r>
      <w:r w:rsidR="00235FB6">
        <w:t>to</w:t>
      </w:r>
      <w:r w:rsidR="00235FB6" w:rsidRPr="00EF7352">
        <w:t xml:space="preserve"> the island’s roadways</w:t>
      </w:r>
      <w:r w:rsidR="00235FB6">
        <w:t>,” most of which</w:t>
      </w:r>
      <w:r w:rsidR="00235FB6" w:rsidRPr="00EF7352">
        <w:t xml:space="preserve"> </w:t>
      </w:r>
      <w:r w:rsidR="00235FB6">
        <w:t>are en route to</w:t>
      </w:r>
      <w:r w:rsidR="00235FB6" w:rsidRPr="00EF7352">
        <w:t xml:space="preserve"> the </w:t>
      </w:r>
      <w:r w:rsidR="00D00B7F">
        <w:t xml:space="preserve">two-lane </w:t>
      </w:r>
      <w:r w:rsidR="00235FB6" w:rsidRPr="00EF7352">
        <w:t xml:space="preserve">bridge to </w:t>
      </w:r>
      <w:r w:rsidR="00D00B7F">
        <w:t>access the</w:t>
      </w:r>
      <w:r w:rsidR="00235FB6" w:rsidRPr="00EF7352">
        <w:t xml:space="preserve"> </w:t>
      </w:r>
      <w:r w:rsidR="00235FB6">
        <w:t>Kitsap and Olympic Peninsulas</w:t>
      </w:r>
      <w:r w:rsidR="00235FB6" w:rsidRPr="00EF7352">
        <w:t>.</w:t>
      </w:r>
      <w:r w:rsidR="00235FB6">
        <w:rPr>
          <w:rStyle w:val="FootnoteReference"/>
        </w:rPr>
        <w:footnoteReference w:id="9"/>
      </w:r>
      <w:r w:rsidR="00235FB6" w:rsidRPr="00EF7352">
        <w:t xml:space="preserve">  </w:t>
      </w:r>
      <w:r w:rsidR="00235FB6">
        <w:t xml:space="preserve">The City reports that the surges routinely jam State Road 305, resulting </w:t>
      </w:r>
      <w:r w:rsidR="00235FB6">
        <w:lastRenderedPageBreak/>
        <w:t>in lengthy traffic delays on the north end of the island</w:t>
      </w:r>
      <w:r w:rsidR="00336F20">
        <w:t>.</w:t>
      </w:r>
      <w:r w:rsidR="00235FB6">
        <w:rPr>
          <w:rStyle w:val="FootnoteReference"/>
        </w:rPr>
        <w:footnoteReference w:id="10"/>
      </w:r>
      <w:r w:rsidR="00235FB6">
        <w:t xml:space="preserve">  Bainbridge </w:t>
      </w:r>
      <w:r w:rsidR="00E34B82">
        <w:t xml:space="preserve">states </w:t>
      </w:r>
      <w:r w:rsidR="00235FB6">
        <w:t>that t</w:t>
      </w:r>
      <w:r w:rsidR="00235FB6" w:rsidRPr="00EF7352">
        <w:t>he island is susceptible to winter storms, earthquakes, flooding, landslides, pandemics, nuclear contamination, lengthy power outages, and terrorism associated with the ferry route.</w:t>
      </w:r>
      <w:r w:rsidR="00235FB6">
        <w:rPr>
          <w:rStyle w:val="FootnoteReference"/>
        </w:rPr>
        <w:footnoteReference w:id="11"/>
      </w:r>
      <w:r w:rsidR="00235FB6" w:rsidRPr="00EF7352">
        <w:t xml:space="preserve">  With limited means of evacuation that are vulnerable to disruption, Bainbridge</w:t>
      </w:r>
      <w:r w:rsidR="00235FB6">
        <w:t xml:space="preserve"> </w:t>
      </w:r>
      <w:r w:rsidR="00E34B82">
        <w:t xml:space="preserve">asserts </w:t>
      </w:r>
      <w:r w:rsidR="00235FB6">
        <w:t>that it</w:t>
      </w:r>
      <w:r w:rsidR="00235FB6" w:rsidRPr="00EF7352">
        <w:t xml:space="preserve"> is susceptible to complete isolation.</w:t>
      </w:r>
      <w:r w:rsidR="00235FB6">
        <w:rPr>
          <w:rStyle w:val="FootnoteReference"/>
        </w:rPr>
        <w:footnoteReference w:id="12"/>
      </w:r>
      <w:r w:rsidR="00235FB6">
        <w:t xml:space="preserve">  </w:t>
      </w:r>
      <w:r w:rsidR="00F525ED">
        <w:t>The City</w:t>
      </w:r>
      <w:r w:rsidR="00BD0410">
        <w:t xml:space="preserve"> uses</w:t>
      </w:r>
      <w:r w:rsidR="008D67DE">
        <w:t xml:space="preserve"> its single-transmitter</w:t>
      </w:r>
      <w:r w:rsidR="00BD0410">
        <w:t xml:space="preserve"> TIS </w:t>
      </w:r>
      <w:r w:rsidR="00235FB6" w:rsidRPr="00EF7352">
        <w:t xml:space="preserve">to “provide </w:t>
      </w:r>
      <w:r w:rsidR="00235FB6">
        <w:t>critical information to area motorists in an emergency or a time of imminent danger” and to “provide ferry service [information], traffic, road construction and other traveler information to motorists on a daily basis.”</w:t>
      </w:r>
      <w:r w:rsidR="00235FB6">
        <w:rPr>
          <w:rStyle w:val="FootnoteReference"/>
        </w:rPr>
        <w:footnoteReference w:id="13"/>
      </w:r>
      <w:r w:rsidR="00235FB6">
        <w:t xml:space="preserve">  “[B]</w:t>
      </w:r>
      <w:r w:rsidR="00235FB6" w:rsidRPr="00AA66C1">
        <w:t>ecause th</w:t>
      </w:r>
      <w:r w:rsidR="00235FB6">
        <w:t>i</w:t>
      </w:r>
      <w:r w:rsidR="00235FB6" w:rsidRPr="00AA66C1">
        <w:t>s Travelers Information Station would operate on a generator and because all automobile radios operate by virtue of the automobile alternator/battery, emergency-related communication service to citizens can be maintained</w:t>
      </w:r>
      <w:r w:rsidR="00235FB6">
        <w:t>” when power outages affect other communications.</w:t>
      </w:r>
      <w:r w:rsidR="00235FB6">
        <w:rPr>
          <w:rStyle w:val="FootnoteReference"/>
        </w:rPr>
        <w:footnoteReference w:id="14"/>
      </w:r>
      <w:r w:rsidR="007A3716">
        <w:t xml:space="preserve"> </w:t>
      </w:r>
    </w:p>
    <w:p w14:paraId="2C7596A6" w14:textId="749FCD74" w:rsidR="00BD0410" w:rsidRDefault="000F199A" w:rsidP="008F13FF">
      <w:pPr>
        <w:pStyle w:val="ParaNum"/>
        <w:widowControl/>
      </w:pPr>
      <w:r>
        <w:t>Bainbridge argues that “</w:t>
      </w:r>
      <w:r w:rsidRPr="00055838">
        <w:t>intent of this service is to serve the public interest thru the broadcast of daily Traveler Information Service (TIS) allowed content and to protect life and property of motorists in on</w:t>
      </w:r>
      <w:r w:rsidR="00BF6325">
        <w:t xml:space="preserve"> [sic]</w:t>
      </w:r>
      <w:r w:rsidRPr="00055838">
        <w:t xml:space="preserve"> Bainbridge Island and surrounding areas in times of emergency and imminent danger.</w:t>
      </w:r>
      <w:r>
        <w:t xml:space="preserve">  </w:t>
      </w:r>
      <w:r w:rsidRPr="002139C7">
        <w:t>On a daily basis, this may include, for example, the broadcast of information related to travel and traffic hazards due to ferry schedule disruption and road construction and the resulting detours, directions for visitors to make travel more efficient and traffic information for all drivers so they may avoid congestion. In an emergency, and especially in an event which would snarl traffic crossing the one bridge to the mainland or disrupt electrical service to residents, this station would be critical as a conduit to provide all manner of local information to protect life and property.</w:t>
      </w:r>
      <w:r>
        <w:t>”</w:t>
      </w:r>
      <w:r>
        <w:rPr>
          <w:rStyle w:val="FootnoteReference"/>
        </w:rPr>
        <w:footnoteReference w:id="15"/>
      </w:r>
      <w:r>
        <w:t xml:space="preserve"> </w:t>
      </w:r>
      <w:r w:rsidR="007A3716">
        <w:t xml:space="preserve"> </w:t>
      </w:r>
    </w:p>
    <w:p w14:paraId="36211B13" w14:textId="3ED96514" w:rsidR="00BD2BE8" w:rsidRDefault="00BD2BE8" w:rsidP="0076387F">
      <w:pPr>
        <w:pStyle w:val="ParaNum"/>
      </w:pPr>
      <w:r>
        <w:t xml:space="preserve">Bainbridge </w:t>
      </w:r>
      <w:r w:rsidR="00E34B82">
        <w:t xml:space="preserve">asserts </w:t>
      </w:r>
      <w:r>
        <w:t>that its TIS with signal limited to 2.0 mV/m at 0.93 miles does not meet a critical need to have TIS reach all of the island’s roadways due to the island’s 10-mile north-to-south length.</w:t>
      </w:r>
      <w:r>
        <w:rPr>
          <w:rStyle w:val="FootnoteReference"/>
        </w:rPr>
        <w:footnoteReference w:id="16"/>
      </w:r>
      <w:r>
        <w:t xml:space="preserve">  The City avers that </w:t>
      </w:r>
      <w:r w:rsidR="00E34B82">
        <w:t xml:space="preserve">building </w:t>
      </w:r>
      <w:r>
        <w:t xml:space="preserve">multiple synchronized TIS locations would cost more than </w:t>
      </w:r>
      <w:r w:rsidR="00E34B82">
        <w:t xml:space="preserve">operating </w:t>
      </w:r>
      <w:r>
        <w:t>a single location due to additional transmitters, antennas, synchronization equipment, and audio distribution gear.</w:t>
      </w:r>
      <w:r>
        <w:rPr>
          <w:rStyle w:val="FootnoteReference"/>
        </w:rPr>
        <w:footnoteReference w:id="17"/>
      </w:r>
      <w:r>
        <w:t xml:space="preserve">  Bainbridge </w:t>
      </w:r>
      <w:r w:rsidR="00E34B82">
        <w:t xml:space="preserve">further </w:t>
      </w:r>
      <w:r>
        <w:t xml:space="preserve">argues that in </w:t>
      </w:r>
      <w:r w:rsidR="00E34B82">
        <w:t xml:space="preserve">a multi-transmitter configuration, </w:t>
      </w:r>
      <w:r>
        <w:t>areas midway between transmitters</w:t>
      </w:r>
      <w:r w:rsidR="00DD7CC7">
        <w:t xml:space="preserve"> </w:t>
      </w:r>
      <w:r>
        <w:t>c</w:t>
      </w:r>
      <w:r w:rsidR="00E34B82">
        <w:t>ould</w:t>
      </w:r>
      <w:r>
        <w:t xml:space="preserve"> </w:t>
      </w:r>
      <w:r w:rsidR="00E34B82">
        <w:t xml:space="preserve">experience </w:t>
      </w:r>
      <w:r>
        <w:t xml:space="preserve">inter-transmitter audio distortions, which affect intelligibility and </w:t>
      </w:r>
      <w:r w:rsidR="00B44FFA">
        <w:t xml:space="preserve">are </w:t>
      </w:r>
      <w:r>
        <w:t>counterproductive to the communication effort.</w:t>
      </w:r>
      <w:r>
        <w:rPr>
          <w:rStyle w:val="FootnoteReference"/>
        </w:rPr>
        <w:footnoteReference w:id="18"/>
      </w:r>
      <w:r>
        <w:t xml:space="preserve">  Bainbridge maintains that a single </w:t>
      </w:r>
      <w:r w:rsidR="00E34B82">
        <w:t xml:space="preserve">TIS </w:t>
      </w:r>
      <w:r>
        <w:t xml:space="preserve">transmitter with a larger 2.0 mV/m contour would cover the island, avoid the cost and distortion issues, and allow continued operation </w:t>
      </w:r>
      <w:r w:rsidR="00194D77">
        <w:t xml:space="preserve">of the station using the propane-fueled generator </w:t>
      </w:r>
      <w:r>
        <w:t>should power outages occur</w:t>
      </w:r>
      <w:r w:rsidR="00194D77">
        <w:t>.</w:t>
      </w:r>
      <w:r>
        <w:rPr>
          <w:rStyle w:val="FootnoteReference"/>
        </w:rPr>
        <w:footnoteReference w:id="19"/>
      </w:r>
      <w:r>
        <w:t xml:space="preserve"> </w:t>
      </w:r>
      <w:r w:rsidR="00BD0410">
        <w:t xml:space="preserve"> </w:t>
      </w:r>
    </w:p>
    <w:p w14:paraId="2F18674B" w14:textId="35077D38" w:rsidR="00BD2BE8" w:rsidRDefault="00BD2BE8" w:rsidP="0076387F">
      <w:pPr>
        <w:pStyle w:val="ParaNum"/>
      </w:pPr>
      <w:r>
        <w:t xml:space="preserve">The City </w:t>
      </w:r>
      <w:r w:rsidR="00E34B82">
        <w:t xml:space="preserve">argues </w:t>
      </w:r>
      <w:r>
        <w:t>that “[a]</w:t>
      </w:r>
      <w:r w:rsidRPr="008C460A">
        <w:t>pplying rule 90.242(b)(4)(iv) to this TIS service will not further the underlying purpose of the rule because the interference to broadcasters will not occur with the relaxation of the 2.0 mV/m l</w:t>
      </w:r>
      <w:r>
        <w:t>imitation from 1.5 km to 2.9 km</w:t>
      </w:r>
      <w:r w:rsidR="00474302">
        <w:t>.</w:t>
      </w:r>
      <w:r>
        <w:t>”</w:t>
      </w:r>
      <w:r>
        <w:rPr>
          <w:rStyle w:val="FootnoteReference"/>
        </w:rPr>
        <w:footnoteReference w:id="20"/>
      </w:r>
      <w:r>
        <w:t xml:space="preserve">  Bainbridge further states that “[e]</w:t>
      </w:r>
      <w:r w:rsidRPr="00702608">
        <w:t>nforcement of rule 90.242(b)(4)(iv) would also have the unintended effect of increasing the cost of providing the service to the public because a minimum of three TIS stations and the addition of</w:t>
      </w:r>
      <w:r>
        <w:t xml:space="preserve"> </w:t>
      </w:r>
      <w:r w:rsidRPr="00702608">
        <w:t xml:space="preserve">synchronization equipment would be required, roughly quadrupling the cost of one station, to cover the </w:t>
      </w:r>
      <w:r w:rsidRPr="00702608">
        <w:lastRenderedPageBreak/>
        <w:t>same service area.</w:t>
      </w:r>
      <w:r>
        <w:t>”</w:t>
      </w:r>
      <w:r>
        <w:rPr>
          <w:rStyle w:val="FootnoteReference"/>
        </w:rPr>
        <w:footnoteReference w:id="21"/>
      </w:r>
      <w:r w:rsidRPr="00702608">
        <w:t xml:space="preserve"> </w:t>
      </w:r>
      <w:r>
        <w:t xml:space="preserve"> The City argues that “[t]</w:t>
      </w:r>
      <w:r w:rsidRPr="00702608">
        <w:t>he intent of the rule is not to add a cost burden to the budgets of local agencies whose responsibility it is to inform the traveling public and protect life and property.</w:t>
      </w:r>
      <w:r>
        <w:t>”</w:t>
      </w:r>
      <w:r>
        <w:rPr>
          <w:rStyle w:val="FootnoteReference"/>
        </w:rPr>
        <w:footnoteReference w:id="22"/>
      </w:r>
    </w:p>
    <w:p w14:paraId="563F7559" w14:textId="038BC5E2" w:rsidR="00513637" w:rsidRDefault="00513637" w:rsidP="008B444A">
      <w:pPr>
        <w:pStyle w:val="ParaNum"/>
        <w:widowControl/>
      </w:pPr>
      <w:r>
        <w:t>In support of its request for waiver,</w:t>
      </w:r>
      <w:r w:rsidR="00374294">
        <w:t xml:space="preserve"> </w:t>
      </w:r>
      <w:r w:rsidR="002132AF">
        <w:t>Bainbridge</w:t>
      </w:r>
      <w:r w:rsidR="006C13A9">
        <w:t xml:space="preserve"> </w:t>
      </w:r>
      <w:r w:rsidR="002132AF">
        <w:t>states</w:t>
      </w:r>
      <w:r w:rsidR="006C13A9">
        <w:t>, “it doesn’t appear that the proposed operating facilities will result in interference to any other station requiring protection consideration.”</w:t>
      </w:r>
      <w:r w:rsidR="006C13A9">
        <w:rPr>
          <w:rStyle w:val="FootnoteReference"/>
        </w:rPr>
        <w:footnoteReference w:id="23"/>
      </w:r>
      <w:r w:rsidR="006C13A9">
        <w:t xml:space="preserve">  </w:t>
      </w:r>
      <w:r w:rsidR="00055838">
        <w:t xml:space="preserve"> </w:t>
      </w:r>
      <w:r w:rsidR="006C13A9">
        <w:t xml:space="preserve">Bainbridge </w:t>
      </w:r>
      <w:r w:rsidR="00E34B82">
        <w:t xml:space="preserve">asserts </w:t>
      </w:r>
      <w:r w:rsidR="006C13A9">
        <w:t>that the only station close enough to require evaluation is Station CKBD, Vancouver, British Columbia, which is authorized co-channel with Bainbridge at 600 k</w:t>
      </w:r>
      <w:r w:rsidR="00194D77">
        <w:t>ilohertz</w:t>
      </w:r>
      <w:r w:rsidR="006C13A9">
        <w:t>.</w:t>
      </w:r>
      <w:r w:rsidR="006C13A9">
        <w:rPr>
          <w:rStyle w:val="FootnoteReference"/>
        </w:rPr>
        <w:footnoteReference w:id="24"/>
      </w:r>
      <w:r w:rsidR="006C13A9">
        <w:t xml:space="preserve"> </w:t>
      </w:r>
      <w:r w:rsidR="00574076">
        <w:t xml:space="preserve"> Bainbridge states that the US/Canadian working arrangement does not prohibit interference to Canadian facilities outside the boundaries of Canada, and </w:t>
      </w:r>
      <w:r w:rsidR="00E34B82">
        <w:t xml:space="preserve">notes that its </w:t>
      </w:r>
      <w:r w:rsidR="00E26606">
        <w:t xml:space="preserve">TIS </w:t>
      </w:r>
      <w:r w:rsidR="00E34B82">
        <w:t xml:space="preserve">transmitter </w:t>
      </w:r>
      <w:r w:rsidR="00E26606">
        <w:t>is located more than 130 kilometers from the nearest point of Canadian land.</w:t>
      </w:r>
      <w:r w:rsidR="00E26606">
        <w:rPr>
          <w:rStyle w:val="FootnoteReference"/>
        </w:rPr>
        <w:footnoteReference w:id="25"/>
      </w:r>
    </w:p>
    <w:p w14:paraId="5B85ADA6" w14:textId="77777777" w:rsidR="00E8753B" w:rsidRPr="009452E6" w:rsidRDefault="00E8753B" w:rsidP="00881242">
      <w:pPr>
        <w:pStyle w:val="Heading1"/>
        <w:tabs>
          <w:tab w:val="left" w:pos="720"/>
        </w:tabs>
        <w:rPr>
          <w:b w:val="0"/>
          <w:szCs w:val="22"/>
        </w:rPr>
      </w:pPr>
      <w:r w:rsidRPr="00881242">
        <w:t>DISCUSSION</w:t>
      </w:r>
    </w:p>
    <w:p w14:paraId="32639CBC" w14:textId="77777777" w:rsidR="00BD0410" w:rsidRDefault="00E8753B" w:rsidP="00E8753B">
      <w:pPr>
        <w:pStyle w:val="ParaNum"/>
      </w:pPr>
      <w:r w:rsidRPr="00E8753B">
        <w:t xml:space="preserve">Section 1.925(b)(3) of the Commission’s rules provides that: “the Commission may grant a request for waiver if it is shown that: </w:t>
      </w:r>
      <w:bookmarkStart w:id="1" w:name="SP;619100004c4a2"/>
      <w:bookmarkStart w:id="2" w:name="I0C18FFF043ED11E0B2C484FD2F1B6B50"/>
      <w:bookmarkStart w:id="3" w:name="I0C172B3643ED11E0B2C484FD2F1B6B50"/>
      <w:bookmarkEnd w:id="1"/>
      <w:bookmarkEnd w:id="2"/>
      <w:bookmarkEnd w:id="3"/>
      <w:r w:rsidRPr="00E8753B">
        <w:t xml:space="preserve">(i) The underlying purpose of the rule(s) would not be served or would be frustrated by application to the instant case, and that a grant of the requested waiver would be in the public interest; or </w:t>
      </w:r>
      <w:bookmarkStart w:id="4" w:name="SP;3ac8000039643"/>
      <w:bookmarkStart w:id="5" w:name="I0C19270043ED11E0B2C484FD2F1B6B50"/>
      <w:bookmarkStart w:id="6" w:name="I0C172B3743ED11E0B2C484FD2F1B6B50"/>
      <w:bookmarkEnd w:id="4"/>
      <w:bookmarkEnd w:id="5"/>
      <w:bookmarkEnd w:id="6"/>
      <w:r w:rsidRPr="00E8753B">
        <w:t>(ii) In view of unique or unusual factual circumstances of the instant case, application of the rule(s) would be inequitable, unduly burdensome or contrary to the public interest, or the applicant has no reasonable alternative.”</w:t>
      </w:r>
      <w:r w:rsidRPr="001B04FB">
        <w:rPr>
          <w:rStyle w:val="FootnoteReference"/>
          <w:szCs w:val="22"/>
        </w:rPr>
        <w:footnoteReference w:id="26"/>
      </w:r>
      <w:r w:rsidRPr="00E8753B">
        <w:t xml:space="preserve">  </w:t>
      </w:r>
      <w:r w:rsidR="0010681F" w:rsidRPr="00537306">
        <w:rPr>
          <w:szCs w:val="22"/>
        </w:rPr>
        <w:t>An applicant seeking a waiver faces a high hurdle and must plead with particularity the facts and circumstances that warrant a waiver.</w:t>
      </w:r>
      <w:r w:rsidR="0010681F" w:rsidRPr="00537306">
        <w:rPr>
          <w:rStyle w:val="FootnoteReference"/>
          <w:szCs w:val="22"/>
        </w:rPr>
        <w:footnoteReference w:id="27"/>
      </w:r>
      <w:r w:rsidR="0010681F" w:rsidRPr="00537306">
        <w:rPr>
          <w:szCs w:val="22"/>
        </w:rPr>
        <w:t xml:space="preserve">  Based on the information before us, we are persuaded that </w:t>
      </w:r>
      <w:r w:rsidR="00204506">
        <w:rPr>
          <w:szCs w:val="22"/>
        </w:rPr>
        <w:t>Bainbridge</w:t>
      </w:r>
      <w:r w:rsidR="0010681F" w:rsidRPr="00537306">
        <w:rPr>
          <w:szCs w:val="22"/>
        </w:rPr>
        <w:t xml:space="preserve"> has demonstrated that a waiver of Section 90.242(</w:t>
      </w:r>
      <w:r w:rsidR="0010681F">
        <w:rPr>
          <w:szCs w:val="22"/>
        </w:rPr>
        <w:t>b</w:t>
      </w:r>
      <w:r w:rsidR="0010681F" w:rsidRPr="00537306">
        <w:rPr>
          <w:szCs w:val="22"/>
        </w:rPr>
        <w:t>)(</w:t>
      </w:r>
      <w:r w:rsidR="0010681F">
        <w:rPr>
          <w:szCs w:val="22"/>
        </w:rPr>
        <w:t>4</w:t>
      </w:r>
      <w:r w:rsidR="0010681F" w:rsidRPr="00537306">
        <w:rPr>
          <w:szCs w:val="22"/>
        </w:rPr>
        <w:t>)</w:t>
      </w:r>
      <w:r w:rsidR="0010681F">
        <w:rPr>
          <w:szCs w:val="22"/>
        </w:rPr>
        <w:t xml:space="preserve">(iv) </w:t>
      </w:r>
      <w:r w:rsidR="0010681F" w:rsidRPr="00537306">
        <w:rPr>
          <w:szCs w:val="22"/>
        </w:rPr>
        <w:t>is warranted.</w:t>
      </w:r>
    </w:p>
    <w:p w14:paraId="3280B390" w14:textId="77777777" w:rsidR="00EF4536" w:rsidRDefault="00EF4536" w:rsidP="00573211">
      <w:pPr>
        <w:pStyle w:val="ParaNum"/>
        <w:widowControl/>
      </w:pPr>
      <w:r w:rsidRPr="00EF4536">
        <w:t>When the Commission adopted the TIS rules, it stated that TIS “is intended to serve a 3 km zone with generally repetitive information pertinent to travelers.”</w:t>
      </w:r>
      <w:r>
        <w:rPr>
          <w:rStyle w:val="FootnoteReference"/>
        </w:rPr>
        <w:footnoteReference w:id="28"/>
      </w:r>
      <w:r w:rsidRPr="00EF4536">
        <w:t xml:space="preserve">  In limiting the TIS coverage zone, the Commission primarily was motivated to minimize the potential for TIS to cause interference to broadcast stations.</w:t>
      </w:r>
      <w:r>
        <w:rPr>
          <w:rStyle w:val="FootnoteReference"/>
        </w:rPr>
        <w:footnoteReference w:id="29"/>
      </w:r>
      <w:r w:rsidRPr="00EF4536">
        <w:t xml:space="preserve">  The Commission therefore adopted rules to limit the measured field strength at 1.5 kilometers from the transmitting site, limit the maximum antenna height, and limit the transmitter output power to ten watts.</w:t>
      </w:r>
      <w:r>
        <w:rPr>
          <w:rStyle w:val="FootnoteReference"/>
        </w:rPr>
        <w:footnoteReference w:id="30"/>
      </w:r>
      <w:r w:rsidRPr="00EF4536">
        <w:t xml:space="preserve">  The Commission stated that “considering the likelihood of interference to broadcast stations, these steps should prevent interference situations from developing without unduly burdening TIS applicants.”</w:t>
      </w:r>
      <w:r>
        <w:rPr>
          <w:rStyle w:val="FootnoteReference"/>
        </w:rPr>
        <w:footnoteReference w:id="31"/>
      </w:r>
    </w:p>
    <w:p w14:paraId="0E7557EF" w14:textId="03D0CEEB" w:rsidR="0010681F" w:rsidRDefault="009036F9" w:rsidP="00B66737">
      <w:pPr>
        <w:pStyle w:val="ParaNum"/>
      </w:pPr>
      <w:r>
        <w:t>In accordance with our TIS spacing rules,</w:t>
      </w:r>
      <w:r>
        <w:rPr>
          <w:rStyle w:val="FootnoteReference"/>
        </w:rPr>
        <w:footnoteReference w:id="32"/>
      </w:r>
      <w:r>
        <w:t xml:space="preserve"> </w:t>
      </w:r>
      <w:r w:rsidR="00204506">
        <w:t>Bainbridge</w:t>
      </w:r>
      <w:r>
        <w:t>’s TIS transmitter</w:t>
      </w:r>
      <w:r w:rsidR="00F265AB" w:rsidRPr="00F265AB">
        <w:t xml:space="preserve"> </w:t>
      </w:r>
      <w:r>
        <w:t>is</w:t>
      </w:r>
      <w:r w:rsidR="00F265AB" w:rsidRPr="00F265AB">
        <w:t xml:space="preserve"> not located within 130 k</w:t>
      </w:r>
      <w:r w:rsidR="00F265AB">
        <w:t>ilo</w:t>
      </w:r>
      <w:r w:rsidR="00F265AB" w:rsidRPr="00F265AB">
        <w:t>m</w:t>
      </w:r>
      <w:r w:rsidR="00F265AB">
        <w:t>eters</w:t>
      </w:r>
      <w:r w:rsidR="00F265AB" w:rsidRPr="00F265AB">
        <w:t xml:space="preserve"> of the predicted daytime 0.5 mV/m contour of any co-channel AM station or within 15 km of the predicted daytime 0.5 mV/m </w:t>
      </w:r>
      <w:r w:rsidR="00010699">
        <w:t xml:space="preserve">contour </w:t>
      </w:r>
      <w:r w:rsidR="00F265AB" w:rsidRPr="00F265AB">
        <w:t xml:space="preserve">of any first adjacent channel AM station.  </w:t>
      </w:r>
      <w:r w:rsidR="00273290">
        <w:t>W</w:t>
      </w:r>
      <w:r w:rsidR="00273290" w:rsidRPr="00273290">
        <w:t xml:space="preserve">e find that the </w:t>
      </w:r>
      <w:r w:rsidR="00273290">
        <w:t>City’s</w:t>
      </w:r>
      <w:r w:rsidR="00273290" w:rsidRPr="00273290">
        <w:t xml:space="preserve"> proposal </w:t>
      </w:r>
      <w:r w:rsidR="000F199A">
        <w:t xml:space="preserve">to expand its contour from 1.5 km to 2.9 km, while continuing to abide by applicable transmitter height and power limits, </w:t>
      </w:r>
      <w:r w:rsidR="00273290" w:rsidRPr="00273290">
        <w:t xml:space="preserve">would protect broadcast operations from potential harmful interference, consistent with the underlying purpose of Section 90.242(b)(4)(iv).  </w:t>
      </w:r>
      <w:r w:rsidR="00B66737" w:rsidRPr="00B66737">
        <w:t>Therefore, we find that the underlying purpose of the rule would not be served or would be frustrated by application to the present case.</w:t>
      </w:r>
    </w:p>
    <w:p w14:paraId="135F0224" w14:textId="5F821D5B" w:rsidR="00284837" w:rsidRDefault="005A1786" w:rsidP="002139C7">
      <w:pPr>
        <w:pStyle w:val="ParaNum"/>
      </w:pPr>
      <w:r>
        <w:t xml:space="preserve">We </w:t>
      </w:r>
      <w:r w:rsidR="000F199A">
        <w:t xml:space="preserve">further </w:t>
      </w:r>
      <w:r>
        <w:t xml:space="preserve">find that </w:t>
      </w:r>
      <w:r w:rsidR="00F35462">
        <w:t xml:space="preserve">the proposed </w:t>
      </w:r>
      <w:r>
        <w:t xml:space="preserve">expansion of </w:t>
      </w:r>
      <w:r w:rsidR="00204506">
        <w:t>Bainbridge</w:t>
      </w:r>
      <w:r>
        <w:t>’s TIS service area</w:t>
      </w:r>
      <w:r w:rsidR="009D3AED">
        <w:t xml:space="preserve"> </w:t>
      </w:r>
      <w:r w:rsidR="00F35462">
        <w:t xml:space="preserve">while keeping output power at ten watts </w:t>
      </w:r>
      <w:r>
        <w:t>w</w:t>
      </w:r>
      <w:r w:rsidR="000F199A">
        <w:t xml:space="preserve">ill </w:t>
      </w:r>
      <w:r>
        <w:t xml:space="preserve">enable the City to </w:t>
      </w:r>
      <w:r w:rsidR="00A658F1">
        <w:t xml:space="preserve">better inform </w:t>
      </w:r>
      <w:r>
        <w:t xml:space="preserve">travelers </w:t>
      </w:r>
      <w:r w:rsidR="00A658F1">
        <w:t xml:space="preserve">of road and travel conditions </w:t>
      </w:r>
      <w:r>
        <w:t xml:space="preserve">throughout </w:t>
      </w:r>
      <w:r w:rsidR="00EA238E">
        <w:t xml:space="preserve">the island </w:t>
      </w:r>
      <w:r w:rsidR="00A658F1">
        <w:t xml:space="preserve">and to alert citizens more effectively </w:t>
      </w:r>
      <w:r>
        <w:t xml:space="preserve">in the event of emergencies stemming from hazards to which </w:t>
      </w:r>
      <w:r w:rsidR="00204506">
        <w:t>Bainbridge</w:t>
      </w:r>
      <w:r>
        <w:t xml:space="preserve"> is susceptible.</w:t>
      </w:r>
      <w:r w:rsidR="00007B93">
        <w:t xml:space="preserve">  </w:t>
      </w:r>
      <w:r w:rsidR="00007B93" w:rsidRPr="00284837">
        <w:t xml:space="preserve">Based on the record before us, we find that a grant of </w:t>
      </w:r>
      <w:r w:rsidR="00204506">
        <w:t>Bainbridge</w:t>
      </w:r>
      <w:r w:rsidR="00007B93">
        <w:t xml:space="preserve">’s </w:t>
      </w:r>
      <w:r w:rsidR="00007B93" w:rsidRPr="00284837">
        <w:t>request for waiver would serve the public interest</w:t>
      </w:r>
      <w:r w:rsidR="00007B93">
        <w:t xml:space="preserve">.  Therefore, we conclude that </w:t>
      </w:r>
      <w:r w:rsidR="00204506">
        <w:t>Bainbridge</w:t>
      </w:r>
      <w:r w:rsidR="00007B93">
        <w:t xml:space="preserve"> satisfies the Commission’s waiver criteria.</w:t>
      </w:r>
    </w:p>
    <w:p w14:paraId="3EE1CE49" w14:textId="77777777" w:rsidR="00D43E21" w:rsidRDefault="00D43E21" w:rsidP="00D43E21">
      <w:pPr>
        <w:pStyle w:val="Heading1"/>
        <w:tabs>
          <w:tab w:val="left" w:pos="720"/>
        </w:tabs>
      </w:pPr>
      <w:r>
        <w:t>ordering clauses</w:t>
      </w:r>
    </w:p>
    <w:p w14:paraId="77B38AA0" w14:textId="42763573"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Accordingly, IT IS ORDERED, pursuant to Section</w:t>
      </w:r>
      <w:r w:rsidR="00DD7CC7">
        <w:rPr>
          <w:rStyle w:val="documentbody1"/>
          <w:rFonts w:ascii="Times New Roman" w:hAnsi="Times New Roman"/>
          <w:sz w:val="22"/>
          <w:szCs w:val="22"/>
        </w:rPr>
        <w:t>s</w:t>
      </w:r>
      <w:r w:rsidRPr="00D43E21">
        <w:rPr>
          <w:rStyle w:val="documentbody1"/>
          <w:rFonts w:ascii="Times New Roman" w:hAnsi="Times New Roman"/>
          <w:sz w:val="22"/>
          <w:szCs w:val="22"/>
        </w:rPr>
        <w:t xml:space="preserve"> 4(i)</w:t>
      </w:r>
      <w:r w:rsidR="003F1E81">
        <w:rPr>
          <w:rStyle w:val="documentbody1"/>
          <w:rFonts w:ascii="Times New Roman" w:hAnsi="Times New Roman"/>
          <w:sz w:val="22"/>
          <w:szCs w:val="22"/>
        </w:rPr>
        <w:t xml:space="preserve"> and 303(r)</w:t>
      </w:r>
      <w:r w:rsidRPr="00D43E21">
        <w:rPr>
          <w:rStyle w:val="documentbody1"/>
          <w:rFonts w:ascii="Times New Roman" w:hAnsi="Times New Roman"/>
          <w:sz w:val="22"/>
          <w:szCs w:val="22"/>
        </w:rPr>
        <w:t xml:space="preserve"> of the Communications Act of 1934, as amended, 47 U</w:t>
      </w:r>
      <w:r w:rsidR="003F1E81">
        <w:rPr>
          <w:rStyle w:val="documentbody1"/>
          <w:rFonts w:ascii="Times New Roman" w:hAnsi="Times New Roman"/>
          <w:sz w:val="22"/>
          <w:szCs w:val="22"/>
        </w:rPr>
        <w:t>.</w:t>
      </w:r>
      <w:r w:rsidRPr="00D43E21">
        <w:rPr>
          <w:rStyle w:val="documentbody1"/>
          <w:rFonts w:ascii="Times New Roman" w:hAnsi="Times New Roman"/>
          <w:sz w:val="22"/>
          <w:szCs w:val="22"/>
        </w:rPr>
        <w:t>S</w:t>
      </w:r>
      <w:r w:rsidR="003F1E81">
        <w:rPr>
          <w:rStyle w:val="documentbody1"/>
          <w:rFonts w:ascii="Times New Roman" w:hAnsi="Times New Roman"/>
          <w:sz w:val="22"/>
          <w:szCs w:val="22"/>
        </w:rPr>
        <w:t>.</w:t>
      </w:r>
      <w:r w:rsidRPr="00D43E21">
        <w:rPr>
          <w:rStyle w:val="documentbody1"/>
          <w:rFonts w:ascii="Times New Roman" w:hAnsi="Times New Roman"/>
          <w:sz w:val="22"/>
          <w:szCs w:val="22"/>
        </w:rPr>
        <w:t>C</w:t>
      </w:r>
      <w:r w:rsidR="003F1E81">
        <w:rPr>
          <w:rStyle w:val="documentbody1"/>
          <w:rFonts w:ascii="Times New Roman" w:hAnsi="Times New Roman"/>
          <w:sz w:val="22"/>
          <w:szCs w:val="22"/>
        </w:rPr>
        <w:t>.</w:t>
      </w:r>
      <w:r w:rsidRPr="00D43E21">
        <w:rPr>
          <w:rStyle w:val="documentbody1"/>
          <w:rFonts w:ascii="Times New Roman" w:hAnsi="Times New Roman"/>
          <w:sz w:val="22"/>
          <w:szCs w:val="22"/>
        </w:rPr>
        <w:t xml:space="preserve"> §</w:t>
      </w:r>
      <w:r w:rsidR="003F1E81" w:rsidRPr="00D43E21">
        <w:rPr>
          <w:rStyle w:val="documentbody1"/>
          <w:rFonts w:ascii="Times New Roman" w:hAnsi="Times New Roman"/>
          <w:sz w:val="22"/>
          <w:szCs w:val="22"/>
        </w:rPr>
        <w:t>§</w:t>
      </w:r>
      <w:r w:rsidRPr="00D43E21">
        <w:rPr>
          <w:rStyle w:val="documentbody1"/>
          <w:rFonts w:ascii="Times New Roman" w:hAnsi="Times New Roman"/>
          <w:sz w:val="22"/>
          <w:szCs w:val="22"/>
        </w:rPr>
        <w:t xml:space="preserve"> 154(i)</w:t>
      </w:r>
      <w:r w:rsidR="003F1E81">
        <w:rPr>
          <w:rStyle w:val="documentbody1"/>
          <w:rFonts w:ascii="Times New Roman" w:hAnsi="Times New Roman"/>
          <w:sz w:val="22"/>
          <w:szCs w:val="22"/>
        </w:rPr>
        <w:t>, 303(r)</w:t>
      </w:r>
      <w:r w:rsidRPr="00D43E21">
        <w:rPr>
          <w:rStyle w:val="documentbody1"/>
          <w:rFonts w:ascii="Times New Roman" w:hAnsi="Times New Roman"/>
          <w:sz w:val="22"/>
          <w:szCs w:val="22"/>
        </w:rPr>
        <w:t xml:space="preserve">, and Section 1.925 of the Commission’s rules, 47 CFR § 1.925, that the Request for Waiver of </w:t>
      </w:r>
      <w:r w:rsidR="00A32B90">
        <w:rPr>
          <w:rStyle w:val="documentbody1"/>
          <w:rFonts w:ascii="Times New Roman" w:hAnsi="Times New Roman"/>
          <w:sz w:val="22"/>
          <w:szCs w:val="22"/>
        </w:rPr>
        <w:t xml:space="preserve">the </w:t>
      </w:r>
      <w:r w:rsidR="009870E6">
        <w:rPr>
          <w:rStyle w:val="documentbody1"/>
          <w:rFonts w:ascii="Times New Roman" w:hAnsi="Times New Roman"/>
          <w:sz w:val="22"/>
          <w:szCs w:val="22"/>
        </w:rPr>
        <w:t xml:space="preserve">City of </w:t>
      </w:r>
      <w:r w:rsidR="00204506">
        <w:rPr>
          <w:rStyle w:val="documentbody1"/>
          <w:rFonts w:ascii="Times New Roman" w:hAnsi="Times New Roman"/>
          <w:sz w:val="22"/>
          <w:szCs w:val="22"/>
        </w:rPr>
        <w:t>Bainbridge Island</w:t>
      </w:r>
      <w:r w:rsidR="009870E6" w:rsidRPr="00D43E21">
        <w:rPr>
          <w:rStyle w:val="documentbody1"/>
          <w:rFonts w:ascii="Times New Roman" w:hAnsi="Times New Roman"/>
          <w:sz w:val="22"/>
          <w:szCs w:val="22"/>
        </w:rPr>
        <w:t xml:space="preserve">, </w:t>
      </w:r>
      <w:r w:rsidR="00204506">
        <w:rPr>
          <w:rStyle w:val="documentbody1"/>
          <w:rFonts w:ascii="Times New Roman" w:hAnsi="Times New Roman"/>
          <w:sz w:val="22"/>
          <w:szCs w:val="22"/>
        </w:rPr>
        <w:t>Washington</w:t>
      </w:r>
      <w:r w:rsidRPr="00D43E21">
        <w:rPr>
          <w:rStyle w:val="documentbody1"/>
          <w:rFonts w:ascii="Times New Roman" w:hAnsi="Times New Roman"/>
          <w:sz w:val="22"/>
          <w:szCs w:val="22"/>
        </w:rPr>
        <w:t xml:space="preserve">, filed on </w:t>
      </w:r>
      <w:r w:rsidR="00204506">
        <w:rPr>
          <w:rStyle w:val="documentbody1"/>
          <w:rFonts w:ascii="Times New Roman" w:hAnsi="Times New Roman"/>
          <w:sz w:val="22"/>
          <w:szCs w:val="22"/>
        </w:rPr>
        <w:t>January 5</w:t>
      </w:r>
      <w:r w:rsidR="009870E6" w:rsidRPr="00D43E21">
        <w:rPr>
          <w:rStyle w:val="documentbody1"/>
          <w:rFonts w:ascii="Times New Roman" w:hAnsi="Times New Roman"/>
          <w:sz w:val="22"/>
          <w:szCs w:val="22"/>
        </w:rPr>
        <w:t>, 20</w:t>
      </w:r>
      <w:r w:rsidR="009870E6">
        <w:rPr>
          <w:rStyle w:val="documentbody1"/>
          <w:rFonts w:ascii="Times New Roman" w:hAnsi="Times New Roman"/>
          <w:sz w:val="22"/>
          <w:szCs w:val="22"/>
        </w:rPr>
        <w:t>16</w:t>
      </w:r>
      <w:r w:rsidR="00E0741E">
        <w:rPr>
          <w:rStyle w:val="documentbody1"/>
          <w:rFonts w:ascii="Times New Roman" w:hAnsi="Times New Roman"/>
          <w:sz w:val="22"/>
          <w:szCs w:val="22"/>
        </w:rPr>
        <w:t>,</w:t>
      </w:r>
      <w:r w:rsidR="009870E6">
        <w:rPr>
          <w:rStyle w:val="documentbody1"/>
          <w:rFonts w:ascii="Times New Roman" w:hAnsi="Times New Roman"/>
          <w:sz w:val="22"/>
          <w:szCs w:val="22"/>
        </w:rPr>
        <w:t xml:space="preserve"> </w:t>
      </w:r>
      <w:r w:rsidRPr="00D43E21">
        <w:rPr>
          <w:rStyle w:val="documentbody1"/>
          <w:rFonts w:ascii="Times New Roman" w:hAnsi="Times New Roman"/>
          <w:sz w:val="22"/>
          <w:szCs w:val="22"/>
        </w:rPr>
        <w:t>IS GRANTED.</w:t>
      </w:r>
    </w:p>
    <w:p w14:paraId="3DDA2099" w14:textId="77777777"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 xml:space="preserve">IT IS FURTHER ORDERED, that application File No. </w:t>
      </w:r>
      <w:r w:rsidR="00A32B90" w:rsidRPr="00204506">
        <w:rPr>
          <w:spacing w:val="-2"/>
        </w:rPr>
        <w:t>0007083089</w:t>
      </w:r>
      <w:r w:rsidRPr="00D43E21">
        <w:rPr>
          <w:rStyle w:val="documentbody1"/>
          <w:rFonts w:ascii="Times New Roman" w:hAnsi="Times New Roman"/>
          <w:sz w:val="22"/>
          <w:szCs w:val="22"/>
        </w:rPr>
        <w:t xml:space="preserve">, filed by </w:t>
      </w:r>
      <w:r w:rsidR="00A32B90">
        <w:rPr>
          <w:rStyle w:val="documentbody1"/>
          <w:rFonts w:ascii="Times New Roman" w:hAnsi="Times New Roman"/>
          <w:sz w:val="22"/>
          <w:szCs w:val="22"/>
        </w:rPr>
        <w:t xml:space="preserve">the </w:t>
      </w:r>
      <w:r>
        <w:rPr>
          <w:rStyle w:val="documentbody1"/>
          <w:rFonts w:ascii="Times New Roman" w:hAnsi="Times New Roman"/>
          <w:sz w:val="22"/>
          <w:szCs w:val="22"/>
        </w:rPr>
        <w:t xml:space="preserve">City of </w:t>
      </w:r>
      <w:r w:rsidR="00204506">
        <w:rPr>
          <w:rStyle w:val="documentbody1"/>
          <w:rFonts w:ascii="Times New Roman" w:hAnsi="Times New Roman"/>
          <w:sz w:val="22"/>
          <w:szCs w:val="22"/>
        </w:rPr>
        <w:t>Bainbridge Island</w:t>
      </w:r>
      <w:r w:rsidRPr="00D43E21">
        <w:rPr>
          <w:rStyle w:val="documentbody1"/>
          <w:rFonts w:ascii="Times New Roman" w:hAnsi="Times New Roman"/>
          <w:sz w:val="22"/>
          <w:szCs w:val="22"/>
        </w:rPr>
        <w:t xml:space="preserve">, </w:t>
      </w:r>
      <w:r w:rsidR="00204506">
        <w:rPr>
          <w:rStyle w:val="documentbody1"/>
          <w:rFonts w:ascii="Times New Roman" w:hAnsi="Times New Roman"/>
          <w:sz w:val="22"/>
          <w:szCs w:val="22"/>
        </w:rPr>
        <w:t>Washington</w:t>
      </w:r>
      <w:r>
        <w:rPr>
          <w:rStyle w:val="documentbody1"/>
          <w:rFonts w:ascii="Times New Roman" w:hAnsi="Times New Roman"/>
          <w:sz w:val="22"/>
          <w:szCs w:val="22"/>
        </w:rPr>
        <w:t xml:space="preserve">, </w:t>
      </w:r>
      <w:r w:rsidRPr="00D43E21">
        <w:rPr>
          <w:rStyle w:val="documentbody1"/>
          <w:rFonts w:ascii="Times New Roman" w:hAnsi="Times New Roman"/>
          <w:sz w:val="22"/>
          <w:szCs w:val="22"/>
        </w:rPr>
        <w:t xml:space="preserve">SHALL BE PROCESSED in accordance with this Order and the Commission’s rules. </w:t>
      </w:r>
    </w:p>
    <w:p w14:paraId="74216CD0" w14:textId="77777777" w:rsidR="00D43E21" w:rsidRPr="00D43E21" w:rsidRDefault="00D43E21" w:rsidP="00D43E21">
      <w:pPr>
        <w:pStyle w:val="ParaNum"/>
        <w:rPr>
          <w:rStyle w:val="documentbody1"/>
          <w:rFonts w:ascii="Times New Roman" w:hAnsi="Times New Roman"/>
          <w:sz w:val="22"/>
          <w:szCs w:val="22"/>
        </w:rPr>
      </w:pPr>
      <w:r w:rsidRPr="00D43E21">
        <w:rPr>
          <w:rStyle w:val="documentbody1"/>
          <w:rFonts w:ascii="Times New Roman" w:hAnsi="Times New Roman"/>
          <w:sz w:val="22"/>
          <w:szCs w:val="22"/>
        </w:rPr>
        <w:t>This action is taken under delegated authority pursuant to Sections 0.191 and 0.392 of the Commission’s rules, 47 CFR §§ 0.191, 0.392.</w:t>
      </w:r>
    </w:p>
    <w:p w14:paraId="41586298" w14:textId="77777777" w:rsidR="00D43E21" w:rsidRPr="00D43E21" w:rsidRDefault="00D43E21" w:rsidP="00D43E21">
      <w:pPr>
        <w:ind w:left="4320"/>
        <w:rPr>
          <w:szCs w:val="22"/>
        </w:rPr>
      </w:pPr>
      <w:r w:rsidRPr="00D43E21">
        <w:rPr>
          <w:szCs w:val="22"/>
        </w:rPr>
        <w:br/>
      </w:r>
      <w:r w:rsidRPr="00D43E21">
        <w:rPr>
          <w:rStyle w:val="documentbody1"/>
          <w:rFonts w:ascii="Times New Roman" w:hAnsi="Times New Roman"/>
          <w:sz w:val="22"/>
          <w:szCs w:val="22"/>
        </w:rPr>
        <w:t>FEDERAL COMMUNICATIONS COMMISSION</w:t>
      </w:r>
      <w:r w:rsidRPr="00D43E21">
        <w:rPr>
          <w:szCs w:val="22"/>
        </w:rPr>
        <w:br/>
      </w:r>
    </w:p>
    <w:p w14:paraId="76CB44F2" w14:textId="77777777" w:rsidR="00D43E21" w:rsidRPr="00D43E21" w:rsidRDefault="00D43E21" w:rsidP="00D43E21">
      <w:pPr>
        <w:ind w:left="3600"/>
        <w:rPr>
          <w:szCs w:val="22"/>
        </w:rPr>
      </w:pPr>
    </w:p>
    <w:p w14:paraId="6F20EF0C" w14:textId="77777777" w:rsidR="00D43E21" w:rsidRPr="00D43E21" w:rsidRDefault="00D43E21" w:rsidP="00D43E21">
      <w:pPr>
        <w:ind w:left="4320"/>
        <w:rPr>
          <w:szCs w:val="22"/>
        </w:rPr>
      </w:pPr>
    </w:p>
    <w:p w14:paraId="5D7F985E" w14:textId="1550E50E" w:rsidR="00D43E21" w:rsidRPr="00D43E21" w:rsidRDefault="00D43E21" w:rsidP="00D43E21">
      <w:pPr>
        <w:ind w:left="4320"/>
        <w:rPr>
          <w:rStyle w:val="documentbody1"/>
          <w:rFonts w:ascii="Times New Roman" w:hAnsi="Times New Roman"/>
          <w:sz w:val="22"/>
          <w:szCs w:val="22"/>
        </w:rPr>
      </w:pPr>
      <w:r w:rsidRPr="00D43E21">
        <w:rPr>
          <w:szCs w:val="22"/>
        </w:rPr>
        <w:br/>
      </w:r>
      <w:r w:rsidR="008B444A">
        <w:rPr>
          <w:szCs w:val="22"/>
        </w:rPr>
        <w:t>Michael J. Wilhelm</w:t>
      </w:r>
      <w:r w:rsidRPr="00D43E21">
        <w:rPr>
          <w:szCs w:val="22"/>
        </w:rPr>
        <w:br/>
      </w:r>
      <w:r w:rsidR="008B444A">
        <w:rPr>
          <w:rStyle w:val="documentbody1"/>
          <w:rFonts w:ascii="Times New Roman" w:hAnsi="Times New Roman"/>
          <w:sz w:val="22"/>
          <w:szCs w:val="22"/>
        </w:rPr>
        <w:t xml:space="preserve">Acting </w:t>
      </w:r>
      <w:r w:rsidRPr="00D43E21">
        <w:rPr>
          <w:rStyle w:val="documentbody1"/>
          <w:rFonts w:ascii="Times New Roman" w:hAnsi="Times New Roman"/>
          <w:sz w:val="22"/>
          <w:szCs w:val="22"/>
        </w:rPr>
        <w:t>Chief,</w:t>
      </w:r>
      <w:r w:rsidRPr="00D43E21">
        <w:rPr>
          <w:szCs w:val="22"/>
        </w:rPr>
        <w:t xml:space="preserve"> </w:t>
      </w:r>
      <w:r w:rsidRPr="00D43E21">
        <w:rPr>
          <w:rStyle w:val="documentbody1"/>
          <w:rFonts w:ascii="Times New Roman" w:hAnsi="Times New Roman"/>
          <w:sz w:val="22"/>
          <w:szCs w:val="22"/>
        </w:rPr>
        <w:t xml:space="preserve">Policy </w:t>
      </w:r>
      <w:r>
        <w:rPr>
          <w:rStyle w:val="documentbody1"/>
          <w:rFonts w:ascii="Times New Roman" w:hAnsi="Times New Roman"/>
          <w:sz w:val="22"/>
          <w:szCs w:val="22"/>
        </w:rPr>
        <w:t xml:space="preserve">and Licensing </w:t>
      </w:r>
      <w:r w:rsidRPr="00D43E21">
        <w:rPr>
          <w:rStyle w:val="documentbody1"/>
          <w:rFonts w:ascii="Times New Roman" w:hAnsi="Times New Roman"/>
          <w:sz w:val="22"/>
          <w:szCs w:val="22"/>
        </w:rPr>
        <w:t>Division</w:t>
      </w:r>
      <w:r w:rsidRPr="00D43E21">
        <w:rPr>
          <w:szCs w:val="22"/>
        </w:rPr>
        <w:br/>
      </w:r>
      <w:r w:rsidRPr="00D43E21">
        <w:rPr>
          <w:rStyle w:val="documentbody1"/>
          <w:rFonts w:ascii="Times New Roman" w:hAnsi="Times New Roman"/>
          <w:sz w:val="22"/>
          <w:szCs w:val="22"/>
        </w:rPr>
        <w:t>Public Safety and Homeland Security Bureau</w:t>
      </w:r>
    </w:p>
    <w:p w14:paraId="0305357B" w14:textId="77777777" w:rsidR="00D43E21" w:rsidRPr="00D43E21" w:rsidRDefault="00D43E21" w:rsidP="00D43E21">
      <w:pPr>
        <w:pStyle w:val="ParaNum"/>
        <w:numPr>
          <w:ilvl w:val="0"/>
          <w:numId w:val="0"/>
        </w:numPr>
        <w:rPr>
          <w:szCs w:val="22"/>
        </w:rPr>
      </w:pPr>
    </w:p>
    <w:sectPr w:rsidR="00D43E21" w:rsidRPr="00D43E2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26BD" w14:textId="77777777" w:rsidR="00613011" w:rsidRDefault="00613011">
      <w:pPr>
        <w:spacing w:line="20" w:lineRule="exact"/>
      </w:pPr>
    </w:p>
  </w:endnote>
  <w:endnote w:type="continuationSeparator" w:id="0">
    <w:p w14:paraId="11279302" w14:textId="77777777" w:rsidR="00613011" w:rsidRDefault="00613011">
      <w:r>
        <w:t xml:space="preserve"> </w:t>
      </w:r>
    </w:p>
  </w:endnote>
  <w:endnote w:type="continuationNotice" w:id="1">
    <w:p w14:paraId="39FC80D7" w14:textId="77777777" w:rsidR="00613011" w:rsidRDefault="006130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D0A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AF1399E"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90F7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94A6B">
      <w:rPr>
        <w:noProof/>
      </w:rPr>
      <w:t>2</w:t>
    </w:r>
    <w:r>
      <w:fldChar w:fldCharType="end"/>
    </w:r>
  </w:p>
  <w:p w14:paraId="6C03DE5D"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659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CDD3" w14:textId="77777777" w:rsidR="00613011" w:rsidRDefault="00613011">
      <w:r>
        <w:separator/>
      </w:r>
    </w:p>
  </w:footnote>
  <w:footnote w:type="continuationSeparator" w:id="0">
    <w:p w14:paraId="6E1B6499" w14:textId="77777777" w:rsidR="00613011" w:rsidRDefault="00613011" w:rsidP="00C721AC">
      <w:pPr>
        <w:spacing w:before="120"/>
        <w:rPr>
          <w:sz w:val="20"/>
        </w:rPr>
      </w:pPr>
      <w:r>
        <w:rPr>
          <w:sz w:val="20"/>
        </w:rPr>
        <w:t xml:space="preserve">(Continued from previous page)  </w:t>
      </w:r>
      <w:r>
        <w:rPr>
          <w:sz w:val="20"/>
        </w:rPr>
        <w:separator/>
      </w:r>
    </w:p>
  </w:footnote>
  <w:footnote w:type="continuationNotice" w:id="1">
    <w:p w14:paraId="126E485B" w14:textId="77777777" w:rsidR="00613011" w:rsidRDefault="00613011" w:rsidP="00C721AC">
      <w:pPr>
        <w:jc w:val="right"/>
        <w:rPr>
          <w:sz w:val="20"/>
        </w:rPr>
      </w:pPr>
      <w:r>
        <w:rPr>
          <w:sz w:val="20"/>
        </w:rPr>
        <w:t>(continued….)</w:t>
      </w:r>
    </w:p>
  </w:footnote>
  <w:footnote w:id="2">
    <w:p w14:paraId="213E1E40" w14:textId="5B7013F7" w:rsidR="00CE7144" w:rsidRDefault="00CE7144" w:rsidP="00CE7144">
      <w:pPr>
        <w:pStyle w:val="FootnoteText"/>
      </w:pPr>
      <w:r>
        <w:rPr>
          <w:rStyle w:val="FootnoteReference"/>
        </w:rPr>
        <w:footnoteRef/>
      </w:r>
      <w:r>
        <w:t xml:space="preserve"> File No</w:t>
      </w:r>
      <w:r w:rsidRPr="008725E9">
        <w:t xml:space="preserve">. </w:t>
      </w:r>
      <w:r w:rsidR="00204506">
        <w:t>0007083089</w:t>
      </w:r>
      <w:r w:rsidR="00A32B90">
        <w:t xml:space="preserve"> (filed Jan. 5, 2016, as amended Feb. 3, 2016)</w:t>
      </w:r>
      <w:r>
        <w:t xml:space="preserve">, </w:t>
      </w:r>
      <w:r w:rsidR="00474302">
        <w:t>attached “</w:t>
      </w:r>
      <w:r w:rsidR="00283D81">
        <w:t xml:space="preserve">Attachment </w:t>
      </w:r>
      <w:r w:rsidR="00235FB6">
        <w:t>1</w:t>
      </w:r>
      <w:r w:rsidR="00474302">
        <w:t xml:space="preserve">” and </w:t>
      </w:r>
      <w:r w:rsidR="00B704C8">
        <w:t>“</w:t>
      </w:r>
      <w:r w:rsidR="00474302" w:rsidRPr="00A30927">
        <w:t>WQVI-729 WAIVER REQUEST</w:t>
      </w:r>
      <w:r w:rsidR="00474302">
        <w:t>” (Waiver Request)</w:t>
      </w:r>
      <w:r>
        <w:t xml:space="preserve">. </w:t>
      </w:r>
      <w:r w:rsidR="00235FB6">
        <w:t xml:space="preserve"> </w:t>
      </w:r>
      <w:r w:rsidR="00170F0A">
        <w:rPr>
          <w:i/>
        </w:rPr>
        <w:t xml:space="preserve">See also </w:t>
      </w:r>
      <w:r w:rsidR="00235FB6">
        <w:t>Attachment 1 at 1.</w:t>
      </w:r>
      <w:r w:rsidR="00474302">
        <w:t xml:space="preserve">  </w:t>
      </w:r>
    </w:p>
  </w:footnote>
  <w:footnote w:id="3">
    <w:p w14:paraId="671B3E49" w14:textId="77777777" w:rsidR="00BD0410" w:rsidRDefault="00BD0410" w:rsidP="00BD0410">
      <w:pPr>
        <w:pStyle w:val="FootnoteText"/>
      </w:pPr>
      <w:r>
        <w:rPr>
          <w:rStyle w:val="FootnoteReference"/>
        </w:rPr>
        <w:footnoteRef/>
      </w:r>
      <w:r>
        <w:t xml:space="preserve"> 47 CFR § 90.242(b)(4)(iv).</w:t>
      </w:r>
      <w:r w:rsidR="00095BEC">
        <w:t xml:space="preserve">  “The field strength of the emission on the operating frequency shall not exceed 2 mV/m when measured with a standard field strength meter at a distance of 1.50 km (0.93 miles) from the transmitting antenna system.”  </w:t>
      </w:r>
      <w:r w:rsidR="00095BEC" w:rsidRPr="00095BEC">
        <w:rPr>
          <w:i/>
        </w:rPr>
        <w:t>Id</w:t>
      </w:r>
      <w:r w:rsidR="00095BEC">
        <w:t>.</w:t>
      </w:r>
    </w:p>
  </w:footnote>
  <w:footnote w:id="4">
    <w:p w14:paraId="1B3169D6" w14:textId="77777777" w:rsidR="00396953" w:rsidRDefault="00396953">
      <w:pPr>
        <w:pStyle w:val="FootnoteText"/>
      </w:pPr>
      <w:r>
        <w:rPr>
          <w:rStyle w:val="FootnoteReference"/>
        </w:rPr>
        <w:footnoteRef/>
      </w:r>
      <w:r>
        <w:t xml:space="preserve"> </w:t>
      </w:r>
      <w:r w:rsidR="007A1A8F">
        <w:t>Attachment 1</w:t>
      </w:r>
      <w:r w:rsidR="00EA0AD7">
        <w:t xml:space="preserve"> at 1.</w:t>
      </w:r>
    </w:p>
  </w:footnote>
  <w:footnote w:id="5">
    <w:p w14:paraId="51B5FF1F" w14:textId="77777777" w:rsidR="007A0319" w:rsidRDefault="007A0319" w:rsidP="007A0319">
      <w:pPr>
        <w:pStyle w:val="FootnoteText"/>
      </w:pPr>
      <w:r>
        <w:rPr>
          <w:rStyle w:val="FootnoteReference"/>
        </w:rPr>
        <w:footnoteRef/>
      </w:r>
      <w:r>
        <w:t xml:space="preserve"> 47 CFR § 90.242(b)(4)(iii).</w:t>
      </w:r>
    </w:p>
  </w:footnote>
  <w:footnote w:id="6">
    <w:p w14:paraId="521A3256" w14:textId="77777777" w:rsidR="0023603E" w:rsidRDefault="0023603E" w:rsidP="0023603E">
      <w:pPr>
        <w:pStyle w:val="FootnoteText"/>
      </w:pPr>
      <w:r>
        <w:rPr>
          <w:rStyle w:val="FootnoteReference"/>
        </w:rPr>
        <w:footnoteRef/>
      </w:r>
      <w:r>
        <w:t xml:space="preserve"> File No. </w:t>
      </w:r>
      <w:r w:rsidR="00204506">
        <w:t>0007083089</w:t>
      </w:r>
      <w:r>
        <w:t xml:space="preserve">, </w:t>
      </w:r>
      <w:r w:rsidR="00235FB6">
        <w:t>attached Letter from Douglas Schulze, City Manager, City of Bainbridge Island, to “Whom It May Concern,” dated Oct. 22, 2015 (Letter) at 2.</w:t>
      </w:r>
    </w:p>
  </w:footnote>
  <w:footnote w:id="7">
    <w:p w14:paraId="5209F744" w14:textId="77777777" w:rsidR="00235FB6" w:rsidRPr="00A30927" w:rsidRDefault="00235FB6" w:rsidP="00235FB6">
      <w:pPr>
        <w:pStyle w:val="FootnoteText"/>
      </w:pPr>
      <w:r>
        <w:rPr>
          <w:rStyle w:val="FootnoteReference"/>
        </w:rPr>
        <w:footnoteRef/>
      </w:r>
      <w:r>
        <w:t xml:space="preserve"> </w:t>
      </w:r>
      <w:r>
        <w:rPr>
          <w:i/>
        </w:rPr>
        <w:t>Id</w:t>
      </w:r>
      <w:r>
        <w:t>.</w:t>
      </w:r>
    </w:p>
  </w:footnote>
  <w:footnote w:id="8">
    <w:p w14:paraId="635FC65D" w14:textId="77777777" w:rsidR="00235FB6" w:rsidRDefault="00235FB6" w:rsidP="00235FB6">
      <w:pPr>
        <w:pStyle w:val="FootnoteText"/>
      </w:pPr>
      <w:r>
        <w:rPr>
          <w:rStyle w:val="FootnoteReference"/>
        </w:rPr>
        <w:footnoteRef/>
      </w:r>
      <w:r>
        <w:t xml:space="preserve"> </w:t>
      </w:r>
      <w:r>
        <w:rPr>
          <w:i/>
        </w:rPr>
        <w:t>Id</w:t>
      </w:r>
      <w:r>
        <w:t>.</w:t>
      </w:r>
    </w:p>
  </w:footnote>
  <w:footnote w:id="9">
    <w:p w14:paraId="6C49D5BE" w14:textId="77777777" w:rsidR="00235FB6" w:rsidRDefault="00235FB6" w:rsidP="00235FB6">
      <w:pPr>
        <w:pStyle w:val="FootnoteText"/>
      </w:pPr>
      <w:r>
        <w:rPr>
          <w:rStyle w:val="FootnoteReference"/>
        </w:rPr>
        <w:footnoteRef/>
      </w:r>
      <w:r>
        <w:t xml:space="preserve"> </w:t>
      </w:r>
      <w:r>
        <w:rPr>
          <w:i/>
        </w:rPr>
        <w:t>Id</w:t>
      </w:r>
      <w:r>
        <w:t>.</w:t>
      </w:r>
    </w:p>
  </w:footnote>
  <w:footnote w:id="10">
    <w:p w14:paraId="6799D2CE" w14:textId="77777777" w:rsidR="00235FB6" w:rsidRDefault="00235FB6" w:rsidP="00235FB6">
      <w:pPr>
        <w:pStyle w:val="FootnoteText"/>
      </w:pPr>
      <w:r>
        <w:rPr>
          <w:rStyle w:val="FootnoteReference"/>
        </w:rPr>
        <w:footnoteRef/>
      </w:r>
      <w:r>
        <w:t xml:space="preserve"> </w:t>
      </w:r>
      <w:r>
        <w:rPr>
          <w:i/>
        </w:rPr>
        <w:t>Id</w:t>
      </w:r>
      <w:r>
        <w:t>.</w:t>
      </w:r>
    </w:p>
  </w:footnote>
  <w:footnote w:id="11">
    <w:p w14:paraId="1339218C" w14:textId="77777777" w:rsidR="00235FB6" w:rsidRDefault="00235FB6" w:rsidP="00235FB6">
      <w:pPr>
        <w:pStyle w:val="FootnoteText"/>
      </w:pPr>
      <w:r>
        <w:rPr>
          <w:rStyle w:val="FootnoteReference"/>
        </w:rPr>
        <w:footnoteRef/>
      </w:r>
      <w:r>
        <w:t xml:space="preserve"> Letter at 1.</w:t>
      </w:r>
    </w:p>
  </w:footnote>
  <w:footnote w:id="12">
    <w:p w14:paraId="11C8C33E" w14:textId="77777777" w:rsidR="00235FB6" w:rsidRDefault="00235FB6" w:rsidP="00235FB6">
      <w:pPr>
        <w:pStyle w:val="FootnoteText"/>
      </w:pPr>
      <w:r>
        <w:rPr>
          <w:rStyle w:val="FootnoteReference"/>
        </w:rPr>
        <w:footnoteRef/>
      </w:r>
      <w:r>
        <w:t xml:space="preserve"> </w:t>
      </w:r>
      <w:r w:rsidRPr="00C75C49">
        <w:rPr>
          <w:i/>
        </w:rPr>
        <w:t>Id</w:t>
      </w:r>
      <w:r>
        <w:t>.</w:t>
      </w:r>
    </w:p>
  </w:footnote>
  <w:footnote w:id="13">
    <w:p w14:paraId="5DF6CAA8" w14:textId="77777777" w:rsidR="00235FB6" w:rsidRDefault="00235FB6" w:rsidP="00235FB6">
      <w:pPr>
        <w:pStyle w:val="FootnoteText"/>
      </w:pPr>
      <w:r>
        <w:rPr>
          <w:rStyle w:val="FootnoteReference"/>
        </w:rPr>
        <w:footnoteRef/>
      </w:r>
      <w:r>
        <w:t xml:space="preserve"> </w:t>
      </w:r>
      <w:r w:rsidRPr="00235FB6">
        <w:t>Letter</w:t>
      </w:r>
      <w:r>
        <w:t xml:space="preserve"> at 2.</w:t>
      </w:r>
    </w:p>
  </w:footnote>
  <w:footnote w:id="14">
    <w:p w14:paraId="5FC98484" w14:textId="77777777" w:rsidR="00235FB6" w:rsidRDefault="00235FB6" w:rsidP="00235FB6">
      <w:pPr>
        <w:pStyle w:val="FootnoteText"/>
      </w:pPr>
      <w:r>
        <w:rPr>
          <w:rStyle w:val="FootnoteReference"/>
        </w:rPr>
        <w:footnoteRef/>
      </w:r>
      <w:r>
        <w:t xml:space="preserve"> Attachment 1 at 1.</w:t>
      </w:r>
    </w:p>
  </w:footnote>
  <w:footnote w:id="15">
    <w:p w14:paraId="71F24D0D" w14:textId="7876E234" w:rsidR="000F199A" w:rsidRDefault="000F199A" w:rsidP="000F199A">
      <w:pPr>
        <w:pStyle w:val="FootnoteText"/>
      </w:pPr>
      <w:r>
        <w:rPr>
          <w:rStyle w:val="FootnoteReference"/>
        </w:rPr>
        <w:footnoteRef/>
      </w:r>
      <w:r>
        <w:t xml:space="preserve"> </w:t>
      </w:r>
      <w:r w:rsidR="00CC3024" w:rsidRPr="001C2AA0">
        <w:rPr>
          <w:i/>
        </w:rPr>
        <w:t>Id.</w:t>
      </w:r>
      <w:r w:rsidR="00573211">
        <w:rPr>
          <w:i/>
        </w:rPr>
        <w:t xml:space="preserve"> </w:t>
      </w:r>
    </w:p>
  </w:footnote>
  <w:footnote w:id="16">
    <w:p w14:paraId="50EDB4F6" w14:textId="77777777" w:rsidR="00BD2BE8" w:rsidRDefault="00BD2BE8" w:rsidP="00BD2BE8">
      <w:pPr>
        <w:pStyle w:val="FootnoteText"/>
      </w:pPr>
      <w:r>
        <w:rPr>
          <w:rStyle w:val="FootnoteReference"/>
        </w:rPr>
        <w:footnoteRef/>
      </w:r>
      <w:r>
        <w:t xml:space="preserve"> Letter at 2.</w:t>
      </w:r>
    </w:p>
  </w:footnote>
  <w:footnote w:id="17">
    <w:p w14:paraId="4A44289E" w14:textId="77777777" w:rsidR="00BD2BE8" w:rsidRPr="00BD2AAC" w:rsidRDefault="00BD2BE8" w:rsidP="00BD2BE8">
      <w:pPr>
        <w:pStyle w:val="FootnoteText"/>
      </w:pPr>
      <w:r>
        <w:rPr>
          <w:rStyle w:val="FootnoteReference"/>
        </w:rPr>
        <w:footnoteRef/>
      </w:r>
      <w:r>
        <w:t xml:space="preserve"> </w:t>
      </w:r>
      <w:r>
        <w:rPr>
          <w:i/>
        </w:rPr>
        <w:t>Id</w:t>
      </w:r>
      <w:r>
        <w:t>.</w:t>
      </w:r>
    </w:p>
  </w:footnote>
  <w:footnote w:id="18">
    <w:p w14:paraId="33D71AC7" w14:textId="77777777" w:rsidR="00BD2BE8" w:rsidRPr="00EF0D3A" w:rsidRDefault="00BD2BE8" w:rsidP="00BD2BE8">
      <w:pPr>
        <w:pStyle w:val="FootnoteText"/>
      </w:pPr>
      <w:r>
        <w:rPr>
          <w:rStyle w:val="FootnoteReference"/>
        </w:rPr>
        <w:footnoteRef/>
      </w:r>
      <w:r>
        <w:t xml:space="preserve"> </w:t>
      </w:r>
      <w:r>
        <w:rPr>
          <w:i/>
        </w:rPr>
        <w:t>Id</w:t>
      </w:r>
      <w:r>
        <w:t>.</w:t>
      </w:r>
    </w:p>
  </w:footnote>
  <w:footnote w:id="19">
    <w:p w14:paraId="5E2B14EA" w14:textId="77777777" w:rsidR="00BD2BE8" w:rsidRPr="0028529A" w:rsidRDefault="00BD2BE8" w:rsidP="00BD2BE8">
      <w:pPr>
        <w:pStyle w:val="FootnoteText"/>
      </w:pPr>
      <w:r>
        <w:rPr>
          <w:rStyle w:val="FootnoteReference"/>
        </w:rPr>
        <w:footnoteRef/>
      </w:r>
      <w:r>
        <w:t xml:space="preserve"> </w:t>
      </w:r>
      <w:r>
        <w:rPr>
          <w:i/>
        </w:rPr>
        <w:t>Id</w:t>
      </w:r>
      <w:r>
        <w:t>. at 3.</w:t>
      </w:r>
    </w:p>
  </w:footnote>
  <w:footnote w:id="20">
    <w:p w14:paraId="35CE3FEE" w14:textId="77777777" w:rsidR="00BD2BE8" w:rsidRDefault="00BD2BE8" w:rsidP="00BD2BE8">
      <w:pPr>
        <w:pStyle w:val="FootnoteText"/>
      </w:pPr>
      <w:r>
        <w:rPr>
          <w:rStyle w:val="FootnoteReference"/>
        </w:rPr>
        <w:footnoteRef/>
      </w:r>
      <w:r>
        <w:t xml:space="preserve"> Attachment 1 at 1.</w:t>
      </w:r>
    </w:p>
  </w:footnote>
  <w:footnote w:id="21">
    <w:p w14:paraId="44776F05" w14:textId="77777777" w:rsidR="00BD2BE8" w:rsidRDefault="00BD2BE8" w:rsidP="00BD2BE8">
      <w:pPr>
        <w:pStyle w:val="FootnoteText"/>
      </w:pPr>
      <w:r>
        <w:rPr>
          <w:rStyle w:val="FootnoteReference"/>
        </w:rPr>
        <w:footnoteRef/>
      </w:r>
      <w:r>
        <w:t xml:space="preserve"> Attachment 1 at 1-2.</w:t>
      </w:r>
    </w:p>
  </w:footnote>
  <w:footnote w:id="22">
    <w:p w14:paraId="34EAD953" w14:textId="77777777" w:rsidR="00BD2BE8" w:rsidRDefault="00BD2BE8" w:rsidP="00BD2BE8">
      <w:pPr>
        <w:pStyle w:val="FootnoteText"/>
      </w:pPr>
      <w:r>
        <w:rPr>
          <w:rStyle w:val="FootnoteReference"/>
        </w:rPr>
        <w:footnoteRef/>
      </w:r>
      <w:r>
        <w:t xml:space="preserve"> Attachment 1 at 2.</w:t>
      </w:r>
    </w:p>
  </w:footnote>
  <w:footnote w:id="23">
    <w:p w14:paraId="30A01C12" w14:textId="77777777" w:rsidR="006C13A9" w:rsidRDefault="006C13A9">
      <w:pPr>
        <w:pStyle w:val="FootnoteText"/>
      </w:pPr>
      <w:r>
        <w:rPr>
          <w:rStyle w:val="FootnoteReference"/>
        </w:rPr>
        <w:footnoteRef/>
      </w:r>
      <w:r>
        <w:t xml:space="preserve"> Waiver Request at 1.</w:t>
      </w:r>
    </w:p>
  </w:footnote>
  <w:footnote w:id="24">
    <w:p w14:paraId="0961ACFE" w14:textId="77777777" w:rsidR="006C13A9" w:rsidRPr="006C13A9" w:rsidRDefault="006C13A9">
      <w:pPr>
        <w:pStyle w:val="FootnoteText"/>
      </w:pPr>
      <w:r>
        <w:rPr>
          <w:rStyle w:val="FootnoteReference"/>
        </w:rPr>
        <w:footnoteRef/>
      </w:r>
      <w:r>
        <w:t xml:space="preserve"> </w:t>
      </w:r>
      <w:r>
        <w:rPr>
          <w:i/>
        </w:rPr>
        <w:t>Id</w:t>
      </w:r>
      <w:r>
        <w:t>.</w:t>
      </w:r>
    </w:p>
  </w:footnote>
  <w:footnote w:id="25">
    <w:p w14:paraId="03364692" w14:textId="77777777" w:rsidR="00E26606" w:rsidRDefault="00E26606">
      <w:pPr>
        <w:pStyle w:val="FootnoteText"/>
      </w:pPr>
      <w:r>
        <w:rPr>
          <w:rStyle w:val="FootnoteReference"/>
        </w:rPr>
        <w:footnoteRef/>
      </w:r>
      <w:r>
        <w:t xml:space="preserve"> </w:t>
      </w:r>
      <w:r w:rsidRPr="00E26606">
        <w:rPr>
          <w:i/>
        </w:rPr>
        <w:t>Id</w:t>
      </w:r>
      <w:r>
        <w:t xml:space="preserve">. at 1-2.  </w:t>
      </w:r>
      <w:r w:rsidR="00F852AB" w:rsidRPr="002220F9">
        <w:rPr>
          <w:i/>
        </w:rPr>
        <w:t>See</w:t>
      </w:r>
      <w:r w:rsidR="00F852AB">
        <w:t xml:space="preserve"> Agreement Between the Government of the United States of America and the Government of Canada Relating to the AM Broadcasting Service in the Medi</w:t>
      </w:r>
      <w:r w:rsidR="004D2A54">
        <w:t xml:space="preserve">um Frequency Band, Ottawa, 1984 (available at </w:t>
      </w:r>
      <w:r w:rsidR="004D2A54" w:rsidRPr="004D2A54">
        <w:t>https://transition.fcc.gov/ib/sand/agree/can_broad_agree.html</w:t>
      </w:r>
      <w:r w:rsidR="004D2A54">
        <w:t>).</w:t>
      </w:r>
    </w:p>
  </w:footnote>
  <w:footnote w:id="26">
    <w:p w14:paraId="543E0EA7" w14:textId="77777777" w:rsidR="00E8753B" w:rsidRDefault="00E8753B" w:rsidP="00E8753B">
      <w:pPr>
        <w:pStyle w:val="FootnoteText"/>
      </w:pPr>
      <w:r w:rsidRPr="00D16F29">
        <w:rPr>
          <w:rStyle w:val="FootnoteReference"/>
        </w:rPr>
        <w:footnoteRef/>
      </w:r>
      <w:r w:rsidRPr="00D16F29">
        <w:t xml:space="preserve"> 47 CFR § 1.925(b)(3).</w:t>
      </w:r>
    </w:p>
  </w:footnote>
  <w:footnote w:id="27">
    <w:p w14:paraId="6BC4FEAD" w14:textId="77777777" w:rsidR="0010681F" w:rsidRPr="00A12717" w:rsidRDefault="0010681F" w:rsidP="0010681F">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28">
    <w:p w14:paraId="7F6B13CD" w14:textId="77777777" w:rsidR="00EF4536" w:rsidRDefault="00EF4536">
      <w:pPr>
        <w:pStyle w:val="FootnoteText"/>
      </w:pPr>
      <w:r>
        <w:rPr>
          <w:rStyle w:val="FootnoteReference"/>
        </w:rPr>
        <w:footnoteRef/>
      </w:r>
      <w:r>
        <w:t xml:space="preserve"> </w:t>
      </w:r>
      <w:r w:rsidRPr="00EE0CB1">
        <w:t xml:space="preserve">Amendment of Parts 2 and 89 of the Rules to Provide for the Use of Frequencies 530, 1606, and 1612 kHz by Stations in the Local Government Radio Services for the Transmission of Certain Kinds of Information to the Traveling Public, Docket No. 20509, </w:t>
      </w:r>
      <w:r w:rsidRPr="00EE0CB1">
        <w:rPr>
          <w:i/>
        </w:rPr>
        <w:t>Report and Order</w:t>
      </w:r>
      <w:r w:rsidRPr="00EE0CB1">
        <w:t xml:space="preserve">, 67 F.C.C.2d 917, 925 </w:t>
      </w:r>
      <w:r w:rsidR="00DD78CD">
        <w:t>para.</w:t>
      </w:r>
      <w:r w:rsidRPr="00EE0CB1">
        <w:t xml:space="preserve"> 27 (1977) (</w:t>
      </w:r>
      <w:r>
        <w:rPr>
          <w:i/>
        </w:rPr>
        <w:t xml:space="preserve">TIS Report </w:t>
      </w:r>
      <w:r w:rsidRPr="00EE0CB1">
        <w:rPr>
          <w:i/>
        </w:rPr>
        <w:t>and Order</w:t>
      </w:r>
      <w:r w:rsidRPr="00EE0CB1">
        <w:t>).</w:t>
      </w:r>
    </w:p>
  </w:footnote>
  <w:footnote w:id="29">
    <w:p w14:paraId="49E3A179" w14:textId="77777777" w:rsidR="00EF4536" w:rsidRPr="00EF4536" w:rsidRDefault="00EF4536">
      <w:pPr>
        <w:pStyle w:val="FootnoteText"/>
      </w:pPr>
      <w:r>
        <w:rPr>
          <w:rStyle w:val="FootnoteReference"/>
        </w:rPr>
        <w:footnoteRef/>
      </w:r>
      <w:r>
        <w:t xml:space="preserve"> </w:t>
      </w:r>
      <w:r>
        <w:rPr>
          <w:i/>
        </w:rPr>
        <w:t>Id</w:t>
      </w:r>
      <w:r>
        <w:t>.</w:t>
      </w:r>
      <w:r w:rsidR="00DD78CD">
        <w:t xml:space="preserve"> at 924 para.</w:t>
      </w:r>
      <w:r w:rsidR="00DD78CD" w:rsidRPr="00EE0CB1">
        <w:t xml:space="preserve"> 2</w:t>
      </w:r>
      <w:r w:rsidR="00DD78CD">
        <w:t>5.</w:t>
      </w:r>
    </w:p>
  </w:footnote>
  <w:footnote w:id="30">
    <w:p w14:paraId="3CB67E7E" w14:textId="77777777" w:rsidR="00EF4536" w:rsidRDefault="00EF4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 xml:space="preserve">at 926 </w:t>
      </w:r>
      <w:r w:rsidR="00DD78CD">
        <w:t>para.</w:t>
      </w:r>
      <w:r>
        <w:t xml:space="preserve"> 31.</w:t>
      </w:r>
    </w:p>
  </w:footnote>
  <w:footnote w:id="31">
    <w:p w14:paraId="401F71F4" w14:textId="77777777" w:rsidR="00EF4536" w:rsidRDefault="00EF453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rsidR="00DD78CD">
        <w:t>at 924 para.</w:t>
      </w:r>
      <w:r>
        <w:t xml:space="preserve"> 25.</w:t>
      </w:r>
    </w:p>
  </w:footnote>
  <w:footnote w:id="32">
    <w:p w14:paraId="116370BD" w14:textId="77777777" w:rsidR="009036F9" w:rsidRDefault="009036F9">
      <w:pPr>
        <w:pStyle w:val="FootnoteText"/>
      </w:pPr>
      <w:r>
        <w:rPr>
          <w:rStyle w:val="FootnoteReference"/>
        </w:rPr>
        <w:footnoteRef/>
      </w:r>
      <w:r>
        <w:t xml:space="preserve"> </w:t>
      </w:r>
      <w:r w:rsidRPr="00D16F29">
        <w:t>47 CFR §</w:t>
      </w:r>
      <w:r w:rsidR="0035042A">
        <w:t xml:space="preserve"> 90.242(a)(2)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B42D" w14:textId="77777777" w:rsidR="0026405B" w:rsidRDefault="00264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2A2A" w14:textId="4120B3E7" w:rsidR="00D25FB5" w:rsidRDefault="00D25FB5" w:rsidP="00810B6F">
    <w:pPr>
      <w:pStyle w:val="Header"/>
      <w:rPr>
        <w:b w:val="0"/>
      </w:rPr>
    </w:pPr>
    <w:r>
      <w:tab/>
      <w:t>Federal Communications Commission</w:t>
    </w:r>
    <w:r>
      <w:tab/>
    </w:r>
    <w:r w:rsidR="00D96390">
      <w:t xml:space="preserve">DA </w:t>
    </w:r>
    <w:r w:rsidR="004A0F37">
      <w:t>17</w:t>
    </w:r>
    <w:r w:rsidR="00D96390">
      <w:t>-</w:t>
    </w:r>
    <w:r w:rsidR="00E715C8">
      <w:t>188</w:t>
    </w:r>
  </w:p>
  <w:p w14:paraId="25C93B57" w14:textId="77777777" w:rsidR="00D25FB5" w:rsidRDefault="0061301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B7582F7" wp14:editId="662E387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47F4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3F6474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86B1" w14:textId="5EA0C4FD" w:rsidR="00D25FB5" w:rsidRDefault="00613011" w:rsidP="00810B6F">
    <w:pPr>
      <w:pStyle w:val="Header"/>
      <w:rPr>
        <w:b w:val="0"/>
      </w:rPr>
    </w:pPr>
    <w:r>
      <w:rPr>
        <w:noProof/>
      </w:rPr>
      <mc:AlternateContent>
        <mc:Choice Requires="wps">
          <w:drawing>
            <wp:anchor distT="0" distB="0" distL="114300" distR="114300" simplePos="0" relativeHeight="251658240" behindDoc="1" locked="0" layoutInCell="0" allowOverlap="1" wp14:anchorId="1638F517" wp14:editId="221F2E4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44A6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96390">
      <w:rPr>
        <w:spacing w:val="-2"/>
      </w:rPr>
      <w:t xml:space="preserve">DA </w:t>
    </w:r>
    <w:r w:rsidR="00736D95">
      <w:rPr>
        <w:spacing w:val="-2"/>
      </w:rPr>
      <w:t>17</w:t>
    </w:r>
    <w:r w:rsidR="00D96390">
      <w:rPr>
        <w:spacing w:val="-2"/>
      </w:rPr>
      <w:t>-</w:t>
    </w:r>
    <w:r w:rsidR="00E715C8">
      <w:rPr>
        <w:spacing w:val="-2"/>
      </w:rPr>
      <w:t>188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1"/>
    <w:rsid w:val="00007B93"/>
    <w:rsid w:val="00010699"/>
    <w:rsid w:val="00036039"/>
    <w:rsid w:val="00037F90"/>
    <w:rsid w:val="00055838"/>
    <w:rsid w:val="000628AD"/>
    <w:rsid w:val="000875BF"/>
    <w:rsid w:val="00095BEC"/>
    <w:rsid w:val="00096D8C"/>
    <w:rsid w:val="000C0B65"/>
    <w:rsid w:val="000E05FE"/>
    <w:rsid w:val="000E3D42"/>
    <w:rsid w:val="000F199A"/>
    <w:rsid w:val="0010681F"/>
    <w:rsid w:val="00122BD5"/>
    <w:rsid w:val="00123CCA"/>
    <w:rsid w:val="00133F79"/>
    <w:rsid w:val="00162511"/>
    <w:rsid w:val="00170F0A"/>
    <w:rsid w:val="00194A66"/>
    <w:rsid w:val="00194D77"/>
    <w:rsid w:val="001D6BCF"/>
    <w:rsid w:val="001E01CA"/>
    <w:rsid w:val="00204506"/>
    <w:rsid w:val="0021171E"/>
    <w:rsid w:val="002132AF"/>
    <w:rsid w:val="002139C7"/>
    <w:rsid w:val="002220F9"/>
    <w:rsid w:val="00235FB6"/>
    <w:rsid w:val="0023603E"/>
    <w:rsid w:val="0026405B"/>
    <w:rsid w:val="00273290"/>
    <w:rsid w:val="00275CF5"/>
    <w:rsid w:val="0028301F"/>
    <w:rsid w:val="00283D81"/>
    <w:rsid w:val="00284837"/>
    <w:rsid w:val="00285017"/>
    <w:rsid w:val="002875B2"/>
    <w:rsid w:val="002A2D2E"/>
    <w:rsid w:val="002A4F4C"/>
    <w:rsid w:val="002B4572"/>
    <w:rsid w:val="002C00E8"/>
    <w:rsid w:val="002C47DA"/>
    <w:rsid w:val="00336F20"/>
    <w:rsid w:val="00343749"/>
    <w:rsid w:val="0035042A"/>
    <w:rsid w:val="003660ED"/>
    <w:rsid w:val="00374294"/>
    <w:rsid w:val="00396953"/>
    <w:rsid w:val="003A4162"/>
    <w:rsid w:val="003B0550"/>
    <w:rsid w:val="003B694F"/>
    <w:rsid w:val="003E791B"/>
    <w:rsid w:val="003F171C"/>
    <w:rsid w:val="003F1E81"/>
    <w:rsid w:val="00412FC5"/>
    <w:rsid w:val="00422276"/>
    <w:rsid w:val="004242F1"/>
    <w:rsid w:val="00432812"/>
    <w:rsid w:val="00445A00"/>
    <w:rsid w:val="00451B0F"/>
    <w:rsid w:val="00474302"/>
    <w:rsid w:val="0047786E"/>
    <w:rsid w:val="00487E83"/>
    <w:rsid w:val="004A0F37"/>
    <w:rsid w:val="004C2EE3"/>
    <w:rsid w:val="004D2A54"/>
    <w:rsid w:val="004E4A22"/>
    <w:rsid w:val="005004D3"/>
    <w:rsid w:val="00511968"/>
    <w:rsid w:val="00513637"/>
    <w:rsid w:val="0055614C"/>
    <w:rsid w:val="00573211"/>
    <w:rsid w:val="00574076"/>
    <w:rsid w:val="005924E2"/>
    <w:rsid w:val="005A1786"/>
    <w:rsid w:val="005B63F5"/>
    <w:rsid w:val="005C610B"/>
    <w:rsid w:val="005D56C9"/>
    <w:rsid w:val="005E045C"/>
    <w:rsid w:val="005E14C2"/>
    <w:rsid w:val="005F069B"/>
    <w:rsid w:val="00607BA5"/>
    <w:rsid w:val="0061180A"/>
    <w:rsid w:val="00611F80"/>
    <w:rsid w:val="00613011"/>
    <w:rsid w:val="00626EB6"/>
    <w:rsid w:val="00631ADD"/>
    <w:rsid w:val="00631B94"/>
    <w:rsid w:val="00640AFF"/>
    <w:rsid w:val="00655D03"/>
    <w:rsid w:val="00683388"/>
    <w:rsid w:val="00683F84"/>
    <w:rsid w:val="006855C9"/>
    <w:rsid w:val="006A6A81"/>
    <w:rsid w:val="006C13A9"/>
    <w:rsid w:val="006F7393"/>
    <w:rsid w:val="0070224F"/>
    <w:rsid w:val="007115F7"/>
    <w:rsid w:val="0072249D"/>
    <w:rsid w:val="00736D95"/>
    <w:rsid w:val="00785689"/>
    <w:rsid w:val="0079754B"/>
    <w:rsid w:val="007A0319"/>
    <w:rsid w:val="007A1A8F"/>
    <w:rsid w:val="007A1E6D"/>
    <w:rsid w:val="007A3716"/>
    <w:rsid w:val="007B0EB2"/>
    <w:rsid w:val="007C77D3"/>
    <w:rsid w:val="007E76B8"/>
    <w:rsid w:val="00810B6F"/>
    <w:rsid w:val="00822CE0"/>
    <w:rsid w:val="008237DF"/>
    <w:rsid w:val="008245B2"/>
    <w:rsid w:val="00841AB1"/>
    <w:rsid w:val="00875079"/>
    <w:rsid w:val="00881242"/>
    <w:rsid w:val="008B444A"/>
    <w:rsid w:val="008C68F1"/>
    <w:rsid w:val="008D67DE"/>
    <w:rsid w:val="008D78A1"/>
    <w:rsid w:val="008F13FF"/>
    <w:rsid w:val="009036F9"/>
    <w:rsid w:val="00921803"/>
    <w:rsid w:val="00926503"/>
    <w:rsid w:val="009503C7"/>
    <w:rsid w:val="009542B6"/>
    <w:rsid w:val="009726D8"/>
    <w:rsid w:val="009870E6"/>
    <w:rsid w:val="009D3AED"/>
    <w:rsid w:val="009F76DB"/>
    <w:rsid w:val="00A32B90"/>
    <w:rsid w:val="00A32C3B"/>
    <w:rsid w:val="00A41332"/>
    <w:rsid w:val="00A45F4F"/>
    <w:rsid w:val="00A600A9"/>
    <w:rsid w:val="00A658F1"/>
    <w:rsid w:val="00AA55B7"/>
    <w:rsid w:val="00AA5B9E"/>
    <w:rsid w:val="00AB2407"/>
    <w:rsid w:val="00AB53DF"/>
    <w:rsid w:val="00AD0036"/>
    <w:rsid w:val="00B07E5C"/>
    <w:rsid w:val="00B44FFA"/>
    <w:rsid w:val="00B66737"/>
    <w:rsid w:val="00B704C8"/>
    <w:rsid w:val="00B811F7"/>
    <w:rsid w:val="00BA5DC6"/>
    <w:rsid w:val="00BA6196"/>
    <w:rsid w:val="00BC6D8C"/>
    <w:rsid w:val="00BD0410"/>
    <w:rsid w:val="00BD2BE8"/>
    <w:rsid w:val="00BF5986"/>
    <w:rsid w:val="00BF6325"/>
    <w:rsid w:val="00C34006"/>
    <w:rsid w:val="00C426B1"/>
    <w:rsid w:val="00C66160"/>
    <w:rsid w:val="00C721AC"/>
    <w:rsid w:val="00C90D6A"/>
    <w:rsid w:val="00CA247E"/>
    <w:rsid w:val="00CC3024"/>
    <w:rsid w:val="00CC72B6"/>
    <w:rsid w:val="00CE7144"/>
    <w:rsid w:val="00D00B7F"/>
    <w:rsid w:val="00D0218D"/>
    <w:rsid w:val="00D031AB"/>
    <w:rsid w:val="00D16304"/>
    <w:rsid w:val="00D25FB5"/>
    <w:rsid w:val="00D37DBD"/>
    <w:rsid w:val="00D43E21"/>
    <w:rsid w:val="00D44223"/>
    <w:rsid w:val="00D450AC"/>
    <w:rsid w:val="00D94A6B"/>
    <w:rsid w:val="00D96390"/>
    <w:rsid w:val="00DA2529"/>
    <w:rsid w:val="00DB130A"/>
    <w:rsid w:val="00DB2EBB"/>
    <w:rsid w:val="00DC10A1"/>
    <w:rsid w:val="00DC655F"/>
    <w:rsid w:val="00DD0B59"/>
    <w:rsid w:val="00DD78CD"/>
    <w:rsid w:val="00DD7CC7"/>
    <w:rsid w:val="00DD7EBD"/>
    <w:rsid w:val="00DF62B6"/>
    <w:rsid w:val="00E07225"/>
    <w:rsid w:val="00E0741E"/>
    <w:rsid w:val="00E226F0"/>
    <w:rsid w:val="00E26606"/>
    <w:rsid w:val="00E34B82"/>
    <w:rsid w:val="00E5409F"/>
    <w:rsid w:val="00E557F5"/>
    <w:rsid w:val="00E57F07"/>
    <w:rsid w:val="00E6179E"/>
    <w:rsid w:val="00E715C8"/>
    <w:rsid w:val="00E8753B"/>
    <w:rsid w:val="00EA0AD7"/>
    <w:rsid w:val="00EA238E"/>
    <w:rsid w:val="00EE6488"/>
    <w:rsid w:val="00EF4536"/>
    <w:rsid w:val="00F021FA"/>
    <w:rsid w:val="00F265AB"/>
    <w:rsid w:val="00F35462"/>
    <w:rsid w:val="00F525ED"/>
    <w:rsid w:val="00F62E97"/>
    <w:rsid w:val="00F64209"/>
    <w:rsid w:val="00F852AB"/>
    <w:rsid w:val="00F93BF5"/>
    <w:rsid w:val="00F9741E"/>
    <w:rsid w:val="00FA5B08"/>
    <w:rsid w:val="00FC224F"/>
    <w:rsid w:val="00FC4C27"/>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6A6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paragraph" w:styleId="BalloonText">
    <w:name w:val="Balloon Text"/>
    <w:basedOn w:val="Normal"/>
    <w:link w:val="BalloonTextChar"/>
    <w:rsid w:val="005D56C9"/>
    <w:rPr>
      <w:rFonts w:ascii="Segoe UI" w:hAnsi="Segoe UI" w:cs="Segoe UI"/>
      <w:sz w:val="18"/>
      <w:szCs w:val="18"/>
    </w:rPr>
  </w:style>
  <w:style w:type="character" w:customStyle="1" w:styleId="BalloonTextChar">
    <w:name w:val="Balloon Text Char"/>
    <w:basedOn w:val="DefaultParagraphFont"/>
    <w:link w:val="BalloonText"/>
    <w:rsid w:val="005D56C9"/>
    <w:rPr>
      <w:rFonts w:ascii="Segoe UI" w:hAnsi="Segoe UI" w:cs="Segoe UI"/>
      <w:snapToGrid w:val="0"/>
      <w:kern w:val="28"/>
      <w:sz w:val="18"/>
      <w:szCs w:val="18"/>
    </w:rPr>
  </w:style>
  <w:style w:type="character" w:styleId="CommentReference">
    <w:name w:val="annotation reference"/>
    <w:basedOn w:val="DefaultParagraphFont"/>
    <w:rsid w:val="00010699"/>
    <w:rPr>
      <w:sz w:val="16"/>
      <w:szCs w:val="16"/>
    </w:rPr>
  </w:style>
  <w:style w:type="paragraph" w:styleId="CommentText">
    <w:name w:val="annotation text"/>
    <w:basedOn w:val="Normal"/>
    <w:link w:val="CommentTextChar"/>
    <w:rsid w:val="00010699"/>
    <w:rPr>
      <w:sz w:val="20"/>
    </w:rPr>
  </w:style>
  <w:style w:type="character" w:customStyle="1" w:styleId="CommentTextChar">
    <w:name w:val="Comment Text Char"/>
    <w:basedOn w:val="DefaultParagraphFont"/>
    <w:link w:val="CommentText"/>
    <w:rsid w:val="00010699"/>
    <w:rPr>
      <w:snapToGrid w:val="0"/>
      <w:kern w:val="28"/>
    </w:rPr>
  </w:style>
  <w:style w:type="paragraph" w:styleId="CommentSubject">
    <w:name w:val="annotation subject"/>
    <w:basedOn w:val="CommentText"/>
    <w:next w:val="CommentText"/>
    <w:link w:val="CommentSubjectChar"/>
    <w:rsid w:val="00010699"/>
    <w:rPr>
      <w:b/>
      <w:bCs/>
    </w:rPr>
  </w:style>
  <w:style w:type="character" w:customStyle="1" w:styleId="CommentSubjectChar">
    <w:name w:val="Comment Subject Char"/>
    <w:basedOn w:val="CommentTextChar"/>
    <w:link w:val="CommentSubject"/>
    <w:rsid w:val="0001069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0E3D42"/>
    <w:pPr>
      <w:spacing w:after="120"/>
    </w:pPr>
  </w:style>
  <w:style w:type="character" w:styleId="FootnoteReference">
    <w:name w:val="footnote reference"/>
    <w:aliases w:val="Appel note de bas de p,Style 12,(NECG) Footnote Reference,Style 124,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8D78A1"/>
  </w:style>
  <w:style w:type="character" w:customStyle="1" w:styleId="Heading1Char">
    <w:name w:val="Heading 1 Char"/>
    <w:link w:val="Heading1"/>
    <w:locked/>
    <w:rsid w:val="00E8753B"/>
    <w:rPr>
      <w:rFonts w:ascii="Times New Roman Bold" w:hAnsi="Times New Roman Bold"/>
      <w:b/>
      <w:caps/>
      <w:snapToGrid w:val="0"/>
      <w:kern w:val="28"/>
      <w:sz w:val="22"/>
    </w:rPr>
  </w:style>
  <w:style w:type="character" w:customStyle="1" w:styleId="FootnoteTextChar3CharChar">
    <w:name w:val="Footnote Text Char3 Char Char"/>
    <w:aliases w:val="Footnote Text Char4 Char1 Char Char,Footnote Text Char Char2 Char Char Char,Footnote Text Char3 Char Char Char2 Char Char,Footnote Text Char Char2 Char Char Char2 Char Char,Footnote Text Char3 Char1"/>
    <w:uiPriority w:val="99"/>
    <w:semiHidden/>
    <w:locked/>
    <w:rsid w:val="00E8753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 Char1,Footnote Text Char1 Char Char1,Footnote Text Char Char Char Char1"/>
    <w:rsid w:val="0010681F"/>
  </w:style>
  <w:style w:type="character" w:customStyle="1" w:styleId="documentbody1">
    <w:name w:val="documentbody1"/>
    <w:basedOn w:val="DefaultParagraphFont"/>
    <w:rsid w:val="00D43E21"/>
    <w:rPr>
      <w:rFonts w:ascii="Verdana" w:hAnsi="Verdana" w:hint="default"/>
      <w:sz w:val="19"/>
      <w:szCs w:val="19"/>
      <w:shd w:val="clear" w:color="auto" w:fill="FFFFFF"/>
    </w:rPr>
  </w:style>
  <w:style w:type="paragraph" w:styleId="BalloonText">
    <w:name w:val="Balloon Text"/>
    <w:basedOn w:val="Normal"/>
    <w:link w:val="BalloonTextChar"/>
    <w:rsid w:val="005D56C9"/>
    <w:rPr>
      <w:rFonts w:ascii="Segoe UI" w:hAnsi="Segoe UI" w:cs="Segoe UI"/>
      <w:sz w:val="18"/>
      <w:szCs w:val="18"/>
    </w:rPr>
  </w:style>
  <w:style w:type="character" w:customStyle="1" w:styleId="BalloonTextChar">
    <w:name w:val="Balloon Text Char"/>
    <w:basedOn w:val="DefaultParagraphFont"/>
    <w:link w:val="BalloonText"/>
    <w:rsid w:val="005D56C9"/>
    <w:rPr>
      <w:rFonts w:ascii="Segoe UI" w:hAnsi="Segoe UI" w:cs="Segoe UI"/>
      <w:snapToGrid w:val="0"/>
      <w:kern w:val="28"/>
      <w:sz w:val="18"/>
      <w:szCs w:val="18"/>
    </w:rPr>
  </w:style>
  <w:style w:type="character" w:styleId="CommentReference">
    <w:name w:val="annotation reference"/>
    <w:basedOn w:val="DefaultParagraphFont"/>
    <w:rsid w:val="00010699"/>
    <w:rPr>
      <w:sz w:val="16"/>
      <w:szCs w:val="16"/>
    </w:rPr>
  </w:style>
  <w:style w:type="paragraph" w:styleId="CommentText">
    <w:name w:val="annotation text"/>
    <w:basedOn w:val="Normal"/>
    <w:link w:val="CommentTextChar"/>
    <w:rsid w:val="00010699"/>
    <w:rPr>
      <w:sz w:val="20"/>
    </w:rPr>
  </w:style>
  <w:style w:type="character" w:customStyle="1" w:styleId="CommentTextChar">
    <w:name w:val="Comment Text Char"/>
    <w:basedOn w:val="DefaultParagraphFont"/>
    <w:link w:val="CommentText"/>
    <w:rsid w:val="00010699"/>
    <w:rPr>
      <w:snapToGrid w:val="0"/>
      <w:kern w:val="28"/>
    </w:rPr>
  </w:style>
  <w:style w:type="paragraph" w:styleId="CommentSubject">
    <w:name w:val="annotation subject"/>
    <w:basedOn w:val="CommentText"/>
    <w:next w:val="CommentText"/>
    <w:link w:val="CommentSubjectChar"/>
    <w:rsid w:val="00010699"/>
    <w:rPr>
      <w:b/>
      <w:bCs/>
    </w:rPr>
  </w:style>
  <w:style w:type="character" w:customStyle="1" w:styleId="CommentSubjectChar">
    <w:name w:val="Comment Subject Char"/>
    <w:basedOn w:val="CommentTextChar"/>
    <w:link w:val="CommentSubject"/>
    <w:rsid w:val="000106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8307</Characters>
  <Application>Microsoft Office Word</Application>
  <DocSecurity>0</DocSecurity>
  <Lines>139</Lines>
  <Paragraphs>36</Paragraphs>
  <ScaleCrop>false</ScaleCrop>
  <Manager/>
  <Company/>
  <LinksUpToDate>false</LinksUpToDate>
  <CharactersWithSpaces>9822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2017-02-22T15:34:00Z</dcterms:created>
  <dcterms:modified xsi:type="dcterms:W3CDTF">2017-02-22T15:34:00Z</dcterms:modified>
  <cp:category> </cp:category>
  <cp:contentStatus> </cp:contentStatus>
</cp:coreProperties>
</file>