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02F3" w14:textId="77777777" w:rsidR="0062540E" w:rsidRPr="0053584A" w:rsidRDefault="0062540E" w:rsidP="0062540E">
      <w:pPr>
        <w:tabs>
          <w:tab w:val="left" w:pos="1170"/>
        </w:tabs>
        <w:contextualSpacing/>
        <w:jc w:val="center"/>
        <w:rPr>
          <w:b/>
          <w:szCs w:val="22"/>
        </w:rPr>
      </w:pPr>
      <w:bookmarkStart w:id="0" w:name="_GoBack"/>
      <w:bookmarkEnd w:id="0"/>
      <w:r w:rsidRPr="0053584A">
        <w:rPr>
          <w:b/>
          <w:szCs w:val="22"/>
        </w:rPr>
        <w:t>Before the</w:t>
      </w:r>
    </w:p>
    <w:p w14:paraId="6F72F92B" w14:textId="77777777" w:rsidR="0062540E" w:rsidRPr="0053584A" w:rsidRDefault="0062540E" w:rsidP="0062540E">
      <w:pPr>
        <w:pStyle w:val="StyleBoldCentered"/>
        <w:contextualSpacing/>
        <w:rPr>
          <w:rFonts w:ascii="Times New Roman" w:hAnsi="Times New Roman"/>
        </w:rPr>
      </w:pPr>
      <w:r w:rsidRPr="0053584A">
        <w:rPr>
          <w:rFonts w:ascii="Times New Roman" w:hAnsi="Times New Roman"/>
        </w:rPr>
        <w:t>F</w:t>
      </w:r>
      <w:r w:rsidRPr="0053584A">
        <w:rPr>
          <w:rFonts w:ascii="Times New Roman" w:hAnsi="Times New Roman"/>
          <w:caps w:val="0"/>
        </w:rPr>
        <w:t>ederal Communications Commission</w:t>
      </w:r>
    </w:p>
    <w:p w14:paraId="28CDDF1C" w14:textId="77777777" w:rsidR="0062540E" w:rsidRPr="0053584A" w:rsidRDefault="0062540E" w:rsidP="0062540E">
      <w:pPr>
        <w:pStyle w:val="StyleBoldCentered"/>
        <w:contextualSpacing/>
        <w:rPr>
          <w:rFonts w:ascii="Times New Roman" w:hAnsi="Times New Roman"/>
        </w:rPr>
      </w:pPr>
      <w:r w:rsidRPr="0053584A">
        <w:rPr>
          <w:rFonts w:ascii="Times New Roman" w:hAnsi="Times New Roman"/>
          <w:caps w:val="0"/>
        </w:rPr>
        <w:t>Washington, D.C. 20554</w:t>
      </w:r>
    </w:p>
    <w:p w14:paraId="7CF4EBA4" w14:textId="77777777" w:rsidR="0062540E" w:rsidRDefault="0062540E" w:rsidP="0062540E">
      <w:pPr>
        <w:contextualSpacing/>
        <w:rPr>
          <w:szCs w:val="22"/>
        </w:rPr>
      </w:pPr>
    </w:p>
    <w:p w14:paraId="5B00F4CD" w14:textId="77777777" w:rsidR="0062540E" w:rsidRPr="0053584A" w:rsidRDefault="0062540E" w:rsidP="0062540E">
      <w:pPr>
        <w:contextualSpacing/>
        <w:rPr>
          <w:szCs w:val="22"/>
        </w:rPr>
      </w:pPr>
    </w:p>
    <w:tbl>
      <w:tblPr>
        <w:tblW w:w="0" w:type="auto"/>
        <w:tblLayout w:type="fixed"/>
        <w:tblLook w:val="0000" w:firstRow="0" w:lastRow="0" w:firstColumn="0" w:lastColumn="0" w:noHBand="0" w:noVBand="0"/>
      </w:tblPr>
      <w:tblGrid>
        <w:gridCol w:w="4698"/>
        <w:gridCol w:w="630"/>
        <w:gridCol w:w="4248"/>
      </w:tblGrid>
      <w:tr w:rsidR="0062540E" w:rsidRPr="0053584A" w14:paraId="172777BD" w14:textId="77777777" w:rsidTr="00216455">
        <w:tc>
          <w:tcPr>
            <w:tcW w:w="4698" w:type="dxa"/>
          </w:tcPr>
          <w:p w14:paraId="4EBC50FC" w14:textId="77777777" w:rsidR="0062540E" w:rsidRPr="0053584A" w:rsidRDefault="0062540E" w:rsidP="00216455">
            <w:pPr>
              <w:tabs>
                <w:tab w:val="center" w:pos="4680"/>
              </w:tabs>
              <w:suppressAutoHyphens/>
              <w:contextualSpacing/>
              <w:rPr>
                <w:spacing w:val="-2"/>
                <w:szCs w:val="22"/>
              </w:rPr>
            </w:pPr>
            <w:r w:rsidRPr="0053584A">
              <w:rPr>
                <w:spacing w:val="-2"/>
                <w:szCs w:val="22"/>
              </w:rPr>
              <w:t>In the Matter of</w:t>
            </w:r>
          </w:p>
          <w:p w14:paraId="297BBEB2" w14:textId="77777777" w:rsidR="0062540E" w:rsidRPr="0053584A" w:rsidRDefault="0062540E" w:rsidP="00216455">
            <w:pPr>
              <w:tabs>
                <w:tab w:val="center" w:pos="4680"/>
              </w:tabs>
              <w:suppressAutoHyphens/>
              <w:contextualSpacing/>
              <w:rPr>
                <w:spacing w:val="-2"/>
                <w:szCs w:val="22"/>
              </w:rPr>
            </w:pPr>
          </w:p>
          <w:p w14:paraId="4B82555F" w14:textId="2BB148A5" w:rsidR="0062540E" w:rsidRPr="0053584A" w:rsidRDefault="0062540E" w:rsidP="00216455">
            <w:pPr>
              <w:tabs>
                <w:tab w:val="center" w:pos="4680"/>
              </w:tabs>
              <w:suppressAutoHyphens/>
              <w:contextualSpacing/>
              <w:rPr>
                <w:spacing w:val="-2"/>
                <w:szCs w:val="22"/>
              </w:rPr>
            </w:pPr>
            <w:r w:rsidRPr="0053584A">
              <w:rPr>
                <w:spacing w:val="-2"/>
                <w:szCs w:val="22"/>
              </w:rPr>
              <w:t>Connect America Fund</w:t>
            </w:r>
          </w:p>
        </w:tc>
        <w:tc>
          <w:tcPr>
            <w:tcW w:w="630" w:type="dxa"/>
          </w:tcPr>
          <w:p w14:paraId="621207C2" w14:textId="77777777" w:rsidR="0062540E" w:rsidRPr="0053584A" w:rsidRDefault="0062540E" w:rsidP="00216455">
            <w:pPr>
              <w:tabs>
                <w:tab w:val="center" w:pos="4680"/>
              </w:tabs>
              <w:suppressAutoHyphens/>
              <w:contextualSpacing/>
              <w:rPr>
                <w:b/>
                <w:spacing w:val="-2"/>
                <w:szCs w:val="22"/>
              </w:rPr>
            </w:pPr>
            <w:r w:rsidRPr="0053584A">
              <w:rPr>
                <w:b/>
                <w:spacing w:val="-2"/>
                <w:szCs w:val="22"/>
              </w:rPr>
              <w:t>)</w:t>
            </w:r>
          </w:p>
          <w:p w14:paraId="68C08D0B" w14:textId="77777777" w:rsidR="0062540E" w:rsidRPr="0053584A" w:rsidRDefault="0062540E" w:rsidP="00216455">
            <w:pPr>
              <w:tabs>
                <w:tab w:val="center" w:pos="4680"/>
              </w:tabs>
              <w:suppressAutoHyphens/>
              <w:contextualSpacing/>
              <w:rPr>
                <w:b/>
                <w:spacing w:val="-2"/>
                <w:szCs w:val="22"/>
              </w:rPr>
            </w:pPr>
            <w:r w:rsidRPr="0053584A">
              <w:rPr>
                <w:b/>
                <w:spacing w:val="-2"/>
                <w:szCs w:val="22"/>
              </w:rPr>
              <w:t>)</w:t>
            </w:r>
          </w:p>
          <w:p w14:paraId="333BFCC4" w14:textId="73F419B7" w:rsidR="0062540E" w:rsidRPr="00EA3A74" w:rsidRDefault="0062540E" w:rsidP="00216455">
            <w:pPr>
              <w:tabs>
                <w:tab w:val="center" w:pos="4680"/>
              </w:tabs>
              <w:suppressAutoHyphens/>
              <w:contextualSpacing/>
              <w:rPr>
                <w:b/>
                <w:spacing w:val="-2"/>
                <w:szCs w:val="22"/>
              </w:rPr>
            </w:pPr>
            <w:r w:rsidRPr="0053584A">
              <w:rPr>
                <w:b/>
                <w:spacing w:val="-2"/>
                <w:szCs w:val="22"/>
              </w:rPr>
              <w:t>)</w:t>
            </w:r>
          </w:p>
        </w:tc>
        <w:tc>
          <w:tcPr>
            <w:tcW w:w="4248" w:type="dxa"/>
          </w:tcPr>
          <w:p w14:paraId="1F5CB2FD" w14:textId="77777777" w:rsidR="0062540E" w:rsidRPr="0053584A" w:rsidRDefault="0062540E" w:rsidP="00216455">
            <w:pPr>
              <w:tabs>
                <w:tab w:val="center" w:pos="4680"/>
              </w:tabs>
              <w:suppressAutoHyphens/>
              <w:contextualSpacing/>
              <w:rPr>
                <w:spacing w:val="-2"/>
                <w:szCs w:val="22"/>
              </w:rPr>
            </w:pPr>
          </w:p>
          <w:p w14:paraId="424B47D6" w14:textId="77777777" w:rsidR="0062540E" w:rsidRPr="0053584A" w:rsidRDefault="0062540E" w:rsidP="00216455">
            <w:pPr>
              <w:pStyle w:val="TOAHeading"/>
              <w:tabs>
                <w:tab w:val="clear" w:pos="9360"/>
                <w:tab w:val="center" w:pos="4680"/>
              </w:tabs>
              <w:contextualSpacing/>
              <w:rPr>
                <w:spacing w:val="-2"/>
                <w:szCs w:val="22"/>
              </w:rPr>
            </w:pPr>
          </w:p>
          <w:p w14:paraId="7FCDD9BF" w14:textId="1D71A41A" w:rsidR="0062540E" w:rsidRPr="0053584A" w:rsidRDefault="0062540E" w:rsidP="00216455">
            <w:pPr>
              <w:tabs>
                <w:tab w:val="center" w:pos="4680"/>
              </w:tabs>
              <w:suppressAutoHyphens/>
              <w:contextualSpacing/>
              <w:rPr>
                <w:spacing w:val="-2"/>
                <w:szCs w:val="22"/>
              </w:rPr>
            </w:pPr>
            <w:r w:rsidRPr="0053584A">
              <w:rPr>
                <w:spacing w:val="-2"/>
                <w:szCs w:val="22"/>
              </w:rPr>
              <w:t>WC Docket No. 10-90</w:t>
            </w:r>
          </w:p>
        </w:tc>
      </w:tr>
    </w:tbl>
    <w:p w14:paraId="2C1BD1B6" w14:textId="77777777" w:rsidR="0062540E" w:rsidRPr="0053584A" w:rsidRDefault="0062540E" w:rsidP="0062540E">
      <w:pPr>
        <w:contextualSpacing/>
        <w:rPr>
          <w:szCs w:val="22"/>
        </w:rPr>
      </w:pPr>
    </w:p>
    <w:p w14:paraId="42490CF5" w14:textId="77777777" w:rsidR="0062540E" w:rsidRPr="0053584A" w:rsidRDefault="0062540E" w:rsidP="0062540E">
      <w:pPr>
        <w:pStyle w:val="StyleBoldCentered"/>
        <w:contextualSpacing/>
        <w:rPr>
          <w:rFonts w:ascii="Times New Roman" w:hAnsi="Times New Roman"/>
        </w:rPr>
      </w:pPr>
      <w:r w:rsidRPr="0053584A">
        <w:rPr>
          <w:rFonts w:ascii="Times New Roman" w:hAnsi="Times New Roman"/>
        </w:rPr>
        <w:t>Order</w:t>
      </w:r>
    </w:p>
    <w:p w14:paraId="0782E4AE" w14:textId="77777777" w:rsidR="0062540E" w:rsidRPr="0053584A" w:rsidRDefault="0062540E" w:rsidP="0062540E">
      <w:pPr>
        <w:tabs>
          <w:tab w:val="left" w:pos="-720"/>
        </w:tabs>
        <w:suppressAutoHyphens/>
        <w:contextualSpacing/>
        <w:rPr>
          <w:spacing w:val="-2"/>
          <w:szCs w:val="22"/>
        </w:rPr>
      </w:pPr>
    </w:p>
    <w:p w14:paraId="438B9A3D" w14:textId="24999E11" w:rsidR="0062540E" w:rsidRPr="0053584A" w:rsidRDefault="0062540E" w:rsidP="0062540E">
      <w:pPr>
        <w:tabs>
          <w:tab w:val="left" w:pos="720"/>
          <w:tab w:val="right" w:pos="9360"/>
        </w:tabs>
        <w:suppressAutoHyphens/>
        <w:contextualSpacing/>
        <w:rPr>
          <w:spacing w:val="-2"/>
          <w:szCs w:val="22"/>
        </w:rPr>
      </w:pPr>
      <w:r w:rsidRPr="0053584A">
        <w:rPr>
          <w:b/>
          <w:spacing w:val="-2"/>
          <w:szCs w:val="22"/>
        </w:rPr>
        <w:t xml:space="preserve">Adopted:  </w:t>
      </w:r>
      <w:r w:rsidR="001353C8">
        <w:rPr>
          <w:b/>
          <w:spacing w:val="-2"/>
          <w:szCs w:val="22"/>
        </w:rPr>
        <w:t>February 24</w:t>
      </w:r>
      <w:r w:rsidR="002D7D4D">
        <w:rPr>
          <w:b/>
          <w:spacing w:val="-2"/>
          <w:szCs w:val="22"/>
        </w:rPr>
        <w:t>,</w:t>
      </w:r>
      <w:r w:rsidRPr="0053584A">
        <w:rPr>
          <w:b/>
          <w:spacing w:val="-2"/>
          <w:szCs w:val="22"/>
        </w:rPr>
        <w:t xml:space="preserve"> 201</w:t>
      </w:r>
      <w:r w:rsidR="002D7D4D">
        <w:rPr>
          <w:b/>
          <w:spacing w:val="-2"/>
          <w:szCs w:val="22"/>
        </w:rPr>
        <w:t>7</w:t>
      </w:r>
      <w:r w:rsidRPr="0053584A">
        <w:rPr>
          <w:b/>
          <w:spacing w:val="-2"/>
          <w:szCs w:val="22"/>
        </w:rPr>
        <w:tab/>
        <w:t xml:space="preserve">Released:  </w:t>
      </w:r>
      <w:r w:rsidR="001353C8">
        <w:rPr>
          <w:b/>
          <w:spacing w:val="-2"/>
          <w:szCs w:val="22"/>
        </w:rPr>
        <w:t xml:space="preserve">February 24, </w:t>
      </w:r>
      <w:r w:rsidRPr="0053584A">
        <w:rPr>
          <w:b/>
          <w:spacing w:val="-2"/>
          <w:szCs w:val="22"/>
        </w:rPr>
        <w:t>201</w:t>
      </w:r>
      <w:r w:rsidR="002D7D4D">
        <w:rPr>
          <w:b/>
          <w:spacing w:val="-2"/>
          <w:szCs w:val="22"/>
        </w:rPr>
        <w:t>7</w:t>
      </w:r>
    </w:p>
    <w:p w14:paraId="5DA8E462" w14:textId="77777777" w:rsidR="0062540E" w:rsidRPr="0053584A" w:rsidRDefault="0062540E" w:rsidP="0062540E">
      <w:pPr>
        <w:contextualSpacing/>
        <w:rPr>
          <w:szCs w:val="22"/>
        </w:rPr>
      </w:pPr>
    </w:p>
    <w:p w14:paraId="334E75B8" w14:textId="15FC5407" w:rsidR="0062540E" w:rsidRPr="0053584A" w:rsidRDefault="0062540E" w:rsidP="0062540E">
      <w:pPr>
        <w:contextualSpacing/>
        <w:rPr>
          <w:szCs w:val="22"/>
        </w:rPr>
      </w:pPr>
      <w:r w:rsidRPr="0053584A">
        <w:rPr>
          <w:szCs w:val="22"/>
        </w:rPr>
        <w:t xml:space="preserve">By the </w:t>
      </w:r>
      <w:r w:rsidR="00DF5F20">
        <w:rPr>
          <w:szCs w:val="22"/>
        </w:rPr>
        <w:t xml:space="preserve">Acting </w:t>
      </w:r>
      <w:r w:rsidRPr="0053584A">
        <w:rPr>
          <w:szCs w:val="22"/>
        </w:rPr>
        <w:t>Chief, Wireline Competition Bureau:</w:t>
      </w:r>
    </w:p>
    <w:p w14:paraId="6406DFD2" w14:textId="77777777" w:rsidR="0062540E" w:rsidRPr="0053584A" w:rsidRDefault="0062540E" w:rsidP="0062540E">
      <w:pPr>
        <w:contextualSpacing/>
        <w:rPr>
          <w:szCs w:val="22"/>
        </w:rPr>
      </w:pPr>
    </w:p>
    <w:p w14:paraId="76C55C2B" w14:textId="77777777" w:rsidR="0062540E" w:rsidRPr="0053584A" w:rsidRDefault="0062540E" w:rsidP="0062540E">
      <w:pPr>
        <w:pStyle w:val="Heading1"/>
        <w:rPr>
          <w:rFonts w:ascii="Times New Roman" w:hAnsi="Times New Roman"/>
          <w:szCs w:val="22"/>
        </w:rPr>
      </w:pPr>
      <w:r w:rsidRPr="0053584A">
        <w:rPr>
          <w:rFonts w:ascii="Times New Roman" w:hAnsi="Times New Roman"/>
          <w:szCs w:val="22"/>
        </w:rPr>
        <w:t>Introduction</w:t>
      </w:r>
    </w:p>
    <w:p w14:paraId="0C6DD882" w14:textId="1735E497" w:rsidR="00F62CE6" w:rsidRPr="00F62CE6" w:rsidRDefault="00AB335E" w:rsidP="00B22A0F">
      <w:pPr>
        <w:pStyle w:val="ParaNum"/>
        <w:rPr>
          <w:szCs w:val="22"/>
        </w:rPr>
      </w:pPr>
      <w:r>
        <w:t xml:space="preserve">In this </w:t>
      </w:r>
      <w:r w:rsidR="009967C9">
        <w:t>O</w:t>
      </w:r>
      <w:r w:rsidR="0062540E">
        <w:t xml:space="preserve">rder, </w:t>
      </w:r>
      <w:r w:rsidR="002444B6">
        <w:t>we grant</w:t>
      </w:r>
      <w:r w:rsidR="003A67CA">
        <w:t xml:space="preserve">, </w:t>
      </w:r>
      <w:r w:rsidR="00C059FB">
        <w:t>with slight modifications</w:t>
      </w:r>
      <w:r w:rsidR="003A67CA">
        <w:t>,</w:t>
      </w:r>
      <w:r w:rsidR="007313EA">
        <w:t xml:space="preserve"> </w:t>
      </w:r>
      <w:r w:rsidR="00C60267">
        <w:t>petition</w:t>
      </w:r>
      <w:r w:rsidR="003A67CA">
        <w:t>s</w:t>
      </w:r>
      <w:r w:rsidR="0062540E">
        <w:t xml:space="preserve"> </w:t>
      </w:r>
      <w:r w:rsidR="007D495C">
        <w:t>filed by NTCA–The Rural Broadband Association (N</w:t>
      </w:r>
      <w:r w:rsidR="00CD6F50">
        <w:t>TC</w:t>
      </w:r>
      <w:r w:rsidR="007D495C">
        <w:t>A)</w:t>
      </w:r>
      <w:r w:rsidR="003A67CA">
        <w:t xml:space="preserve"> and WTA</w:t>
      </w:r>
      <w:r w:rsidR="007A4809">
        <w:t>–</w:t>
      </w:r>
      <w:r w:rsidR="003A67CA">
        <w:t>Advocates for Rural Broadband (WTA)</w:t>
      </w:r>
      <w:r w:rsidR="007A4809">
        <w:t>,</w:t>
      </w:r>
      <w:r w:rsidR="007D495C">
        <w:t xml:space="preserve"> </w:t>
      </w:r>
      <w:r w:rsidR="0062540E">
        <w:t xml:space="preserve">seeking </w:t>
      </w:r>
      <w:r w:rsidR="00C60267">
        <w:t xml:space="preserve">a </w:t>
      </w:r>
      <w:r w:rsidR="00F215C2">
        <w:t xml:space="preserve">short term </w:t>
      </w:r>
      <w:r w:rsidR="0062540E">
        <w:t xml:space="preserve">waiver </w:t>
      </w:r>
      <w:r w:rsidR="00761204">
        <w:t>of</w:t>
      </w:r>
      <w:r w:rsidR="007313EA">
        <w:t xml:space="preserve"> the </w:t>
      </w:r>
      <w:r w:rsidR="00C60267">
        <w:t>March 1, 2017 deadline fo</w:t>
      </w:r>
      <w:r>
        <w:t>r certain Connect America Fund r</w:t>
      </w:r>
      <w:r w:rsidR="00C60267">
        <w:t>ecipients to report their first set of geo-located broadband information and related certifications (collectively, “broadband information”) t</w:t>
      </w:r>
      <w:r w:rsidR="00F215C2">
        <w:t>hrough</w:t>
      </w:r>
      <w:r w:rsidR="00C60267">
        <w:t xml:space="preserve"> the High Cost Universal Service Broadband </w:t>
      </w:r>
      <w:r w:rsidR="0064032B">
        <w:t>(HUBB) Portal</w:t>
      </w:r>
      <w:r w:rsidR="007313EA">
        <w:t>.</w:t>
      </w:r>
      <w:r w:rsidR="009967C9">
        <w:rPr>
          <w:rStyle w:val="FootnoteReference"/>
        </w:rPr>
        <w:footnoteReference w:id="2"/>
      </w:r>
      <w:r w:rsidR="007313EA">
        <w:t xml:space="preserve"> </w:t>
      </w:r>
      <w:r w:rsidR="00D95777">
        <w:t xml:space="preserve"> </w:t>
      </w:r>
      <w:r w:rsidR="009967C9">
        <w:t>W</w:t>
      </w:r>
      <w:r w:rsidR="00D95777">
        <w:t xml:space="preserve">e also </w:t>
      </w:r>
      <w:r w:rsidR="009967C9">
        <w:t xml:space="preserve">provide further </w:t>
      </w:r>
      <w:r w:rsidR="00D95777">
        <w:t>clarif</w:t>
      </w:r>
      <w:r w:rsidR="009967C9">
        <w:t>ication</w:t>
      </w:r>
      <w:r w:rsidR="005D0F78">
        <w:t xml:space="preserve"> regarding the obligation of Connect America Fund-Alternative Connect America Model (CAF-ACAM) recipients to file “pre-existing” broadband </w:t>
      </w:r>
      <w:r w:rsidR="00605CFD">
        <w:t xml:space="preserve">information. </w:t>
      </w:r>
    </w:p>
    <w:p w14:paraId="6D17A281" w14:textId="0613190C" w:rsidR="00397E65" w:rsidRPr="00F62CE6" w:rsidRDefault="00B264FC" w:rsidP="00DA5295">
      <w:pPr>
        <w:pStyle w:val="ParaNum"/>
        <w:rPr>
          <w:szCs w:val="22"/>
        </w:rPr>
      </w:pPr>
      <w:r>
        <w:t>S</w:t>
      </w:r>
      <w:r w:rsidR="00A2665C">
        <w:t xml:space="preserve">ubject to Paperwork Reduction Act approval by the Office of Management and Budget (PRA approval) of the information collection at issue, we extend the deadline for </w:t>
      </w:r>
      <w:r w:rsidR="00F215C2">
        <w:t xml:space="preserve">recipients of </w:t>
      </w:r>
      <w:r w:rsidR="003E4EED">
        <w:t xml:space="preserve">CAF Phase II </w:t>
      </w:r>
      <w:r w:rsidR="00F215C2">
        <w:t xml:space="preserve">support </w:t>
      </w:r>
      <w:r w:rsidR="00A2665C">
        <w:t xml:space="preserve">to </w:t>
      </w:r>
      <w:r w:rsidR="0058694E">
        <w:t xml:space="preserve">file their first set of broadband information </w:t>
      </w:r>
      <w:r w:rsidR="00A2665C">
        <w:t xml:space="preserve">until </w:t>
      </w:r>
      <w:r w:rsidR="0058694E">
        <w:t xml:space="preserve">July 1, </w:t>
      </w:r>
      <w:r w:rsidR="00AB335E">
        <w:t>2017</w:t>
      </w:r>
      <w:r w:rsidR="009967C9">
        <w:t>.</w:t>
      </w:r>
      <w:r w:rsidR="009967C9">
        <w:rPr>
          <w:rStyle w:val="FootnoteReference"/>
        </w:rPr>
        <w:footnoteReference w:id="3"/>
      </w:r>
      <w:r w:rsidR="009967C9">
        <w:t xml:space="preserve">  </w:t>
      </w:r>
      <w:r w:rsidR="00221C6D">
        <w:t xml:space="preserve">In addition, </w:t>
      </w:r>
      <w:r w:rsidR="00AB335E">
        <w:t>Connect America Fund-Broadband Loop Support (CAF-BLS) recipients with a defined deployment obligation must submit their first set of broadband information no later than March 1, 2018.</w:t>
      </w:r>
      <w:r w:rsidR="009416A3" w:rsidRPr="00F62CE6">
        <w:rPr>
          <w:szCs w:val="22"/>
        </w:rPr>
        <w:t xml:space="preserve"> </w:t>
      </w:r>
      <w:r w:rsidR="00C81392" w:rsidRPr="00F62CE6">
        <w:rPr>
          <w:szCs w:val="22"/>
        </w:rPr>
        <w:t xml:space="preserve"> </w:t>
      </w:r>
      <w:r w:rsidR="00397E65">
        <w:t xml:space="preserve">We find </w:t>
      </w:r>
      <w:r w:rsidR="00E176F3">
        <w:t xml:space="preserve">that </w:t>
      </w:r>
      <w:r w:rsidR="00F215C2">
        <w:t xml:space="preserve">granting this waiver </w:t>
      </w:r>
      <w:r w:rsidR="00E176F3">
        <w:t>is</w:t>
      </w:r>
      <w:r w:rsidR="00F62CE6">
        <w:t xml:space="preserve"> in the public interest and necessary</w:t>
      </w:r>
      <w:r w:rsidR="00397E65">
        <w:t xml:space="preserve"> </w:t>
      </w:r>
      <w:r w:rsidR="00221C6D">
        <w:t xml:space="preserve">to </w:t>
      </w:r>
      <w:r w:rsidR="00F62CE6">
        <w:t>(1)</w:t>
      </w:r>
      <w:r w:rsidR="009967C9">
        <w:t xml:space="preserve"> </w:t>
      </w:r>
      <w:r w:rsidR="00397E65">
        <w:t xml:space="preserve">align HUBB </w:t>
      </w:r>
      <w:r w:rsidR="007313EA">
        <w:t xml:space="preserve">portal reporting </w:t>
      </w:r>
      <w:r w:rsidR="00397E65">
        <w:t>deadlines with approval of the</w:t>
      </w:r>
      <w:r w:rsidR="0058694E">
        <w:t xml:space="preserve"> relevant</w:t>
      </w:r>
      <w:r w:rsidR="00397E65">
        <w:t xml:space="preserve"> information collection requirements</w:t>
      </w:r>
      <w:r w:rsidR="007313EA">
        <w:t>,</w:t>
      </w:r>
      <w:r w:rsidR="00397E65">
        <w:t xml:space="preserve"> and </w:t>
      </w:r>
      <w:r w:rsidR="00F62CE6">
        <w:t xml:space="preserve">(2) </w:t>
      </w:r>
      <w:r w:rsidR="00397E65">
        <w:t>ensure that h</w:t>
      </w:r>
      <w:r w:rsidR="0058694E">
        <w:t xml:space="preserve">igh-cost </w:t>
      </w:r>
      <w:r w:rsidR="009967C9">
        <w:t>recipients</w:t>
      </w:r>
      <w:r w:rsidR="0058694E">
        <w:t xml:space="preserve">, particularly </w:t>
      </w:r>
      <w:r w:rsidR="00221C6D">
        <w:t xml:space="preserve">those </w:t>
      </w:r>
      <w:r w:rsidR="009967C9">
        <w:t>preparing to file this information for the first time</w:t>
      </w:r>
      <w:r w:rsidR="00397E65">
        <w:t xml:space="preserve">, have sufficient time to collect and </w:t>
      </w:r>
      <w:r w:rsidR="007313EA">
        <w:t>submit</w:t>
      </w:r>
      <w:r w:rsidR="00397E65">
        <w:t xml:space="preserve"> their broadband information in the </w:t>
      </w:r>
      <w:r w:rsidR="00221C6D">
        <w:t xml:space="preserve">required </w:t>
      </w:r>
      <w:r w:rsidR="00397E65">
        <w:t xml:space="preserve">format. </w:t>
      </w:r>
      <w:r w:rsidR="0058694E">
        <w:t xml:space="preserve"> </w:t>
      </w:r>
    </w:p>
    <w:p w14:paraId="3EC2204E" w14:textId="77777777" w:rsidR="0058694E" w:rsidRDefault="0058694E" w:rsidP="0058694E">
      <w:pPr>
        <w:pStyle w:val="Heading1"/>
        <w:rPr>
          <w:szCs w:val="22"/>
        </w:rPr>
      </w:pPr>
      <w:r>
        <w:rPr>
          <w:szCs w:val="22"/>
        </w:rPr>
        <w:t>Background</w:t>
      </w:r>
    </w:p>
    <w:p w14:paraId="385E2A7A" w14:textId="1397A934" w:rsidR="00C465A4" w:rsidRDefault="006F3AE4" w:rsidP="00F70FD2">
      <w:pPr>
        <w:pStyle w:val="ParaNum"/>
        <w:tabs>
          <w:tab w:val="clear" w:pos="1440"/>
        </w:tabs>
      </w:pPr>
      <w:r>
        <w:t>In the</w:t>
      </w:r>
      <w:r w:rsidR="0058694E" w:rsidRPr="00E71A7D">
        <w:t xml:space="preserve"> 2016 </w:t>
      </w:r>
      <w:r w:rsidR="0058694E" w:rsidRPr="006F3AE4">
        <w:rPr>
          <w:i/>
        </w:rPr>
        <w:t>Rate-of-Reform Return Order</w:t>
      </w:r>
      <w:r>
        <w:t xml:space="preserve">, </w:t>
      </w:r>
      <w:r w:rsidR="00E176F3">
        <w:t xml:space="preserve">the Commission directed </w:t>
      </w:r>
      <w:r w:rsidR="00761204">
        <w:t xml:space="preserve">USAC </w:t>
      </w:r>
      <w:r w:rsidR="0058694E" w:rsidRPr="00E71A7D">
        <w:t xml:space="preserve">to develop an online </w:t>
      </w:r>
      <w:r w:rsidR="00EA3A74">
        <w:t>system</w:t>
      </w:r>
      <w:r w:rsidR="00F62CE6">
        <w:t xml:space="preserve"> (</w:t>
      </w:r>
      <w:r w:rsidR="004E0A55">
        <w:t xml:space="preserve">later named the HUBB </w:t>
      </w:r>
      <w:r w:rsidR="00EA3A74">
        <w:t>portal</w:t>
      </w:r>
      <w:r w:rsidR="00F62CE6">
        <w:t>)</w:t>
      </w:r>
      <w:r w:rsidR="0058694E" w:rsidRPr="00E71A7D">
        <w:t xml:space="preserve"> to accept</w:t>
      </w:r>
      <w:r w:rsidR="007313EA">
        <w:t xml:space="preserve"> high-cost carriers’</w:t>
      </w:r>
      <w:r w:rsidR="0058694E" w:rsidRPr="00E71A7D">
        <w:t xml:space="preserve"> </w:t>
      </w:r>
      <w:r w:rsidR="0058694E">
        <w:t>broadband information</w:t>
      </w:r>
      <w:r w:rsidR="0058694E" w:rsidRPr="00E71A7D">
        <w:t>.</w:t>
      </w:r>
      <w:r w:rsidR="007B46C2">
        <w:rPr>
          <w:rStyle w:val="FootnoteReference"/>
        </w:rPr>
        <w:footnoteReference w:id="4"/>
      </w:r>
      <w:r w:rsidR="0058694E" w:rsidRPr="00E71A7D">
        <w:t xml:space="preserve">  </w:t>
      </w:r>
      <w:r w:rsidR="002D7D4D" w:rsidRPr="00BC3375">
        <w:t>The</w:t>
      </w:r>
      <w:r w:rsidR="00F62CE6">
        <w:t xml:space="preserve"> HUBB</w:t>
      </w:r>
      <w:r w:rsidR="00EA3A74">
        <w:t xml:space="preserve"> portal will </w:t>
      </w:r>
      <w:r w:rsidR="002D7D4D" w:rsidRPr="00BC3375">
        <w:t xml:space="preserve">track carriers’ progress towards their </w:t>
      </w:r>
      <w:r w:rsidR="00EA3A74">
        <w:t xml:space="preserve">broadband deployment milestones and </w:t>
      </w:r>
      <w:r w:rsidR="002D7D4D" w:rsidRPr="00BC3375">
        <w:t>provide a means for USAC to collect</w:t>
      </w:r>
      <w:r w:rsidR="004E0A55">
        <w:t xml:space="preserve"> broadband</w:t>
      </w:r>
      <w:r w:rsidR="002D7D4D" w:rsidRPr="00BC3375">
        <w:t xml:space="preserve"> information for </w:t>
      </w:r>
      <w:r w:rsidR="004E0A55">
        <w:t>later public distribution</w:t>
      </w:r>
      <w:r w:rsidR="002D7D4D">
        <w:t>.</w:t>
      </w:r>
      <w:r w:rsidR="002D7D4D">
        <w:rPr>
          <w:rStyle w:val="FootnoteReference"/>
        </w:rPr>
        <w:footnoteReference w:id="5"/>
      </w:r>
      <w:r w:rsidR="002D7D4D">
        <w:t xml:space="preserve">  </w:t>
      </w:r>
      <w:r w:rsidR="004E0A55">
        <w:t>On December 8, 2016</w:t>
      </w:r>
      <w:r w:rsidR="00F62CE6">
        <w:t xml:space="preserve">, </w:t>
      </w:r>
      <w:r w:rsidR="00F215C2">
        <w:lastRenderedPageBreak/>
        <w:t xml:space="preserve">we </w:t>
      </w:r>
      <w:r w:rsidR="00F62CE6">
        <w:t xml:space="preserve">provided carriers with detailed guidance regarding their </w:t>
      </w:r>
      <w:r w:rsidR="00EA3A74">
        <w:t>HUBB portal filing obligations</w:t>
      </w:r>
      <w:r w:rsidR="00F62CE6">
        <w:t>.</w:t>
      </w:r>
      <w:r w:rsidR="00F62CE6">
        <w:rPr>
          <w:rStyle w:val="FootnoteReference"/>
        </w:rPr>
        <w:footnoteReference w:id="6"/>
      </w:r>
      <w:r w:rsidR="00F62CE6">
        <w:t xml:space="preserve">  USAC has provided additional </w:t>
      </w:r>
      <w:r w:rsidR="00221C6D">
        <w:t xml:space="preserve">HUBB filing </w:t>
      </w:r>
      <w:r w:rsidR="00F62CE6">
        <w:t xml:space="preserve">guidance </w:t>
      </w:r>
      <w:r w:rsidR="00F215C2">
        <w:t xml:space="preserve">through </w:t>
      </w:r>
      <w:r w:rsidR="00F62CE6">
        <w:t>webinars and responses to frequently asked questions</w:t>
      </w:r>
      <w:r w:rsidR="00F215C2">
        <w:t xml:space="preserve"> </w:t>
      </w:r>
      <w:r w:rsidR="00DF5F20">
        <w:t xml:space="preserve">posted </w:t>
      </w:r>
      <w:r w:rsidR="00F215C2">
        <w:t>on the USAC website</w:t>
      </w:r>
      <w:r w:rsidR="00F62CE6">
        <w:t>.</w:t>
      </w:r>
      <w:r w:rsidR="00F62CE6">
        <w:rPr>
          <w:rStyle w:val="FootnoteReference"/>
        </w:rPr>
        <w:footnoteReference w:id="7"/>
      </w:r>
      <w:r w:rsidR="00F62CE6">
        <w:t xml:space="preserve">  </w:t>
      </w:r>
      <w:r w:rsidR="00DF5F20">
        <w:t xml:space="preserve">Notwithstanding, </w:t>
      </w:r>
      <w:r w:rsidR="00C059FB">
        <w:t>Section 54.31</w:t>
      </w:r>
      <w:r w:rsidR="003A67CA">
        <w:t>6</w:t>
      </w:r>
      <w:r w:rsidR="00C059FB">
        <w:t xml:space="preserve"> of the Commission’s rules</w:t>
      </w:r>
      <w:r w:rsidR="00DF5F20">
        <w:t>,</w:t>
      </w:r>
      <w:r w:rsidR="00C059FB">
        <w:t xml:space="preserve"> requiring carriers to file information </w:t>
      </w:r>
      <w:r w:rsidR="00DF5F20">
        <w:t xml:space="preserve">with USAC through </w:t>
      </w:r>
      <w:r w:rsidR="00C059FB">
        <w:t>the HU</w:t>
      </w:r>
      <w:r w:rsidR="003A67CA">
        <w:t>B</w:t>
      </w:r>
      <w:r w:rsidR="00C059FB">
        <w:t>B</w:t>
      </w:r>
      <w:r w:rsidR="00DF5F20">
        <w:t xml:space="preserve"> portal,</w:t>
      </w:r>
      <w:r w:rsidR="00C059FB">
        <w:t xml:space="preserve"> is not yet effective because t</w:t>
      </w:r>
      <w:r w:rsidR="004E0A55">
        <w:t xml:space="preserve">he </w:t>
      </w:r>
      <w:r w:rsidR="002D7D4D">
        <w:t>Commission has not yet received PRA approval</w:t>
      </w:r>
      <w:r w:rsidR="00C81392">
        <w:t xml:space="preserve"> </w:t>
      </w:r>
      <w:r w:rsidR="002D7D4D">
        <w:t xml:space="preserve">for the information collection related </w:t>
      </w:r>
      <w:r w:rsidR="00DF5F20">
        <w:t xml:space="preserve">thereto.  </w:t>
      </w:r>
      <w:r w:rsidR="00E176F3">
        <w:rPr>
          <w:rStyle w:val="FootnoteReference"/>
        </w:rPr>
        <w:footnoteReference w:id="8"/>
      </w:r>
      <w:r w:rsidR="00DD5704">
        <w:t xml:space="preserve"> </w:t>
      </w:r>
    </w:p>
    <w:p w14:paraId="0F905181" w14:textId="768B673B" w:rsidR="004E0A55" w:rsidRDefault="007D495C" w:rsidP="00F215C2">
      <w:pPr>
        <w:pStyle w:val="ParaNum"/>
      </w:pPr>
      <w:r>
        <w:t xml:space="preserve">In </w:t>
      </w:r>
      <w:r w:rsidR="003D5A5B">
        <w:t xml:space="preserve">their </w:t>
      </w:r>
      <w:r w:rsidR="003A67CA">
        <w:t>p</w:t>
      </w:r>
      <w:r>
        <w:t>etition</w:t>
      </w:r>
      <w:r w:rsidR="00CD6F50">
        <w:t>s</w:t>
      </w:r>
      <w:r>
        <w:t xml:space="preserve">, NTCA </w:t>
      </w:r>
      <w:r w:rsidR="00CD6F50">
        <w:t xml:space="preserve">and WTA </w:t>
      </w:r>
      <w:r>
        <w:t>seek</w:t>
      </w:r>
      <w:r w:rsidR="00404BB6">
        <w:t xml:space="preserve"> </w:t>
      </w:r>
      <w:r>
        <w:t xml:space="preserve">a waiver of the March 1, 2017 HUBB portal filing </w:t>
      </w:r>
      <w:r w:rsidR="003E4EED">
        <w:t xml:space="preserve">deadline for CAF Phase II </w:t>
      </w:r>
      <w:r w:rsidR="00C059FB">
        <w:t>recipients</w:t>
      </w:r>
      <w:r>
        <w:t>, CAF-BLS</w:t>
      </w:r>
      <w:r w:rsidR="003A67CA">
        <w:t>,</w:t>
      </w:r>
      <w:r>
        <w:t xml:space="preserve"> and CAF-ACAM recipients until December 31, 2017.</w:t>
      </w:r>
      <w:r w:rsidR="00CD6F50">
        <w:rPr>
          <w:rStyle w:val="FootnoteReference"/>
        </w:rPr>
        <w:footnoteReference w:id="9"/>
      </w:r>
      <w:r w:rsidR="004C57F3">
        <w:t xml:space="preserve"> </w:t>
      </w:r>
      <w:r w:rsidR="004E0A55">
        <w:t xml:space="preserve"> </w:t>
      </w:r>
      <w:r w:rsidR="00145A1C">
        <w:t xml:space="preserve">Absent relief, </w:t>
      </w:r>
      <w:r w:rsidR="004E0A55">
        <w:t>by March 1, 2017,</w:t>
      </w:r>
      <w:r w:rsidR="00DD5704">
        <w:t xml:space="preserve"> subject to PRA approval</w:t>
      </w:r>
      <w:r w:rsidR="00C059FB">
        <w:t xml:space="preserve"> and publication of notice of such approval in the Federal Register</w:t>
      </w:r>
      <w:r w:rsidR="00B264FC">
        <w:t xml:space="preserve">, </w:t>
      </w:r>
      <w:r w:rsidR="003E4EED">
        <w:t>CAF Phase II carriers</w:t>
      </w:r>
      <w:r w:rsidR="004E0A55">
        <w:t xml:space="preserve"> must file broadband information regarding locations deployed in 2016</w:t>
      </w:r>
      <w:r w:rsidR="00C81392">
        <w:t>,</w:t>
      </w:r>
      <w:r w:rsidR="004E0A55">
        <w:t xml:space="preserve"> and CAF-BLS recipients must file broadband information regarding locations deployed between May 25, 2016 (the effective date of the </w:t>
      </w:r>
      <w:r w:rsidR="002115C7" w:rsidRPr="00313578">
        <w:rPr>
          <w:i/>
        </w:rPr>
        <w:t>R</w:t>
      </w:r>
      <w:r w:rsidR="004E0A55" w:rsidRPr="00313578">
        <w:rPr>
          <w:i/>
        </w:rPr>
        <w:t>ate-of-</w:t>
      </w:r>
      <w:r w:rsidR="002115C7" w:rsidRPr="00313578">
        <w:rPr>
          <w:i/>
        </w:rPr>
        <w:t>R</w:t>
      </w:r>
      <w:r w:rsidR="004E0A55" w:rsidRPr="00313578">
        <w:rPr>
          <w:i/>
        </w:rPr>
        <w:t xml:space="preserve">eturn </w:t>
      </w:r>
      <w:r w:rsidR="002115C7" w:rsidRPr="00313578">
        <w:rPr>
          <w:i/>
        </w:rPr>
        <w:t xml:space="preserve">Reform </w:t>
      </w:r>
      <w:r w:rsidR="004E0A55" w:rsidRPr="00313578">
        <w:rPr>
          <w:i/>
        </w:rPr>
        <w:t>Order</w:t>
      </w:r>
      <w:r w:rsidR="004E0A55">
        <w:t>) and December, 31, 2016.</w:t>
      </w:r>
      <w:r w:rsidR="003A67CA">
        <w:rPr>
          <w:rStyle w:val="FootnoteReference"/>
        </w:rPr>
        <w:footnoteReference w:id="10"/>
      </w:r>
      <w:r w:rsidR="004E0A55">
        <w:t xml:space="preserve">   </w:t>
      </w:r>
      <w:r w:rsidR="00C81392">
        <w:t xml:space="preserve"> </w:t>
      </w:r>
      <w:r w:rsidR="00F215C2">
        <w:t xml:space="preserve"> </w:t>
      </w:r>
    </w:p>
    <w:p w14:paraId="2E938AC5" w14:textId="6B9DEFE4" w:rsidR="007D495C" w:rsidRDefault="00C81392" w:rsidP="00B21054">
      <w:pPr>
        <w:pStyle w:val="ParaNum"/>
      </w:pPr>
      <w:r>
        <w:t xml:space="preserve">In </w:t>
      </w:r>
      <w:r w:rsidR="00CD6F50">
        <w:t xml:space="preserve">their </w:t>
      </w:r>
      <w:r>
        <w:t>petition</w:t>
      </w:r>
      <w:r w:rsidR="00CD6F50">
        <w:t>s</w:t>
      </w:r>
      <w:r>
        <w:t xml:space="preserve">, </w:t>
      </w:r>
      <w:r w:rsidR="007D495C">
        <w:t>NTCA</w:t>
      </w:r>
      <w:r w:rsidR="00CD6F50">
        <w:t xml:space="preserve"> and WTA</w:t>
      </w:r>
      <w:r w:rsidR="007D495C">
        <w:t xml:space="preserve"> argue that a</w:t>
      </w:r>
      <w:r w:rsidR="009B0B2A">
        <w:t xml:space="preserve"> filing deadline</w:t>
      </w:r>
      <w:r w:rsidR="007D495C">
        <w:t xml:space="preserve"> extension for </w:t>
      </w:r>
      <w:r>
        <w:t xml:space="preserve">all </w:t>
      </w:r>
      <w:r w:rsidR="007D495C">
        <w:t>carriers</w:t>
      </w:r>
      <w:r w:rsidR="00145A1C">
        <w:t xml:space="preserve"> with a March 1, 2017 HUBB filing obligation</w:t>
      </w:r>
      <w:r w:rsidR="007D495C">
        <w:t xml:space="preserve"> is in the public interest because, among other things, (1) high-cost </w:t>
      </w:r>
      <w:r>
        <w:t>recipients</w:t>
      </w:r>
      <w:r w:rsidR="007D495C">
        <w:t xml:space="preserve">, particularly smaller rate-of-return carriers, need additional time to collect broadband data; (2) </w:t>
      </w:r>
      <w:r>
        <w:t>OMB</w:t>
      </w:r>
      <w:r w:rsidR="007D495C">
        <w:t xml:space="preserve"> has not yet approved the HUBB portal information collection requirements and carriers need at least several weeks following approval and prior to the March 1 deadline to </w:t>
      </w:r>
      <w:r w:rsidR="004E0A55">
        <w:t xml:space="preserve">assemble, check </w:t>
      </w:r>
      <w:r w:rsidR="007D495C">
        <w:t xml:space="preserve">and file the broadband data; </w:t>
      </w:r>
      <w:r w:rsidR="009B0B2A">
        <w:t>(</w:t>
      </w:r>
      <w:r w:rsidR="00B21054" w:rsidRPr="00B21054">
        <w:t xml:space="preserve">3) smaller companies in particular have a special need to be able to complete geocoding and reporting outside of the 2017 construction season; </w:t>
      </w:r>
      <w:r w:rsidR="007D495C">
        <w:t>and (</w:t>
      </w:r>
      <w:r w:rsidR="00B21054">
        <w:t>4</w:t>
      </w:r>
      <w:r w:rsidR="007D495C">
        <w:t xml:space="preserve">) any delay will not undermine the ability of the Commission to accurately track carriers’ progress towards their broadband deployment milestones because carriers’ first deployment milestones </w:t>
      </w:r>
      <w:r w:rsidR="00DF5F20">
        <w:t xml:space="preserve">do not occur </w:t>
      </w:r>
      <w:r w:rsidR="007D495C">
        <w:t>until after the requested revised filing deadline.</w:t>
      </w:r>
      <w:r w:rsidR="007D495C">
        <w:rPr>
          <w:rStyle w:val="FootnoteReference"/>
        </w:rPr>
        <w:footnoteReference w:id="11"/>
      </w:r>
      <w:r w:rsidR="007D495C">
        <w:t xml:space="preserve"> </w:t>
      </w:r>
    </w:p>
    <w:p w14:paraId="6D3F774A" w14:textId="77777777" w:rsidR="0058694E" w:rsidRPr="00397E65" w:rsidRDefault="0058694E" w:rsidP="0058694E">
      <w:pPr>
        <w:pStyle w:val="Heading1"/>
        <w:rPr>
          <w:szCs w:val="22"/>
        </w:rPr>
      </w:pPr>
      <w:r>
        <w:rPr>
          <w:rFonts w:ascii="Times New Roman" w:hAnsi="Times New Roman"/>
          <w:szCs w:val="22"/>
        </w:rPr>
        <w:t>Discussion</w:t>
      </w:r>
    </w:p>
    <w:p w14:paraId="36D035EA" w14:textId="2508DE1D" w:rsidR="002E6CE8" w:rsidRPr="00216455" w:rsidRDefault="009B0B2A" w:rsidP="00B22A0F">
      <w:pPr>
        <w:pStyle w:val="ParaNum"/>
        <w:rPr>
          <w:szCs w:val="22"/>
        </w:rPr>
      </w:pPr>
      <w:r>
        <w:rPr>
          <w:szCs w:val="22"/>
        </w:rPr>
        <w:t>With some modifications, w</w:t>
      </w:r>
      <w:r w:rsidR="00216455">
        <w:rPr>
          <w:szCs w:val="22"/>
        </w:rPr>
        <w:t>e grant</w:t>
      </w:r>
      <w:r w:rsidR="00B21054">
        <w:rPr>
          <w:szCs w:val="22"/>
        </w:rPr>
        <w:t>, on a prospective basis,</w:t>
      </w:r>
      <w:r w:rsidR="00216455">
        <w:rPr>
          <w:szCs w:val="22"/>
        </w:rPr>
        <w:t xml:space="preserve"> NTCA’s</w:t>
      </w:r>
      <w:r w:rsidR="00CD6F50">
        <w:rPr>
          <w:szCs w:val="22"/>
        </w:rPr>
        <w:t xml:space="preserve"> and WTA’s</w:t>
      </w:r>
      <w:r w:rsidR="00216455">
        <w:rPr>
          <w:szCs w:val="22"/>
        </w:rPr>
        <w:t xml:space="preserve"> </w:t>
      </w:r>
      <w:r w:rsidR="00227D87">
        <w:rPr>
          <w:szCs w:val="22"/>
        </w:rPr>
        <w:t>request</w:t>
      </w:r>
      <w:r w:rsidR="00CD6F50">
        <w:rPr>
          <w:szCs w:val="22"/>
        </w:rPr>
        <w:t>s</w:t>
      </w:r>
      <w:r w:rsidR="00227D87">
        <w:rPr>
          <w:szCs w:val="22"/>
        </w:rPr>
        <w:t xml:space="preserve"> for a </w:t>
      </w:r>
      <w:r w:rsidR="00216455">
        <w:rPr>
          <w:szCs w:val="22"/>
        </w:rPr>
        <w:t xml:space="preserve">limited waiver </w:t>
      </w:r>
      <w:r w:rsidR="00227D87">
        <w:rPr>
          <w:szCs w:val="22"/>
        </w:rPr>
        <w:t>of the March 1, 2017 filing deadline</w:t>
      </w:r>
      <w:r w:rsidR="002E6CE8" w:rsidRPr="00216455">
        <w:rPr>
          <w:szCs w:val="22"/>
        </w:rPr>
        <w:t>.</w:t>
      </w:r>
      <w:r w:rsidR="00D90E4C">
        <w:rPr>
          <w:szCs w:val="22"/>
        </w:rPr>
        <w:t xml:space="preserve">  W</w:t>
      </w:r>
      <w:r w:rsidR="00D90E4C" w:rsidRPr="0053584A">
        <w:rPr>
          <w:szCs w:val="22"/>
        </w:rPr>
        <w:t xml:space="preserve">e find that </w:t>
      </w:r>
      <w:r w:rsidR="00D90E4C">
        <w:rPr>
          <w:szCs w:val="22"/>
        </w:rPr>
        <w:t>the petitioner</w:t>
      </w:r>
      <w:r w:rsidR="003A67CA">
        <w:rPr>
          <w:szCs w:val="22"/>
        </w:rPr>
        <w:t>s</w:t>
      </w:r>
      <w:r w:rsidR="00D90E4C" w:rsidRPr="0053584A">
        <w:rPr>
          <w:szCs w:val="22"/>
        </w:rPr>
        <w:t xml:space="preserve"> </w:t>
      </w:r>
      <w:r w:rsidR="003A67CA">
        <w:rPr>
          <w:szCs w:val="22"/>
        </w:rPr>
        <w:t>have</w:t>
      </w:r>
      <w:r w:rsidR="003A67CA" w:rsidRPr="0053584A">
        <w:rPr>
          <w:szCs w:val="22"/>
        </w:rPr>
        <w:t xml:space="preserve"> </w:t>
      </w:r>
      <w:r w:rsidR="00D90E4C" w:rsidRPr="0053584A">
        <w:rPr>
          <w:szCs w:val="22"/>
        </w:rPr>
        <w:t>demonstrated good cause that justifie</w:t>
      </w:r>
      <w:r w:rsidR="00D90E4C">
        <w:rPr>
          <w:szCs w:val="22"/>
        </w:rPr>
        <w:t>s granting the requested waiver</w:t>
      </w:r>
      <w:r w:rsidR="003A67CA">
        <w:rPr>
          <w:szCs w:val="22"/>
        </w:rPr>
        <w:t>s</w:t>
      </w:r>
      <w:r w:rsidR="00D90E4C" w:rsidRPr="0053584A">
        <w:rPr>
          <w:szCs w:val="22"/>
        </w:rPr>
        <w:t xml:space="preserve">, and that doing so </w:t>
      </w:r>
      <w:r w:rsidR="00B264FC">
        <w:rPr>
          <w:szCs w:val="22"/>
        </w:rPr>
        <w:t xml:space="preserve">is </w:t>
      </w:r>
      <w:r w:rsidR="00D90E4C" w:rsidRPr="0053584A">
        <w:rPr>
          <w:szCs w:val="22"/>
        </w:rPr>
        <w:t>consistent with the public interest</w:t>
      </w:r>
      <w:r w:rsidR="00D90E4C">
        <w:rPr>
          <w:rStyle w:val="FootnoteReference"/>
          <w:szCs w:val="22"/>
        </w:rPr>
        <w:t xml:space="preserve"> </w:t>
      </w:r>
      <w:r w:rsidR="00D90E4C">
        <w:rPr>
          <w:szCs w:val="22"/>
        </w:rPr>
        <w:t>.</w:t>
      </w:r>
      <w:r w:rsidR="00227D87">
        <w:rPr>
          <w:rStyle w:val="FootnoteReference"/>
          <w:szCs w:val="22"/>
        </w:rPr>
        <w:footnoteReference w:id="12"/>
      </w:r>
      <w:r w:rsidR="00227D87">
        <w:rPr>
          <w:szCs w:val="22"/>
        </w:rPr>
        <w:t xml:space="preserve">  </w:t>
      </w:r>
      <w:r w:rsidR="00B21054">
        <w:rPr>
          <w:szCs w:val="22"/>
        </w:rPr>
        <w:t>We continue to encourage c</w:t>
      </w:r>
      <w:r w:rsidR="00227D87">
        <w:rPr>
          <w:szCs w:val="22"/>
        </w:rPr>
        <w:t xml:space="preserve">arriers </w:t>
      </w:r>
      <w:r w:rsidR="00B21054">
        <w:rPr>
          <w:szCs w:val="22"/>
        </w:rPr>
        <w:t xml:space="preserve">to </w:t>
      </w:r>
      <w:r w:rsidR="00227D87">
        <w:rPr>
          <w:szCs w:val="22"/>
        </w:rPr>
        <w:t xml:space="preserve">begin filing </w:t>
      </w:r>
      <w:r w:rsidR="00B21054">
        <w:rPr>
          <w:szCs w:val="22"/>
        </w:rPr>
        <w:t>geo-</w:t>
      </w:r>
      <w:r w:rsidR="00227D87">
        <w:rPr>
          <w:szCs w:val="22"/>
        </w:rPr>
        <w:t>location</w:t>
      </w:r>
      <w:r w:rsidR="00B21054">
        <w:rPr>
          <w:szCs w:val="22"/>
        </w:rPr>
        <w:t xml:space="preserve"> information</w:t>
      </w:r>
      <w:r w:rsidR="00227D87">
        <w:rPr>
          <w:szCs w:val="22"/>
        </w:rPr>
        <w:t xml:space="preserve"> as soon as practical, </w:t>
      </w:r>
      <w:r w:rsidR="0016328F">
        <w:rPr>
          <w:szCs w:val="22"/>
        </w:rPr>
        <w:lastRenderedPageBreak/>
        <w:t xml:space="preserve">after the effective date of the rule, </w:t>
      </w:r>
      <w:r w:rsidR="00B21054">
        <w:rPr>
          <w:szCs w:val="22"/>
        </w:rPr>
        <w:t>an</w:t>
      </w:r>
      <w:r w:rsidR="00B37285">
        <w:rPr>
          <w:szCs w:val="22"/>
        </w:rPr>
        <w:t xml:space="preserve">d we will hold carriers to the </w:t>
      </w:r>
      <w:r w:rsidR="00227D87">
        <w:rPr>
          <w:szCs w:val="22"/>
        </w:rPr>
        <w:t xml:space="preserve">filing deadlines as described below. </w:t>
      </w:r>
      <w:r w:rsidR="002E6CE8" w:rsidRPr="00216455">
        <w:rPr>
          <w:szCs w:val="22"/>
        </w:rPr>
        <w:t xml:space="preserve"> </w:t>
      </w:r>
      <w:r w:rsidR="00645B93">
        <w:rPr>
          <w:szCs w:val="22"/>
        </w:rPr>
        <w:t xml:space="preserve">We also clarify the HUBB filing and deployment obligations </w:t>
      </w:r>
      <w:r w:rsidR="005D0F78">
        <w:rPr>
          <w:szCs w:val="22"/>
        </w:rPr>
        <w:t>of CAF-ACAM recipients.</w:t>
      </w:r>
    </w:p>
    <w:p w14:paraId="6CB1185D" w14:textId="483C0D52" w:rsidR="00434997" w:rsidRPr="00434997" w:rsidRDefault="00B21054" w:rsidP="00DA5295">
      <w:pPr>
        <w:pStyle w:val="ParaNum"/>
      </w:pPr>
      <w:r>
        <w:rPr>
          <w:i/>
        </w:rPr>
        <w:t xml:space="preserve">Extension </w:t>
      </w:r>
      <w:r w:rsidR="00145A1C">
        <w:rPr>
          <w:i/>
        </w:rPr>
        <w:t xml:space="preserve">of </w:t>
      </w:r>
      <w:r w:rsidR="00652FC9">
        <w:rPr>
          <w:i/>
        </w:rPr>
        <w:t>HUBB Filing Deadline</w:t>
      </w:r>
      <w:r w:rsidR="00D950DB">
        <w:rPr>
          <w:i/>
        </w:rPr>
        <w:t>.</w:t>
      </w:r>
      <w:r w:rsidR="00434997">
        <w:t xml:space="preserve">  </w:t>
      </w:r>
      <w:r w:rsidR="001A2C42">
        <w:t xml:space="preserve">We find good cause to </w:t>
      </w:r>
      <w:r w:rsidR="00434997">
        <w:t xml:space="preserve">waive, until </w:t>
      </w:r>
      <w:r w:rsidR="00436145">
        <w:t>July 1, 2017,</w:t>
      </w:r>
      <w:r>
        <w:t xml:space="preserve"> or </w:t>
      </w:r>
      <w:r w:rsidR="00B37285">
        <w:t>two</w:t>
      </w:r>
      <w:r>
        <w:t xml:space="preserve"> weeks after</w:t>
      </w:r>
      <w:r w:rsidR="00436145">
        <w:t xml:space="preserve"> </w:t>
      </w:r>
      <w:r w:rsidR="001A2C42">
        <w:t xml:space="preserve">announcement </w:t>
      </w:r>
      <w:r w:rsidR="009B0B2A">
        <w:t xml:space="preserve">in the Federal Register </w:t>
      </w:r>
      <w:r w:rsidR="001A2C42">
        <w:t xml:space="preserve">of PRA approval (whichever is later), </w:t>
      </w:r>
      <w:r w:rsidR="00436145">
        <w:t xml:space="preserve">the obligation of </w:t>
      </w:r>
      <w:r w:rsidR="003E4EED">
        <w:t xml:space="preserve">CAF Phase II </w:t>
      </w:r>
      <w:r w:rsidR="00544BA0">
        <w:t>recipient</w:t>
      </w:r>
      <w:r w:rsidR="00434997">
        <w:t>s to file in the HUBB portal broadband information regarding locations deployed in 2016.</w:t>
      </w:r>
      <w:r w:rsidR="00434997">
        <w:rPr>
          <w:rStyle w:val="FootnoteReference"/>
        </w:rPr>
        <w:footnoteReference w:id="13"/>
      </w:r>
      <w:r w:rsidR="00434997">
        <w:t xml:space="preserve">  </w:t>
      </w:r>
      <w:r w:rsidR="001A2C42">
        <w:t xml:space="preserve">We also find good cause to </w:t>
      </w:r>
      <w:r w:rsidR="00434997">
        <w:t>waive, until March 1, 2018, the obligation of CAF-BLS recipients to file</w:t>
      </w:r>
      <w:r w:rsidR="00B37285">
        <w:t>, in the HUBB portal,</w:t>
      </w:r>
      <w:r w:rsidR="004C3292">
        <w:t xml:space="preserve"> or two weeks after announcement in the Federal Register of PRA approval (whichever is later), </w:t>
      </w:r>
      <w:r w:rsidR="00434997">
        <w:t xml:space="preserve">broadband information regarding locations deployed from May 25, 2016, to December 31, 2016. </w:t>
      </w:r>
    </w:p>
    <w:p w14:paraId="61009720" w14:textId="603DC1BF" w:rsidR="00CB467A" w:rsidRDefault="00CB467A" w:rsidP="00F70FD2">
      <w:pPr>
        <w:pStyle w:val="ParaNum"/>
      </w:pPr>
      <w:r>
        <w:t xml:space="preserve">We find that special circumstances justify providing the type of relief sought by </w:t>
      </w:r>
      <w:r w:rsidR="00B37285">
        <w:t>the petitioners</w:t>
      </w:r>
      <w:r>
        <w:t xml:space="preserve">.  </w:t>
      </w:r>
      <w:r w:rsidR="001A2C42">
        <w:rPr>
          <w:szCs w:val="22"/>
        </w:rPr>
        <w:t>N</w:t>
      </w:r>
      <w:r w:rsidR="001A2C42" w:rsidRPr="0053584A">
        <w:rPr>
          <w:szCs w:val="22"/>
        </w:rPr>
        <w:t>o parties publ</w:t>
      </w:r>
      <w:r w:rsidR="001A2C42">
        <w:rPr>
          <w:szCs w:val="22"/>
        </w:rPr>
        <w:t>icly opposed the NTCA</w:t>
      </w:r>
      <w:r w:rsidR="00B37285">
        <w:rPr>
          <w:szCs w:val="22"/>
        </w:rPr>
        <w:t xml:space="preserve"> or WTA</w:t>
      </w:r>
      <w:r w:rsidR="001A2C42">
        <w:rPr>
          <w:szCs w:val="22"/>
        </w:rPr>
        <w:t xml:space="preserve"> petition</w:t>
      </w:r>
      <w:r w:rsidR="00B37285">
        <w:rPr>
          <w:szCs w:val="22"/>
        </w:rPr>
        <w:t>s</w:t>
      </w:r>
      <w:r w:rsidR="001A2C42" w:rsidRPr="0053584A">
        <w:rPr>
          <w:szCs w:val="22"/>
        </w:rPr>
        <w:t xml:space="preserve">, and </w:t>
      </w:r>
      <w:r w:rsidR="001A2C42">
        <w:rPr>
          <w:szCs w:val="22"/>
        </w:rPr>
        <w:t xml:space="preserve">we conclude that granting a prospective waiver in this instance is </w:t>
      </w:r>
      <w:r w:rsidR="001A2C42" w:rsidRPr="0053584A">
        <w:rPr>
          <w:szCs w:val="22"/>
        </w:rPr>
        <w:t>consistent with the public interest</w:t>
      </w:r>
      <w:r w:rsidR="001A2C42">
        <w:rPr>
          <w:szCs w:val="22"/>
        </w:rPr>
        <w:t xml:space="preserve">.  </w:t>
      </w:r>
      <w:r w:rsidR="001A2C42">
        <w:t xml:space="preserve">This limited waiver puts CAF Phase II recipients in the same position as they were prior to the </w:t>
      </w:r>
      <w:r w:rsidR="001A2C42">
        <w:rPr>
          <w:i/>
        </w:rPr>
        <w:t>Rate-of-Return Reform Order</w:t>
      </w:r>
      <w:r w:rsidR="001A2C42">
        <w:t>, when the Commission directed USAC to collect such information via a</w:t>
      </w:r>
      <w:r w:rsidR="00B37285">
        <w:t>n online</w:t>
      </w:r>
      <w:r w:rsidR="001A2C42">
        <w:t xml:space="preserve"> portal.</w:t>
      </w:r>
      <w:r w:rsidR="001A2C42">
        <w:rPr>
          <w:rStyle w:val="FootnoteReference"/>
        </w:rPr>
        <w:footnoteReference w:id="14"/>
      </w:r>
      <w:r w:rsidR="001A2C42">
        <w:t xml:space="preserve">  Moreover, because t</w:t>
      </w:r>
      <w:r w:rsidR="00C465A4">
        <w:t xml:space="preserve">he Commission has not yet received </w:t>
      </w:r>
      <w:r w:rsidR="00145A1C">
        <w:t xml:space="preserve">PRA </w:t>
      </w:r>
      <w:r w:rsidR="00C465A4">
        <w:t xml:space="preserve">approval of the information </w:t>
      </w:r>
      <w:r w:rsidR="00206939">
        <w:t>collection requirem</w:t>
      </w:r>
      <w:r w:rsidR="00792A6E">
        <w:t>ent</w:t>
      </w:r>
      <w:r w:rsidR="00B37285">
        <w:t>s</w:t>
      </w:r>
      <w:r w:rsidR="001A2C42">
        <w:t>, absent a waiver</w:t>
      </w:r>
      <w:r w:rsidR="00B37285">
        <w:t>,</w:t>
      </w:r>
      <w:r w:rsidR="001A2C42">
        <w:t xml:space="preserve"> </w:t>
      </w:r>
      <w:r w:rsidR="00544BA0">
        <w:t xml:space="preserve">carriers </w:t>
      </w:r>
      <w:r w:rsidR="001A2C42">
        <w:t xml:space="preserve">would be left </w:t>
      </w:r>
      <w:r w:rsidR="00544BA0">
        <w:t xml:space="preserve">to prepare for an uncertain </w:t>
      </w:r>
      <w:r w:rsidR="004C3292">
        <w:t xml:space="preserve">filing </w:t>
      </w:r>
      <w:r w:rsidR="00544BA0">
        <w:t xml:space="preserve">deadline </w:t>
      </w:r>
      <w:r w:rsidR="00B37285">
        <w:t xml:space="preserve">with </w:t>
      </w:r>
      <w:r w:rsidR="00544BA0">
        <w:t>short notice</w:t>
      </w:r>
      <w:r>
        <w:t xml:space="preserve"> of the required deadline</w:t>
      </w:r>
      <w:r w:rsidR="001A2C42">
        <w:t xml:space="preserve">. </w:t>
      </w:r>
      <w:r>
        <w:t xml:space="preserve"> For the sake of certainty, we find that it would serve the public interest to announce here that the</w:t>
      </w:r>
      <w:r w:rsidR="00B37285">
        <w:t xml:space="preserve"> first HUBB portal filing</w:t>
      </w:r>
      <w:r>
        <w:t xml:space="preserve"> deadline will not be earlier than July 1, 2017.  </w:t>
      </w:r>
      <w:r w:rsidR="001A2C42">
        <w:t xml:space="preserve"> </w:t>
      </w:r>
    </w:p>
    <w:p w14:paraId="6EB2A3D4" w14:textId="3C3E939B" w:rsidR="00544BA0" w:rsidRDefault="001A2C42" w:rsidP="00F70FD2">
      <w:pPr>
        <w:pStyle w:val="ParaNum"/>
      </w:pPr>
      <w:r>
        <w:t xml:space="preserve">Extending </w:t>
      </w:r>
      <w:r w:rsidR="00544BA0">
        <w:t xml:space="preserve">the deadline until </w:t>
      </w:r>
      <w:r>
        <w:t xml:space="preserve">at least </w:t>
      </w:r>
      <w:r w:rsidR="00544BA0">
        <w:t xml:space="preserve">July 1, 2017 for CAF Phase II recipients and </w:t>
      </w:r>
      <w:r>
        <w:t xml:space="preserve">until </w:t>
      </w:r>
      <w:r w:rsidR="00544BA0">
        <w:t xml:space="preserve">March 1, 2018 for CAF-BLS recipients will ensure that the </w:t>
      </w:r>
      <w:r w:rsidR="0094689F">
        <w:t>a</w:t>
      </w:r>
      <w:r w:rsidR="00544BA0">
        <w:t xml:space="preserve">ffected carriers </w:t>
      </w:r>
      <w:r w:rsidR="005C39C3">
        <w:t xml:space="preserve">have sufficient time following OMB approval to </w:t>
      </w:r>
      <w:r w:rsidR="006606ED">
        <w:t>effectively comply with their obligation prior to the revised filing deadlines</w:t>
      </w:r>
      <w:r w:rsidR="00145A1C">
        <w:t>.</w:t>
      </w:r>
      <w:r w:rsidR="00206939">
        <w:t xml:space="preserve"> </w:t>
      </w:r>
      <w:r w:rsidR="00DC01E4">
        <w:t xml:space="preserve"> </w:t>
      </w:r>
      <w:r w:rsidR="00D90E4C">
        <w:t xml:space="preserve">A limited </w:t>
      </w:r>
      <w:r w:rsidR="009C2C14">
        <w:t xml:space="preserve">waiver will </w:t>
      </w:r>
      <w:r w:rsidR="00D90E4C">
        <w:t xml:space="preserve">also </w:t>
      </w:r>
      <w:r w:rsidR="009C2C14">
        <w:t xml:space="preserve">allow </w:t>
      </w:r>
      <w:r w:rsidR="00A41BB0">
        <w:t>carriers</w:t>
      </w:r>
      <w:r w:rsidR="00C465A4">
        <w:t xml:space="preserve">, particularly those rate-of-return carriers </w:t>
      </w:r>
      <w:r w:rsidR="00BD086B">
        <w:t>newly collecting and reporting such information</w:t>
      </w:r>
      <w:r w:rsidR="00C465A4">
        <w:t>, additional time to gather, analyze for errors</w:t>
      </w:r>
      <w:r w:rsidR="00661464">
        <w:t xml:space="preserve">, </w:t>
      </w:r>
      <w:r w:rsidR="006606ED">
        <w:t xml:space="preserve">file and finalize, and certify </w:t>
      </w:r>
      <w:r w:rsidR="00EA3A74">
        <w:t>their broadband information</w:t>
      </w:r>
      <w:r w:rsidR="00584147">
        <w:t xml:space="preserve">.  </w:t>
      </w:r>
      <w:r w:rsidR="00CB467A">
        <w:rPr>
          <w:szCs w:val="22"/>
        </w:rPr>
        <w:t xml:space="preserve">We are also persuaded that smaller carriers should not, on balance, need to devote resources to geocoding and prepare these initial reports during the construction season, when many of the same personnel will be initiating </w:t>
      </w:r>
      <w:r w:rsidR="00B37285">
        <w:rPr>
          <w:szCs w:val="22"/>
        </w:rPr>
        <w:t xml:space="preserve">work to meet </w:t>
      </w:r>
      <w:r w:rsidR="00CB467A">
        <w:rPr>
          <w:szCs w:val="22"/>
        </w:rPr>
        <w:t>their buildout obligations.</w:t>
      </w:r>
      <w:r w:rsidR="00CB467A">
        <w:rPr>
          <w:rStyle w:val="FootnoteReference"/>
          <w:szCs w:val="22"/>
        </w:rPr>
        <w:footnoteReference w:id="15"/>
      </w:r>
      <w:r w:rsidR="00CB467A">
        <w:t xml:space="preserve">  </w:t>
      </w:r>
    </w:p>
    <w:p w14:paraId="5643E9DC" w14:textId="47B16545" w:rsidR="00BD086B" w:rsidRPr="00BD086B" w:rsidRDefault="00544BA0" w:rsidP="00B97505">
      <w:pPr>
        <w:pStyle w:val="ParaNum"/>
        <w:widowControl/>
      </w:pPr>
      <w:r>
        <w:t xml:space="preserve">We recognize that </w:t>
      </w:r>
      <w:r w:rsidR="00BD086B">
        <w:t>NTCA</w:t>
      </w:r>
      <w:r w:rsidR="00B37285">
        <w:t xml:space="preserve"> and WTA</w:t>
      </w:r>
      <w:r w:rsidR="00BD086B">
        <w:t xml:space="preserve"> requested an extension only until December 31, 2017</w:t>
      </w:r>
      <w:r>
        <w:t xml:space="preserve"> for CAF-BLS recipients</w:t>
      </w:r>
      <w:r w:rsidR="00B37285">
        <w:t xml:space="preserve">. </w:t>
      </w:r>
      <w:r w:rsidR="00BD086B">
        <w:t xml:space="preserve"> </w:t>
      </w:r>
      <w:r w:rsidR="00B37285">
        <w:t>W</w:t>
      </w:r>
      <w:r w:rsidR="00BD086B">
        <w:t>e</w:t>
      </w:r>
      <w:r w:rsidR="00B37285">
        <w:t xml:space="preserve"> nevertheless</w:t>
      </w:r>
      <w:r w:rsidR="00BD086B">
        <w:t xml:space="preserve"> find it advantageous to stagger the filing deadlines to July 1, 2017 and March 1, 2018 as described above.  </w:t>
      </w:r>
      <w:r w:rsidR="00CB467A">
        <w:rPr>
          <w:szCs w:val="22"/>
        </w:rPr>
        <w:t>CAF Phase II recipients are larger carriers with more resources</w:t>
      </w:r>
      <w:r w:rsidR="00B37285">
        <w:rPr>
          <w:szCs w:val="22"/>
        </w:rPr>
        <w:t>,</w:t>
      </w:r>
      <w:r w:rsidR="00CB467A">
        <w:rPr>
          <w:szCs w:val="22"/>
        </w:rPr>
        <w:t xml:space="preserve"> </w:t>
      </w:r>
      <w:r w:rsidR="00B37285">
        <w:rPr>
          <w:szCs w:val="22"/>
        </w:rPr>
        <w:t xml:space="preserve">are </w:t>
      </w:r>
      <w:r w:rsidR="00CB467A">
        <w:rPr>
          <w:szCs w:val="22"/>
        </w:rPr>
        <w:t>already are obligated to file FCC Form 481 by July 1, 2017</w:t>
      </w:r>
      <w:r w:rsidR="00B37285">
        <w:rPr>
          <w:szCs w:val="22"/>
        </w:rPr>
        <w:t>, and have their first deployment milestone in 2017</w:t>
      </w:r>
      <w:r w:rsidR="00CB467A">
        <w:rPr>
          <w:szCs w:val="22"/>
        </w:rPr>
        <w:t>.</w:t>
      </w:r>
      <w:r w:rsidR="00CB467A">
        <w:rPr>
          <w:rStyle w:val="FootnoteReference"/>
          <w:szCs w:val="22"/>
        </w:rPr>
        <w:footnoteReference w:id="16"/>
      </w:r>
      <w:r w:rsidR="00CB467A">
        <w:rPr>
          <w:szCs w:val="22"/>
        </w:rPr>
        <w:t xml:space="preserve">  CAF-BLS recipients are smaller</w:t>
      </w:r>
      <w:r w:rsidR="004C3292">
        <w:rPr>
          <w:szCs w:val="22"/>
        </w:rPr>
        <w:t xml:space="preserve"> and</w:t>
      </w:r>
      <w:r w:rsidR="00CB467A">
        <w:rPr>
          <w:szCs w:val="22"/>
        </w:rPr>
        <w:t xml:space="preserve"> have no deployment milestones until 2020.  Staggering the </w:t>
      </w:r>
      <w:r w:rsidR="00B37285">
        <w:rPr>
          <w:szCs w:val="22"/>
        </w:rPr>
        <w:t xml:space="preserve">HUBB portal filing </w:t>
      </w:r>
      <w:r w:rsidR="00CB467A">
        <w:rPr>
          <w:szCs w:val="22"/>
        </w:rPr>
        <w:t xml:space="preserve">deadlines in this manner thus allows us </w:t>
      </w:r>
      <w:r w:rsidR="00FD6439">
        <w:t xml:space="preserve">to </w:t>
      </w:r>
      <w:r w:rsidR="00BD086B">
        <w:t>(1) align, for administrative efficiency, the initial HUBB portal filing deadlines with carriers’ other deadlines;</w:t>
      </w:r>
      <w:r w:rsidR="00BD086B">
        <w:rPr>
          <w:rStyle w:val="FootnoteReference"/>
          <w:szCs w:val="22"/>
        </w:rPr>
        <w:footnoteReference w:id="17"/>
      </w:r>
      <w:r w:rsidR="00BD086B">
        <w:t xml:space="preserve"> (2) limit the burden on USAC to simultaneously process all carriers’ first HUBB portal submission; and (3) limit the burden on </w:t>
      </w:r>
      <w:r w:rsidR="00BD086B">
        <w:lastRenderedPageBreak/>
        <w:t>carriers to collect, submit and, as necessary, correct and refile broadband data during the end-of-year holiday period.</w:t>
      </w:r>
    </w:p>
    <w:p w14:paraId="066F81DB" w14:textId="7B86D83D" w:rsidR="00BD086B" w:rsidRPr="008A0A6B" w:rsidRDefault="00BD086B" w:rsidP="00F70FD2">
      <w:pPr>
        <w:pStyle w:val="ParaNum"/>
      </w:pPr>
      <w:r>
        <w:t xml:space="preserve">We </w:t>
      </w:r>
      <w:r w:rsidR="00544BA0">
        <w:t xml:space="preserve">also </w:t>
      </w:r>
      <w:r>
        <w:t>find that</w:t>
      </w:r>
      <w:r w:rsidR="00FD6439">
        <w:t>,</w:t>
      </w:r>
      <w:r>
        <w:t xml:space="preserve"> on balance</w:t>
      </w:r>
      <w:r w:rsidR="00FD6439">
        <w:t>,</w:t>
      </w:r>
      <w:r>
        <w:t xml:space="preserve"> any public interest harm from this waiver is limited.  A key purpose of the HUBB portal is to track carriers’ progress towards their deployment milestones.</w:t>
      </w:r>
      <w:r>
        <w:rPr>
          <w:rStyle w:val="FootnoteReference"/>
          <w:szCs w:val="22"/>
        </w:rPr>
        <w:footnoteReference w:id="18"/>
      </w:r>
      <w:r>
        <w:t xml:space="preserve">  We find that </w:t>
      </w:r>
      <w:r w:rsidR="0016328F">
        <w:t>little</w:t>
      </w:r>
      <w:r>
        <w:t xml:space="preserve"> </w:t>
      </w:r>
      <w:r w:rsidR="00761204">
        <w:t xml:space="preserve">harm </w:t>
      </w:r>
      <w:r w:rsidR="00654CCE">
        <w:t xml:space="preserve">will result </w:t>
      </w:r>
      <w:r w:rsidR="00761204">
        <w:t xml:space="preserve">from </w:t>
      </w:r>
      <w:r>
        <w:t>delay in the public’s access to this data</w:t>
      </w:r>
      <w:r w:rsidR="0016328F">
        <w:t xml:space="preserve"> by a few months, and </w:t>
      </w:r>
      <w:r w:rsidR="00654CCE">
        <w:t xml:space="preserve">any </w:t>
      </w:r>
      <w:r w:rsidR="0016328F">
        <w:t xml:space="preserve">such harm is outweighed </w:t>
      </w:r>
      <w:r>
        <w:t>by the public interest</w:t>
      </w:r>
      <w:r w:rsidR="00761204">
        <w:t xml:space="preserve"> benefit</w:t>
      </w:r>
      <w:r>
        <w:t xml:space="preserve"> of allowing carriers sufficient time to </w:t>
      </w:r>
      <w:r w:rsidR="00FD6439">
        <w:t xml:space="preserve">collect and </w:t>
      </w:r>
      <w:r>
        <w:t xml:space="preserve">file correct and accurate data.  </w:t>
      </w:r>
      <w:r w:rsidRPr="008A0A6B">
        <w:t xml:space="preserve">This </w:t>
      </w:r>
      <w:r>
        <w:t>O</w:t>
      </w:r>
      <w:r w:rsidRPr="008A0A6B">
        <w:t>rder onl</w:t>
      </w:r>
      <w:r w:rsidR="004D5290">
        <w:t xml:space="preserve">y </w:t>
      </w:r>
      <w:r w:rsidR="00CD6F50">
        <w:t>a</w:t>
      </w:r>
      <w:r w:rsidR="004D5290">
        <w:t>ffects</w:t>
      </w:r>
      <w:r w:rsidRPr="008A0A6B">
        <w:t xml:space="preserve"> the timing, not the substance, of the reporting obligations.  </w:t>
      </w:r>
      <w:r>
        <w:t xml:space="preserve">The Commission will collect all the same information it would absent this </w:t>
      </w:r>
      <w:r w:rsidR="004D5290">
        <w:t xml:space="preserve">extension </w:t>
      </w:r>
      <w:r>
        <w:t xml:space="preserve">and nothing in this </w:t>
      </w:r>
      <w:r w:rsidR="002115C7">
        <w:t>O</w:t>
      </w:r>
      <w:r>
        <w:t>rder alters carriers</w:t>
      </w:r>
      <w:r w:rsidR="00FD6439">
        <w:t>’</w:t>
      </w:r>
      <w:r>
        <w:t xml:space="preserve"> respective interim</w:t>
      </w:r>
      <w:r w:rsidR="00FD6439">
        <w:t xml:space="preserve"> or final</w:t>
      </w:r>
      <w:r>
        <w:t xml:space="preserve"> deployment deadlines.  </w:t>
      </w:r>
      <w:r w:rsidR="00544BA0">
        <w:t xml:space="preserve">The harm of a short delay in the initial filing deadline is particularly limited, because the revised deadline predates the </w:t>
      </w:r>
      <w:r w:rsidR="0094689F">
        <w:t>a</w:t>
      </w:r>
      <w:r w:rsidR="00544BA0">
        <w:t>ffected carriers’ first deployment deadlines.</w:t>
      </w:r>
      <w:r w:rsidR="00B37285">
        <w:t xml:space="preserve">  </w:t>
      </w:r>
      <w:r>
        <w:t>CAF-BLS recipients do not have their first deploy</w:t>
      </w:r>
      <w:r w:rsidR="00633866">
        <w:t>ment obligations until 2020 and</w:t>
      </w:r>
      <w:r w:rsidR="003E4EED">
        <w:t xml:space="preserve">, CAF Phase II </w:t>
      </w:r>
      <w:r w:rsidR="0016328F">
        <w:t>recipient</w:t>
      </w:r>
      <w:r w:rsidR="003E4EED">
        <w:t xml:space="preserve">s’ </w:t>
      </w:r>
      <w:r>
        <w:t>first deployment deadline is at the end of 2017.</w:t>
      </w:r>
      <w:r>
        <w:rPr>
          <w:rStyle w:val="FootnoteReference"/>
          <w:szCs w:val="22"/>
        </w:rPr>
        <w:footnoteReference w:id="19"/>
      </w:r>
      <w:r>
        <w:t xml:space="preserve">  </w:t>
      </w:r>
      <w:r w:rsidR="00544BA0">
        <w:t>S</w:t>
      </w:r>
      <w:r>
        <w:t>tates will still be able to determine</w:t>
      </w:r>
      <w:r w:rsidRPr="008A0A6B">
        <w:t xml:space="preserve"> whether </w:t>
      </w:r>
      <w:r>
        <w:t>carriers</w:t>
      </w:r>
      <w:r w:rsidRPr="008A0A6B">
        <w:t xml:space="preserve"> are on-track to meet their deployment milestones and </w:t>
      </w:r>
      <w:r>
        <w:t xml:space="preserve">that </w:t>
      </w:r>
      <w:r w:rsidRPr="008A0A6B">
        <w:t xml:space="preserve">universal service funding in their </w:t>
      </w:r>
      <w:r w:rsidR="00C97E01">
        <w:t xml:space="preserve">respective </w:t>
      </w:r>
      <w:r w:rsidRPr="008A0A6B">
        <w:t>jurisdiction</w:t>
      </w:r>
      <w:r w:rsidR="00C97E01">
        <w:t>s</w:t>
      </w:r>
      <w:r w:rsidRPr="008A0A6B">
        <w:t xml:space="preserve"> </w:t>
      </w:r>
      <w:r>
        <w:t>is being</w:t>
      </w:r>
      <w:r w:rsidRPr="008A0A6B">
        <w:t xml:space="preserve"> and will be used as intended</w:t>
      </w:r>
      <w:r>
        <w:t>.</w:t>
      </w:r>
      <w:r>
        <w:rPr>
          <w:rStyle w:val="FootnoteReference"/>
          <w:szCs w:val="22"/>
        </w:rPr>
        <w:footnoteReference w:id="20"/>
      </w:r>
      <w:r w:rsidRPr="008A0A6B">
        <w:t xml:space="preserve">    </w:t>
      </w:r>
    </w:p>
    <w:p w14:paraId="7ED5555E" w14:textId="7F2283A2" w:rsidR="00A41BB0" w:rsidRPr="00D17A5D" w:rsidRDefault="00790CD8" w:rsidP="00F70FD2">
      <w:pPr>
        <w:pStyle w:val="ParaNum"/>
      </w:pPr>
      <w:r>
        <w:t>I</w:t>
      </w:r>
      <w:r w:rsidR="00EA3A74">
        <w:t>n light of the additional time provided here, we</w:t>
      </w:r>
      <w:r w:rsidR="00914539">
        <w:t xml:space="preserve"> expect carriers will have filed </w:t>
      </w:r>
      <w:r w:rsidR="00A41BB0">
        <w:t xml:space="preserve">data, received back from the HUBB </w:t>
      </w:r>
      <w:r>
        <w:t xml:space="preserve">portal </w:t>
      </w:r>
      <w:r w:rsidR="00A41BB0">
        <w:t>any feedback and errors, and</w:t>
      </w:r>
      <w:r w:rsidR="00FD6439">
        <w:t>, in response,</w:t>
      </w:r>
      <w:r w:rsidR="00914539">
        <w:t xml:space="preserve"> addressed </w:t>
      </w:r>
      <w:r w:rsidR="00A41BB0">
        <w:t xml:space="preserve">any issues with their data </w:t>
      </w:r>
      <w:r w:rsidR="00661464">
        <w:t>in advance of the revised deadlines</w:t>
      </w:r>
      <w:r w:rsidR="00A41BB0">
        <w:t>.</w:t>
      </w:r>
      <w:r w:rsidR="00206939">
        <w:t xml:space="preserve"> </w:t>
      </w:r>
      <w:r w:rsidR="00661464">
        <w:t xml:space="preserve"> In the </w:t>
      </w:r>
      <w:r w:rsidR="00661464" w:rsidRPr="00145A1C">
        <w:rPr>
          <w:i/>
        </w:rPr>
        <w:t xml:space="preserve">Rate-of-Return </w:t>
      </w:r>
      <w:r w:rsidR="00BD086B">
        <w:rPr>
          <w:i/>
        </w:rPr>
        <w:t xml:space="preserve">Reform </w:t>
      </w:r>
      <w:r w:rsidR="00661464" w:rsidRPr="00145A1C">
        <w:rPr>
          <w:i/>
        </w:rPr>
        <w:t>Order</w:t>
      </w:r>
      <w:r w:rsidR="00661464">
        <w:t>, t</w:t>
      </w:r>
      <w:r w:rsidR="00206939">
        <w:t xml:space="preserve">he Commission recommended </w:t>
      </w:r>
      <w:r w:rsidR="00FD6439">
        <w:t xml:space="preserve">as a best practice </w:t>
      </w:r>
      <w:r w:rsidR="00206939">
        <w:t>that carriers file locations in the HUBB portal within 30 days of deployment</w:t>
      </w:r>
      <w:r w:rsidR="00661464">
        <w:t xml:space="preserve">, </w:t>
      </w:r>
      <w:r w:rsidR="00206939">
        <w:t xml:space="preserve">and we reiterate that </w:t>
      </w:r>
      <w:r w:rsidR="00661464">
        <w:t>guidance here.</w:t>
      </w:r>
      <w:r w:rsidR="00FD6439">
        <w:rPr>
          <w:rStyle w:val="FootnoteReference"/>
        </w:rPr>
        <w:footnoteReference w:id="21"/>
      </w:r>
      <w:r w:rsidR="00661464">
        <w:t xml:space="preserve">  Filing data well in advance of the filing deadline</w:t>
      </w:r>
      <w:r w:rsidR="00206939">
        <w:t xml:space="preserve"> will reduce</w:t>
      </w:r>
      <w:r w:rsidR="00A41BB0">
        <w:t xml:space="preserve"> the number of errors</w:t>
      </w:r>
      <w:r w:rsidR="00206939">
        <w:t xml:space="preserve"> </w:t>
      </w:r>
      <w:r w:rsidR="00FD6439">
        <w:t>carriers need to remediate</w:t>
      </w:r>
      <w:r w:rsidR="00661464">
        <w:t xml:space="preserve"> as the deadline approaches</w:t>
      </w:r>
      <w:r w:rsidR="00206939">
        <w:t xml:space="preserve">. </w:t>
      </w:r>
      <w:r w:rsidR="004934D6">
        <w:t xml:space="preserve"> </w:t>
      </w:r>
      <w:r w:rsidR="00661464">
        <w:t>This practice</w:t>
      </w:r>
      <w:r w:rsidR="004934D6">
        <w:t xml:space="preserve"> </w:t>
      </w:r>
      <w:r w:rsidR="00584147">
        <w:t>may be particularly helpful for</w:t>
      </w:r>
      <w:r w:rsidR="004934D6">
        <w:t xml:space="preserve"> CAF-BLS </w:t>
      </w:r>
      <w:r w:rsidR="00FD6439">
        <w:t xml:space="preserve">recipients </w:t>
      </w:r>
      <w:r w:rsidR="004C57F3">
        <w:t>who, under this</w:t>
      </w:r>
      <w:r w:rsidR="00834D39">
        <w:t xml:space="preserve"> extension</w:t>
      </w:r>
      <w:r w:rsidR="004C57F3">
        <w:t xml:space="preserve">, must </w:t>
      </w:r>
      <w:r w:rsidR="004934D6">
        <w:t xml:space="preserve">file </w:t>
      </w:r>
      <w:r w:rsidR="00584147">
        <w:t xml:space="preserve">broadband data regarding 19 months of deployment </w:t>
      </w:r>
      <w:r w:rsidR="004934D6">
        <w:t xml:space="preserve">(May 25, 2016 through December </w:t>
      </w:r>
      <w:r w:rsidR="00584147">
        <w:t>3</w:t>
      </w:r>
      <w:r w:rsidR="004934D6">
        <w:t xml:space="preserve">1, 2017) </w:t>
      </w:r>
      <w:r w:rsidR="002D5334">
        <w:t>no later than</w:t>
      </w:r>
      <w:r w:rsidR="004934D6">
        <w:t xml:space="preserve"> March 1, 2018.   </w:t>
      </w:r>
    </w:p>
    <w:p w14:paraId="5938FACC" w14:textId="4693D844" w:rsidR="002E6CE8" w:rsidRPr="004C57F3" w:rsidRDefault="008A0A6B" w:rsidP="001353C8">
      <w:pPr>
        <w:pStyle w:val="ParaNum"/>
        <w:widowControl/>
      </w:pPr>
      <w:r>
        <w:t xml:space="preserve">As explained in the </w:t>
      </w:r>
      <w:r w:rsidR="00BD7DB3">
        <w:rPr>
          <w:i/>
        </w:rPr>
        <w:t xml:space="preserve">HUBB </w:t>
      </w:r>
      <w:r w:rsidR="003A396F">
        <w:rPr>
          <w:i/>
        </w:rPr>
        <w:t>Public Notice</w:t>
      </w:r>
      <w:r w:rsidR="00604C20">
        <w:rPr>
          <w:i/>
        </w:rPr>
        <w:t>,</w:t>
      </w:r>
      <w:r w:rsidR="002D5334" w:rsidRPr="004228D1">
        <w:rPr>
          <w:rStyle w:val="FootnoteReference"/>
        </w:rPr>
        <w:footnoteReference w:id="22"/>
      </w:r>
      <w:r w:rsidRPr="004228D1">
        <w:t xml:space="preserve"> </w:t>
      </w:r>
      <w:r>
        <w:t>we</w:t>
      </w:r>
      <w:r w:rsidR="00652FC9">
        <w:t xml:space="preserve"> </w:t>
      </w:r>
      <w:r w:rsidR="002D5334">
        <w:t xml:space="preserve">again </w:t>
      </w:r>
      <w:r w:rsidR="00652FC9">
        <w:t>remind carriers</w:t>
      </w:r>
      <w:r w:rsidR="00652FC9" w:rsidRPr="00E71A7D">
        <w:t xml:space="preserve"> that they have an obligation under section 54.316</w:t>
      </w:r>
      <w:r w:rsidR="00761204">
        <w:t xml:space="preserve"> of the rules</w:t>
      </w:r>
      <w:r w:rsidR="00652FC9" w:rsidRPr="00E71A7D">
        <w:t xml:space="preserve"> to</w:t>
      </w:r>
      <w:r w:rsidR="00C97E01">
        <w:t xml:space="preserve"> file</w:t>
      </w:r>
      <w:r w:rsidR="00652FC9" w:rsidRPr="00E71A7D">
        <w:t>, in good faith and to the best of their knowledge, complete and accurate information in the HUBB</w:t>
      </w:r>
      <w:r w:rsidR="00C97E01">
        <w:t xml:space="preserve"> portal</w:t>
      </w:r>
      <w:r w:rsidR="00652FC9" w:rsidRPr="00E71A7D">
        <w:t>.</w:t>
      </w:r>
      <w:r w:rsidR="00652FC9" w:rsidRPr="00E71A7D">
        <w:rPr>
          <w:rStyle w:val="FootnoteReference"/>
          <w:sz w:val="22"/>
        </w:rPr>
        <w:footnoteReference w:id="23"/>
      </w:r>
      <w:r w:rsidR="00652FC9" w:rsidRPr="00E71A7D">
        <w:t xml:space="preserve">  This </w:t>
      </w:r>
      <w:r w:rsidR="00C97E01">
        <w:t xml:space="preserve">duty </w:t>
      </w:r>
      <w:r w:rsidR="00652FC9" w:rsidRPr="00E71A7D">
        <w:t xml:space="preserve">includes the obligation to </w:t>
      </w:r>
      <w:r w:rsidR="00CD6F50">
        <w:t>report</w:t>
      </w:r>
      <w:r w:rsidR="00CD6F50" w:rsidRPr="00E71A7D">
        <w:t xml:space="preserve"> </w:t>
      </w:r>
      <w:r w:rsidR="00652FC9" w:rsidRPr="00E71A7D">
        <w:rPr>
          <w:i/>
        </w:rPr>
        <w:t>all</w:t>
      </w:r>
      <w:r w:rsidR="00652FC9" w:rsidRPr="00E71A7D">
        <w:t xml:space="preserve"> locations to which a carrier has made service available in accordance with its specific obligations for the reporting period, not just a subset of those locations.</w:t>
      </w:r>
      <w:r w:rsidR="00652FC9">
        <w:rPr>
          <w:rStyle w:val="FootnoteReference"/>
        </w:rPr>
        <w:footnoteReference w:id="24"/>
      </w:r>
      <w:r w:rsidR="00652FC9">
        <w:t xml:space="preserve"> </w:t>
      </w:r>
      <w:r w:rsidR="00652FC9" w:rsidRPr="00E71A7D">
        <w:t xml:space="preserve"> Carriers also have a duty to correct or amend submitted information if they have reason to believe, either through their own investigation or upon notice from USAC, that the data </w:t>
      </w:r>
      <w:r w:rsidR="00C97E01">
        <w:t>are</w:t>
      </w:r>
      <w:r w:rsidR="00C97E01" w:rsidRPr="00E71A7D">
        <w:t xml:space="preserve"> </w:t>
      </w:r>
      <w:r w:rsidR="00652FC9" w:rsidRPr="00E71A7D">
        <w:t>inaccurate, incomplete, or contain errors or anomalies.</w:t>
      </w:r>
      <w:r w:rsidR="00652FC9">
        <w:rPr>
          <w:rStyle w:val="FootnoteReference"/>
        </w:rPr>
        <w:footnoteReference w:id="25"/>
      </w:r>
      <w:r w:rsidR="00652FC9" w:rsidRPr="00E71A7D">
        <w:t xml:space="preserve"> This duty to correct </w:t>
      </w:r>
      <w:r w:rsidR="00652FC9" w:rsidRPr="00E71A7D">
        <w:lastRenderedPageBreak/>
        <w:t xml:space="preserve">or amend applies both before and after the carrier has certified as complete its </w:t>
      </w:r>
      <w:r w:rsidR="00790CD8">
        <w:t xml:space="preserve">filing </w:t>
      </w:r>
      <w:r w:rsidR="00652FC9" w:rsidRPr="00E71A7D">
        <w:t>for each reporting period.</w:t>
      </w:r>
      <w:r w:rsidR="00652FC9">
        <w:rPr>
          <w:rStyle w:val="FootnoteReference"/>
        </w:rPr>
        <w:footnoteReference w:id="26"/>
      </w:r>
    </w:p>
    <w:p w14:paraId="79FA437D" w14:textId="53F43279" w:rsidR="00212D7E" w:rsidRPr="00286D80" w:rsidRDefault="008063F9" w:rsidP="00F70FD2">
      <w:pPr>
        <w:pStyle w:val="ParaNum"/>
        <w:rPr>
          <w:szCs w:val="22"/>
        </w:rPr>
      </w:pPr>
      <w:r w:rsidRPr="00EF74BF">
        <w:rPr>
          <w:i/>
        </w:rPr>
        <w:t>Clarification</w:t>
      </w:r>
      <w:r w:rsidR="00216455" w:rsidRPr="00EF74BF">
        <w:rPr>
          <w:i/>
        </w:rPr>
        <w:t xml:space="preserve"> of CAF-ACAM </w:t>
      </w:r>
      <w:r w:rsidR="00652FC9" w:rsidRPr="00EF74BF">
        <w:rPr>
          <w:i/>
        </w:rPr>
        <w:t xml:space="preserve">Recipients’ “Pre-Existing” Location </w:t>
      </w:r>
      <w:r w:rsidR="007B46C2" w:rsidRPr="00EF74BF">
        <w:rPr>
          <w:i/>
        </w:rPr>
        <w:t xml:space="preserve">HUBB </w:t>
      </w:r>
      <w:r w:rsidR="00216455" w:rsidRPr="00EF74BF">
        <w:rPr>
          <w:i/>
        </w:rPr>
        <w:t xml:space="preserve">Filing </w:t>
      </w:r>
      <w:r w:rsidR="00661464" w:rsidRPr="00EF74BF">
        <w:rPr>
          <w:i/>
        </w:rPr>
        <w:t>Obligation</w:t>
      </w:r>
      <w:r w:rsidRPr="00EF74BF">
        <w:rPr>
          <w:i/>
        </w:rPr>
        <w:t>.</w:t>
      </w:r>
      <w:r>
        <w:t xml:space="preserve">  </w:t>
      </w:r>
      <w:r w:rsidR="0058694E">
        <w:t xml:space="preserve">We </w:t>
      </w:r>
      <w:r w:rsidR="00A41BB0">
        <w:t xml:space="preserve">now </w:t>
      </w:r>
      <w:r w:rsidR="00BD086B">
        <w:t xml:space="preserve">provide further </w:t>
      </w:r>
      <w:r w:rsidR="00A41BB0">
        <w:t>clarif</w:t>
      </w:r>
      <w:r w:rsidR="00BD086B">
        <w:t>ication</w:t>
      </w:r>
      <w:r w:rsidR="00A41BB0">
        <w:t xml:space="preserve"> </w:t>
      </w:r>
      <w:r w:rsidR="00EF74BF">
        <w:t xml:space="preserve">on </w:t>
      </w:r>
      <w:r w:rsidR="00A41BB0">
        <w:t xml:space="preserve">the </w:t>
      </w:r>
      <w:r w:rsidR="001E6B8B">
        <w:t>scope</w:t>
      </w:r>
      <w:r w:rsidR="00A41BB0">
        <w:t xml:space="preserve"> of CAF-ACAM carriers’ obligation to file “pre-existing” b</w:t>
      </w:r>
      <w:r w:rsidR="00D17A5D">
        <w:t xml:space="preserve">roadband </w:t>
      </w:r>
      <w:r w:rsidR="00286D80">
        <w:t>information</w:t>
      </w:r>
      <w:r w:rsidR="00D17A5D">
        <w:t xml:space="preserve"> in the HUBB portal</w:t>
      </w:r>
      <w:r w:rsidR="00A41BB0">
        <w:t>.</w:t>
      </w:r>
      <w:r w:rsidR="00D17A5D">
        <w:t xml:space="preserve"> </w:t>
      </w:r>
      <w:r w:rsidR="00661464">
        <w:t xml:space="preserve"> </w:t>
      </w:r>
      <w:r w:rsidR="004466AC">
        <w:t xml:space="preserve"> </w:t>
      </w:r>
      <w:r w:rsidR="008A0A6B">
        <w:t xml:space="preserve">CAF-ACAM recipients have until March 1, 2019 to submit “pre-existing” </w:t>
      </w:r>
      <w:r w:rsidR="00EF74BF">
        <w:t xml:space="preserve">qualifying </w:t>
      </w:r>
      <w:r w:rsidR="008A0A6B">
        <w:t>locations to the HUBB portal.</w:t>
      </w:r>
      <w:r w:rsidR="008A0A6B">
        <w:rPr>
          <w:rStyle w:val="FootnoteReference"/>
        </w:rPr>
        <w:footnoteReference w:id="27"/>
      </w:r>
      <w:r w:rsidR="008A0A6B">
        <w:t xml:space="preserve">  We</w:t>
      </w:r>
      <w:r w:rsidR="00A41BB0">
        <w:t xml:space="preserve"> </w:t>
      </w:r>
      <w:r w:rsidR="0058694E">
        <w:t>clarify that</w:t>
      </w:r>
      <w:r w:rsidR="0064032B">
        <w:t xml:space="preserve">, pursuant to the </w:t>
      </w:r>
      <w:r w:rsidR="0064032B" w:rsidRPr="00EF74BF">
        <w:rPr>
          <w:i/>
        </w:rPr>
        <w:t xml:space="preserve">Rate-of-Return </w:t>
      </w:r>
      <w:r w:rsidR="002115C7">
        <w:rPr>
          <w:i/>
        </w:rPr>
        <w:t xml:space="preserve">Reform </w:t>
      </w:r>
      <w:r w:rsidR="0064032B" w:rsidRPr="00EF74BF">
        <w:rPr>
          <w:i/>
        </w:rPr>
        <w:t>Order</w:t>
      </w:r>
      <w:r w:rsidR="0064032B">
        <w:t>, CAF-ACAM</w:t>
      </w:r>
      <w:r w:rsidR="00212D7E">
        <w:t xml:space="preserve"> carriers’</w:t>
      </w:r>
      <w:r w:rsidR="0064032B">
        <w:t xml:space="preserve"> “</w:t>
      </w:r>
      <w:r w:rsidR="00212D7E">
        <w:t>pre-</w:t>
      </w:r>
      <w:r w:rsidR="0064032B">
        <w:t xml:space="preserve">existing” locations </w:t>
      </w:r>
      <w:r w:rsidR="00C97E01">
        <w:t xml:space="preserve">are all </w:t>
      </w:r>
      <w:r w:rsidR="0064032B">
        <w:t xml:space="preserve">locations deployed in </w:t>
      </w:r>
      <w:r w:rsidR="0064032B" w:rsidRPr="00EF74BF">
        <w:rPr>
          <w:i/>
        </w:rPr>
        <w:t>2016</w:t>
      </w:r>
      <w:r w:rsidR="0064032B">
        <w:t xml:space="preserve"> and earlier</w:t>
      </w:r>
      <w:r w:rsidR="00212D7E">
        <w:t xml:space="preserve">, </w:t>
      </w:r>
      <w:r w:rsidR="00212D7E" w:rsidRPr="00EF74BF">
        <w:rPr>
          <w:b/>
          <w:u w:val="single"/>
        </w:rPr>
        <w:t>not</w:t>
      </w:r>
      <w:r w:rsidR="00212D7E" w:rsidRPr="00EF74BF">
        <w:t xml:space="preserve"> </w:t>
      </w:r>
      <w:r w:rsidR="006606ED">
        <w:t xml:space="preserve">all </w:t>
      </w:r>
      <w:r w:rsidR="00212D7E">
        <w:t xml:space="preserve">locations deployed in </w:t>
      </w:r>
      <w:r w:rsidR="00212D7E" w:rsidRPr="00EF74BF">
        <w:rPr>
          <w:i/>
        </w:rPr>
        <w:t>2015</w:t>
      </w:r>
      <w:r w:rsidR="00212D7E">
        <w:t xml:space="preserve"> and earlier as indicated in the </w:t>
      </w:r>
      <w:r w:rsidR="002115C7">
        <w:rPr>
          <w:i/>
        </w:rPr>
        <w:t xml:space="preserve">HUBB </w:t>
      </w:r>
      <w:r w:rsidR="00212D7E" w:rsidRPr="00EF74BF">
        <w:rPr>
          <w:i/>
        </w:rPr>
        <w:t>Public Notice</w:t>
      </w:r>
      <w:r w:rsidR="0064032B">
        <w:t>.</w:t>
      </w:r>
      <w:r w:rsidR="00A41BB0">
        <w:rPr>
          <w:rStyle w:val="FootnoteReference"/>
        </w:rPr>
        <w:footnoteReference w:id="28"/>
      </w:r>
      <w:r w:rsidR="0064032B">
        <w:t xml:space="preserve"> </w:t>
      </w:r>
      <w:r w:rsidR="004934D6">
        <w:t xml:space="preserve"> </w:t>
      </w:r>
      <w:r w:rsidR="00C7501A">
        <w:t xml:space="preserve">As is the case </w:t>
      </w:r>
      <w:r w:rsidR="00661464">
        <w:t>for</w:t>
      </w:r>
      <w:r w:rsidR="00C7501A">
        <w:t xml:space="preserve"> the relief </w:t>
      </w:r>
      <w:r w:rsidR="00661464">
        <w:t xml:space="preserve">we provide </w:t>
      </w:r>
      <w:r w:rsidR="00C7501A">
        <w:t>to CAF-BLS</w:t>
      </w:r>
      <w:r w:rsidR="00661464">
        <w:t xml:space="preserve"> recipients</w:t>
      </w:r>
      <w:r w:rsidR="00C7501A">
        <w:t xml:space="preserve"> and </w:t>
      </w:r>
      <w:r w:rsidR="003E4EED">
        <w:t>CAF Phase II carriers</w:t>
      </w:r>
      <w:r w:rsidR="00216455">
        <w:t>, this clarification only affects the timing</w:t>
      </w:r>
      <w:r w:rsidR="00AD4F42">
        <w:t>, not the substance</w:t>
      </w:r>
      <w:r w:rsidR="00790CD8">
        <w:t>,</w:t>
      </w:r>
      <w:r w:rsidR="00AD4F42">
        <w:t xml:space="preserve"> of</w:t>
      </w:r>
      <w:r w:rsidR="00216455">
        <w:t xml:space="preserve"> CAF-ACAM</w:t>
      </w:r>
      <w:r w:rsidR="00C7501A">
        <w:t xml:space="preserve"> </w:t>
      </w:r>
      <w:r w:rsidR="00AD4F42">
        <w:t>recipients’</w:t>
      </w:r>
      <w:r w:rsidR="00216455">
        <w:t xml:space="preserve"> reporting </w:t>
      </w:r>
      <w:r w:rsidR="00661464">
        <w:t>obligations</w:t>
      </w:r>
      <w:r w:rsidR="00AD4F42">
        <w:t xml:space="preserve">.  </w:t>
      </w:r>
    </w:p>
    <w:p w14:paraId="10FC1B62" w14:textId="77777777" w:rsidR="0062540E" w:rsidRPr="0053584A" w:rsidRDefault="0062540E">
      <w:pPr>
        <w:pStyle w:val="Heading1"/>
        <w:rPr>
          <w:szCs w:val="22"/>
        </w:rPr>
      </w:pPr>
      <w:r w:rsidRPr="0053584A">
        <w:rPr>
          <w:szCs w:val="22"/>
        </w:rPr>
        <w:t>Ordering Clauses</w:t>
      </w:r>
    </w:p>
    <w:p w14:paraId="32B33394" w14:textId="3C727F08" w:rsidR="0062540E" w:rsidRPr="004B624D" w:rsidRDefault="0062540E" w:rsidP="00DA5295">
      <w:pPr>
        <w:pStyle w:val="ParaNum"/>
        <w:rPr>
          <w:rFonts w:eastAsia="Calibri"/>
          <w:snapToGrid/>
          <w:kern w:val="0"/>
          <w:szCs w:val="22"/>
        </w:rPr>
      </w:pPr>
      <w:r w:rsidRPr="0053584A">
        <w:rPr>
          <w:szCs w:val="22"/>
        </w:rPr>
        <w:t xml:space="preserve">Accordingly, IT IS ORDERED that, pursuant to sections 1, 4(i) and (j), 201-202, 251, and 254 of the Communications Act of 1934, as amended, 47 U.S.C. §§ 151, 154(i) and (j), 201-202, 251, and 254, and sections 0.91, 0.201(d), 0.291 and 1.3 of the Commission’s rules, 47 </w:t>
      </w:r>
      <w:r>
        <w:rPr>
          <w:szCs w:val="22"/>
        </w:rPr>
        <w:t>CFR</w:t>
      </w:r>
      <w:r w:rsidRPr="0053584A">
        <w:rPr>
          <w:szCs w:val="22"/>
        </w:rPr>
        <w:t xml:space="preserve"> §§ 0.91, 0.201(d), 0.291 and 1.3, </w:t>
      </w:r>
      <w:r w:rsidRPr="00254CB9">
        <w:t>the</w:t>
      </w:r>
      <w:r w:rsidRPr="0053584A">
        <w:rPr>
          <w:szCs w:val="22"/>
        </w:rPr>
        <w:t xml:space="preserve"> Petition for Limited Waiver </w:t>
      </w:r>
      <w:r>
        <w:rPr>
          <w:szCs w:val="22"/>
        </w:rPr>
        <w:t xml:space="preserve">filed by </w:t>
      </w:r>
      <w:r w:rsidR="004B624D">
        <w:rPr>
          <w:szCs w:val="22"/>
        </w:rPr>
        <w:t>NTCA</w:t>
      </w:r>
      <w:r w:rsidR="003A67CA">
        <w:rPr>
          <w:szCs w:val="22"/>
        </w:rPr>
        <w:t xml:space="preserve"> and the Petition for Temporary Waiver or Extension of March 1, 2017 High Cost Universal Service Broadband Portal Filings </w:t>
      </w:r>
      <w:r w:rsidR="00404BB6">
        <w:rPr>
          <w:szCs w:val="22"/>
        </w:rPr>
        <w:t xml:space="preserve">filed </w:t>
      </w:r>
      <w:r w:rsidR="003A67CA">
        <w:rPr>
          <w:szCs w:val="22"/>
        </w:rPr>
        <w:t xml:space="preserve">by WTA </w:t>
      </w:r>
      <w:r w:rsidR="008A1263">
        <w:rPr>
          <w:szCs w:val="22"/>
        </w:rPr>
        <w:t>ARE</w:t>
      </w:r>
      <w:r w:rsidR="003A67CA">
        <w:rPr>
          <w:szCs w:val="22"/>
        </w:rPr>
        <w:t xml:space="preserve"> GRANTED</w:t>
      </w:r>
      <w:r w:rsidRPr="00DC2E00">
        <w:rPr>
          <w:szCs w:val="22"/>
        </w:rPr>
        <w:t xml:space="preserve"> to the extent specified herein</w:t>
      </w:r>
      <w:r w:rsidR="00BB3DB9">
        <w:rPr>
          <w:szCs w:val="22"/>
        </w:rPr>
        <w:t xml:space="preserve">. </w:t>
      </w:r>
    </w:p>
    <w:p w14:paraId="1FCE785A" w14:textId="77777777" w:rsidR="0062540E" w:rsidRPr="0053584A" w:rsidRDefault="0062540E" w:rsidP="00DA5295">
      <w:pPr>
        <w:pStyle w:val="ParaNum"/>
        <w:rPr>
          <w:szCs w:val="22"/>
        </w:rPr>
      </w:pPr>
      <w:r w:rsidRPr="0053584A">
        <w:rPr>
          <w:szCs w:val="22"/>
        </w:rPr>
        <w:t>IT IS FURTHER ORDERED that pursuant to section 1.10</w:t>
      </w:r>
      <w:r>
        <w:rPr>
          <w:szCs w:val="22"/>
        </w:rPr>
        <w:t>2(b)(1)</w:t>
      </w:r>
      <w:r w:rsidRPr="0053584A">
        <w:rPr>
          <w:szCs w:val="22"/>
        </w:rPr>
        <w:t xml:space="preserve"> of the Commission’s rules, 47 </w:t>
      </w:r>
      <w:r>
        <w:rPr>
          <w:szCs w:val="22"/>
        </w:rPr>
        <w:t>CFR</w:t>
      </w:r>
      <w:r w:rsidRPr="0053584A">
        <w:rPr>
          <w:szCs w:val="22"/>
        </w:rPr>
        <w:t xml:space="preserve"> § 1.10</w:t>
      </w:r>
      <w:r>
        <w:rPr>
          <w:szCs w:val="22"/>
        </w:rPr>
        <w:t>2(b)(1)</w:t>
      </w:r>
      <w:r w:rsidRPr="0053584A">
        <w:rPr>
          <w:szCs w:val="22"/>
        </w:rPr>
        <w:t xml:space="preserve">, this Order SHALL BE EFFECTIVE </w:t>
      </w:r>
      <w:r w:rsidRPr="00254CB9">
        <w:t>upon</w:t>
      </w:r>
      <w:r w:rsidRPr="0053584A">
        <w:rPr>
          <w:szCs w:val="22"/>
        </w:rPr>
        <w:t xml:space="preserve"> release.</w:t>
      </w:r>
    </w:p>
    <w:p w14:paraId="4EEBE864" w14:textId="77777777" w:rsidR="00B22A0F" w:rsidRDefault="0062540E" w:rsidP="0062540E">
      <w:pPr>
        <w:rPr>
          <w:szCs w:val="22"/>
        </w:rPr>
      </w:pPr>
      <w:r w:rsidRPr="0053584A">
        <w:rPr>
          <w:szCs w:val="22"/>
        </w:rPr>
        <w:tab/>
      </w:r>
      <w:r w:rsidRPr="0053584A">
        <w:rPr>
          <w:szCs w:val="22"/>
        </w:rPr>
        <w:tab/>
      </w:r>
      <w:r w:rsidRPr="0053584A">
        <w:rPr>
          <w:szCs w:val="22"/>
        </w:rPr>
        <w:tab/>
      </w:r>
      <w:r w:rsidRPr="0053584A">
        <w:rPr>
          <w:szCs w:val="22"/>
        </w:rPr>
        <w:tab/>
      </w:r>
      <w:r w:rsidRPr="0053584A">
        <w:rPr>
          <w:szCs w:val="22"/>
        </w:rPr>
        <w:tab/>
      </w:r>
      <w:r w:rsidRPr="0053584A">
        <w:rPr>
          <w:szCs w:val="22"/>
        </w:rPr>
        <w:tab/>
      </w:r>
    </w:p>
    <w:p w14:paraId="4B3F1A0C" w14:textId="77777777" w:rsidR="0062540E" w:rsidRPr="0053584A" w:rsidRDefault="0062540E" w:rsidP="00F70FD2">
      <w:pPr>
        <w:ind w:left="4320"/>
        <w:rPr>
          <w:szCs w:val="22"/>
        </w:rPr>
      </w:pPr>
      <w:r w:rsidRPr="0053584A">
        <w:rPr>
          <w:szCs w:val="22"/>
        </w:rPr>
        <w:t>FEDERAL COMMUNICATIONS COMMISSION</w:t>
      </w:r>
    </w:p>
    <w:p w14:paraId="4ED71068" w14:textId="77777777" w:rsidR="0062540E" w:rsidRPr="0053584A" w:rsidRDefault="0062540E" w:rsidP="0062540E">
      <w:pPr>
        <w:rPr>
          <w:szCs w:val="22"/>
        </w:rPr>
      </w:pPr>
    </w:p>
    <w:p w14:paraId="2B9D3BA7" w14:textId="77777777" w:rsidR="0062540E" w:rsidRPr="0053584A" w:rsidRDefault="0062540E" w:rsidP="0062540E">
      <w:pPr>
        <w:rPr>
          <w:szCs w:val="22"/>
        </w:rPr>
      </w:pPr>
    </w:p>
    <w:p w14:paraId="4A062F4A" w14:textId="77777777" w:rsidR="0062540E" w:rsidRPr="0053584A" w:rsidRDefault="0062540E" w:rsidP="0062540E">
      <w:pPr>
        <w:rPr>
          <w:szCs w:val="22"/>
        </w:rPr>
      </w:pPr>
    </w:p>
    <w:p w14:paraId="6A50F782" w14:textId="77777777" w:rsidR="0062540E" w:rsidRPr="0053584A" w:rsidRDefault="0062540E" w:rsidP="0062540E">
      <w:pPr>
        <w:rPr>
          <w:szCs w:val="22"/>
        </w:rPr>
      </w:pPr>
    </w:p>
    <w:p w14:paraId="3F3416F6" w14:textId="77777777" w:rsidR="0062540E" w:rsidRPr="0053584A" w:rsidRDefault="00B150AC" w:rsidP="0062540E">
      <w:pPr>
        <w:ind w:left="3600" w:firstLine="720"/>
        <w:rPr>
          <w:szCs w:val="22"/>
        </w:rPr>
      </w:pPr>
      <w:r>
        <w:rPr>
          <w:szCs w:val="22"/>
        </w:rPr>
        <w:t xml:space="preserve">Kris </w:t>
      </w:r>
      <w:r w:rsidR="002115C7">
        <w:rPr>
          <w:szCs w:val="22"/>
        </w:rPr>
        <w:t xml:space="preserve">Anne </w:t>
      </w:r>
      <w:r>
        <w:rPr>
          <w:szCs w:val="22"/>
        </w:rPr>
        <w:t>M</w:t>
      </w:r>
      <w:r w:rsidR="00D950DB">
        <w:rPr>
          <w:szCs w:val="22"/>
        </w:rPr>
        <w:t>onteith</w:t>
      </w:r>
    </w:p>
    <w:p w14:paraId="4C61A1F3" w14:textId="77777777" w:rsidR="0062540E" w:rsidRPr="0053584A" w:rsidRDefault="002115C7" w:rsidP="0062540E">
      <w:pPr>
        <w:ind w:left="3600" w:firstLine="720"/>
        <w:rPr>
          <w:szCs w:val="22"/>
        </w:rPr>
      </w:pPr>
      <w:r>
        <w:rPr>
          <w:szCs w:val="22"/>
        </w:rPr>
        <w:t xml:space="preserve">Acting </w:t>
      </w:r>
      <w:r w:rsidR="0062540E" w:rsidRPr="0053584A">
        <w:rPr>
          <w:szCs w:val="22"/>
        </w:rPr>
        <w:t>Chief</w:t>
      </w:r>
    </w:p>
    <w:p w14:paraId="588EC529" w14:textId="77777777" w:rsidR="002C00E8" w:rsidRPr="00EA3A74" w:rsidRDefault="0062540E" w:rsidP="00EA3A74">
      <w:pPr>
        <w:ind w:left="3600" w:firstLine="720"/>
        <w:rPr>
          <w:szCs w:val="22"/>
        </w:rPr>
      </w:pPr>
      <w:r w:rsidRPr="0053584A">
        <w:rPr>
          <w:szCs w:val="22"/>
        </w:rPr>
        <w:t>Wireline Competition Bureau</w:t>
      </w:r>
    </w:p>
    <w:sectPr w:rsidR="002C00E8" w:rsidRPr="00EA3A7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7190" w14:textId="77777777" w:rsidR="002E2A94" w:rsidRDefault="002E2A94">
      <w:pPr>
        <w:spacing w:line="20" w:lineRule="exact"/>
      </w:pPr>
    </w:p>
  </w:endnote>
  <w:endnote w:type="continuationSeparator" w:id="0">
    <w:p w14:paraId="2D3CD20F" w14:textId="77777777" w:rsidR="002E2A94" w:rsidRDefault="002E2A94">
      <w:r>
        <w:t xml:space="preserve"> </w:t>
      </w:r>
    </w:p>
  </w:endnote>
  <w:endnote w:type="continuationNotice" w:id="1">
    <w:p w14:paraId="46B603D3" w14:textId="77777777" w:rsidR="002E2A94" w:rsidRDefault="002E2A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9FF4" w14:textId="77777777" w:rsidR="002C567B" w:rsidRDefault="002C567B" w:rsidP="0055614C">
    <w:pPr>
      <w:pStyle w:val="Footer"/>
      <w:framePr w:wrap="around" w:vAnchor="text" w:hAnchor="margin" w:xAlign="center" w:y="1"/>
    </w:pPr>
    <w:r>
      <w:fldChar w:fldCharType="begin"/>
    </w:r>
    <w:r>
      <w:instrText xml:space="preserve">PAGE  </w:instrText>
    </w:r>
    <w:r>
      <w:fldChar w:fldCharType="end"/>
    </w:r>
  </w:p>
  <w:p w14:paraId="46295245" w14:textId="77777777" w:rsidR="002C567B" w:rsidRDefault="002C5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29C4" w14:textId="77777777" w:rsidR="002C567B" w:rsidRDefault="002C567B" w:rsidP="0055614C">
    <w:pPr>
      <w:pStyle w:val="Footer"/>
      <w:framePr w:wrap="around" w:vAnchor="text" w:hAnchor="margin" w:xAlign="center" w:y="1"/>
    </w:pPr>
    <w:r>
      <w:fldChar w:fldCharType="begin"/>
    </w:r>
    <w:r>
      <w:instrText xml:space="preserve">PAGE  </w:instrText>
    </w:r>
    <w:r>
      <w:fldChar w:fldCharType="separate"/>
    </w:r>
    <w:r w:rsidR="0049112F">
      <w:rPr>
        <w:noProof/>
      </w:rPr>
      <w:t>5</w:t>
    </w:r>
    <w:r>
      <w:fldChar w:fldCharType="end"/>
    </w:r>
  </w:p>
  <w:p w14:paraId="74420A8F" w14:textId="77777777" w:rsidR="002C567B" w:rsidRDefault="002C567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5A86" w14:textId="77777777" w:rsidR="002C567B" w:rsidRDefault="002C567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8E42" w14:textId="77777777" w:rsidR="002E2A94" w:rsidRDefault="002E2A94">
      <w:r>
        <w:separator/>
      </w:r>
    </w:p>
  </w:footnote>
  <w:footnote w:type="continuationSeparator" w:id="0">
    <w:p w14:paraId="7CCFA6D8" w14:textId="77777777" w:rsidR="002E2A94" w:rsidRDefault="002E2A94" w:rsidP="00C721AC">
      <w:pPr>
        <w:spacing w:before="120"/>
        <w:rPr>
          <w:sz w:val="20"/>
        </w:rPr>
      </w:pPr>
      <w:r>
        <w:rPr>
          <w:sz w:val="20"/>
        </w:rPr>
        <w:t xml:space="preserve">(Continued from previous page)  </w:t>
      </w:r>
      <w:r>
        <w:rPr>
          <w:sz w:val="20"/>
        </w:rPr>
        <w:separator/>
      </w:r>
    </w:p>
  </w:footnote>
  <w:footnote w:type="continuationNotice" w:id="1">
    <w:p w14:paraId="5C723CB6" w14:textId="77777777" w:rsidR="002E2A94" w:rsidRDefault="002E2A94" w:rsidP="00C721AC">
      <w:pPr>
        <w:jc w:val="right"/>
        <w:rPr>
          <w:sz w:val="20"/>
        </w:rPr>
      </w:pPr>
      <w:r>
        <w:rPr>
          <w:sz w:val="20"/>
        </w:rPr>
        <w:t>(continued….)</w:t>
      </w:r>
    </w:p>
  </w:footnote>
  <w:footnote w:id="2">
    <w:p w14:paraId="4FB94E67" w14:textId="42E878B4" w:rsidR="009967C9" w:rsidRPr="002115C7" w:rsidRDefault="009967C9" w:rsidP="000977E8">
      <w:pPr>
        <w:pStyle w:val="FootnoteText"/>
      </w:pPr>
      <w:r w:rsidRPr="002115C7">
        <w:rPr>
          <w:rStyle w:val="FootnoteReference"/>
        </w:rPr>
        <w:footnoteRef/>
      </w:r>
      <w:r w:rsidRPr="002115C7">
        <w:t xml:space="preserve"> </w:t>
      </w:r>
      <w:r w:rsidRPr="002115C7">
        <w:rPr>
          <w:i/>
        </w:rPr>
        <w:t>See</w:t>
      </w:r>
      <w:r w:rsidRPr="002115C7">
        <w:t xml:space="preserve"> NTCA, Petition for Temporary Limited Waiver/Extension of Time, WC Docket No. 10-90 (</w:t>
      </w:r>
      <w:r w:rsidR="00CD6F50">
        <w:t xml:space="preserve">filed </w:t>
      </w:r>
      <w:r w:rsidRPr="002115C7">
        <w:t>Feb. 2, 2017) (</w:t>
      </w:r>
      <w:r w:rsidR="003A67CA">
        <w:t xml:space="preserve">NTCA </w:t>
      </w:r>
      <w:r w:rsidRPr="002115C7">
        <w:t>Petition)</w:t>
      </w:r>
      <w:r w:rsidR="00CD6F50">
        <w:t xml:space="preserve">; </w:t>
      </w:r>
      <w:r w:rsidR="004C3292">
        <w:t xml:space="preserve">WTA, </w:t>
      </w:r>
      <w:r w:rsidR="00CD6F50">
        <w:t>Petition for Temporary Waiver or Extension of March 1, 2017 High Cost Universal Service Broadband Portal Filings, WC Docket No. 10-90 (filed Feb. 17, 2017)</w:t>
      </w:r>
      <w:r w:rsidR="004C3292">
        <w:t xml:space="preserve"> (WTA Petition). </w:t>
      </w:r>
    </w:p>
  </w:footnote>
  <w:footnote w:id="3">
    <w:p w14:paraId="1301979E" w14:textId="2AC7E58F" w:rsidR="009967C9" w:rsidRPr="002115C7" w:rsidRDefault="009967C9" w:rsidP="000977E8">
      <w:pPr>
        <w:pStyle w:val="FootnoteText"/>
      </w:pPr>
      <w:r w:rsidRPr="002115C7">
        <w:rPr>
          <w:rStyle w:val="FootnoteReference"/>
        </w:rPr>
        <w:footnoteRef/>
      </w:r>
      <w:r w:rsidRPr="002115C7">
        <w:t xml:space="preserve"> For purposes of this obligation, the Commission determined that it will treat ACS as if it elected Phase II model-based support.  </w:t>
      </w:r>
      <w:r w:rsidRPr="002115C7">
        <w:rPr>
          <w:i/>
        </w:rPr>
        <w:t>Connect America Fund</w:t>
      </w:r>
      <w:r w:rsidRPr="002115C7">
        <w:t>, WC Docket No. 10-90, Order, 31 FCC Rcd 12086, 12102</w:t>
      </w:r>
      <w:r w:rsidR="00082E21">
        <w:t>,</w:t>
      </w:r>
      <w:r w:rsidRPr="002115C7">
        <w:t xml:space="preserve"> n.130 (2016) (</w:t>
      </w:r>
      <w:r w:rsidRPr="002115C7">
        <w:rPr>
          <w:i/>
        </w:rPr>
        <w:t>ACS Phase II Obligations Order</w:t>
      </w:r>
      <w:r w:rsidRPr="002115C7">
        <w:t>).</w:t>
      </w:r>
    </w:p>
  </w:footnote>
  <w:footnote w:id="4">
    <w:p w14:paraId="3F2245D7" w14:textId="7118902E" w:rsidR="002C567B" w:rsidRPr="002115C7" w:rsidRDefault="002C567B" w:rsidP="000977E8">
      <w:pPr>
        <w:pStyle w:val="FootnoteText"/>
      </w:pPr>
      <w:r w:rsidRPr="002115C7">
        <w:rPr>
          <w:rStyle w:val="FootnoteReference"/>
        </w:rPr>
        <w:footnoteRef/>
      </w:r>
      <w:r w:rsidRPr="002115C7">
        <w:t xml:space="preserve"> </w:t>
      </w:r>
      <w:r w:rsidRPr="002115C7">
        <w:rPr>
          <w:i/>
        </w:rPr>
        <w:t>Connect America Fund et al</w:t>
      </w:r>
      <w:r w:rsidRPr="002115C7">
        <w:t xml:space="preserve">., Report and Order </w:t>
      </w:r>
      <w:r w:rsidRPr="002115C7">
        <w:rPr>
          <w:i/>
        </w:rPr>
        <w:t>et al.,</w:t>
      </w:r>
      <w:r w:rsidRPr="002115C7">
        <w:t xml:space="preserve"> 31 FCC Rcd</w:t>
      </w:r>
      <w:r w:rsidR="00082E21">
        <w:t xml:space="preserve"> at</w:t>
      </w:r>
      <w:r w:rsidRPr="002115C7">
        <w:t xml:space="preserve"> 3166, para. 214 (2016) (</w:t>
      </w:r>
      <w:r w:rsidRPr="002115C7">
        <w:rPr>
          <w:i/>
        </w:rPr>
        <w:t>Rate</w:t>
      </w:r>
      <w:r w:rsidR="00C81392" w:rsidRPr="002115C7">
        <w:rPr>
          <w:i/>
        </w:rPr>
        <w:t>-</w:t>
      </w:r>
      <w:r w:rsidRPr="002115C7">
        <w:rPr>
          <w:i/>
        </w:rPr>
        <w:t>of</w:t>
      </w:r>
      <w:r w:rsidR="00C81392" w:rsidRPr="002115C7">
        <w:rPr>
          <w:i/>
        </w:rPr>
        <w:t>-</w:t>
      </w:r>
      <w:r w:rsidRPr="002115C7">
        <w:rPr>
          <w:i/>
        </w:rPr>
        <w:t>Return Reform Order</w:t>
      </w:r>
      <w:r w:rsidRPr="002115C7">
        <w:t xml:space="preserve">) (directing the Bureau to work with USAC to develop an online portal).  </w:t>
      </w:r>
    </w:p>
  </w:footnote>
  <w:footnote w:id="5">
    <w:p w14:paraId="20DE20D9" w14:textId="418D8157" w:rsidR="002C567B" w:rsidRPr="002115C7" w:rsidRDefault="002C567B" w:rsidP="000977E8">
      <w:pPr>
        <w:pStyle w:val="FootnoteText"/>
      </w:pPr>
      <w:r w:rsidRPr="002115C7">
        <w:rPr>
          <w:rStyle w:val="FootnoteReference"/>
        </w:rPr>
        <w:footnoteRef/>
      </w:r>
      <w:r w:rsidR="002D5334" w:rsidRPr="002115C7">
        <w:t xml:space="preserve"> </w:t>
      </w:r>
      <w:r w:rsidR="00221C6D" w:rsidRPr="002115C7">
        <w:t xml:space="preserve">For example, the collected data will be displayed on a public-facing map. </w:t>
      </w:r>
      <w:r w:rsidR="00761204" w:rsidRPr="002115C7">
        <w:t xml:space="preserve"> </w:t>
      </w:r>
      <w:r w:rsidR="00633866" w:rsidRPr="002115C7">
        <w:rPr>
          <w:i/>
        </w:rPr>
        <w:t xml:space="preserve">See </w:t>
      </w:r>
      <w:r w:rsidR="00082E21">
        <w:rPr>
          <w:i/>
        </w:rPr>
        <w:t>id.</w:t>
      </w:r>
      <w:r w:rsidR="00633866" w:rsidRPr="002115C7">
        <w:t>, at 3168, para. 221.</w:t>
      </w:r>
    </w:p>
  </w:footnote>
  <w:footnote w:id="6">
    <w:p w14:paraId="049EF336" w14:textId="77777777" w:rsidR="002C567B" w:rsidRPr="002115C7" w:rsidRDefault="002C567B" w:rsidP="000977E8">
      <w:pPr>
        <w:pStyle w:val="FootnoteText"/>
      </w:pPr>
      <w:r w:rsidRPr="002115C7">
        <w:rPr>
          <w:rStyle w:val="FootnoteReference"/>
        </w:rPr>
        <w:footnoteRef/>
      </w:r>
      <w:r w:rsidRPr="002115C7">
        <w:t xml:space="preserve"> </w:t>
      </w:r>
      <w:r w:rsidRPr="002115C7">
        <w:rPr>
          <w:i/>
        </w:rPr>
        <w:t>See Wireline Competition Bureau Provides Guidance To Carriers Receiving Connect America Fund Support Regarding Their Broadband Location Reporting Obligations</w:t>
      </w:r>
      <w:r w:rsidRPr="002115C7">
        <w:t xml:space="preserve">, Public Notice, </w:t>
      </w:r>
      <w:r w:rsidR="00436145" w:rsidRPr="002115C7">
        <w:t>31 FCC Rcd 12900</w:t>
      </w:r>
      <w:r w:rsidRPr="002115C7">
        <w:t xml:space="preserve"> (WCB 2016) </w:t>
      </w:r>
      <w:r w:rsidR="00E72818" w:rsidRPr="002115C7">
        <w:t>(</w:t>
      </w:r>
      <w:r w:rsidR="00E72818" w:rsidRPr="002115C7">
        <w:rPr>
          <w:i/>
        </w:rPr>
        <w:t xml:space="preserve">HUBB </w:t>
      </w:r>
      <w:r w:rsidR="003A396F" w:rsidRPr="002115C7">
        <w:rPr>
          <w:i/>
        </w:rPr>
        <w:t>Public Notice</w:t>
      </w:r>
      <w:r w:rsidR="00E72818" w:rsidRPr="002115C7">
        <w:t>)</w:t>
      </w:r>
      <w:r w:rsidR="00B34E9D" w:rsidRPr="002115C7">
        <w:t>.</w:t>
      </w:r>
    </w:p>
  </w:footnote>
  <w:footnote w:id="7">
    <w:p w14:paraId="60E511F1" w14:textId="77777777" w:rsidR="002C567B" w:rsidRPr="002115C7" w:rsidRDefault="002C567B" w:rsidP="000977E8">
      <w:pPr>
        <w:pStyle w:val="FootnoteText"/>
      </w:pPr>
      <w:r w:rsidRPr="002115C7">
        <w:rPr>
          <w:rStyle w:val="FootnoteReference"/>
        </w:rPr>
        <w:footnoteRef/>
      </w:r>
      <w:r w:rsidRPr="002115C7">
        <w:t xml:space="preserve"> </w:t>
      </w:r>
      <w:r w:rsidRPr="002115C7">
        <w:rPr>
          <w:i/>
        </w:rPr>
        <w:t>See, e.g</w:t>
      </w:r>
      <w:r w:rsidRPr="002115C7">
        <w:t xml:space="preserve">., Universal Service </w:t>
      </w:r>
      <w:r w:rsidR="002D5334" w:rsidRPr="002115C7">
        <w:t>Administrative</w:t>
      </w:r>
      <w:r w:rsidRPr="002115C7">
        <w:t xml:space="preserve"> Company, Filing Geolocated Broadband Deployment data, https://usac.org/hc/tools/hubb.aspx</w:t>
      </w:r>
      <w:r w:rsidR="00B34E9D" w:rsidRPr="002115C7">
        <w:t>.</w:t>
      </w:r>
    </w:p>
  </w:footnote>
  <w:footnote w:id="8">
    <w:p w14:paraId="33F8B5AA" w14:textId="383C5318" w:rsidR="008A1263" w:rsidRPr="000977E8" w:rsidRDefault="002C567B" w:rsidP="000977E8">
      <w:pPr>
        <w:widowControl/>
        <w:autoSpaceDE w:val="0"/>
        <w:autoSpaceDN w:val="0"/>
        <w:adjustRightInd w:val="0"/>
        <w:spacing w:after="120"/>
        <w:rPr>
          <w:sz w:val="20"/>
        </w:rPr>
      </w:pPr>
      <w:r w:rsidRPr="008A1263">
        <w:rPr>
          <w:rStyle w:val="FootnoteReference"/>
        </w:rPr>
        <w:footnoteRef/>
      </w:r>
      <w:r w:rsidR="00C059FB" w:rsidRPr="00742EFE">
        <w:rPr>
          <w:sz w:val="20"/>
        </w:rPr>
        <w:t xml:space="preserve"> </w:t>
      </w:r>
      <w:r w:rsidR="006F4579" w:rsidRPr="00742EFE">
        <w:rPr>
          <w:i/>
          <w:sz w:val="20"/>
        </w:rPr>
        <w:t>See</w:t>
      </w:r>
      <w:r w:rsidR="006F4579" w:rsidRPr="00742EFE">
        <w:rPr>
          <w:sz w:val="20"/>
        </w:rPr>
        <w:t xml:space="preserve"> </w:t>
      </w:r>
      <w:r w:rsidR="006F4579" w:rsidRPr="00742EFE">
        <w:rPr>
          <w:i/>
          <w:sz w:val="20"/>
        </w:rPr>
        <w:t>Rate-of-Return Order</w:t>
      </w:r>
      <w:r w:rsidR="006F4579" w:rsidRPr="00742EFE">
        <w:rPr>
          <w:sz w:val="20"/>
        </w:rPr>
        <w:t>, 31 FCC Rcd at 3167, para. 219 (“</w:t>
      </w:r>
      <w:r w:rsidR="006F4579" w:rsidRPr="008A1263">
        <w:rPr>
          <w:snapToGrid/>
          <w:kern w:val="0"/>
          <w:sz w:val="20"/>
        </w:rPr>
        <w:t>Specifically, upon the relevant Paperwork Reduction Act approvals, price cap ETCs will</w:t>
      </w:r>
      <w:r w:rsidR="00404BB6">
        <w:rPr>
          <w:snapToGrid/>
          <w:kern w:val="0"/>
          <w:sz w:val="20"/>
        </w:rPr>
        <w:t xml:space="preserve"> </w:t>
      </w:r>
      <w:r w:rsidR="006F4579" w:rsidRPr="00742EFE">
        <w:rPr>
          <w:snapToGrid/>
          <w:kern w:val="0"/>
          <w:sz w:val="20"/>
        </w:rPr>
        <w:t>be required to submit the requisite information to USAC no later than March 1 of each year</w:t>
      </w:r>
      <w:r w:rsidR="008A1263" w:rsidRPr="00742EFE">
        <w:rPr>
          <w:snapToGrid/>
          <w:kern w:val="0"/>
          <w:sz w:val="20"/>
        </w:rPr>
        <w:t xml:space="preserve">…”); </w:t>
      </w:r>
      <w:r w:rsidR="006F4579" w:rsidRPr="00742EFE">
        <w:rPr>
          <w:i/>
          <w:sz w:val="20"/>
        </w:rPr>
        <w:t>id.,</w:t>
      </w:r>
      <w:r w:rsidR="006F4579" w:rsidRPr="00742EFE">
        <w:rPr>
          <w:sz w:val="20"/>
        </w:rPr>
        <w:t xml:space="preserve"> para. 217 (same for rate-of-return carriers).</w:t>
      </w:r>
    </w:p>
  </w:footnote>
  <w:footnote w:id="9">
    <w:p w14:paraId="675E0D8D" w14:textId="6DE03410" w:rsidR="00CD6F50" w:rsidRDefault="00CD6F50" w:rsidP="000977E8">
      <w:pPr>
        <w:pStyle w:val="FootnoteText"/>
      </w:pPr>
      <w:r>
        <w:rPr>
          <w:rStyle w:val="FootnoteReference"/>
        </w:rPr>
        <w:footnoteRef/>
      </w:r>
      <w:r>
        <w:t xml:space="preserve"> </w:t>
      </w:r>
      <w:r w:rsidRPr="00742EFE">
        <w:rPr>
          <w:i/>
        </w:rPr>
        <w:t>See</w:t>
      </w:r>
      <w:r>
        <w:t xml:space="preserve"> NTCA Petition at 2</w:t>
      </w:r>
      <w:r w:rsidR="00404BB6">
        <w:t xml:space="preserve"> </w:t>
      </w:r>
      <w:r>
        <w:t>(seeking relief for CAF Phase II, CAF-BLS and CAF-ACAM providers); WTA Petition at 1 (seeking relief for CAF-BLS and CAF-ACAM providers).</w:t>
      </w:r>
    </w:p>
  </w:footnote>
  <w:footnote w:id="10">
    <w:p w14:paraId="1E3ACF6A" w14:textId="77777777" w:rsidR="003A67CA" w:rsidRDefault="003A67CA" w:rsidP="000977E8">
      <w:pPr>
        <w:pStyle w:val="FootnoteText"/>
      </w:pPr>
      <w:r>
        <w:rPr>
          <w:rStyle w:val="FootnoteReference"/>
        </w:rPr>
        <w:footnoteRef/>
      </w:r>
      <w:r>
        <w:t xml:space="preserve"> As clarified below, CAF-ACAM recipients’ first location filing deadline is March 1, 2018. </w:t>
      </w:r>
    </w:p>
  </w:footnote>
  <w:footnote w:id="11">
    <w:p w14:paraId="5133CC48" w14:textId="4CBB354A" w:rsidR="007D495C" w:rsidRPr="002115C7" w:rsidRDefault="007D495C" w:rsidP="000977E8">
      <w:pPr>
        <w:pStyle w:val="FootnoteText"/>
      </w:pPr>
      <w:r w:rsidRPr="002115C7">
        <w:rPr>
          <w:rStyle w:val="FootnoteReference"/>
        </w:rPr>
        <w:footnoteRef/>
      </w:r>
      <w:r w:rsidRPr="002115C7">
        <w:t xml:space="preserve"> </w:t>
      </w:r>
      <w:r w:rsidRPr="002115C7">
        <w:rPr>
          <w:i/>
        </w:rPr>
        <w:t>See generally</w:t>
      </w:r>
      <w:r w:rsidRPr="002115C7">
        <w:t xml:space="preserve">, </w:t>
      </w:r>
      <w:r w:rsidR="003A67CA">
        <w:t xml:space="preserve">NTCA </w:t>
      </w:r>
      <w:r w:rsidR="003A67CA" w:rsidRPr="002115C7">
        <w:t>Petition</w:t>
      </w:r>
      <w:r w:rsidR="00CD6F50">
        <w:t>; WTA Petition.</w:t>
      </w:r>
      <w:r w:rsidRPr="002115C7">
        <w:t xml:space="preserve">  </w:t>
      </w:r>
    </w:p>
  </w:footnote>
  <w:footnote w:id="12">
    <w:p w14:paraId="4B30B787" w14:textId="5B577BC4" w:rsidR="00227D87" w:rsidRPr="002115C7" w:rsidRDefault="00227D87" w:rsidP="000977E8">
      <w:pPr>
        <w:pStyle w:val="FootnoteText"/>
      </w:pPr>
      <w:r w:rsidRPr="002115C7">
        <w:rPr>
          <w:rStyle w:val="FootnoteReference"/>
        </w:rPr>
        <w:footnoteRef/>
      </w:r>
      <w:r w:rsidRPr="002115C7">
        <w:t xml:space="preserve"> Generally, the Commission’s rules may be waived under section 1.3 of our rules for “good cause shown.”  47 CFR § 1.3; </w:t>
      </w:r>
      <w:r w:rsidRPr="002115C7">
        <w:rPr>
          <w:i/>
        </w:rPr>
        <w:t>Ne. Cellular Tel. Co. v. FCC</w:t>
      </w:r>
      <w:r w:rsidRPr="002115C7">
        <w:t>, 897 F.2d 1164, 1166 (D.C. Cir. 1990).  The Commission may exercise its discretion to waive a rule where the particular facts make strict compliance inconsistent with the public interest</w:t>
      </w:r>
      <w:r w:rsidR="00CB467A">
        <w:t>,</w:t>
      </w:r>
      <w:r w:rsidR="00CB467A" w:rsidRPr="00CB467A">
        <w:t xml:space="preserve"> which may </w:t>
      </w:r>
      <w:r w:rsidR="00CB467A">
        <w:t>be demonstrated by showing that</w:t>
      </w:r>
      <w:r w:rsidR="00CB467A" w:rsidRPr="00CB467A">
        <w:t xml:space="preserve"> (a) </w:t>
      </w:r>
      <w:r w:rsidRPr="002115C7">
        <w:t>special circumstances warrant a deviation from the general rule; and (</w:t>
      </w:r>
      <w:r w:rsidR="00CB467A">
        <w:t>b</w:t>
      </w:r>
      <w:r w:rsidRPr="002115C7">
        <w:t xml:space="preserve">) such deviation will serve the public interest.  </w:t>
      </w:r>
      <w:r w:rsidRPr="002115C7">
        <w:rPr>
          <w:i/>
        </w:rPr>
        <w:t>Ne. Cellular</w:t>
      </w:r>
      <w:r w:rsidRPr="002115C7">
        <w:t xml:space="preserve">, 897 F.2d at 1166.  In making these determinations, the Commission may consider evidence of hardship, equity, and more effective implementation of overall policy on an individual basis.  </w:t>
      </w:r>
      <w:r w:rsidRPr="002115C7">
        <w:rPr>
          <w:i/>
        </w:rPr>
        <w:t>WAIT Radio v. FCC</w:t>
      </w:r>
      <w:r w:rsidRPr="002115C7">
        <w:t xml:space="preserve">, 418 F.2d 1153, 1159 (D.C. Cir. 1969); </w:t>
      </w:r>
      <w:r w:rsidRPr="002115C7">
        <w:rPr>
          <w:i/>
        </w:rPr>
        <w:t>Ne. Cellular</w:t>
      </w:r>
      <w:r w:rsidRPr="002115C7">
        <w:t>, 897 F.2d at 1166.</w:t>
      </w:r>
      <w:r w:rsidR="00082E21">
        <w:t xml:space="preserve">  </w:t>
      </w:r>
      <w:r w:rsidR="00CB467A" w:rsidRPr="00CB467A">
        <w:t xml:space="preserve">We are granting this waiver on a prospective basis because we find good cause to extend this deadline even though the requirement is not yet in effect.  As the Commission said in the </w:t>
      </w:r>
      <w:r w:rsidR="00CB467A" w:rsidRPr="00742EFE">
        <w:rPr>
          <w:i/>
        </w:rPr>
        <w:t>Rate-of-Return Reform Order</w:t>
      </w:r>
      <w:r w:rsidR="00CB467A" w:rsidRPr="00CB467A">
        <w:t>, section 54.316 is not yet in effect and will not become effective until announcement in the Federal Register of OMB approval.</w:t>
      </w:r>
      <w:r w:rsidR="00082E21">
        <w:t xml:space="preserve">  </w:t>
      </w:r>
      <w:r w:rsidR="006F4579" w:rsidRPr="00742EFE">
        <w:rPr>
          <w:i/>
        </w:rPr>
        <w:t xml:space="preserve">See </w:t>
      </w:r>
      <w:r w:rsidR="00AC28A5">
        <w:rPr>
          <w:i/>
        </w:rPr>
        <w:t>supra</w:t>
      </w:r>
      <w:r w:rsidR="006F4579">
        <w:t xml:space="preserve"> </w:t>
      </w:r>
      <w:r w:rsidR="00AC28A5">
        <w:t>note 7;</w:t>
      </w:r>
      <w:r w:rsidR="006F4579">
        <w:t xml:space="preserve"> </w:t>
      </w:r>
      <w:r w:rsidR="006F4579" w:rsidRPr="00742EFE">
        <w:rPr>
          <w:i/>
        </w:rPr>
        <w:t>Rate-of-Return Reform Order</w:t>
      </w:r>
      <w:r w:rsidR="006F4579">
        <w:t xml:space="preserve">, 31 FCC Rcd </w:t>
      </w:r>
      <w:r w:rsidR="00404BB6">
        <w:t xml:space="preserve">at </w:t>
      </w:r>
      <w:r w:rsidR="006F4579">
        <w:t xml:space="preserve">3232, para. 404 (noting that rules subject to PRA approval shall become effective following publication of OMB approval in the Federal Register).  </w:t>
      </w:r>
    </w:p>
  </w:footnote>
  <w:footnote w:id="13">
    <w:p w14:paraId="6A06D171" w14:textId="4BFF7E83" w:rsidR="004228D1" w:rsidRPr="000977E8" w:rsidRDefault="002C567B" w:rsidP="000977E8">
      <w:pPr>
        <w:widowControl/>
        <w:autoSpaceDE w:val="0"/>
        <w:autoSpaceDN w:val="0"/>
        <w:adjustRightInd w:val="0"/>
        <w:spacing w:after="120"/>
        <w:rPr>
          <w:sz w:val="20"/>
        </w:rPr>
      </w:pPr>
      <w:r w:rsidRPr="002115C7">
        <w:rPr>
          <w:rStyle w:val="FootnoteReference"/>
        </w:rPr>
        <w:footnoteRef/>
      </w:r>
      <w:r w:rsidRPr="002115C7">
        <w:rPr>
          <w:sz w:val="20"/>
        </w:rPr>
        <w:t xml:space="preserve"> These carriers filed broadband data for locations deployed in 2015 and earlier in </w:t>
      </w:r>
      <w:r w:rsidR="00436145" w:rsidRPr="002115C7">
        <w:rPr>
          <w:sz w:val="20"/>
        </w:rPr>
        <w:t>their FCC Form 481</w:t>
      </w:r>
      <w:r w:rsidR="00AC28A5">
        <w:rPr>
          <w:sz w:val="20"/>
        </w:rPr>
        <w:t xml:space="preserve"> </w:t>
      </w:r>
      <w:r w:rsidR="00436145" w:rsidRPr="002115C7">
        <w:rPr>
          <w:sz w:val="20"/>
        </w:rPr>
        <w:t xml:space="preserve">due by July 1, 2016. </w:t>
      </w:r>
      <w:r w:rsidR="00082E21">
        <w:rPr>
          <w:sz w:val="20"/>
        </w:rPr>
        <w:t xml:space="preserve"> </w:t>
      </w:r>
      <w:r w:rsidR="00761204" w:rsidRPr="002115C7">
        <w:rPr>
          <w:i/>
          <w:sz w:val="20"/>
        </w:rPr>
        <w:t>See</w:t>
      </w:r>
      <w:r w:rsidR="00761204" w:rsidRPr="002115C7">
        <w:rPr>
          <w:sz w:val="20"/>
        </w:rPr>
        <w:t xml:space="preserve"> </w:t>
      </w:r>
      <w:r w:rsidR="004228D1" w:rsidRPr="002115C7">
        <w:rPr>
          <w:i/>
          <w:iCs/>
          <w:snapToGrid/>
          <w:kern w:val="0"/>
          <w:sz w:val="20"/>
        </w:rPr>
        <w:t>Connect America Fund et al</w:t>
      </w:r>
      <w:r w:rsidR="004228D1" w:rsidRPr="002115C7">
        <w:rPr>
          <w:snapToGrid/>
          <w:kern w:val="0"/>
          <w:sz w:val="20"/>
        </w:rPr>
        <w:t>., Rep</w:t>
      </w:r>
      <w:r w:rsidR="004228D1" w:rsidRPr="00C50273">
        <w:rPr>
          <w:snapToGrid/>
          <w:kern w:val="0"/>
          <w:sz w:val="20"/>
        </w:rPr>
        <w:t xml:space="preserve">ort and Order, 29 FCC Rcd 15644, 15688, para. 125 </w:t>
      </w:r>
      <w:r w:rsidR="00082E21">
        <w:rPr>
          <w:snapToGrid/>
          <w:kern w:val="0"/>
          <w:sz w:val="20"/>
        </w:rPr>
        <w:t xml:space="preserve">(2014). </w:t>
      </w:r>
      <w:r w:rsidR="004228D1" w:rsidRPr="002115C7">
        <w:rPr>
          <w:sz w:val="20"/>
        </w:rPr>
        <w:t xml:space="preserve"> </w:t>
      </w:r>
      <w:r w:rsidR="00436145" w:rsidRPr="002115C7">
        <w:rPr>
          <w:sz w:val="20"/>
        </w:rPr>
        <w:t xml:space="preserve"> </w:t>
      </w:r>
    </w:p>
  </w:footnote>
  <w:footnote w:id="14">
    <w:p w14:paraId="229DCCAC" w14:textId="77777777" w:rsidR="001A2C42" w:rsidRPr="002115C7" w:rsidRDefault="001A2C42" w:rsidP="000977E8">
      <w:pPr>
        <w:pStyle w:val="FootnoteText"/>
      </w:pPr>
      <w:r w:rsidRPr="002115C7">
        <w:rPr>
          <w:rStyle w:val="FootnoteReference"/>
        </w:rPr>
        <w:footnoteRef/>
      </w:r>
      <w:r w:rsidRPr="002115C7">
        <w:t xml:space="preserve"> </w:t>
      </w:r>
      <w:r w:rsidRPr="002115C7">
        <w:rPr>
          <w:i/>
        </w:rPr>
        <w:t xml:space="preserve">See </w:t>
      </w:r>
      <w:r w:rsidRPr="002115C7">
        <w:t xml:space="preserve">47 CFR </w:t>
      </w:r>
      <w:r w:rsidRPr="00F86F4A">
        <w:t>§</w:t>
      </w:r>
      <w:r w:rsidRPr="002115C7">
        <w:t xml:space="preserve"> 54.313(e)(2)(iii) (2015).</w:t>
      </w:r>
    </w:p>
  </w:footnote>
  <w:footnote w:id="15">
    <w:p w14:paraId="1AC19630" w14:textId="3FB9DBC7" w:rsidR="00CB467A" w:rsidRPr="009A2CE8" w:rsidRDefault="00CB467A" w:rsidP="000977E8">
      <w:pPr>
        <w:pStyle w:val="FootnoteText"/>
      </w:pPr>
      <w:r>
        <w:rPr>
          <w:rStyle w:val="FootnoteReference"/>
        </w:rPr>
        <w:footnoteRef/>
      </w:r>
      <w:r>
        <w:t xml:space="preserve"> </w:t>
      </w:r>
      <w:r>
        <w:rPr>
          <w:i/>
        </w:rPr>
        <w:t xml:space="preserve">See </w:t>
      </w:r>
      <w:r w:rsidR="003A67CA">
        <w:t xml:space="preserve">NTCA </w:t>
      </w:r>
      <w:r w:rsidR="003A67CA" w:rsidRPr="002115C7">
        <w:t>Petition</w:t>
      </w:r>
      <w:r>
        <w:t xml:space="preserve"> at 3-4.</w:t>
      </w:r>
    </w:p>
  </w:footnote>
  <w:footnote w:id="16">
    <w:p w14:paraId="0FAB6FA8" w14:textId="166A0386" w:rsidR="00CB467A" w:rsidRDefault="00CB467A" w:rsidP="000977E8">
      <w:pPr>
        <w:pStyle w:val="FootnoteText"/>
      </w:pPr>
      <w:r>
        <w:rPr>
          <w:rStyle w:val="FootnoteReference"/>
        </w:rPr>
        <w:footnoteRef/>
      </w:r>
      <w:r>
        <w:t xml:space="preserve"> 47 CFR § 54.313(</w:t>
      </w:r>
      <w:r w:rsidR="006F4579">
        <w:t>j</w:t>
      </w:r>
      <w:r>
        <w:t>)(1)</w:t>
      </w:r>
      <w:r w:rsidR="006F4579">
        <w:t xml:space="preserve"> (requiring</w:t>
      </w:r>
      <w:r w:rsidR="00404BB6">
        <w:t xml:space="preserve"> high-cost carriers to </w:t>
      </w:r>
      <w:r w:rsidR="006F4579">
        <w:t>fil</w:t>
      </w:r>
      <w:r w:rsidR="00404BB6">
        <w:t>e</w:t>
      </w:r>
      <w:r w:rsidR="006F4579">
        <w:t xml:space="preserve"> FCC Form 481 by July 1 “of each year”); </w:t>
      </w:r>
      <w:r w:rsidR="006F4579" w:rsidRPr="00742EFE">
        <w:rPr>
          <w:i/>
        </w:rPr>
        <w:t>id.</w:t>
      </w:r>
      <w:r w:rsidR="006F4579">
        <w:t xml:space="preserve"> § 54.310</w:t>
      </w:r>
      <w:r w:rsidR="00404BB6">
        <w:t>(c)</w:t>
      </w:r>
      <w:r w:rsidR="006F4579">
        <w:t xml:space="preserve"> (setting first CAF Phase II deployment milestone at 40 percent of supported locations by </w:t>
      </w:r>
      <w:r w:rsidR="000977E8">
        <w:t>Dec.</w:t>
      </w:r>
      <w:r w:rsidR="006F4579">
        <w:t xml:space="preserve"> 31, 2</w:t>
      </w:r>
      <w:r w:rsidR="007A4809">
        <w:t>0</w:t>
      </w:r>
      <w:r w:rsidR="006F4579">
        <w:t xml:space="preserve">17).  </w:t>
      </w:r>
    </w:p>
  </w:footnote>
  <w:footnote w:id="17">
    <w:p w14:paraId="3EE726B2" w14:textId="6E94ADE6" w:rsidR="00BD086B" w:rsidRPr="002115C7" w:rsidRDefault="00BD086B" w:rsidP="000977E8">
      <w:pPr>
        <w:pStyle w:val="FootnoteText"/>
      </w:pPr>
      <w:r w:rsidRPr="002115C7">
        <w:rPr>
          <w:rStyle w:val="FootnoteReference"/>
        </w:rPr>
        <w:footnoteRef/>
      </w:r>
      <w:r w:rsidRPr="002115C7">
        <w:t xml:space="preserve"> </w:t>
      </w:r>
      <w:r w:rsidR="003E4EED" w:rsidRPr="002115C7">
        <w:t xml:space="preserve">CAF Phase II carriers </w:t>
      </w:r>
      <w:r w:rsidRPr="002115C7">
        <w:t>must also file their</w:t>
      </w:r>
      <w:r w:rsidR="003E4EED" w:rsidRPr="002115C7">
        <w:t xml:space="preserve"> FCC</w:t>
      </w:r>
      <w:r w:rsidRPr="002115C7">
        <w:t xml:space="preserve"> Form 481 by July 1, 2017 and CAF-BLS’</w:t>
      </w:r>
      <w:r w:rsidR="00633866" w:rsidRPr="002115C7">
        <w:t xml:space="preserve"> recipients’</w:t>
      </w:r>
      <w:r w:rsidRPr="002115C7">
        <w:t xml:space="preserve"> second HUBB reporting deadline is </w:t>
      </w:r>
      <w:r w:rsidR="000977E8">
        <w:t>Mar.</w:t>
      </w:r>
      <w:r w:rsidRPr="002115C7">
        <w:t xml:space="preserve"> 1, 2018.  </w:t>
      </w:r>
      <w:r w:rsidR="00633866" w:rsidRPr="002115C7">
        <w:rPr>
          <w:i/>
        </w:rPr>
        <w:t>See</w:t>
      </w:r>
      <w:r w:rsidR="00633866" w:rsidRPr="002115C7">
        <w:t xml:space="preserve"> 47 CFR §§ 54.313, 54.316.  </w:t>
      </w:r>
      <w:r w:rsidRPr="002115C7">
        <w:t xml:space="preserve"> </w:t>
      </w:r>
    </w:p>
  </w:footnote>
  <w:footnote w:id="18">
    <w:p w14:paraId="44C44A03" w14:textId="18061D0E" w:rsidR="00BD086B" w:rsidRPr="002115C7" w:rsidRDefault="00BD086B" w:rsidP="000977E8">
      <w:pPr>
        <w:pStyle w:val="FootnoteText"/>
      </w:pPr>
      <w:r w:rsidRPr="002115C7">
        <w:rPr>
          <w:rStyle w:val="FootnoteReference"/>
        </w:rPr>
        <w:footnoteRef/>
      </w:r>
      <w:r w:rsidRPr="002115C7">
        <w:t xml:space="preserve"> </w:t>
      </w:r>
      <w:r w:rsidRPr="002115C7">
        <w:rPr>
          <w:i/>
        </w:rPr>
        <w:t xml:space="preserve">See </w:t>
      </w:r>
      <w:r w:rsidR="00082E21">
        <w:rPr>
          <w:i/>
        </w:rPr>
        <w:t xml:space="preserve">Rate-of-Return Reform Order, </w:t>
      </w:r>
      <w:r w:rsidR="00082E21" w:rsidRPr="000977E8">
        <w:t xml:space="preserve">31 FCC Rcd at 3166, para. </w:t>
      </w:r>
      <w:r w:rsidR="00AC28A5" w:rsidRPr="000977E8">
        <w:t>214.</w:t>
      </w:r>
      <w:r w:rsidR="00AC28A5">
        <w:rPr>
          <w:i/>
        </w:rPr>
        <w:t xml:space="preserve"> </w:t>
      </w:r>
      <w:r w:rsidR="00082E21" w:rsidRPr="002115C7">
        <w:t xml:space="preserve"> </w:t>
      </w:r>
    </w:p>
  </w:footnote>
  <w:footnote w:id="19">
    <w:p w14:paraId="39583CA4" w14:textId="24930BE7" w:rsidR="00BD086B" w:rsidRPr="002115C7" w:rsidRDefault="00BD086B" w:rsidP="000977E8">
      <w:pPr>
        <w:pStyle w:val="FootnoteText"/>
      </w:pPr>
      <w:r w:rsidRPr="002115C7">
        <w:rPr>
          <w:rStyle w:val="FootnoteReference"/>
        </w:rPr>
        <w:footnoteRef/>
      </w:r>
      <w:r w:rsidR="00082E21">
        <w:t xml:space="preserve"> </w:t>
      </w:r>
      <w:r w:rsidR="00633866" w:rsidRPr="002115C7">
        <w:rPr>
          <w:i/>
        </w:rPr>
        <w:t>See</w:t>
      </w:r>
      <w:r w:rsidR="00633866" w:rsidRPr="002115C7">
        <w:t xml:space="preserve"> 47 CFR § 54.310(c). </w:t>
      </w:r>
    </w:p>
  </w:footnote>
  <w:footnote w:id="20">
    <w:p w14:paraId="091B3A78" w14:textId="77777777" w:rsidR="00BD086B" w:rsidRPr="00C50273" w:rsidRDefault="00BD086B" w:rsidP="000977E8">
      <w:pPr>
        <w:pStyle w:val="FootnoteText"/>
      </w:pPr>
      <w:r w:rsidRPr="002115C7">
        <w:rPr>
          <w:rStyle w:val="FootnoteReference"/>
        </w:rPr>
        <w:footnoteRef/>
      </w:r>
      <w:r w:rsidRPr="002115C7">
        <w:t xml:space="preserve"> </w:t>
      </w:r>
      <w:r w:rsidR="004228D1" w:rsidRPr="002115C7">
        <w:rPr>
          <w:i/>
        </w:rPr>
        <w:t>See</w:t>
      </w:r>
      <w:r w:rsidR="004228D1" w:rsidRPr="002115C7">
        <w:t xml:space="preserve"> 47 CFR § 54.314(d). </w:t>
      </w:r>
      <w:r w:rsidRPr="002115C7">
        <w:t xml:space="preserve"> While USAC may not be able to provide all location data to states and Tribal governments by July 1, 2017 as the Bureau originally directed USAC in the </w:t>
      </w:r>
      <w:r w:rsidR="00BD7DB3" w:rsidRPr="002115C7">
        <w:rPr>
          <w:i/>
        </w:rPr>
        <w:t xml:space="preserve">HUBB </w:t>
      </w:r>
      <w:r w:rsidR="003A396F" w:rsidRPr="002115C7">
        <w:rPr>
          <w:i/>
        </w:rPr>
        <w:t>Public Notice</w:t>
      </w:r>
      <w:r w:rsidR="004228D1" w:rsidRPr="002115C7">
        <w:t xml:space="preserve"> </w:t>
      </w:r>
      <w:r w:rsidR="00912504" w:rsidRPr="002115C7">
        <w:rPr>
          <w:i/>
        </w:rPr>
        <w:t xml:space="preserve">(see HUBB </w:t>
      </w:r>
      <w:r w:rsidR="003A396F" w:rsidRPr="002115C7">
        <w:rPr>
          <w:i/>
        </w:rPr>
        <w:t>Public Notice</w:t>
      </w:r>
      <w:r w:rsidR="00912504" w:rsidRPr="002115C7">
        <w:t>, 31 FCC Rcd at 13908</w:t>
      </w:r>
      <w:r w:rsidR="002115C7">
        <w:t>-90</w:t>
      </w:r>
      <w:r w:rsidR="00912504" w:rsidRPr="002115C7">
        <w:t>9)</w:t>
      </w:r>
      <w:r w:rsidR="002115C7">
        <w:t>,</w:t>
      </w:r>
      <w:r w:rsidR="00912504" w:rsidRPr="002115C7">
        <w:t xml:space="preserve"> </w:t>
      </w:r>
      <w:r w:rsidRPr="002115C7">
        <w:t xml:space="preserve">we find that this limited waiver will not harm states’ and Tribal governments’ ability to make the required certifications under the Commission’s rules. </w:t>
      </w:r>
      <w:r w:rsidR="00633866" w:rsidRPr="002115C7">
        <w:t xml:space="preserve"> </w:t>
      </w:r>
    </w:p>
  </w:footnote>
  <w:footnote w:id="21">
    <w:p w14:paraId="749ECDBB" w14:textId="77777777" w:rsidR="00FD6439" w:rsidRPr="002115C7" w:rsidRDefault="00FD6439" w:rsidP="000977E8">
      <w:pPr>
        <w:pStyle w:val="FootnoteText"/>
      </w:pPr>
      <w:r w:rsidRPr="002115C7">
        <w:rPr>
          <w:rStyle w:val="FootnoteReference"/>
        </w:rPr>
        <w:footnoteRef/>
      </w:r>
      <w:r w:rsidRPr="002115C7">
        <w:t xml:space="preserve"> </w:t>
      </w:r>
      <w:r w:rsidR="00633866" w:rsidRPr="002115C7">
        <w:rPr>
          <w:i/>
        </w:rPr>
        <w:t>See Rate of Return</w:t>
      </w:r>
      <w:r w:rsidR="00834D39">
        <w:rPr>
          <w:i/>
        </w:rPr>
        <w:t xml:space="preserve"> Reform</w:t>
      </w:r>
      <w:r w:rsidR="00633866" w:rsidRPr="002115C7">
        <w:rPr>
          <w:i/>
        </w:rPr>
        <w:t xml:space="preserve"> Order</w:t>
      </w:r>
      <w:r w:rsidR="00633866" w:rsidRPr="002115C7">
        <w:t xml:space="preserve">, 31 FCC Rcd at 3164, para. 211.  </w:t>
      </w:r>
    </w:p>
  </w:footnote>
  <w:footnote w:id="22">
    <w:p w14:paraId="0B476B5C" w14:textId="10255729" w:rsidR="002D5334" w:rsidRPr="002115C7" w:rsidRDefault="002D5334" w:rsidP="000977E8">
      <w:pPr>
        <w:pStyle w:val="FootnoteText"/>
      </w:pPr>
      <w:r w:rsidRPr="002115C7">
        <w:rPr>
          <w:rStyle w:val="FootnoteReference"/>
        </w:rPr>
        <w:footnoteRef/>
      </w:r>
      <w:r w:rsidRPr="002115C7">
        <w:t xml:space="preserve"> </w:t>
      </w:r>
      <w:r w:rsidRPr="002115C7">
        <w:rPr>
          <w:i/>
        </w:rPr>
        <w:t>See</w:t>
      </w:r>
      <w:r w:rsidRPr="002115C7">
        <w:t xml:space="preserve"> </w:t>
      </w:r>
      <w:r w:rsidR="004228D1" w:rsidRPr="002115C7">
        <w:rPr>
          <w:i/>
        </w:rPr>
        <w:t xml:space="preserve">HUBB </w:t>
      </w:r>
      <w:r w:rsidR="003A396F" w:rsidRPr="002115C7">
        <w:rPr>
          <w:i/>
        </w:rPr>
        <w:t>Public Notice</w:t>
      </w:r>
      <w:r w:rsidR="00912504" w:rsidRPr="002115C7">
        <w:t>, 31 FCC Rcd at 12909-11</w:t>
      </w:r>
      <w:r w:rsidR="007A4809">
        <w:t>.</w:t>
      </w:r>
      <w:r w:rsidR="00912504" w:rsidRPr="002115C7">
        <w:t xml:space="preserve"> </w:t>
      </w:r>
    </w:p>
  </w:footnote>
  <w:footnote w:id="23">
    <w:p w14:paraId="4DEE559A" w14:textId="77777777" w:rsidR="002C567B" w:rsidRPr="00F86F4A" w:rsidRDefault="002C567B" w:rsidP="000977E8">
      <w:pPr>
        <w:pStyle w:val="FootnoteText"/>
        <w:rPr>
          <w:rFonts w:ascii="Arial" w:hAnsi="Arial" w:cs="Arial"/>
          <w:snapToGrid w:val="0"/>
          <w:color w:val="212121"/>
          <w:kern w:val="28"/>
          <w:sz w:val="21"/>
          <w:szCs w:val="21"/>
        </w:rPr>
      </w:pPr>
      <w:r w:rsidRPr="002115C7">
        <w:rPr>
          <w:rStyle w:val="FootnoteReference"/>
        </w:rPr>
        <w:footnoteRef/>
      </w:r>
      <w:r w:rsidRPr="002115C7">
        <w:t xml:space="preserve"> </w:t>
      </w:r>
      <w:r w:rsidRPr="002115C7">
        <w:rPr>
          <w:i/>
        </w:rPr>
        <w:t>See, e.g.</w:t>
      </w:r>
      <w:r w:rsidRPr="002115C7">
        <w:t xml:space="preserve">, Form 481 Officer Certification (“I certify that I am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2115C7">
        <w:rPr>
          <w:i/>
          <w:iCs/>
        </w:rPr>
        <w:t>See</w:t>
      </w:r>
      <w:r w:rsidRPr="002115C7">
        <w:t> </w:t>
      </w:r>
      <w:r w:rsidRPr="002115C7">
        <w:rPr>
          <w:i/>
        </w:rPr>
        <w:t>also</w:t>
      </w:r>
      <w:r w:rsidRPr="002115C7">
        <w:t xml:space="preserve"> 47 CFR § </w:t>
      </w:r>
      <w:r w:rsidRPr="002115C7">
        <w:rPr>
          <w:bCs/>
        </w:rPr>
        <w:t>1</w:t>
      </w:r>
      <w:r w:rsidRPr="002115C7">
        <w:t>.</w:t>
      </w:r>
      <w:r w:rsidRPr="002115C7">
        <w:rPr>
          <w:bCs/>
        </w:rPr>
        <w:t>17</w:t>
      </w:r>
      <w:r w:rsidRPr="002115C7">
        <w:t xml:space="preserve">(a)(2)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  </w:t>
      </w:r>
    </w:p>
  </w:footnote>
  <w:footnote w:id="24">
    <w:p w14:paraId="4B56E317" w14:textId="6752F55E" w:rsidR="002C567B" w:rsidRPr="002115C7" w:rsidRDefault="002C567B" w:rsidP="000977E8">
      <w:pPr>
        <w:pStyle w:val="FootnoteText"/>
      </w:pPr>
      <w:r w:rsidRPr="002115C7">
        <w:rPr>
          <w:rStyle w:val="FootnoteReference"/>
        </w:rPr>
        <w:footnoteRef/>
      </w:r>
      <w:r w:rsidRPr="002115C7">
        <w:t xml:space="preserve"> </w:t>
      </w:r>
      <w:r w:rsidR="002D5334" w:rsidRPr="002115C7">
        <w:rPr>
          <w:i/>
        </w:rPr>
        <w:t>See</w:t>
      </w:r>
      <w:r w:rsidR="002D5334" w:rsidRPr="002115C7">
        <w:t xml:space="preserve"> </w:t>
      </w:r>
      <w:r w:rsidR="004228D1" w:rsidRPr="002115C7">
        <w:rPr>
          <w:i/>
        </w:rPr>
        <w:t xml:space="preserve">HUBB </w:t>
      </w:r>
      <w:r w:rsidR="003A396F" w:rsidRPr="002115C7">
        <w:rPr>
          <w:i/>
        </w:rPr>
        <w:t>Public Notice</w:t>
      </w:r>
      <w:r w:rsidR="00113EF0" w:rsidRPr="002115C7">
        <w:rPr>
          <w:i/>
        </w:rPr>
        <w:t xml:space="preserve">, </w:t>
      </w:r>
      <w:r w:rsidR="00113EF0" w:rsidRPr="002115C7">
        <w:t>31 FCC Rcd at 12910</w:t>
      </w:r>
      <w:r w:rsidR="007A4809">
        <w:t>.</w:t>
      </w:r>
      <w:r w:rsidR="00113EF0" w:rsidRPr="002115C7">
        <w:rPr>
          <w:i/>
        </w:rPr>
        <w:t xml:space="preserve"> </w:t>
      </w:r>
    </w:p>
  </w:footnote>
  <w:footnote w:id="25">
    <w:p w14:paraId="5F52C3A4" w14:textId="77777777" w:rsidR="002C567B" w:rsidRPr="002115C7" w:rsidRDefault="002C567B" w:rsidP="000977E8">
      <w:pPr>
        <w:pStyle w:val="FootnoteText"/>
      </w:pPr>
      <w:r w:rsidRPr="002115C7">
        <w:rPr>
          <w:rStyle w:val="FootnoteReference"/>
        </w:rPr>
        <w:footnoteRef/>
      </w:r>
      <w:r w:rsidRPr="00C50273">
        <w:t xml:space="preserve"> </w:t>
      </w:r>
      <w:r w:rsidR="002D5334" w:rsidRPr="00C50273">
        <w:rPr>
          <w:i/>
        </w:rPr>
        <w:t>See</w:t>
      </w:r>
      <w:r w:rsidR="002D5334" w:rsidRPr="00C50273">
        <w:t xml:space="preserve"> </w:t>
      </w:r>
      <w:r w:rsidR="00113EF0" w:rsidRPr="00C50273">
        <w:rPr>
          <w:i/>
        </w:rPr>
        <w:t xml:space="preserve">id. </w:t>
      </w:r>
    </w:p>
  </w:footnote>
  <w:footnote w:id="26">
    <w:p w14:paraId="05286610" w14:textId="77777777" w:rsidR="002C567B" w:rsidRPr="002115C7" w:rsidRDefault="002C567B" w:rsidP="000977E8">
      <w:pPr>
        <w:pStyle w:val="FootnoteText"/>
      </w:pPr>
      <w:r w:rsidRPr="002115C7">
        <w:rPr>
          <w:rStyle w:val="FootnoteReference"/>
        </w:rPr>
        <w:footnoteRef/>
      </w:r>
      <w:r w:rsidRPr="002115C7">
        <w:t xml:space="preserve"> </w:t>
      </w:r>
      <w:r w:rsidR="002D5334" w:rsidRPr="002115C7">
        <w:rPr>
          <w:i/>
        </w:rPr>
        <w:t>See</w:t>
      </w:r>
      <w:r w:rsidR="002D5334" w:rsidRPr="002115C7">
        <w:t xml:space="preserve"> </w:t>
      </w:r>
      <w:r w:rsidR="00113EF0" w:rsidRPr="002115C7">
        <w:rPr>
          <w:i/>
        </w:rPr>
        <w:t xml:space="preserve">id. </w:t>
      </w:r>
      <w:r w:rsidR="002D5334" w:rsidRPr="002115C7">
        <w:t xml:space="preserve"> </w:t>
      </w:r>
    </w:p>
  </w:footnote>
  <w:footnote w:id="27">
    <w:p w14:paraId="79E03479" w14:textId="77777777" w:rsidR="008A0A6B" w:rsidRPr="002115C7" w:rsidRDefault="008A0A6B" w:rsidP="000977E8">
      <w:pPr>
        <w:pStyle w:val="FootnoteText"/>
      </w:pPr>
      <w:r w:rsidRPr="002115C7">
        <w:rPr>
          <w:rStyle w:val="FootnoteReference"/>
        </w:rPr>
        <w:footnoteRef/>
      </w:r>
      <w:r w:rsidRPr="002115C7">
        <w:t xml:space="preserve"> </w:t>
      </w:r>
      <w:r w:rsidRPr="002115C7">
        <w:rPr>
          <w:i/>
        </w:rPr>
        <w:t>See Rate</w:t>
      </w:r>
      <w:r w:rsidR="002115C7">
        <w:rPr>
          <w:i/>
        </w:rPr>
        <w:t>-</w:t>
      </w:r>
      <w:r w:rsidRPr="002115C7">
        <w:rPr>
          <w:i/>
        </w:rPr>
        <w:t>of</w:t>
      </w:r>
      <w:r w:rsidR="002115C7">
        <w:rPr>
          <w:i/>
        </w:rPr>
        <w:t>-</w:t>
      </w:r>
      <w:r w:rsidRPr="002115C7">
        <w:rPr>
          <w:i/>
        </w:rPr>
        <w:t xml:space="preserve">Return </w:t>
      </w:r>
      <w:r w:rsidR="002115C7">
        <w:rPr>
          <w:i/>
        </w:rPr>
        <w:t xml:space="preserve">Reform </w:t>
      </w:r>
      <w:r w:rsidRPr="002115C7">
        <w:rPr>
          <w:i/>
        </w:rPr>
        <w:t>Order</w:t>
      </w:r>
      <w:r w:rsidR="00113EF0" w:rsidRPr="002115C7">
        <w:t xml:space="preserve">, 31 FCC Rcd at 3165, para. 213.  </w:t>
      </w:r>
    </w:p>
  </w:footnote>
  <w:footnote w:id="28">
    <w:p w14:paraId="2949FCCC" w14:textId="496C81F1" w:rsidR="002C567B" w:rsidRPr="00C50273" w:rsidRDefault="002C567B" w:rsidP="000977E8">
      <w:pPr>
        <w:pStyle w:val="FootnoteText"/>
        <w:rPr>
          <w:b/>
        </w:rPr>
      </w:pPr>
      <w:r w:rsidRPr="002115C7">
        <w:rPr>
          <w:rStyle w:val="FootnoteReference"/>
        </w:rPr>
        <w:footnoteRef/>
      </w:r>
      <w:r w:rsidRPr="002115C7">
        <w:t xml:space="preserve"> </w:t>
      </w:r>
      <w:r w:rsidR="008A0A6B" w:rsidRPr="002115C7">
        <w:rPr>
          <w:i/>
        </w:rPr>
        <w:t>See</w:t>
      </w:r>
      <w:r w:rsidR="008A0A6B" w:rsidRPr="00CD6F50">
        <w:rPr>
          <w:i/>
        </w:rPr>
        <w:t xml:space="preserve"> </w:t>
      </w:r>
      <w:r w:rsidR="00654CCE" w:rsidRPr="00742EFE">
        <w:rPr>
          <w:i/>
        </w:rPr>
        <w:t>id</w:t>
      </w:r>
      <w:r w:rsidR="00654CCE">
        <w:t xml:space="preserve">. </w:t>
      </w:r>
      <w:r w:rsidR="00BD7DB3" w:rsidRPr="002115C7">
        <w:t>at 3162</w:t>
      </w:r>
      <w:r w:rsidR="003E4EED" w:rsidRPr="002115C7">
        <w:t>, 3</w:t>
      </w:r>
      <w:r w:rsidR="00404BB6">
        <w:t>1</w:t>
      </w:r>
      <w:r w:rsidR="003E4EED" w:rsidRPr="002115C7">
        <w:t>65</w:t>
      </w:r>
      <w:r w:rsidR="00BD7DB3" w:rsidRPr="002115C7">
        <w:t>, para</w:t>
      </w:r>
      <w:r w:rsidR="003E4EED" w:rsidRPr="002115C7">
        <w:t>s</w:t>
      </w:r>
      <w:r w:rsidR="00BD7DB3" w:rsidRPr="002115C7">
        <w:t>. 205</w:t>
      </w:r>
      <w:r w:rsidR="003E4EED" w:rsidRPr="002115C7">
        <w:t>, 213</w:t>
      </w:r>
      <w:r w:rsidR="00BD7DB3" w:rsidRPr="002115C7">
        <w:t xml:space="preserve"> (</w:t>
      </w:r>
      <w:r w:rsidR="003E4EED" w:rsidRPr="002115C7">
        <w:t>giving A-CAM providers until 2019 to submit broadband locations deployed prior to the beginning of model-based support</w:t>
      </w:r>
      <w:r w:rsidR="004C743B" w:rsidRPr="002115C7">
        <w:t xml:space="preserve"> payments</w:t>
      </w:r>
      <w:r w:rsidR="003E4EED" w:rsidRPr="00C5027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B742" w14:textId="77777777" w:rsidR="0023033F" w:rsidRDefault="00230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7FA4" w14:textId="06A15AA7" w:rsidR="002C567B" w:rsidRDefault="002C567B" w:rsidP="00810B6F">
    <w:pPr>
      <w:pStyle w:val="Header"/>
      <w:rPr>
        <w:b w:val="0"/>
      </w:rPr>
    </w:pPr>
    <w:r>
      <w:tab/>
      <w:t>Federal Communications Commission</w:t>
    </w:r>
    <w:r>
      <w:tab/>
      <w:t>DA 17</w:t>
    </w:r>
    <w:r w:rsidR="000977E8">
      <w:t>-</w:t>
    </w:r>
    <w:r w:rsidR="00B97505">
      <w:t>196</w:t>
    </w:r>
  </w:p>
  <w:p w14:paraId="3A737C90" w14:textId="77777777" w:rsidR="002C567B" w:rsidRDefault="002C567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802EF1D" wp14:editId="539C0E3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6E83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B7E6CD0" w14:textId="77777777" w:rsidR="002C567B" w:rsidRDefault="002C567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DB717" w14:textId="4FA176D7" w:rsidR="002C567B" w:rsidRDefault="002C567B" w:rsidP="00810B6F">
    <w:pPr>
      <w:pStyle w:val="Header"/>
      <w:rPr>
        <w:b w:val="0"/>
      </w:rPr>
    </w:pPr>
    <w:r>
      <w:rPr>
        <w:noProof/>
      </w:rPr>
      <mc:AlternateContent>
        <mc:Choice Requires="wps">
          <w:drawing>
            <wp:anchor distT="0" distB="0" distL="114300" distR="114300" simplePos="0" relativeHeight="251658240" behindDoc="1" locked="0" layoutInCell="0" allowOverlap="1" wp14:anchorId="24DA364A" wp14:editId="6261745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0365D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B97505">
      <w:rPr>
        <w:spacing w:val="-2"/>
      </w:rPr>
      <w:t>196</w:t>
    </w:r>
    <w:r>
      <w:rPr>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EF5CEE"/>
    <w:multiLevelType w:val="hybridMultilevel"/>
    <w:tmpl w:val="C8FE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9C49C7"/>
    <w:multiLevelType w:val="hybridMultilevel"/>
    <w:tmpl w:val="362A6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4"/>
  </w:num>
  <w:num w:numId="40">
    <w:abstractNumId w:val="4"/>
  </w:num>
  <w:num w:numId="41">
    <w:abstractNumId w:val="6"/>
  </w:num>
  <w:num w:numId="42">
    <w:abstractNumId w:val="6"/>
  </w:num>
  <w:num w:numId="43">
    <w:abstractNumId w:val="6"/>
    <w:lvlOverride w:ilvl="0">
      <w:startOverride w:val="1"/>
    </w:lvlOverride>
  </w:num>
  <w:num w:numId="44">
    <w:abstractNumId w:val="6"/>
    <w:lvlOverride w:ilvl="0">
      <w:startOverride w:val="1"/>
    </w:lvlOverride>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0E"/>
    <w:rsid w:val="00002820"/>
    <w:rsid w:val="00033AEB"/>
    <w:rsid w:val="00036039"/>
    <w:rsid w:val="00037F90"/>
    <w:rsid w:val="00082E21"/>
    <w:rsid w:val="00084A26"/>
    <w:rsid w:val="000875BF"/>
    <w:rsid w:val="000879CA"/>
    <w:rsid w:val="00096D8C"/>
    <w:rsid w:val="000977E8"/>
    <w:rsid w:val="000C0B65"/>
    <w:rsid w:val="000E05FE"/>
    <w:rsid w:val="000E3D42"/>
    <w:rsid w:val="0010650A"/>
    <w:rsid w:val="00113EF0"/>
    <w:rsid w:val="00120FC3"/>
    <w:rsid w:val="00122BD5"/>
    <w:rsid w:val="00133F79"/>
    <w:rsid w:val="001353C8"/>
    <w:rsid w:val="00145A1C"/>
    <w:rsid w:val="0016328F"/>
    <w:rsid w:val="00191EEB"/>
    <w:rsid w:val="00194A66"/>
    <w:rsid w:val="001A2C42"/>
    <w:rsid w:val="001C3308"/>
    <w:rsid w:val="001D6BCF"/>
    <w:rsid w:val="001E01CA"/>
    <w:rsid w:val="001E6B8B"/>
    <w:rsid w:val="00206939"/>
    <w:rsid w:val="002115C7"/>
    <w:rsid w:val="00212D7E"/>
    <w:rsid w:val="00216455"/>
    <w:rsid w:val="00221C6D"/>
    <w:rsid w:val="00227D87"/>
    <w:rsid w:val="0023033F"/>
    <w:rsid w:val="002444B6"/>
    <w:rsid w:val="0025092D"/>
    <w:rsid w:val="00254CB9"/>
    <w:rsid w:val="0025703F"/>
    <w:rsid w:val="002639B5"/>
    <w:rsid w:val="00275CF5"/>
    <w:rsid w:val="0028301F"/>
    <w:rsid w:val="00285017"/>
    <w:rsid w:val="00286D80"/>
    <w:rsid w:val="002A2D2E"/>
    <w:rsid w:val="002B415B"/>
    <w:rsid w:val="002C00E8"/>
    <w:rsid w:val="002C567B"/>
    <w:rsid w:val="002D0DA8"/>
    <w:rsid w:val="002D5334"/>
    <w:rsid w:val="002D7D4D"/>
    <w:rsid w:val="002E23CA"/>
    <w:rsid w:val="002E2A94"/>
    <w:rsid w:val="002E6CE8"/>
    <w:rsid w:val="002F5B3C"/>
    <w:rsid w:val="00303CF2"/>
    <w:rsid w:val="003045BC"/>
    <w:rsid w:val="00313578"/>
    <w:rsid w:val="00343749"/>
    <w:rsid w:val="00364EBA"/>
    <w:rsid w:val="003660ED"/>
    <w:rsid w:val="00384218"/>
    <w:rsid w:val="00391422"/>
    <w:rsid w:val="00397E65"/>
    <w:rsid w:val="003A396F"/>
    <w:rsid w:val="003A67CA"/>
    <w:rsid w:val="003B0550"/>
    <w:rsid w:val="003B694F"/>
    <w:rsid w:val="003D5A5B"/>
    <w:rsid w:val="003E4EED"/>
    <w:rsid w:val="003F171C"/>
    <w:rsid w:val="00400F01"/>
    <w:rsid w:val="004012DB"/>
    <w:rsid w:val="00404BB6"/>
    <w:rsid w:val="00412FC5"/>
    <w:rsid w:val="00421D65"/>
    <w:rsid w:val="00422276"/>
    <w:rsid w:val="004228D1"/>
    <w:rsid w:val="004242F1"/>
    <w:rsid w:val="00434997"/>
    <w:rsid w:val="00436145"/>
    <w:rsid w:val="00437850"/>
    <w:rsid w:val="00445A00"/>
    <w:rsid w:val="004466AC"/>
    <w:rsid w:val="0045162B"/>
    <w:rsid w:val="00451B0F"/>
    <w:rsid w:val="00470CD7"/>
    <w:rsid w:val="0049112F"/>
    <w:rsid w:val="004934D6"/>
    <w:rsid w:val="004A61D0"/>
    <w:rsid w:val="004B624D"/>
    <w:rsid w:val="004C2EE3"/>
    <w:rsid w:val="004C3292"/>
    <w:rsid w:val="004C4C5C"/>
    <w:rsid w:val="004C57F3"/>
    <w:rsid w:val="004C743B"/>
    <w:rsid w:val="004D5290"/>
    <w:rsid w:val="004E0A55"/>
    <w:rsid w:val="004E4A22"/>
    <w:rsid w:val="00511968"/>
    <w:rsid w:val="00532AD9"/>
    <w:rsid w:val="00544BA0"/>
    <w:rsid w:val="0055614C"/>
    <w:rsid w:val="00584147"/>
    <w:rsid w:val="0058694E"/>
    <w:rsid w:val="005B3D9A"/>
    <w:rsid w:val="005B5EA9"/>
    <w:rsid w:val="005C39C3"/>
    <w:rsid w:val="005C3DCD"/>
    <w:rsid w:val="005D0F78"/>
    <w:rsid w:val="005E14C2"/>
    <w:rsid w:val="006010A0"/>
    <w:rsid w:val="00604C20"/>
    <w:rsid w:val="00605CFD"/>
    <w:rsid w:val="00607BA5"/>
    <w:rsid w:val="0061180A"/>
    <w:rsid w:val="0062540E"/>
    <w:rsid w:val="00626EB6"/>
    <w:rsid w:val="00633866"/>
    <w:rsid w:val="0064032B"/>
    <w:rsid w:val="00645B93"/>
    <w:rsid w:val="00650BAD"/>
    <w:rsid w:val="00652FC9"/>
    <w:rsid w:val="00654CCE"/>
    <w:rsid w:val="00655D03"/>
    <w:rsid w:val="006606ED"/>
    <w:rsid w:val="00661464"/>
    <w:rsid w:val="00683388"/>
    <w:rsid w:val="00683F84"/>
    <w:rsid w:val="006862B2"/>
    <w:rsid w:val="00695C1B"/>
    <w:rsid w:val="006A6A81"/>
    <w:rsid w:val="006C27CC"/>
    <w:rsid w:val="006F26B5"/>
    <w:rsid w:val="006F3AE4"/>
    <w:rsid w:val="006F4579"/>
    <w:rsid w:val="006F7393"/>
    <w:rsid w:val="0070224F"/>
    <w:rsid w:val="007115F7"/>
    <w:rsid w:val="007240CB"/>
    <w:rsid w:val="007313EA"/>
    <w:rsid w:val="00742EFE"/>
    <w:rsid w:val="007431A6"/>
    <w:rsid w:val="00761204"/>
    <w:rsid w:val="00785689"/>
    <w:rsid w:val="00790CD8"/>
    <w:rsid w:val="00792A6E"/>
    <w:rsid w:val="0079754B"/>
    <w:rsid w:val="007A1E6D"/>
    <w:rsid w:val="007A4809"/>
    <w:rsid w:val="007B0EB2"/>
    <w:rsid w:val="007B46C2"/>
    <w:rsid w:val="007D495C"/>
    <w:rsid w:val="008063F9"/>
    <w:rsid w:val="00810B6F"/>
    <w:rsid w:val="00822CE0"/>
    <w:rsid w:val="00834D39"/>
    <w:rsid w:val="00841AB1"/>
    <w:rsid w:val="00854383"/>
    <w:rsid w:val="00883E9E"/>
    <w:rsid w:val="008960D5"/>
    <w:rsid w:val="008A0A6B"/>
    <w:rsid w:val="008A1263"/>
    <w:rsid w:val="008C68F1"/>
    <w:rsid w:val="008F48A2"/>
    <w:rsid w:val="009056ED"/>
    <w:rsid w:val="00912504"/>
    <w:rsid w:val="00914539"/>
    <w:rsid w:val="00921803"/>
    <w:rsid w:val="0092449A"/>
    <w:rsid w:val="00926503"/>
    <w:rsid w:val="009416A3"/>
    <w:rsid w:val="0094689F"/>
    <w:rsid w:val="009726D8"/>
    <w:rsid w:val="009967C9"/>
    <w:rsid w:val="009B0B2A"/>
    <w:rsid w:val="009B2490"/>
    <w:rsid w:val="009B2D6C"/>
    <w:rsid w:val="009C2C14"/>
    <w:rsid w:val="009F76DB"/>
    <w:rsid w:val="00A209A0"/>
    <w:rsid w:val="00A2585E"/>
    <w:rsid w:val="00A2665C"/>
    <w:rsid w:val="00A316AD"/>
    <w:rsid w:val="00A32C3B"/>
    <w:rsid w:val="00A41BB0"/>
    <w:rsid w:val="00A45F4F"/>
    <w:rsid w:val="00A600A9"/>
    <w:rsid w:val="00AA4CBD"/>
    <w:rsid w:val="00AA55B7"/>
    <w:rsid w:val="00AA5B9E"/>
    <w:rsid w:val="00AB2407"/>
    <w:rsid w:val="00AB335E"/>
    <w:rsid w:val="00AB53DF"/>
    <w:rsid w:val="00AB5CA0"/>
    <w:rsid w:val="00AC28A5"/>
    <w:rsid w:val="00AD06E1"/>
    <w:rsid w:val="00AD4F42"/>
    <w:rsid w:val="00B07E5C"/>
    <w:rsid w:val="00B150AC"/>
    <w:rsid w:val="00B21054"/>
    <w:rsid w:val="00B22A0F"/>
    <w:rsid w:val="00B264FC"/>
    <w:rsid w:val="00B34E9D"/>
    <w:rsid w:val="00B37285"/>
    <w:rsid w:val="00B610E7"/>
    <w:rsid w:val="00B61A90"/>
    <w:rsid w:val="00B749DC"/>
    <w:rsid w:val="00B811F7"/>
    <w:rsid w:val="00B95A22"/>
    <w:rsid w:val="00B97505"/>
    <w:rsid w:val="00BA0331"/>
    <w:rsid w:val="00BA5DC6"/>
    <w:rsid w:val="00BA6196"/>
    <w:rsid w:val="00BB01D9"/>
    <w:rsid w:val="00BB3DB9"/>
    <w:rsid w:val="00BC6D8C"/>
    <w:rsid w:val="00BD086B"/>
    <w:rsid w:val="00BD7DB3"/>
    <w:rsid w:val="00BE027A"/>
    <w:rsid w:val="00BE0EDF"/>
    <w:rsid w:val="00BE4120"/>
    <w:rsid w:val="00C009F8"/>
    <w:rsid w:val="00C0176D"/>
    <w:rsid w:val="00C059FB"/>
    <w:rsid w:val="00C242F9"/>
    <w:rsid w:val="00C34006"/>
    <w:rsid w:val="00C426B1"/>
    <w:rsid w:val="00C42A38"/>
    <w:rsid w:val="00C465A4"/>
    <w:rsid w:val="00C50273"/>
    <w:rsid w:val="00C60267"/>
    <w:rsid w:val="00C66160"/>
    <w:rsid w:val="00C721AC"/>
    <w:rsid w:val="00C7328E"/>
    <w:rsid w:val="00C7501A"/>
    <w:rsid w:val="00C81392"/>
    <w:rsid w:val="00C90D6A"/>
    <w:rsid w:val="00C97E01"/>
    <w:rsid w:val="00CA247E"/>
    <w:rsid w:val="00CB467A"/>
    <w:rsid w:val="00CB6F1F"/>
    <w:rsid w:val="00CC72B6"/>
    <w:rsid w:val="00CD3943"/>
    <w:rsid w:val="00CD6F50"/>
    <w:rsid w:val="00CE00CE"/>
    <w:rsid w:val="00D0218D"/>
    <w:rsid w:val="00D17A5D"/>
    <w:rsid w:val="00D25FB5"/>
    <w:rsid w:val="00D30522"/>
    <w:rsid w:val="00D44223"/>
    <w:rsid w:val="00D90E4C"/>
    <w:rsid w:val="00D950DB"/>
    <w:rsid w:val="00D95777"/>
    <w:rsid w:val="00D96644"/>
    <w:rsid w:val="00D96B45"/>
    <w:rsid w:val="00DA2529"/>
    <w:rsid w:val="00DA5295"/>
    <w:rsid w:val="00DB130A"/>
    <w:rsid w:val="00DB2EBB"/>
    <w:rsid w:val="00DC01E4"/>
    <w:rsid w:val="00DC10A1"/>
    <w:rsid w:val="00DC655F"/>
    <w:rsid w:val="00DD0B59"/>
    <w:rsid w:val="00DD5704"/>
    <w:rsid w:val="00DD7EBD"/>
    <w:rsid w:val="00DE25E2"/>
    <w:rsid w:val="00DF5F20"/>
    <w:rsid w:val="00DF62B6"/>
    <w:rsid w:val="00E070BA"/>
    <w:rsid w:val="00E07225"/>
    <w:rsid w:val="00E176F3"/>
    <w:rsid w:val="00E5409F"/>
    <w:rsid w:val="00E72818"/>
    <w:rsid w:val="00E937E2"/>
    <w:rsid w:val="00EA2395"/>
    <w:rsid w:val="00EA3A74"/>
    <w:rsid w:val="00EA6985"/>
    <w:rsid w:val="00EE6488"/>
    <w:rsid w:val="00EF74BF"/>
    <w:rsid w:val="00F00DDB"/>
    <w:rsid w:val="00F021FA"/>
    <w:rsid w:val="00F10040"/>
    <w:rsid w:val="00F215C2"/>
    <w:rsid w:val="00F4070D"/>
    <w:rsid w:val="00F57F82"/>
    <w:rsid w:val="00F62CE6"/>
    <w:rsid w:val="00F62E97"/>
    <w:rsid w:val="00F64209"/>
    <w:rsid w:val="00F70FD2"/>
    <w:rsid w:val="00F86F4A"/>
    <w:rsid w:val="00F93BF5"/>
    <w:rsid w:val="00FC65CA"/>
    <w:rsid w:val="00FD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2F"/>
    <w:pPr>
      <w:widowControl w:val="0"/>
    </w:pPr>
    <w:rPr>
      <w:snapToGrid w:val="0"/>
      <w:kern w:val="28"/>
      <w:sz w:val="22"/>
    </w:rPr>
  </w:style>
  <w:style w:type="paragraph" w:styleId="Heading1">
    <w:name w:val="heading 1"/>
    <w:basedOn w:val="Normal"/>
    <w:next w:val="ParaNum"/>
    <w:link w:val="Heading1Char"/>
    <w:qFormat/>
    <w:rsid w:val="004911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9112F"/>
    <w:pPr>
      <w:keepNext/>
      <w:numPr>
        <w:ilvl w:val="1"/>
        <w:numId w:val="3"/>
      </w:numPr>
      <w:spacing w:after="120"/>
      <w:outlineLvl w:val="1"/>
    </w:pPr>
    <w:rPr>
      <w:b/>
    </w:rPr>
  </w:style>
  <w:style w:type="paragraph" w:styleId="Heading3">
    <w:name w:val="heading 3"/>
    <w:basedOn w:val="Normal"/>
    <w:next w:val="ParaNum"/>
    <w:qFormat/>
    <w:rsid w:val="0049112F"/>
    <w:pPr>
      <w:keepNext/>
      <w:numPr>
        <w:ilvl w:val="2"/>
        <w:numId w:val="3"/>
      </w:numPr>
      <w:tabs>
        <w:tab w:val="left" w:pos="2160"/>
      </w:tabs>
      <w:spacing w:after="120"/>
      <w:outlineLvl w:val="2"/>
    </w:pPr>
    <w:rPr>
      <w:b/>
    </w:rPr>
  </w:style>
  <w:style w:type="paragraph" w:styleId="Heading4">
    <w:name w:val="heading 4"/>
    <w:basedOn w:val="Normal"/>
    <w:next w:val="ParaNum"/>
    <w:qFormat/>
    <w:rsid w:val="0049112F"/>
    <w:pPr>
      <w:keepNext/>
      <w:numPr>
        <w:ilvl w:val="3"/>
        <w:numId w:val="3"/>
      </w:numPr>
      <w:tabs>
        <w:tab w:val="left" w:pos="2880"/>
      </w:tabs>
      <w:spacing w:after="120"/>
      <w:outlineLvl w:val="3"/>
    </w:pPr>
    <w:rPr>
      <w:b/>
    </w:rPr>
  </w:style>
  <w:style w:type="paragraph" w:styleId="Heading5">
    <w:name w:val="heading 5"/>
    <w:basedOn w:val="Normal"/>
    <w:next w:val="ParaNum"/>
    <w:qFormat/>
    <w:rsid w:val="004911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9112F"/>
    <w:pPr>
      <w:numPr>
        <w:ilvl w:val="5"/>
        <w:numId w:val="3"/>
      </w:numPr>
      <w:tabs>
        <w:tab w:val="left" w:pos="4320"/>
      </w:tabs>
      <w:spacing w:after="120"/>
      <w:outlineLvl w:val="5"/>
    </w:pPr>
    <w:rPr>
      <w:b/>
    </w:rPr>
  </w:style>
  <w:style w:type="paragraph" w:styleId="Heading7">
    <w:name w:val="heading 7"/>
    <w:basedOn w:val="Normal"/>
    <w:next w:val="ParaNum"/>
    <w:qFormat/>
    <w:rsid w:val="004911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911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911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11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12F"/>
  </w:style>
  <w:style w:type="paragraph" w:customStyle="1" w:styleId="ParaNum">
    <w:name w:val="ParaNum"/>
    <w:basedOn w:val="Normal"/>
    <w:link w:val="ParaNumChar"/>
    <w:rsid w:val="0049112F"/>
    <w:pPr>
      <w:numPr>
        <w:numId w:val="2"/>
      </w:numPr>
      <w:tabs>
        <w:tab w:val="clear" w:pos="1080"/>
        <w:tab w:val="num" w:pos="1440"/>
      </w:tabs>
      <w:spacing w:after="120"/>
    </w:pPr>
  </w:style>
  <w:style w:type="paragraph" w:styleId="EndnoteText">
    <w:name w:val="endnote text"/>
    <w:basedOn w:val="Normal"/>
    <w:semiHidden/>
    <w:rsid w:val="0049112F"/>
    <w:rPr>
      <w:sz w:val="20"/>
    </w:rPr>
  </w:style>
  <w:style w:type="character" w:styleId="EndnoteReference">
    <w:name w:val="endnote reference"/>
    <w:semiHidden/>
    <w:rsid w:val="0049112F"/>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9112F"/>
    <w:pPr>
      <w:spacing w:after="120"/>
    </w:pPr>
  </w:style>
  <w:style w:type="character" w:styleId="FootnoteReference">
    <w:name w:val="footnote reference"/>
    <w:aliases w:val="Style 13,Style 12,(NECG) Footnote Reference,Appel note de bas de p,Style 124,fr,o,Style 3,FR,Style 17,Style 6,Footnote Reference/,Style 7"/>
    <w:rsid w:val="0049112F"/>
    <w:rPr>
      <w:rFonts w:ascii="Times New Roman" w:hAnsi="Times New Roman"/>
      <w:dstrike w:val="0"/>
      <w:color w:val="auto"/>
      <w:sz w:val="20"/>
      <w:vertAlign w:val="superscript"/>
    </w:rPr>
  </w:style>
  <w:style w:type="paragraph" w:styleId="TOC1">
    <w:name w:val="toc 1"/>
    <w:basedOn w:val="Normal"/>
    <w:next w:val="Normal"/>
    <w:semiHidden/>
    <w:rsid w:val="004911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112F"/>
    <w:pPr>
      <w:tabs>
        <w:tab w:val="left" w:pos="720"/>
        <w:tab w:val="right" w:leader="dot" w:pos="9360"/>
      </w:tabs>
      <w:suppressAutoHyphens/>
      <w:ind w:left="720" w:right="720" w:hanging="360"/>
    </w:pPr>
    <w:rPr>
      <w:noProof/>
    </w:rPr>
  </w:style>
  <w:style w:type="paragraph" w:styleId="TOC3">
    <w:name w:val="toc 3"/>
    <w:basedOn w:val="Normal"/>
    <w:next w:val="Normal"/>
    <w:semiHidden/>
    <w:rsid w:val="004911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11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11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11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11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11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11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112F"/>
    <w:pPr>
      <w:tabs>
        <w:tab w:val="right" w:pos="9360"/>
      </w:tabs>
      <w:suppressAutoHyphens/>
    </w:pPr>
  </w:style>
  <w:style w:type="character" w:customStyle="1" w:styleId="EquationCaption">
    <w:name w:val="_Equation Caption"/>
    <w:rsid w:val="0049112F"/>
  </w:style>
  <w:style w:type="paragraph" w:styleId="Header">
    <w:name w:val="header"/>
    <w:basedOn w:val="Normal"/>
    <w:autoRedefine/>
    <w:rsid w:val="0049112F"/>
    <w:pPr>
      <w:tabs>
        <w:tab w:val="center" w:pos="4680"/>
        <w:tab w:val="right" w:pos="9360"/>
      </w:tabs>
    </w:pPr>
    <w:rPr>
      <w:b/>
    </w:rPr>
  </w:style>
  <w:style w:type="paragraph" w:styleId="Footer">
    <w:name w:val="footer"/>
    <w:basedOn w:val="Normal"/>
    <w:rsid w:val="0049112F"/>
    <w:pPr>
      <w:tabs>
        <w:tab w:val="center" w:pos="4320"/>
        <w:tab w:val="right" w:pos="8640"/>
      </w:tabs>
    </w:pPr>
  </w:style>
  <w:style w:type="character" w:styleId="PageNumber">
    <w:name w:val="page number"/>
    <w:basedOn w:val="DefaultParagraphFont"/>
    <w:rsid w:val="0049112F"/>
  </w:style>
  <w:style w:type="paragraph" w:styleId="BlockText">
    <w:name w:val="Block Text"/>
    <w:basedOn w:val="Normal"/>
    <w:rsid w:val="0049112F"/>
    <w:pPr>
      <w:spacing w:after="240"/>
      <w:ind w:left="1440" w:right="1440"/>
    </w:pPr>
  </w:style>
  <w:style w:type="paragraph" w:customStyle="1" w:styleId="Paratitle">
    <w:name w:val="Para title"/>
    <w:basedOn w:val="Normal"/>
    <w:rsid w:val="0049112F"/>
    <w:pPr>
      <w:tabs>
        <w:tab w:val="center" w:pos="9270"/>
      </w:tabs>
      <w:spacing w:after="240"/>
    </w:pPr>
    <w:rPr>
      <w:spacing w:val="-2"/>
    </w:rPr>
  </w:style>
  <w:style w:type="paragraph" w:customStyle="1" w:styleId="Bullet">
    <w:name w:val="Bullet"/>
    <w:basedOn w:val="Normal"/>
    <w:rsid w:val="0049112F"/>
    <w:pPr>
      <w:tabs>
        <w:tab w:val="left" w:pos="2160"/>
      </w:tabs>
      <w:spacing w:after="220"/>
      <w:ind w:left="2160" w:hanging="720"/>
    </w:pPr>
  </w:style>
  <w:style w:type="paragraph" w:customStyle="1" w:styleId="TableFormat">
    <w:name w:val="TableFormat"/>
    <w:basedOn w:val="Bullet"/>
    <w:rsid w:val="0049112F"/>
    <w:pPr>
      <w:tabs>
        <w:tab w:val="clear" w:pos="2160"/>
        <w:tab w:val="left" w:pos="5040"/>
      </w:tabs>
      <w:ind w:left="5040" w:hanging="3600"/>
    </w:pPr>
  </w:style>
  <w:style w:type="paragraph" w:customStyle="1" w:styleId="TOCTitle">
    <w:name w:val="TOC Title"/>
    <w:basedOn w:val="Normal"/>
    <w:rsid w:val="004911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112F"/>
    <w:pPr>
      <w:jc w:val="center"/>
    </w:pPr>
    <w:rPr>
      <w:rFonts w:ascii="Times New Roman Bold" w:hAnsi="Times New Roman Bold"/>
      <w:b/>
      <w:bCs/>
      <w:caps/>
      <w:szCs w:val="22"/>
    </w:rPr>
  </w:style>
  <w:style w:type="character" w:styleId="Hyperlink">
    <w:name w:val="Hyperlink"/>
    <w:rsid w:val="0049112F"/>
    <w:rPr>
      <w:color w:val="0000FF"/>
      <w:u w:val="single"/>
    </w:rPr>
  </w:style>
  <w:style w:type="character" w:customStyle="1" w:styleId="Heading1Char">
    <w:name w:val="Heading 1 Char"/>
    <w:link w:val="Heading1"/>
    <w:rsid w:val="0062540E"/>
    <w:rPr>
      <w:rFonts w:ascii="Times New Roman Bold" w:hAnsi="Times New Roman Bold"/>
      <w:b/>
      <w:caps/>
      <w:snapToGrid w:val="0"/>
      <w:kern w:val="28"/>
      <w:sz w:val="22"/>
    </w:rPr>
  </w:style>
  <w:style w:type="character" w:customStyle="1" w:styleId="Heading2Char">
    <w:name w:val="Heading 2 Char"/>
    <w:link w:val="Heading2"/>
    <w:rsid w:val="0062540E"/>
    <w:rPr>
      <w:b/>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62540E"/>
  </w:style>
  <w:style w:type="character" w:customStyle="1" w:styleId="ParaNumChar">
    <w:name w:val="ParaNum Char"/>
    <w:link w:val="ParaNum"/>
    <w:locked/>
    <w:rsid w:val="0062540E"/>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58694E"/>
  </w:style>
  <w:style w:type="character" w:styleId="CommentReference">
    <w:name w:val="annotation reference"/>
    <w:basedOn w:val="DefaultParagraphFont"/>
    <w:semiHidden/>
    <w:unhideWhenUsed/>
    <w:rsid w:val="00792A6E"/>
    <w:rPr>
      <w:sz w:val="16"/>
      <w:szCs w:val="16"/>
    </w:rPr>
  </w:style>
  <w:style w:type="paragraph" w:styleId="CommentText">
    <w:name w:val="annotation text"/>
    <w:basedOn w:val="Normal"/>
    <w:link w:val="CommentTextChar"/>
    <w:unhideWhenUsed/>
    <w:rsid w:val="00792A6E"/>
    <w:rPr>
      <w:sz w:val="20"/>
    </w:rPr>
  </w:style>
  <w:style w:type="character" w:customStyle="1" w:styleId="CommentTextChar">
    <w:name w:val="Comment Text Char"/>
    <w:basedOn w:val="DefaultParagraphFont"/>
    <w:link w:val="CommentText"/>
    <w:rsid w:val="00792A6E"/>
    <w:rPr>
      <w:snapToGrid w:val="0"/>
      <w:kern w:val="28"/>
    </w:rPr>
  </w:style>
  <w:style w:type="paragraph" w:styleId="CommentSubject">
    <w:name w:val="annotation subject"/>
    <w:basedOn w:val="CommentText"/>
    <w:next w:val="CommentText"/>
    <w:link w:val="CommentSubjectChar"/>
    <w:semiHidden/>
    <w:unhideWhenUsed/>
    <w:rsid w:val="00792A6E"/>
    <w:rPr>
      <w:b/>
      <w:bCs/>
    </w:rPr>
  </w:style>
  <w:style w:type="character" w:customStyle="1" w:styleId="CommentSubjectChar">
    <w:name w:val="Comment Subject Char"/>
    <w:basedOn w:val="CommentTextChar"/>
    <w:link w:val="CommentSubject"/>
    <w:semiHidden/>
    <w:rsid w:val="00792A6E"/>
    <w:rPr>
      <w:b/>
      <w:bCs/>
      <w:snapToGrid w:val="0"/>
      <w:kern w:val="28"/>
    </w:rPr>
  </w:style>
  <w:style w:type="paragraph" w:styleId="BalloonText">
    <w:name w:val="Balloon Text"/>
    <w:basedOn w:val="Normal"/>
    <w:link w:val="BalloonTextChar"/>
    <w:semiHidden/>
    <w:unhideWhenUsed/>
    <w:rsid w:val="00792A6E"/>
    <w:rPr>
      <w:rFonts w:ascii="Segoe UI" w:hAnsi="Segoe UI" w:cs="Segoe UI"/>
      <w:sz w:val="18"/>
      <w:szCs w:val="18"/>
    </w:rPr>
  </w:style>
  <w:style w:type="character" w:customStyle="1" w:styleId="BalloonTextChar">
    <w:name w:val="Balloon Text Char"/>
    <w:basedOn w:val="DefaultParagraphFont"/>
    <w:link w:val="BalloonText"/>
    <w:semiHidden/>
    <w:rsid w:val="00792A6E"/>
    <w:rPr>
      <w:rFonts w:ascii="Segoe UI" w:hAnsi="Segoe UI" w:cs="Segoe UI"/>
      <w:snapToGrid w:val="0"/>
      <w:kern w:val="28"/>
      <w:sz w:val="18"/>
      <w:szCs w:val="18"/>
    </w:rPr>
  </w:style>
  <w:style w:type="paragraph" w:styleId="Revision">
    <w:name w:val="Revision"/>
    <w:hidden/>
    <w:uiPriority w:val="99"/>
    <w:semiHidden/>
    <w:rsid w:val="006862B2"/>
    <w:rPr>
      <w:snapToGrid w:val="0"/>
      <w:kern w:val="28"/>
      <w:sz w:val="22"/>
    </w:rPr>
  </w:style>
  <w:style w:type="character" w:styleId="PlaceholderText">
    <w:name w:val="Placeholder Text"/>
    <w:basedOn w:val="DefaultParagraphFont"/>
    <w:uiPriority w:val="99"/>
    <w:semiHidden/>
    <w:rsid w:val="006862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2F"/>
    <w:pPr>
      <w:widowControl w:val="0"/>
    </w:pPr>
    <w:rPr>
      <w:snapToGrid w:val="0"/>
      <w:kern w:val="28"/>
      <w:sz w:val="22"/>
    </w:rPr>
  </w:style>
  <w:style w:type="paragraph" w:styleId="Heading1">
    <w:name w:val="heading 1"/>
    <w:basedOn w:val="Normal"/>
    <w:next w:val="ParaNum"/>
    <w:link w:val="Heading1Char"/>
    <w:qFormat/>
    <w:rsid w:val="004911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9112F"/>
    <w:pPr>
      <w:keepNext/>
      <w:numPr>
        <w:ilvl w:val="1"/>
        <w:numId w:val="3"/>
      </w:numPr>
      <w:spacing w:after="120"/>
      <w:outlineLvl w:val="1"/>
    </w:pPr>
    <w:rPr>
      <w:b/>
    </w:rPr>
  </w:style>
  <w:style w:type="paragraph" w:styleId="Heading3">
    <w:name w:val="heading 3"/>
    <w:basedOn w:val="Normal"/>
    <w:next w:val="ParaNum"/>
    <w:qFormat/>
    <w:rsid w:val="0049112F"/>
    <w:pPr>
      <w:keepNext/>
      <w:numPr>
        <w:ilvl w:val="2"/>
        <w:numId w:val="3"/>
      </w:numPr>
      <w:tabs>
        <w:tab w:val="left" w:pos="2160"/>
      </w:tabs>
      <w:spacing w:after="120"/>
      <w:outlineLvl w:val="2"/>
    </w:pPr>
    <w:rPr>
      <w:b/>
    </w:rPr>
  </w:style>
  <w:style w:type="paragraph" w:styleId="Heading4">
    <w:name w:val="heading 4"/>
    <w:basedOn w:val="Normal"/>
    <w:next w:val="ParaNum"/>
    <w:qFormat/>
    <w:rsid w:val="0049112F"/>
    <w:pPr>
      <w:keepNext/>
      <w:numPr>
        <w:ilvl w:val="3"/>
        <w:numId w:val="3"/>
      </w:numPr>
      <w:tabs>
        <w:tab w:val="left" w:pos="2880"/>
      </w:tabs>
      <w:spacing w:after="120"/>
      <w:outlineLvl w:val="3"/>
    </w:pPr>
    <w:rPr>
      <w:b/>
    </w:rPr>
  </w:style>
  <w:style w:type="paragraph" w:styleId="Heading5">
    <w:name w:val="heading 5"/>
    <w:basedOn w:val="Normal"/>
    <w:next w:val="ParaNum"/>
    <w:qFormat/>
    <w:rsid w:val="004911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9112F"/>
    <w:pPr>
      <w:numPr>
        <w:ilvl w:val="5"/>
        <w:numId w:val="3"/>
      </w:numPr>
      <w:tabs>
        <w:tab w:val="left" w:pos="4320"/>
      </w:tabs>
      <w:spacing w:after="120"/>
      <w:outlineLvl w:val="5"/>
    </w:pPr>
    <w:rPr>
      <w:b/>
    </w:rPr>
  </w:style>
  <w:style w:type="paragraph" w:styleId="Heading7">
    <w:name w:val="heading 7"/>
    <w:basedOn w:val="Normal"/>
    <w:next w:val="ParaNum"/>
    <w:qFormat/>
    <w:rsid w:val="004911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911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911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11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12F"/>
  </w:style>
  <w:style w:type="paragraph" w:customStyle="1" w:styleId="ParaNum">
    <w:name w:val="ParaNum"/>
    <w:basedOn w:val="Normal"/>
    <w:link w:val="ParaNumChar"/>
    <w:rsid w:val="0049112F"/>
    <w:pPr>
      <w:numPr>
        <w:numId w:val="2"/>
      </w:numPr>
      <w:tabs>
        <w:tab w:val="clear" w:pos="1080"/>
        <w:tab w:val="num" w:pos="1440"/>
      </w:tabs>
      <w:spacing w:after="120"/>
    </w:pPr>
  </w:style>
  <w:style w:type="paragraph" w:styleId="EndnoteText">
    <w:name w:val="endnote text"/>
    <w:basedOn w:val="Normal"/>
    <w:semiHidden/>
    <w:rsid w:val="0049112F"/>
    <w:rPr>
      <w:sz w:val="20"/>
    </w:rPr>
  </w:style>
  <w:style w:type="character" w:styleId="EndnoteReference">
    <w:name w:val="endnote reference"/>
    <w:semiHidden/>
    <w:rsid w:val="0049112F"/>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9112F"/>
    <w:pPr>
      <w:spacing w:after="120"/>
    </w:pPr>
  </w:style>
  <w:style w:type="character" w:styleId="FootnoteReference">
    <w:name w:val="footnote reference"/>
    <w:aliases w:val="Style 13,Style 12,(NECG) Footnote Reference,Appel note de bas de p,Style 124,fr,o,Style 3,FR,Style 17,Style 6,Footnote Reference/,Style 7"/>
    <w:rsid w:val="0049112F"/>
    <w:rPr>
      <w:rFonts w:ascii="Times New Roman" w:hAnsi="Times New Roman"/>
      <w:dstrike w:val="0"/>
      <w:color w:val="auto"/>
      <w:sz w:val="20"/>
      <w:vertAlign w:val="superscript"/>
    </w:rPr>
  </w:style>
  <w:style w:type="paragraph" w:styleId="TOC1">
    <w:name w:val="toc 1"/>
    <w:basedOn w:val="Normal"/>
    <w:next w:val="Normal"/>
    <w:semiHidden/>
    <w:rsid w:val="004911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112F"/>
    <w:pPr>
      <w:tabs>
        <w:tab w:val="left" w:pos="720"/>
        <w:tab w:val="right" w:leader="dot" w:pos="9360"/>
      </w:tabs>
      <w:suppressAutoHyphens/>
      <w:ind w:left="720" w:right="720" w:hanging="360"/>
    </w:pPr>
    <w:rPr>
      <w:noProof/>
    </w:rPr>
  </w:style>
  <w:style w:type="paragraph" w:styleId="TOC3">
    <w:name w:val="toc 3"/>
    <w:basedOn w:val="Normal"/>
    <w:next w:val="Normal"/>
    <w:semiHidden/>
    <w:rsid w:val="004911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11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11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11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11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11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11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112F"/>
    <w:pPr>
      <w:tabs>
        <w:tab w:val="right" w:pos="9360"/>
      </w:tabs>
      <w:suppressAutoHyphens/>
    </w:pPr>
  </w:style>
  <w:style w:type="character" w:customStyle="1" w:styleId="EquationCaption">
    <w:name w:val="_Equation Caption"/>
    <w:rsid w:val="0049112F"/>
  </w:style>
  <w:style w:type="paragraph" w:styleId="Header">
    <w:name w:val="header"/>
    <w:basedOn w:val="Normal"/>
    <w:autoRedefine/>
    <w:rsid w:val="0049112F"/>
    <w:pPr>
      <w:tabs>
        <w:tab w:val="center" w:pos="4680"/>
        <w:tab w:val="right" w:pos="9360"/>
      </w:tabs>
    </w:pPr>
    <w:rPr>
      <w:b/>
    </w:rPr>
  </w:style>
  <w:style w:type="paragraph" w:styleId="Footer">
    <w:name w:val="footer"/>
    <w:basedOn w:val="Normal"/>
    <w:rsid w:val="0049112F"/>
    <w:pPr>
      <w:tabs>
        <w:tab w:val="center" w:pos="4320"/>
        <w:tab w:val="right" w:pos="8640"/>
      </w:tabs>
    </w:pPr>
  </w:style>
  <w:style w:type="character" w:styleId="PageNumber">
    <w:name w:val="page number"/>
    <w:basedOn w:val="DefaultParagraphFont"/>
    <w:rsid w:val="0049112F"/>
  </w:style>
  <w:style w:type="paragraph" w:styleId="BlockText">
    <w:name w:val="Block Text"/>
    <w:basedOn w:val="Normal"/>
    <w:rsid w:val="0049112F"/>
    <w:pPr>
      <w:spacing w:after="240"/>
      <w:ind w:left="1440" w:right="1440"/>
    </w:pPr>
  </w:style>
  <w:style w:type="paragraph" w:customStyle="1" w:styleId="Paratitle">
    <w:name w:val="Para title"/>
    <w:basedOn w:val="Normal"/>
    <w:rsid w:val="0049112F"/>
    <w:pPr>
      <w:tabs>
        <w:tab w:val="center" w:pos="9270"/>
      </w:tabs>
      <w:spacing w:after="240"/>
    </w:pPr>
    <w:rPr>
      <w:spacing w:val="-2"/>
    </w:rPr>
  </w:style>
  <w:style w:type="paragraph" w:customStyle="1" w:styleId="Bullet">
    <w:name w:val="Bullet"/>
    <w:basedOn w:val="Normal"/>
    <w:rsid w:val="0049112F"/>
    <w:pPr>
      <w:tabs>
        <w:tab w:val="left" w:pos="2160"/>
      </w:tabs>
      <w:spacing w:after="220"/>
      <w:ind w:left="2160" w:hanging="720"/>
    </w:pPr>
  </w:style>
  <w:style w:type="paragraph" w:customStyle="1" w:styleId="TableFormat">
    <w:name w:val="TableFormat"/>
    <w:basedOn w:val="Bullet"/>
    <w:rsid w:val="0049112F"/>
    <w:pPr>
      <w:tabs>
        <w:tab w:val="clear" w:pos="2160"/>
        <w:tab w:val="left" w:pos="5040"/>
      </w:tabs>
      <w:ind w:left="5040" w:hanging="3600"/>
    </w:pPr>
  </w:style>
  <w:style w:type="paragraph" w:customStyle="1" w:styleId="TOCTitle">
    <w:name w:val="TOC Title"/>
    <w:basedOn w:val="Normal"/>
    <w:rsid w:val="004911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112F"/>
    <w:pPr>
      <w:jc w:val="center"/>
    </w:pPr>
    <w:rPr>
      <w:rFonts w:ascii="Times New Roman Bold" w:hAnsi="Times New Roman Bold"/>
      <w:b/>
      <w:bCs/>
      <w:caps/>
      <w:szCs w:val="22"/>
    </w:rPr>
  </w:style>
  <w:style w:type="character" w:styleId="Hyperlink">
    <w:name w:val="Hyperlink"/>
    <w:rsid w:val="0049112F"/>
    <w:rPr>
      <w:color w:val="0000FF"/>
      <w:u w:val="single"/>
    </w:rPr>
  </w:style>
  <w:style w:type="character" w:customStyle="1" w:styleId="Heading1Char">
    <w:name w:val="Heading 1 Char"/>
    <w:link w:val="Heading1"/>
    <w:rsid w:val="0062540E"/>
    <w:rPr>
      <w:rFonts w:ascii="Times New Roman Bold" w:hAnsi="Times New Roman Bold"/>
      <w:b/>
      <w:caps/>
      <w:snapToGrid w:val="0"/>
      <w:kern w:val="28"/>
      <w:sz w:val="22"/>
    </w:rPr>
  </w:style>
  <w:style w:type="character" w:customStyle="1" w:styleId="Heading2Char">
    <w:name w:val="Heading 2 Char"/>
    <w:link w:val="Heading2"/>
    <w:rsid w:val="0062540E"/>
    <w:rPr>
      <w:b/>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62540E"/>
  </w:style>
  <w:style w:type="character" w:customStyle="1" w:styleId="ParaNumChar">
    <w:name w:val="ParaNum Char"/>
    <w:link w:val="ParaNum"/>
    <w:locked/>
    <w:rsid w:val="0062540E"/>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58694E"/>
  </w:style>
  <w:style w:type="character" w:styleId="CommentReference">
    <w:name w:val="annotation reference"/>
    <w:basedOn w:val="DefaultParagraphFont"/>
    <w:semiHidden/>
    <w:unhideWhenUsed/>
    <w:rsid w:val="00792A6E"/>
    <w:rPr>
      <w:sz w:val="16"/>
      <w:szCs w:val="16"/>
    </w:rPr>
  </w:style>
  <w:style w:type="paragraph" w:styleId="CommentText">
    <w:name w:val="annotation text"/>
    <w:basedOn w:val="Normal"/>
    <w:link w:val="CommentTextChar"/>
    <w:unhideWhenUsed/>
    <w:rsid w:val="00792A6E"/>
    <w:rPr>
      <w:sz w:val="20"/>
    </w:rPr>
  </w:style>
  <w:style w:type="character" w:customStyle="1" w:styleId="CommentTextChar">
    <w:name w:val="Comment Text Char"/>
    <w:basedOn w:val="DefaultParagraphFont"/>
    <w:link w:val="CommentText"/>
    <w:rsid w:val="00792A6E"/>
    <w:rPr>
      <w:snapToGrid w:val="0"/>
      <w:kern w:val="28"/>
    </w:rPr>
  </w:style>
  <w:style w:type="paragraph" w:styleId="CommentSubject">
    <w:name w:val="annotation subject"/>
    <w:basedOn w:val="CommentText"/>
    <w:next w:val="CommentText"/>
    <w:link w:val="CommentSubjectChar"/>
    <w:semiHidden/>
    <w:unhideWhenUsed/>
    <w:rsid w:val="00792A6E"/>
    <w:rPr>
      <w:b/>
      <w:bCs/>
    </w:rPr>
  </w:style>
  <w:style w:type="character" w:customStyle="1" w:styleId="CommentSubjectChar">
    <w:name w:val="Comment Subject Char"/>
    <w:basedOn w:val="CommentTextChar"/>
    <w:link w:val="CommentSubject"/>
    <w:semiHidden/>
    <w:rsid w:val="00792A6E"/>
    <w:rPr>
      <w:b/>
      <w:bCs/>
      <w:snapToGrid w:val="0"/>
      <w:kern w:val="28"/>
    </w:rPr>
  </w:style>
  <w:style w:type="paragraph" w:styleId="BalloonText">
    <w:name w:val="Balloon Text"/>
    <w:basedOn w:val="Normal"/>
    <w:link w:val="BalloonTextChar"/>
    <w:semiHidden/>
    <w:unhideWhenUsed/>
    <w:rsid w:val="00792A6E"/>
    <w:rPr>
      <w:rFonts w:ascii="Segoe UI" w:hAnsi="Segoe UI" w:cs="Segoe UI"/>
      <w:sz w:val="18"/>
      <w:szCs w:val="18"/>
    </w:rPr>
  </w:style>
  <w:style w:type="character" w:customStyle="1" w:styleId="BalloonTextChar">
    <w:name w:val="Balloon Text Char"/>
    <w:basedOn w:val="DefaultParagraphFont"/>
    <w:link w:val="BalloonText"/>
    <w:semiHidden/>
    <w:rsid w:val="00792A6E"/>
    <w:rPr>
      <w:rFonts w:ascii="Segoe UI" w:hAnsi="Segoe UI" w:cs="Segoe UI"/>
      <w:snapToGrid w:val="0"/>
      <w:kern w:val="28"/>
      <w:sz w:val="18"/>
      <w:szCs w:val="18"/>
    </w:rPr>
  </w:style>
  <w:style w:type="paragraph" w:styleId="Revision">
    <w:name w:val="Revision"/>
    <w:hidden/>
    <w:uiPriority w:val="99"/>
    <w:semiHidden/>
    <w:rsid w:val="006862B2"/>
    <w:rPr>
      <w:snapToGrid w:val="0"/>
      <w:kern w:val="28"/>
      <w:sz w:val="22"/>
    </w:rPr>
  </w:style>
  <w:style w:type="character" w:styleId="PlaceholderText">
    <w:name w:val="Placeholder Text"/>
    <w:basedOn w:val="DefaultParagraphFont"/>
    <w:uiPriority w:val="99"/>
    <w:semiHidden/>
    <w:rsid w:val="006862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1944</Words>
  <Characters>10602</Characters>
  <Application>Microsoft Office Word</Application>
  <DocSecurity>0</DocSecurity>
  <Lines>162</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2017-02-24T20:27:00Z</dcterms:created>
  <dcterms:modified xsi:type="dcterms:W3CDTF">2017-02-24T20:27:00Z</dcterms:modified>
  <cp:category> </cp:category>
  <cp:contentStatus> </cp:contentStatus>
</cp:coreProperties>
</file>