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8A9" w:rsidRPr="00B20363" w:rsidRDefault="00B338A9" w:rsidP="00B338A9">
      <w:pPr>
        <w:spacing w:before="120" w:after="240"/>
        <w:rPr>
          <w:b/>
          <w:sz w:val="24"/>
        </w:rPr>
      </w:pPr>
      <w:bookmarkStart w:id="0" w:name="_GoBack"/>
      <w:bookmarkEnd w:id="0"/>
    </w:p>
    <w:p w:rsidR="004F7405" w:rsidRPr="004F7405" w:rsidRDefault="00A17DB5" w:rsidP="004F7405">
      <w:pPr>
        <w:widowControl/>
        <w:suppressAutoHyphens/>
        <w:jc w:val="right"/>
        <w:rPr>
          <w:b/>
          <w:color w:val="000000"/>
        </w:rPr>
      </w:pPr>
      <w:r>
        <w:rPr>
          <w:b/>
          <w:snapToGrid/>
          <w:color w:val="000000"/>
          <w:kern w:val="0"/>
          <w:sz w:val="24"/>
          <w:szCs w:val="24"/>
        </w:rPr>
        <w:t xml:space="preserve">               </w:t>
      </w:r>
      <w:r w:rsidR="00695410">
        <w:rPr>
          <w:b/>
          <w:color w:val="000000"/>
        </w:rPr>
        <w:t>DA 17</w:t>
      </w:r>
      <w:r w:rsidR="004F7405" w:rsidRPr="004F7405">
        <w:rPr>
          <w:b/>
          <w:color w:val="000000"/>
        </w:rPr>
        <w:t>-</w:t>
      </w:r>
      <w:r w:rsidR="00695410">
        <w:rPr>
          <w:b/>
          <w:color w:val="000000"/>
        </w:rPr>
        <w:t>200</w:t>
      </w:r>
    </w:p>
    <w:p w:rsidR="004F7405" w:rsidRPr="004F7405" w:rsidRDefault="00E74046" w:rsidP="004F7405">
      <w:pPr>
        <w:widowControl/>
        <w:suppressAutoHyphens/>
        <w:spacing w:after="240"/>
        <w:jc w:val="right"/>
        <w:rPr>
          <w:b/>
          <w:color w:val="000000"/>
        </w:rPr>
      </w:pPr>
      <w:r>
        <w:rPr>
          <w:b/>
          <w:color w:val="000000"/>
        </w:rPr>
        <w:t>Released:  February</w:t>
      </w:r>
      <w:r w:rsidR="00397D7B">
        <w:rPr>
          <w:b/>
          <w:color w:val="000000"/>
        </w:rPr>
        <w:t xml:space="preserve"> </w:t>
      </w:r>
      <w:r w:rsidR="0096563F">
        <w:rPr>
          <w:b/>
          <w:color w:val="000000"/>
        </w:rPr>
        <w:t>28</w:t>
      </w:r>
      <w:r>
        <w:rPr>
          <w:b/>
          <w:color w:val="000000"/>
        </w:rPr>
        <w:t>, 2017</w:t>
      </w:r>
    </w:p>
    <w:p w:rsidR="00397D7B" w:rsidRPr="00397D7B" w:rsidRDefault="004F7405" w:rsidP="00397D7B">
      <w:pPr>
        <w:jc w:val="center"/>
        <w:rPr>
          <w:b/>
          <w:bCs/>
          <w:snapToGrid/>
          <w:kern w:val="0"/>
          <w:szCs w:val="22"/>
        </w:rPr>
      </w:pPr>
      <w:r w:rsidRPr="004F7405">
        <w:rPr>
          <w:b/>
          <w:szCs w:val="22"/>
        </w:rPr>
        <w:t xml:space="preserve">DOMESTIC SECTION 214 APPLICATION GRANTED </w:t>
      </w:r>
      <w:r w:rsidR="00397D7B" w:rsidRPr="00397D7B">
        <w:rPr>
          <w:b/>
          <w:bCs/>
          <w:snapToGrid/>
          <w:kern w:val="0"/>
          <w:szCs w:val="22"/>
        </w:rPr>
        <w:t xml:space="preserve">FOR THE </w:t>
      </w:r>
    </w:p>
    <w:p w:rsidR="00397D7B" w:rsidRPr="00397D7B" w:rsidRDefault="00397D7B" w:rsidP="00397D7B">
      <w:pPr>
        <w:widowControl/>
        <w:jc w:val="center"/>
        <w:rPr>
          <w:b/>
          <w:bCs/>
          <w:snapToGrid/>
          <w:kern w:val="0"/>
          <w:szCs w:val="22"/>
        </w:rPr>
      </w:pPr>
      <w:r w:rsidRPr="00397D7B">
        <w:rPr>
          <w:b/>
          <w:bCs/>
          <w:snapToGrid/>
          <w:kern w:val="0"/>
          <w:szCs w:val="22"/>
        </w:rPr>
        <w:t xml:space="preserve">TRANSFER OF CONTROL OF SOVERNET, INC., ION HOLDCO, LLC, </w:t>
      </w:r>
    </w:p>
    <w:p w:rsidR="00397D7B" w:rsidRPr="00397D7B" w:rsidRDefault="00397D7B" w:rsidP="00397D7B">
      <w:pPr>
        <w:widowControl/>
        <w:jc w:val="center"/>
        <w:rPr>
          <w:b/>
          <w:bCs/>
          <w:snapToGrid/>
          <w:kern w:val="0"/>
          <w:szCs w:val="22"/>
        </w:rPr>
      </w:pPr>
      <w:r w:rsidRPr="00397D7B">
        <w:rPr>
          <w:b/>
          <w:bCs/>
          <w:snapToGrid/>
          <w:kern w:val="0"/>
          <w:szCs w:val="22"/>
        </w:rPr>
        <w:t xml:space="preserve">SOVERNET FIBER CORP., AND </w:t>
      </w:r>
    </w:p>
    <w:p w:rsidR="00397D7B" w:rsidRPr="00397D7B" w:rsidRDefault="00397D7B" w:rsidP="00397D7B">
      <w:pPr>
        <w:widowControl/>
        <w:jc w:val="center"/>
        <w:rPr>
          <w:b/>
          <w:bCs/>
          <w:snapToGrid/>
          <w:kern w:val="0"/>
          <w:szCs w:val="22"/>
        </w:rPr>
      </w:pPr>
      <w:r w:rsidRPr="00397D7B">
        <w:rPr>
          <w:b/>
          <w:bCs/>
          <w:snapToGrid/>
          <w:kern w:val="0"/>
          <w:szCs w:val="22"/>
        </w:rPr>
        <w:t xml:space="preserve">NATIONAL MOBILE COMMUNICATIONS CORPORATION TO </w:t>
      </w:r>
    </w:p>
    <w:p w:rsidR="004F7405" w:rsidRPr="004F7405" w:rsidRDefault="00397D7B" w:rsidP="00397D7B">
      <w:pPr>
        <w:widowControl/>
        <w:jc w:val="center"/>
        <w:rPr>
          <w:b/>
          <w:szCs w:val="22"/>
        </w:rPr>
      </w:pPr>
      <w:r w:rsidRPr="00397D7B">
        <w:rPr>
          <w:b/>
          <w:bCs/>
          <w:snapToGrid/>
          <w:kern w:val="0"/>
          <w:szCs w:val="22"/>
        </w:rPr>
        <w:t>OHCP NORTHEASTERN FIBER BUYER, INC.</w:t>
      </w:r>
    </w:p>
    <w:p w:rsidR="004F7405" w:rsidRPr="004F7405" w:rsidRDefault="004F7405" w:rsidP="004F7405">
      <w:pPr>
        <w:widowControl/>
        <w:suppressAutoHyphens/>
        <w:jc w:val="center"/>
        <w:rPr>
          <w:b/>
          <w:color w:val="000000"/>
          <w:szCs w:val="22"/>
        </w:rPr>
      </w:pPr>
    </w:p>
    <w:p w:rsidR="004F7405" w:rsidRPr="004F7405" w:rsidRDefault="004F7405" w:rsidP="004F7405">
      <w:pPr>
        <w:widowControl/>
        <w:suppressAutoHyphens/>
        <w:spacing w:after="240"/>
        <w:jc w:val="center"/>
        <w:rPr>
          <w:b/>
          <w:color w:val="000000"/>
          <w:szCs w:val="22"/>
        </w:rPr>
      </w:pPr>
      <w:r w:rsidRPr="004F7405">
        <w:rPr>
          <w:b/>
          <w:color w:val="000000"/>
          <w:szCs w:val="22"/>
        </w:rPr>
        <w:t xml:space="preserve">WC </w:t>
      </w:r>
      <w:r w:rsidR="00397D7B">
        <w:rPr>
          <w:b/>
          <w:color w:val="000000"/>
          <w:szCs w:val="22"/>
        </w:rPr>
        <w:t>Docket No. 16</w:t>
      </w:r>
      <w:r w:rsidRPr="004F7405">
        <w:rPr>
          <w:b/>
          <w:color w:val="000000"/>
          <w:szCs w:val="22"/>
        </w:rPr>
        <w:t>-2</w:t>
      </w:r>
      <w:r w:rsidR="00397D7B">
        <w:rPr>
          <w:b/>
          <w:color w:val="000000"/>
          <w:szCs w:val="22"/>
        </w:rPr>
        <w:t>66</w:t>
      </w:r>
    </w:p>
    <w:p w:rsidR="004F7405" w:rsidRPr="0053307A" w:rsidRDefault="00FC41A3" w:rsidP="0053307A">
      <w:pPr>
        <w:widowControl/>
        <w:autoSpaceDE w:val="0"/>
        <w:autoSpaceDN w:val="0"/>
        <w:adjustRightInd w:val="0"/>
        <w:ind w:firstLine="720"/>
        <w:rPr>
          <w:snapToGrid/>
          <w:kern w:val="0"/>
          <w:szCs w:val="22"/>
        </w:rPr>
      </w:pPr>
      <w:r>
        <w:rPr>
          <w:snapToGrid/>
          <w:color w:val="231F20"/>
          <w:kern w:val="0"/>
          <w:szCs w:val="22"/>
        </w:rPr>
        <w:t xml:space="preserve">By this Public Notice, </w:t>
      </w:r>
      <w:r w:rsidR="00D06A61">
        <w:rPr>
          <w:snapToGrid/>
          <w:color w:val="231F20"/>
          <w:kern w:val="0"/>
          <w:szCs w:val="22"/>
        </w:rPr>
        <w:t>the Wireline Competition Bureau (Bureau)</w:t>
      </w:r>
      <w:r>
        <w:rPr>
          <w:snapToGrid/>
          <w:color w:val="231F20"/>
          <w:kern w:val="0"/>
          <w:szCs w:val="22"/>
        </w:rPr>
        <w:t xml:space="preserve"> grant</w:t>
      </w:r>
      <w:r w:rsidR="00D06A61">
        <w:rPr>
          <w:snapToGrid/>
          <w:color w:val="231F20"/>
          <w:kern w:val="0"/>
          <w:szCs w:val="22"/>
        </w:rPr>
        <w:t>s</w:t>
      </w:r>
      <w:r>
        <w:rPr>
          <w:snapToGrid/>
          <w:color w:val="231F20"/>
          <w:kern w:val="0"/>
          <w:szCs w:val="22"/>
        </w:rPr>
        <w:t xml:space="preserve"> the application filed by </w:t>
      </w:r>
      <w:r w:rsidR="0053307A" w:rsidRPr="0053307A">
        <w:rPr>
          <w:snapToGrid/>
          <w:color w:val="231F20"/>
          <w:kern w:val="0"/>
          <w:szCs w:val="22"/>
        </w:rPr>
        <w:t xml:space="preserve">ATN International, Inc. (ATN International) and OHCP Northeastern Fiber Buyer, Inc. (OHCP Buyer) </w:t>
      </w:r>
      <w:r w:rsidR="0053307A" w:rsidRPr="0053307A">
        <w:rPr>
          <w:snapToGrid/>
          <w:kern w:val="0"/>
          <w:szCs w:val="22"/>
        </w:rPr>
        <w:t>(together, Applicants)</w:t>
      </w:r>
      <w:r>
        <w:rPr>
          <w:snapToGrid/>
          <w:kern w:val="0"/>
          <w:szCs w:val="22"/>
        </w:rPr>
        <w:t>,</w:t>
      </w:r>
      <w:r w:rsidR="0053307A" w:rsidRPr="0053307A">
        <w:rPr>
          <w:snapToGrid/>
          <w:kern w:val="0"/>
          <w:szCs w:val="22"/>
        </w:rPr>
        <w:t xml:space="preserve"> pursuant to section 214 of the Communications Act of 1934, as amended, and section 63.03 of the Commission’s rules, requesting </w:t>
      </w:r>
      <w:r w:rsidR="0053307A" w:rsidRPr="0053307A">
        <w:rPr>
          <w:snapToGrid/>
          <w:color w:val="000000"/>
          <w:kern w:val="0"/>
          <w:szCs w:val="22"/>
        </w:rPr>
        <w:t>consent</w:t>
      </w:r>
      <w:r w:rsidR="0053307A" w:rsidRPr="0053307A">
        <w:rPr>
          <w:snapToGrid/>
          <w:kern w:val="0"/>
          <w:szCs w:val="22"/>
        </w:rPr>
        <w:t xml:space="preserve"> to tran</w:t>
      </w:r>
      <w:r w:rsidR="00836B86">
        <w:rPr>
          <w:snapToGrid/>
          <w:kern w:val="0"/>
          <w:szCs w:val="22"/>
        </w:rPr>
        <w:t>sfer control of Sovernet, Inc.</w:t>
      </w:r>
      <w:r w:rsidR="0053307A" w:rsidRPr="0053307A">
        <w:rPr>
          <w:snapToGrid/>
          <w:kern w:val="0"/>
          <w:szCs w:val="22"/>
        </w:rPr>
        <w:t>, ION Holdco, LLC, Sovernet Fiber Corp., and National Mobile C</w:t>
      </w:r>
      <w:r w:rsidR="00896DF0">
        <w:rPr>
          <w:snapToGrid/>
          <w:kern w:val="0"/>
          <w:szCs w:val="22"/>
        </w:rPr>
        <w:t>ommunications Corporation</w:t>
      </w:r>
      <w:r w:rsidR="0053307A" w:rsidRPr="0053307A">
        <w:rPr>
          <w:snapToGrid/>
          <w:kern w:val="0"/>
          <w:szCs w:val="22"/>
        </w:rPr>
        <w:t xml:space="preserve"> </w:t>
      </w:r>
      <w:r w:rsidR="00BE38D1">
        <w:rPr>
          <w:snapToGrid/>
          <w:kern w:val="0"/>
          <w:szCs w:val="22"/>
        </w:rPr>
        <w:t xml:space="preserve">(collectively, Licensees) </w:t>
      </w:r>
      <w:r w:rsidR="0053307A" w:rsidRPr="0053307A">
        <w:rPr>
          <w:snapToGrid/>
          <w:kern w:val="0"/>
          <w:szCs w:val="22"/>
        </w:rPr>
        <w:t xml:space="preserve">from </w:t>
      </w:r>
      <w:r w:rsidR="0053307A" w:rsidRPr="0053307A">
        <w:rPr>
          <w:snapToGrid/>
          <w:color w:val="231F20"/>
          <w:kern w:val="0"/>
          <w:szCs w:val="22"/>
        </w:rPr>
        <w:t>ATN International</w:t>
      </w:r>
      <w:r w:rsidR="0053307A" w:rsidRPr="0053307A">
        <w:rPr>
          <w:snapToGrid/>
          <w:kern w:val="0"/>
          <w:szCs w:val="22"/>
        </w:rPr>
        <w:t xml:space="preserve"> to OHCP Buyer.</w:t>
      </w:r>
      <w:r w:rsidR="0053307A" w:rsidRPr="0053307A">
        <w:rPr>
          <w:snapToGrid/>
          <w:kern w:val="0"/>
          <w:szCs w:val="22"/>
          <w:vertAlign w:val="superscript"/>
        </w:rPr>
        <w:footnoteReference w:id="2"/>
      </w:r>
      <w:r w:rsidR="004F7405" w:rsidRPr="004F7405">
        <w:rPr>
          <w:snapToGrid/>
          <w:kern w:val="0"/>
          <w:szCs w:val="22"/>
        </w:rPr>
        <w:t xml:space="preserve"> </w:t>
      </w:r>
      <w:r w:rsidR="004F7405" w:rsidRPr="004F7405">
        <w:rPr>
          <w:snapToGrid/>
          <w:color w:val="231F20"/>
          <w:kern w:val="0"/>
          <w:szCs w:val="22"/>
        </w:rPr>
        <w:t xml:space="preserve"> </w:t>
      </w:r>
      <w:r w:rsidR="004F7405" w:rsidRPr="004F7405">
        <w:rPr>
          <w:snapToGrid/>
          <w:kern w:val="0"/>
          <w:szCs w:val="22"/>
        </w:rPr>
        <w:t xml:space="preserve"> </w:t>
      </w:r>
    </w:p>
    <w:p w:rsidR="004F7405" w:rsidRPr="004F7405" w:rsidRDefault="004F7405" w:rsidP="004F7405">
      <w:pPr>
        <w:ind w:firstLine="720"/>
        <w:jc w:val="both"/>
        <w:rPr>
          <w:szCs w:val="22"/>
        </w:rPr>
      </w:pPr>
    </w:p>
    <w:p w:rsidR="00B542FC" w:rsidRPr="004F7405" w:rsidRDefault="0053307A" w:rsidP="00B542FC">
      <w:pPr>
        <w:ind w:firstLine="720"/>
        <w:rPr>
          <w:snapToGrid/>
          <w:kern w:val="0"/>
          <w:szCs w:val="22"/>
        </w:rPr>
      </w:pPr>
      <w:r>
        <w:rPr>
          <w:szCs w:val="22"/>
        </w:rPr>
        <w:t>On September 28, 2016</w:t>
      </w:r>
      <w:r w:rsidR="004F7405" w:rsidRPr="004F7405">
        <w:rPr>
          <w:szCs w:val="22"/>
        </w:rPr>
        <w:t>, the Bureau released a Public Notice requesting comment on the Application.</w:t>
      </w:r>
      <w:r w:rsidR="004F7405" w:rsidRPr="004F7405">
        <w:rPr>
          <w:szCs w:val="22"/>
          <w:vertAlign w:val="superscript"/>
        </w:rPr>
        <w:footnoteReference w:id="3"/>
      </w:r>
      <w:r w:rsidR="006A117D">
        <w:rPr>
          <w:szCs w:val="22"/>
        </w:rPr>
        <w:t xml:space="preserve">  On October 26, 2016</w:t>
      </w:r>
      <w:r w:rsidR="004F7405" w:rsidRPr="004F7405">
        <w:rPr>
          <w:szCs w:val="22"/>
        </w:rPr>
        <w:t>, the Department of Justice</w:t>
      </w:r>
      <w:r w:rsidR="00581649">
        <w:rPr>
          <w:szCs w:val="22"/>
        </w:rPr>
        <w:t xml:space="preserve"> (DOJ)</w:t>
      </w:r>
      <w:r w:rsidR="004F7405" w:rsidRPr="004F7405">
        <w:rPr>
          <w:szCs w:val="22"/>
        </w:rPr>
        <w:t xml:space="preserve">, with the concurrence of the U.S. Department of Homeland Security and the </w:t>
      </w:r>
      <w:r w:rsidR="00581649">
        <w:rPr>
          <w:szCs w:val="22"/>
        </w:rPr>
        <w:t xml:space="preserve">U.S. </w:t>
      </w:r>
      <w:r w:rsidR="004F7405" w:rsidRPr="004F7405">
        <w:rPr>
          <w:szCs w:val="22"/>
        </w:rPr>
        <w:t>Department of Defense (collectively, the Executive Branch Agencies), filed a letter requesting that the Commission defer action on this proceeding while they completed their review of any national security, law enforcement, and public safety issues.</w:t>
      </w:r>
      <w:r w:rsidR="004F7405" w:rsidRPr="004F7405">
        <w:rPr>
          <w:szCs w:val="22"/>
          <w:vertAlign w:val="superscript"/>
        </w:rPr>
        <w:footnoteReference w:id="4"/>
      </w:r>
      <w:r w:rsidR="004F7405" w:rsidRPr="004F7405">
        <w:rPr>
          <w:szCs w:val="22"/>
        </w:rPr>
        <w:t xml:space="preserve">  </w:t>
      </w:r>
      <w:r w:rsidR="004F7405" w:rsidRPr="004F7405">
        <w:rPr>
          <w:color w:val="000000"/>
          <w:szCs w:val="22"/>
        </w:rPr>
        <w:t>We deferred action in response to the Executive Branch Agencies’ request.</w:t>
      </w:r>
      <w:r w:rsidR="00306EBF">
        <w:rPr>
          <w:snapToGrid/>
          <w:kern w:val="0"/>
          <w:szCs w:val="22"/>
        </w:rPr>
        <w:t xml:space="preserve">  </w:t>
      </w:r>
      <w:r w:rsidR="00581649" w:rsidRPr="007A221A">
        <w:rPr>
          <w:szCs w:val="22"/>
        </w:rPr>
        <w:t xml:space="preserve">On </w:t>
      </w:r>
      <w:r w:rsidR="00581649">
        <w:rPr>
          <w:szCs w:val="22"/>
        </w:rPr>
        <w:t>Februa</w:t>
      </w:r>
      <w:r w:rsidR="00B542FC">
        <w:rPr>
          <w:szCs w:val="22"/>
        </w:rPr>
        <w:t>ry 21</w:t>
      </w:r>
      <w:r w:rsidR="00581649" w:rsidRPr="007A221A">
        <w:rPr>
          <w:szCs w:val="22"/>
        </w:rPr>
        <w:t>, 201</w:t>
      </w:r>
      <w:r w:rsidR="00581649">
        <w:rPr>
          <w:szCs w:val="22"/>
        </w:rPr>
        <w:t>7</w:t>
      </w:r>
      <w:r w:rsidR="00581649" w:rsidRPr="007A221A">
        <w:rPr>
          <w:szCs w:val="22"/>
        </w:rPr>
        <w:t xml:space="preserve">, </w:t>
      </w:r>
      <w:r w:rsidR="00B542FC" w:rsidRPr="004F7405">
        <w:rPr>
          <w:snapToGrid/>
          <w:kern w:val="0"/>
          <w:szCs w:val="22"/>
        </w:rPr>
        <w:t>the Executive Branch Agencies notified the Bureau that they withdraw their request to defer action.</w:t>
      </w:r>
      <w:r w:rsidR="00B542FC" w:rsidRPr="004F7405">
        <w:rPr>
          <w:snapToGrid/>
          <w:kern w:val="0"/>
          <w:szCs w:val="22"/>
          <w:vertAlign w:val="superscript"/>
        </w:rPr>
        <w:footnoteReference w:id="5"/>
      </w:r>
      <w:r w:rsidR="00B542FC" w:rsidRPr="004F7405">
        <w:rPr>
          <w:snapToGrid/>
          <w:kern w:val="0"/>
          <w:szCs w:val="22"/>
        </w:rPr>
        <w:t xml:space="preserve">  T</w:t>
      </w:r>
      <w:r w:rsidR="00B542FC" w:rsidRPr="004F7405">
        <w:rPr>
          <w:color w:val="212121"/>
          <w:szCs w:val="22"/>
        </w:rPr>
        <w:t>h</w:t>
      </w:r>
      <w:r w:rsidR="00B542FC">
        <w:rPr>
          <w:color w:val="212121"/>
          <w:szCs w:val="22"/>
        </w:rPr>
        <w:t>ey</w:t>
      </w:r>
      <w:r w:rsidR="00B542FC" w:rsidRPr="004F7405">
        <w:rPr>
          <w:color w:val="212121"/>
          <w:szCs w:val="22"/>
        </w:rPr>
        <w:t xml:space="preserve"> state that, based on the information provided to them by the Applicants and their analysis of potential national security, law enforcement, and public safety issues, they have no objection to the Application.</w:t>
      </w:r>
      <w:r w:rsidR="00B542FC" w:rsidRPr="004F7405">
        <w:rPr>
          <w:snapToGrid/>
          <w:kern w:val="0"/>
          <w:szCs w:val="22"/>
        </w:rPr>
        <w:t xml:space="preserve"> </w:t>
      </w:r>
    </w:p>
    <w:p w:rsidR="004F7405" w:rsidRPr="004F7405" w:rsidRDefault="004F7405" w:rsidP="004F7405">
      <w:pPr>
        <w:ind w:firstLine="720"/>
        <w:rPr>
          <w:color w:val="000000"/>
          <w:szCs w:val="22"/>
        </w:rPr>
      </w:pPr>
    </w:p>
    <w:p w:rsidR="004F7405" w:rsidRPr="004F7405" w:rsidRDefault="000015B2" w:rsidP="0082601D">
      <w:pPr>
        <w:widowControl/>
        <w:ind w:firstLine="720"/>
        <w:rPr>
          <w:color w:val="000000"/>
          <w:szCs w:val="22"/>
        </w:rPr>
      </w:pPr>
      <w:bookmarkStart w:id="1" w:name="sp_999_1"/>
      <w:bookmarkStart w:id="2" w:name="SDU_1"/>
      <w:bookmarkStart w:id="3" w:name="SearchTerm"/>
      <w:bookmarkEnd w:id="1"/>
      <w:bookmarkEnd w:id="2"/>
      <w:r>
        <w:rPr>
          <w:color w:val="000000"/>
          <w:szCs w:val="22"/>
        </w:rPr>
        <w:t>No comments were filed in opposition to a grant of the Application, and t</w:t>
      </w:r>
      <w:r w:rsidR="004F7405" w:rsidRPr="004F7405">
        <w:rPr>
          <w:color w:val="000000"/>
          <w:szCs w:val="22"/>
        </w:rPr>
        <w:t>he Bureau finds, upon consideration of the record, that grant of the Application</w:t>
      </w:r>
      <w:bookmarkEnd w:id="3"/>
      <w:r w:rsidR="004F7405" w:rsidRPr="004F7405">
        <w:rPr>
          <w:color w:val="000000"/>
          <w:szCs w:val="22"/>
        </w:rPr>
        <w:t xml:space="preserve"> will serve the public interest, convenience, and necessity.</w:t>
      </w:r>
      <w:r w:rsidR="004F7405" w:rsidRPr="004F7405">
        <w:rPr>
          <w:szCs w:val="22"/>
          <w:vertAlign w:val="superscript"/>
        </w:rPr>
        <w:footnoteReference w:id="6"/>
      </w:r>
      <w:r w:rsidR="004F7405" w:rsidRPr="004F7405">
        <w:rPr>
          <w:color w:val="000000"/>
          <w:szCs w:val="22"/>
        </w:rPr>
        <w:t xml:space="preserve"> </w:t>
      </w:r>
      <w:bookmarkStart w:id="4" w:name="FN[FN9]"/>
      <w:bookmarkEnd w:id="4"/>
      <w:r w:rsidR="00AE3417">
        <w:rPr>
          <w:color w:val="000000"/>
          <w:szCs w:val="22"/>
        </w:rPr>
        <w:t xml:space="preserve"> </w:t>
      </w:r>
      <w:r w:rsidR="004F7405" w:rsidRPr="004F7405">
        <w:rPr>
          <w:color w:val="000000"/>
          <w:szCs w:val="22"/>
        </w:rPr>
        <w:t>Pursuant to section 1.103 of the Commission's rules, 47 C.F.R. § 1.103, the grant is effective upon release of this Public Notice.</w:t>
      </w:r>
      <w:bookmarkStart w:id="5" w:name="FN[FN11]"/>
      <w:bookmarkEnd w:id="5"/>
      <w:r w:rsidR="004F7405" w:rsidRPr="004F7405">
        <w:rPr>
          <w:color w:val="000000"/>
          <w:szCs w:val="22"/>
        </w:rPr>
        <w:t xml:space="preserve">  Petitions for reconsideration under section 1.106 or applications for review under section 1.115 of the Commission's rules, 47 C.F.R. §§ 1.106, 1.115, may be filed within 30 days of the date of this Public Notice.</w:t>
      </w:r>
      <w:bookmarkStart w:id="6" w:name="FN[FN12]"/>
      <w:bookmarkEnd w:id="6"/>
    </w:p>
    <w:p w:rsidR="004F7405" w:rsidRPr="004F7405" w:rsidRDefault="004F7405" w:rsidP="004F7405">
      <w:pPr>
        <w:ind w:firstLine="720"/>
        <w:rPr>
          <w:color w:val="000000"/>
          <w:szCs w:val="22"/>
        </w:rPr>
      </w:pPr>
      <w:bookmarkStart w:id="7" w:name="sp_999_2"/>
      <w:bookmarkStart w:id="8" w:name="SDU_2"/>
      <w:bookmarkEnd w:id="7"/>
      <w:bookmarkEnd w:id="8"/>
    </w:p>
    <w:p w:rsidR="004F7405" w:rsidRPr="004F7405" w:rsidRDefault="004F7405" w:rsidP="004F7405">
      <w:pPr>
        <w:ind w:firstLine="720"/>
        <w:rPr>
          <w:color w:val="000000"/>
          <w:szCs w:val="22"/>
        </w:rPr>
      </w:pPr>
      <w:r w:rsidRPr="004F7405">
        <w:rPr>
          <w:color w:val="000000"/>
          <w:szCs w:val="22"/>
        </w:rPr>
        <w:t>For further informat</w:t>
      </w:r>
      <w:r w:rsidR="00306EBF">
        <w:rPr>
          <w:color w:val="000000"/>
          <w:szCs w:val="22"/>
        </w:rPr>
        <w:t>ion, please contact Dennis Johnson</w:t>
      </w:r>
      <w:r w:rsidRPr="004F7405">
        <w:rPr>
          <w:color w:val="000000"/>
          <w:szCs w:val="22"/>
        </w:rPr>
        <w:t>, Wireline Competition Bureau, Competition Policy Division, (202) 418-0809.</w:t>
      </w:r>
    </w:p>
    <w:p w:rsidR="006A1F49" w:rsidRDefault="006A1F49" w:rsidP="004F7405">
      <w:pPr>
        <w:widowControl/>
        <w:ind w:left="7200"/>
        <w:rPr>
          <w:sz w:val="24"/>
        </w:rPr>
      </w:pPr>
    </w:p>
    <w:sectPr w:rsidR="006A1F49"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1B6" w:rsidRDefault="00FA41B6">
      <w:pPr>
        <w:spacing w:line="20" w:lineRule="exact"/>
      </w:pPr>
    </w:p>
  </w:endnote>
  <w:endnote w:type="continuationSeparator" w:id="0">
    <w:p w:rsidR="00FA41B6" w:rsidRDefault="00FA41B6">
      <w:r>
        <w:t xml:space="preserve"> </w:t>
      </w:r>
    </w:p>
  </w:endnote>
  <w:endnote w:type="continuationNotice" w:id="1">
    <w:p w:rsidR="00FA41B6" w:rsidRDefault="00FA41B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F937BA">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1B6" w:rsidRDefault="00FA41B6">
      <w:r>
        <w:separator/>
      </w:r>
    </w:p>
  </w:footnote>
  <w:footnote w:type="continuationSeparator" w:id="0">
    <w:p w:rsidR="00FA41B6" w:rsidRDefault="00FA41B6" w:rsidP="00C721AC">
      <w:pPr>
        <w:spacing w:before="120"/>
        <w:rPr>
          <w:sz w:val="20"/>
        </w:rPr>
      </w:pPr>
      <w:r>
        <w:rPr>
          <w:sz w:val="20"/>
        </w:rPr>
        <w:t xml:space="preserve">(Continued from previous page)  </w:t>
      </w:r>
      <w:r>
        <w:rPr>
          <w:sz w:val="20"/>
        </w:rPr>
        <w:separator/>
      </w:r>
    </w:p>
  </w:footnote>
  <w:footnote w:type="continuationNotice" w:id="1">
    <w:p w:rsidR="00FA41B6" w:rsidRDefault="00FA41B6" w:rsidP="00C721AC">
      <w:pPr>
        <w:jc w:val="right"/>
        <w:rPr>
          <w:sz w:val="20"/>
        </w:rPr>
      </w:pPr>
      <w:r>
        <w:rPr>
          <w:sz w:val="20"/>
        </w:rPr>
        <w:t>(continued….)</w:t>
      </w:r>
    </w:p>
  </w:footnote>
  <w:footnote w:id="2">
    <w:p w:rsidR="0053307A" w:rsidRPr="007A0E0B" w:rsidRDefault="0053307A" w:rsidP="0053307A">
      <w:pPr>
        <w:pStyle w:val="FootnoteText"/>
      </w:pPr>
      <w:r w:rsidRPr="007A0E0B">
        <w:rPr>
          <w:rStyle w:val="FootnoteReference"/>
        </w:rPr>
        <w:footnoteRef/>
      </w:r>
      <w:r w:rsidRPr="007A0E0B">
        <w:t xml:space="preserve"> </w:t>
      </w:r>
      <w:r w:rsidRPr="007A0E0B">
        <w:rPr>
          <w:i/>
        </w:rPr>
        <w:t xml:space="preserve">See </w:t>
      </w:r>
      <w:r w:rsidR="00E83D70">
        <w:t>47 U.S.C. § 214; 47 CF</w:t>
      </w:r>
      <w:r w:rsidRPr="007A0E0B">
        <w:t>R</w:t>
      </w:r>
      <w:r w:rsidR="00FB518C">
        <w:t xml:space="preserve"> </w:t>
      </w:r>
      <w:r w:rsidRPr="007A0E0B">
        <w:t xml:space="preserve">§ 63.03.  </w:t>
      </w:r>
      <w:r w:rsidRPr="00E2398D">
        <w:rPr>
          <w:i/>
        </w:rPr>
        <w:t xml:space="preserve">Domestic Section 214 Application Filed for the Transfer of Control of </w:t>
      </w:r>
      <w:r>
        <w:rPr>
          <w:i/>
        </w:rPr>
        <w:t>Sovernet.,</w:t>
      </w:r>
      <w:r w:rsidR="00E83D70">
        <w:rPr>
          <w:i/>
        </w:rPr>
        <w:t xml:space="preserve"> Inc.,</w:t>
      </w:r>
      <w:r>
        <w:rPr>
          <w:i/>
        </w:rPr>
        <w:t xml:space="preserve"> ION Holdco, LLC, Sovernet Fiber Corp., and National Mobile Communications Corporation to OHCP Northeastern Fiber Buyer, Inc.</w:t>
      </w:r>
      <w:r w:rsidRPr="00E2398D">
        <w:rPr>
          <w:i/>
          <w:iCs/>
        </w:rPr>
        <w:t xml:space="preserve">, </w:t>
      </w:r>
      <w:r>
        <w:t>WC Docket No. 16-266</w:t>
      </w:r>
      <w:r w:rsidRPr="00E2398D">
        <w:t xml:space="preserve"> </w:t>
      </w:r>
      <w:r>
        <w:t>(filed Aug. 18, 2016</w:t>
      </w:r>
      <w:r w:rsidRPr="00E2398D">
        <w:t>)</w:t>
      </w:r>
      <w:r>
        <w:t xml:space="preserve"> (Application)</w:t>
      </w:r>
      <w:r w:rsidRPr="00E2398D">
        <w:t>.</w:t>
      </w:r>
      <w:r w:rsidR="00AB00F6">
        <w:t xml:space="preserve">  </w:t>
      </w:r>
      <w:r w:rsidR="00AB00F6" w:rsidRPr="007A0E0B">
        <w:t>Applicants filed a supplement to their application on September 20, 2016.  Letter from Patrick S. Campbell and Craig Gilley, Counsel to the Applicants, to Marlene H. Dortch, FCC, WC Docket No. 16-266 (filed Sept. 20, 2016).</w:t>
      </w:r>
      <w:r w:rsidR="00D06A61" w:rsidRPr="00D06A61">
        <w:rPr>
          <w:szCs w:val="22"/>
        </w:rPr>
        <w:t xml:space="preserve"> </w:t>
      </w:r>
      <w:r w:rsidR="00D06A61">
        <w:rPr>
          <w:szCs w:val="22"/>
        </w:rPr>
        <w:t xml:space="preserve"> Licensees provide competitive telecommunications services in Massachusetts, New Hampshire, New York, Pennsylvania, and Vermont.  OHCP Buyer does not itself provide telecommunications services but is affiliated with competitive telecommunications providers offering service in these and other states.</w:t>
      </w:r>
    </w:p>
  </w:footnote>
  <w:footnote w:id="3">
    <w:p w:rsidR="004F7405" w:rsidRPr="00E2398D" w:rsidRDefault="004F7405" w:rsidP="004F7405">
      <w:pPr>
        <w:pStyle w:val="FootnoteText"/>
        <w:rPr>
          <w:i/>
        </w:rPr>
      </w:pPr>
      <w:r>
        <w:rPr>
          <w:rStyle w:val="FootnoteReference"/>
        </w:rPr>
        <w:footnoteRef/>
      </w:r>
      <w:r>
        <w:t xml:space="preserve"> </w:t>
      </w:r>
      <w:r w:rsidR="00161966" w:rsidRPr="00E2398D">
        <w:rPr>
          <w:i/>
        </w:rPr>
        <w:t xml:space="preserve">Domestic Section 214 Application Filed for the Transfer of Control of </w:t>
      </w:r>
      <w:r w:rsidR="00E83D70">
        <w:rPr>
          <w:i/>
        </w:rPr>
        <w:t>Sovernet</w:t>
      </w:r>
      <w:r w:rsidR="00161966">
        <w:rPr>
          <w:i/>
        </w:rPr>
        <w:t>.,</w:t>
      </w:r>
      <w:r w:rsidR="00E83D70">
        <w:rPr>
          <w:i/>
        </w:rPr>
        <w:t xml:space="preserve"> Inc.,</w:t>
      </w:r>
      <w:r w:rsidR="00161966">
        <w:rPr>
          <w:i/>
        </w:rPr>
        <w:t xml:space="preserve"> ION Holdco, LLC, Sovernet Fiber Corp., and National Mobile Communications Corporation to OHCP Northeastern Fiber Buyer, Inc.</w:t>
      </w:r>
      <w:r w:rsidR="00161966" w:rsidRPr="00E2398D">
        <w:rPr>
          <w:i/>
          <w:iCs/>
        </w:rPr>
        <w:t xml:space="preserve">, </w:t>
      </w:r>
      <w:r w:rsidR="00161966">
        <w:t xml:space="preserve">Public Notice, </w:t>
      </w:r>
      <w:r w:rsidR="00581649">
        <w:t>31 FCC Rcd 10863</w:t>
      </w:r>
      <w:r w:rsidR="00161966" w:rsidRPr="00E2398D">
        <w:t xml:space="preserve"> </w:t>
      </w:r>
      <w:r w:rsidR="00161966">
        <w:t>(</w:t>
      </w:r>
      <w:r w:rsidR="00581649">
        <w:t>WCB</w:t>
      </w:r>
      <w:r w:rsidR="00161966">
        <w:t xml:space="preserve"> 2016</w:t>
      </w:r>
      <w:r w:rsidR="00161966" w:rsidRPr="00E2398D">
        <w:t>).</w:t>
      </w:r>
    </w:p>
  </w:footnote>
  <w:footnote w:id="4">
    <w:p w:rsidR="004F7405" w:rsidRDefault="004F7405" w:rsidP="004F7405">
      <w:pPr>
        <w:pStyle w:val="FootnoteText"/>
      </w:pPr>
      <w:r>
        <w:rPr>
          <w:rStyle w:val="FootnoteReference"/>
        </w:rPr>
        <w:footnoteRef/>
      </w:r>
      <w:r>
        <w:t xml:space="preserve"> </w:t>
      </w:r>
      <w:r w:rsidR="009A43B1">
        <w:rPr>
          <w:rFonts w:ascii="Times New (W1)" w:hAnsi="Times New (W1)"/>
        </w:rPr>
        <w:t>Letter from Berme</w:t>
      </w:r>
      <w:r w:rsidR="006A117D">
        <w:rPr>
          <w:rFonts w:ascii="Times New (W1)" w:hAnsi="Times New (W1)"/>
        </w:rPr>
        <w:t>l</w:t>
      </w:r>
      <w:r w:rsidR="00E83D70">
        <w:rPr>
          <w:rFonts w:ascii="Times New (W1)" w:hAnsi="Times New (W1)"/>
        </w:rPr>
        <w:t xml:space="preserve"> R.</w:t>
      </w:r>
      <w:r w:rsidR="006A117D">
        <w:rPr>
          <w:rFonts w:ascii="Times New (W1)" w:hAnsi="Times New (W1)"/>
        </w:rPr>
        <w:t xml:space="preserve"> Paz</w:t>
      </w:r>
      <w:r>
        <w:rPr>
          <w:rFonts w:ascii="Times New (W1)" w:hAnsi="Times New (W1)"/>
        </w:rPr>
        <w:t xml:space="preserve">, U.S. Department of Justice, to Marlene H. Dortch, </w:t>
      </w:r>
      <w:r w:rsidR="00E83D70">
        <w:rPr>
          <w:rFonts w:ascii="Times New (W1)" w:hAnsi="Times New (W1)"/>
        </w:rPr>
        <w:t xml:space="preserve">Secretary, </w:t>
      </w:r>
      <w:r>
        <w:rPr>
          <w:rFonts w:ascii="Times New (W1)" w:hAnsi="Times New (W1)"/>
        </w:rPr>
        <w:t>FCC, WC</w:t>
      </w:r>
      <w:r w:rsidR="006A117D">
        <w:t xml:space="preserve"> Docket No. 16</w:t>
      </w:r>
      <w:r>
        <w:t>-2</w:t>
      </w:r>
      <w:r w:rsidR="006A117D">
        <w:t>66</w:t>
      </w:r>
      <w:r>
        <w:t xml:space="preserve"> </w:t>
      </w:r>
      <w:r w:rsidR="00306EBF">
        <w:rPr>
          <w:rFonts w:ascii="Times New (W1)" w:hAnsi="Times New (W1)"/>
        </w:rPr>
        <w:t>(filed Oct. 26, 2016</w:t>
      </w:r>
      <w:r>
        <w:rPr>
          <w:rFonts w:ascii="Times New (W1)" w:hAnsi="Times New (W1)"/>
        </w:rPr>
        <w:t>).</w:t>
      </w:r>
    </w:p>
  </w:footnote>
  <w:footnote w:id="5">
    <w:p w:rsidR="00B542FC" w:rsidRDefault="00B542FC" w:rsidP="00B542FC">
      <w:pPr>
        <w:pStyle w:val="FootnoteText"/>
      </w:pPr>
      <w:r>
        <w:rPr>
          <w:rStyle w:val="FootnoteReference"/>
        </w:rPr>
        <w:footnoteRef/>
      </w:r>
      <w:r>
        <w:t xml:space="preserve"> Letter from Bermel R. Paz, </w:t>
      </w:r>
      <w:r>
        <w:rPr>
          <w:rFonts w:ascii="Times New (W1)" w:hAnsi="Times New (W1)"/>
        </w:rPr>
        <w:t>U.S. Department of Justice, to Marlene H. Dortch, Secretary, FCC, WC</w:t>
      </w:r>
      <w:r w:rsidR="00560CFC">
        <w:t xml:space="preserve"> Docket No. 16-266</w:t>
      </w:r>
      <w:r>
        <w:t xml:space="preserve"> </w:t>
      </w:r>
      <w:r>
        <w:rPr>
          <w:rFonts w:ascii="Times New (W1)" w:hAnsi="Times New (W1)"/>
        </w:rPr>
        <w:t>(filed Feb. 21</w:t>
      </w:r>
      <w:r w:rsidR="00AE3417">
        <w:rPr>
          <w:rFonts w:ascii="Times New (W1)" w:hAnsi="Times New (W1)"/>
        </w:rPr>
        <w:t>, 2017</w:t>
      </w:r>
      <w:r>
        <w:rPr>
          <w:rFonts w:ascii="Times New (W1)" w:hAnsi="Times New (W1)"/>
        </w:rPr>
        <w:t>).</w:t>
      </w:r>
    </w:p>
  </w:footnote>
  <w:footnote w:id="6">
    <w:p w:rsidR="004F7405" w:rsidRPr="00CC7005" w:rsidRDefault="004F7405" w:rsidP="004F7405">
      <w:pPr>
        <w:pStyle w:val="FootnoteText"/>
      </w:pPr>
      <w:r>
        <w:rPr>
          <w:rStyle w:val="FootnoteReference"/>
        </w:rPr>
        <w:footnoteRef/>
      </w:r>
      <w:r>
        <w:t xml:space="preserve"> </w:t>
      </w:r>
      <w:r w:rsidR="00CC7005">
        <w:t xml:space="preserve">47 CFR § 63.03(b); </w:t>
      </w:r>
      <w:r w:rsidR="00CC7005" w:rsidRPr="00CC7005">
        <w:rPr>
          <w:i/>
        </w:rPr>
        <w:t xml:space="preserve">see </w:t>
      </w:r>
      <w:r w:rsidR="001633E9">
        <w:rPr>
          <w:i/>
        </w:rPr>
        <w:t xml:space="preserve">Applications Filed by </w:t>
      </w:r>
      <w:r w:rsidR="001633E9" w:rsidRPr="00641D97">
        <w:rPr>
          <w:i/>
        </w:rPr>
        <w:t>Qwest</w:t>
      </w:r>
      <w:r w:rsidR="001633E9">
        <w:rPr>
          <w:i/>
        </w:rPr>
        <w:t xml:space="preserve"> Communications and </w:t>
      </w:r>
      <w:r w:rsidR="001633E9" w:rsidRPr="00641D97">
        <w:rPr>
          <w:i/>
        </w:rPr>
        <w:t>Century</w:t>
      </w:r>
      <w:r w:rsidR="001633E9">
        <w:rPr>
          <w:i/>
        </w:rPr>
        <w:t>Tel, Inc. d/b/a CenturyLink for Consent to Transfer Control</w:t>
      </w:r>
      <w:r w:rsidR="001633E9">
        <w:t xml:space="preserve">, Memorandum Opinion and Order, </w:t>
      </w:r>
      <w:r w:rsidR="001633E9" w:rsidRPr="00641D97">
        <w:t xml:space="preserve">26 FCC Rcd </w:t>
      </w:r>
      <w:r w:rsidR="001633E9">
        <w:t xml:space="preserve">4194, </w:t>
      </w:r>
      <w:r w:rsidR="00490485">
        <w:t>4202</w:t>
      </w:r>
      <w:r w:rsidR="001633E9" w:rsidRPr="00641D97">
        <w:t>, para.</w:t>
      </w:r>
      <w:r w:rsidR="001633E9">
        <w:t xml:space="preserve"> </w:t>
      </w:r>
      <w:r w:rsidR="00490485">
        <w:t>15</w:t>
      </w:r>
      <w:r w:rsidR="001633E9" w:rsidRPr="00641D97">
        <w:t xml:space="preserve"> </w:t>
      </w:r>
      <w:r w:rsidR="001633E9">
        <w:t xml:space="preserve">(2011) </w:t>
      </w:r>
      <w:r w:rsidR="001633E9" w:rsidRPr="00641D97">
        <w:t>(</w:t>
      </w:r>
      <w:r w:rsidR="001633E9">
        <w:t xml:space="preserve">referring to Applicants’ overlapping competitive </w:t>
      </w:r>
      <w:r w:rsidR="001C369D">
        <w:t xml:space="preserve">(local exchange carrier) </w:t>
      </w:r>
      <w:r w:rsidR="001633E9">
        <w:t xml:space="preserve">LEC operations </w:t>
      </w:r>
      <w:r w:rsidR="001633E9" w:rsidRPr="00641D97">
        <w:t>and stating “[r]ather than harming competition, we believe that the combination of the Applicants' facilities in these markets could result in a stronger competitive LEC and enhance the merged company's ability to compete against the incumbent LEC</w:t>
      </w:r>
      <w:r w:rsidR="00E83D70">
        <w:t>.</w:t>
      </w:r>
      <w:r w:rsidR="001633E9" w:rsidRPr="00641D97">
        <w:t>”</w:t>
      </w:r>
      <w:r w:rsidR="001633E9">
        <w:t>)</w:t>
      </w:r>
      <w:r w:rsidR="001633E9" w:rsidRPr="00641D97">
        <w:t>;</w:t>
      </w:r>
      <w:r w:rsidR="001633E9">
        <w:t xml:space="preserve"> </w:t>
      </w:r>
      <w:r w:rsidR="001F1EB1" w:rsidRPr="00F9020A">
        <w:rPr>
          <w:i/>
        </w:rPr>
        <w:t>Applications Filed for the Transfer of Control of tw telecom inc. to Level 3 Communications, Inc.</w:t>
      </w:r>
      <w:r w:rsidR="001F1EB1">
        <w:t>, Memorandum Opinion and Order, 29 FCC Rcd 12842,</w:t>
      </w:r>
      <w:r w:rsidR="001F1EB1" w:rsidRPr="00F9020A">
        <w:t xml:space="preserve"> 12847, para. 14 (WCB/IB 2014) (finding that the combination of two competitive LECs with largely complimentary networks could be a stronger competitor to incumbent LECs and large national providers, thereby resul</w:t>
      </w:r>
      <w:r w:rsidR="001F1EB1">
        <w:t>ting in benefits for consumers).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D60" w:rsidRDefault="00795D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D60" w:rsidRDefault="00795D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17ABF76"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9" w:name="_Hlt233824"/>
                          <w:r w:rsidR="007F413A">
                            <w:rPr>
                              <w:rFonts w:ascii="Arial" w:hAnsi="Arial"/>
                              <w:b/>
                              <w:sz w:val="16"/>
                            </w:rPr>
                            <w:fldChar w:fldCharType="begin"/>
                          </w:r>
                          <w:r w:rsidR="00F937BA">
                            <w:rPr>
                              <w:rFonts w:ascii="Arial" w:hAnsi="Arial"/>
                              <w:b/>
                              <w:sz w:val="16"/>
                            </w:rPr>
                            <w:instrText>HYPERLINK "https://www.fcc.gov/"</w:instrText>
                          </w:r>
                          <w:r w:rsidR="00F937BA">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9"/>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0" w:name="_Hlt233824"/>
                    <w:r w:rsidR="007F413A">
                      <w:rPr>
                        <w:rFonts w:ascii="Arial" w:hAnsi="Arial"/>
                        <w:b/>
                        <w:sz w:val="16"/>
                      </w:rPr>
                      <w:fldChar w:fldCharType="begin"/>
                    </w:r>
                    <w:r w:rsidR="00F937BA">
                      <w:rPr>
                        <w:rFonts w:ascii="Arial" w:hAnsi="Arial"/>
                        <w:b/>
                        <w:sz w:val="16"/>
                      </w:rPr>
                      <w:instrText>HYPERLINK "https://www.fcc.gov/"</w:instrText>
                    </w:r>
                    <w:r w:rsidR="00F937BA">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0"/>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32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1B6"/>
    <w:rsid w:val="000015B2"/>
    <w:rsid w:val="00017ECE"/>
    <w:rsid w:val="00036039"/>
    <w:rsid w:val="00037F90"/>
    <w:rsid w:val="00065EA6"/>
    <w:rsid w:val="000875BF"/>
    <w:rsid w:val="00096D8C"/>
    <w:rsid w:val="000C0B65"/>
    <w:rsid w:val="000E05FE"/>
    <w:rsid w:val="000E3D42"/>
    <w:rsid w:val="00122BD5"/>
    <w:rsid w:val="00133F79"/>
    <w:rsid w:val="00161966"/>
    <w:rsid w:val="001633E9"/>
    <w:rsid w:val="00194A66"/>
    <w:rsid w:val="001C369D"/>
    <w:rsid w:val="001C7BBB"/>
    <w:rsid w:val="001D6BCF"/>
    <w:rsid w:val="001E01CA"/>
    <w:rsid w:val="001E7F52"/>
    <w:rsid w:val="001F1EB1"/>
    <w:rsid w:val="00266CB2"/>
    <w:rsid w:val="00275CF5"/>
    <w:rsid w:val="002828CA"/>
    <w:rsid w:val="0028301F"/>
    <w:rsid w:val="00285017"/>
    <w:rsid w:val="00285653"/>
    <w:rsid w:val="002A2D2E"/>
    <w:rsid w:val="002C00E8"/>
    <w:rsid w:val="00306EBF"/>
    <w:rsid w:val="00343749"/>
    <w:rsid w:val="003660ED"/>
    <w:rsid w:val="00373656"/>
    <w:rsid w:val="00397D7B"/>
    <w:rsid w:val="003B0550"/>
    <w:rsid w:val="003B694F"/>
    <w:rsid w:val="003E33DE"/>
    <w:rsid w:val="003F10CC"/>
    <w:rsid w:val="003F171C"/>
    <w:rsid w:val="00412FC5"/>
    <w:rsid w:val="00422276"/>
    <w:rsid w:val="004242F1"/>
    <w:rsid w:val="00445A00"/>
    <w:rsid w:val="00451B0F"/>
    <w:rsid w:val="00490485"/>
    <w:rsid w:val="004C2EE3"/>
    <w:rsid w:val="004E4A22"/>
    <w:rsid w:val="004E4E57"/>
    <w:rsid w:val="004F7405"/>
    <w:rsid w:val="00511968"/>
    <w:rsid w:val="0051223E"/>
    <w:rsid w:val="0053307A"/>
    <w:rsid w:val="0055614C"/>
    <w:rsid w:val="00560CFC"/>
    <w:rsid w:val="005811A9"/>
    <w:rsid w:val="00581649"/>
    <w:rsid w:val="005E14C2"/>
    <w:rsid w:val="00607BA5"/>
    <w:rsid w:val="0061180A"/>
    <w:rsid w:val="00626EB6"/>
    <w:rsid w:val="00653E5C"/>
    <w:rsid w:val="00655D03"/>
    <w:rsid w:val="00683388"/>
    <w:rsid w:val="00683F84"/>
    <w:rsid w:val="00687BE8"/>
    <w:rsid w:val="00690FF6"/>
    <w:rsid w:val="00695410"/>
    <w:rsid w:val="006A117D"/>
    <w:rsid w:val="006A1F49"/>
    <w:rsid w:val="006A6A81"/>
    <w:rsid w:val="006B1456"/>
    <w:rsid w:val="006F7393"/>
    <w:rsid w:val="0070224F"/>
    <w:rsid w:val="007115F7"/>
    <w:rsid w:val="00774FDC"/>
    <w:rsid w:val="00785689"/>
    <w:rsid w:val="00795D60"/>
    <w:rsid w:val="0079754B"/>
    <w:rsid w:val="007A1E6D"/>
    <w:rsid w:val="007B0EB2"/>
    <w:rsid w:val="007D568C"/>
    <w:rsid w:val="007F413A"/>
    <w:rsid w:val="00810B6F"/>
    <w:rsid w:val="00822CE0"/>
    <w:rsid w:val="0082601D"/>
    <w:rsid w:val="00836B86"/>
    <w:rsid w:val="00841AB1"/>
    <w:rsid w:val="00881426"/>
    <w:rsid w:val="00896DF0"/>
    <w:rsid w:val="008C68F1"/>
    <w:rsid w:val="00921803"/>
    <w:rsid w:val="00926503"/>
    <w:rsid w:val="0096563F"/>
    <w:rsid w:val="009726D8"/>
    <w:rsid w:val="009A43B1"/>
    <w:rsid w:val="009F76DB"/>
    <w:rsid w:val="00A17DB5"/>
    <w:rsid w:val="00A32C3B"/>
    <w:rsid w:val="00A45F4F"/>
    <w:rsid w:val="00A600A9"/>
    <w:rsid w:val="00A802D1"/>
    <w:rsid w:val="00AA55B7"/>
    <w:rsid w:val="00AA5B9E"/>
    <w:rsid w:val="00AB00F6"/>
    <w:rsid w:val="00AB2407"/>
    <w:rsid w:val="00AB53DF"/>
    <w:rsid w:val="00AC424B"/>
    <w:rsid w:val="00AE3417"/>
    <w:rsid w:val="00AF46DC"/>
    <w:rsid w:val="00B07E5C"/>
    <w:rsid w:val="00B20363"/>
    <w:rsid w:val="00B338A9"/>
    <w:rsid w:val="00B542FC"/>
    <w:rsid w:val="00B679AB"/>
    <w:rsid w:val="00B76DB8"/>
    <w:rsid w:val="00B811F7"/>
    <w:rsid w:val="00BA5DC6"/>
    <w:rsid w:val="00BA6196"/>
    <w:rsid w:val="00BC2965"/>
    <w:rsid w:val="00BC6D8C"/>
    <w:rsid w:val="00BE38D1"/>
    <w:rsid w:val="00C34006"/>
    <w:rsid w:val="00C426B1"/>
    <w:rsid w:val="00C66160"/>
    <w:rsid w:val="00C70A03"/>
    <w:rsid w:val="00C721AC"/>
    <w:rsid w:val="00C90D6A"/>
    <w:rsid w:val="00CA247E"/>
    <w:rsid w:val="00CA7F11"/>
    <w:rsid w:val="00CC7005"/>
    <w:rsid w:val="00CC72B6"/>
    <w:rsid w:val="00CC776F"/>
    <w:rsid w:val="00D0218D"/>
    <w:rsid w:val="00D06A61"/>
    <w:rsid w:val="00D25FB5"/>
    <w:rsid w:val="00D44223"/>
    <w:rsid w:val="00D47505"/>
    <w:rsid w:val="00DA2529"/>
    <w:rsid w:val="00DB130A"/>
    <w:rsid w:val="00DB2EBB"/>
    <w:rsid w:val="00DC10A1"/>
    <w:rsid w:val="00DC655F"/>
    <w:rsid w:val="00DD0B59"/>
    <w:rsid w:val="00DD7EBD"/>
    <w:rsid w:val="00DE4C8D"/>
    <w:rsid w:val="00DF0810"/>
    <w:rsid w:val="00DF62B6"/>
    <w:rsid w:val="00E07225"/>
    <w:rsid w:val="00E11C94"/>
    <w:rsid w:val="00E5409F"/>
    <w:rsid w:val="00E74046"/>
    <w:rsid w:val="00E83D70"/>
    <w:rsid w:val="00EB4ACC"/>
    <w:rsid w:val="00EE6488"/>
    <w:rsid w:val="00F021FA"/>
    <w:rsid w:val="00F62E97"/>
    <w:rsid w:val="00F64209"/>
    <w:rsid w:val="00F8591E"/>
    <w:rsid w:val="00F937BA"/>
    <w:rsid w:val="00F93BF5"/>
    <w:rsid w:val="00FA41B6"/>
    <w:rsid w:val="00FB518C"/>
    <w:rsid w:val="00FC41A3"/>
    <w:rsid w:val="00FC4690"/>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link w:val="FootnoteTextChar1"/>
    <w:rsid w:val="000E3D42"/>
    <w:pPr>
      <w:spacing w:after="120"/>
    </w:pPr>
  </w:style>
  <w:style w:type="character" w:styleId="FootnoteReference">
    <w:name w:val="footnote reference"/>
    <w:aliases w:val="o,fr,Style 3,Appel note de bas de p,(NECG) Footnote Reference,Style 17,FR,Style 12,Style 12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locked/>
    <w:rsid w:val="00B542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link w:val="FootnoteTextChar1"/>
    <w:rsid w:val="000E3D42"/>
    <w:pPr>
      <w:spacing w:after="120"/>
    </w:pPr>
  </w:style>
  <w:style w:type="character" w:styleId="FootnoteReference">
    <w:name w:val="footnote reference"/>
    <w:aliases w:val="o,fr,Style 3,Appel note de bas de p,(NECG) Footnote Reference,Style 17,FR,Style 12,Style 12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locked/>
    <w:rsid w:val="00B54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2</Pages>
  <Words>356</Words>
  <Characters>2041</Characters>
  <Application>Microsoft Office Word</Application>
  <DocSecurity>0</DocSecurity>
  <Lines>36</Lines>
  <Paragraphs>12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2415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2016-05-09T14:42:00Z</cp:lastPrinted>
  <dcterms:created xsi:type="dcterms:W3CDTF">2017-02-28T18:07:00Z</dcterms:created>
  <dcterms:modified xsi:type="dcterms:W3CDTF">2017-02-28T18:07:00Z</dcterms:modified>
  <cp:category> </cp:category>
  <cp:contentStatus> </cp:contentStatus>
</cp:coreProperties>
</file>