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B8" w:rsidRPr="00514711" w:rsidRDefault="00C643B8">
      <w:pPr>
        <w:jc w:val="center"/>
        <w:rPr>
          <w:b/>
          <w:color w:val="000000"/>
        </w:rPr>
      </w:pPr>
      <w:bookmarkStart w:id="0" w:name="_GoBack"/>
      <w:bookmarkEnd w:id="0"/>
      <w:r w:rsidRPr="00514711">
        <w:rPr>
          <w:rFonts w:ascii="Times New Roman Bold" w:hAnsi="Times New Roman Bold"/>
          <w:b/>
          <w:color w:val="000000"/>
          <w:kern w:val="0"/>
          <w:szCs w:val="22"/>
        </w:rPr>
        <w:t>Before</w:t>
      </w:r>
      <w:r w:rsidRPr="00514711">
        <w:rPr>
          <w:b/>
          <w:color w:val="000000"/>
        </w:rPr>
        <w:t xml:space="preserve"> the</w:t>
      </w:r>
    </w:p>
    <w:p w:rsidR="00C643B8" w:rsidRPr="00514711" w:rsidRDefault="00C643B8">
      <w:pPr>
        <w:pStyle w:val="StyleBoldCentered"/>
        <w:rPr>
          <w:color w:val="000000"/>
        </w:rPr>
      </w:pPr>
      <w:r w:rsidRPr="00514711">
        <w:rPr>
          <w:color w:val="000000"/>
        </w:rPr>
        <w:t>F</w:t>
      </w:r>
      <w:r w:rsidRPr="00514711">
        <w:rPr>
          <w:caps w:val="0"/>
          <w:color w:val="000000"/>
        </w:rPr>
        <w:t>ederal Communications Commission</w:t>
      </w:r>
    </w:p>
    <w:p w:rsidR="00C643B8" w:rsidRPr="00514711" w:rsidRDefault="00C643B8">
      <w:pPr>
        <w:pStyle w:val="StyleBoldCentered"/>
        <w:rPr>
          <w:color w:val="000000"/>
        </w:rPr>
      </w:pPr>
      <w:r w:rsidRPr="00514711">
        <w:rPr>
          <w:caps w:val="0"/>
          <w:color w:val="000000"/>
        </w:rPr>
        <w:t>Washington, D.C. 20554</w:t>
      </w:r>
    </w:p>
    <w:p w:rsidR="00C643B8" w:rsidRPr="00514711" w:rsidRDefault="00C643B8">
      <w:pPr>
        <w:rPr>
          <w:color w:val="000000"/>
        </w:rPr>
      </w:pPr>
    </w:p>
    <w:p w:rsidR="00C643B8" w:rsidRPr="00514711" w:rsidRDefault="00C643B8">
      <w:pPr>
        <w:rPr>
          <w:color w:val="000000"/>
        </w:rPr>
      </w:pPr>
    </w:p>
    <w:tbl>
      <w:tblPr>
        <w:tblW w:w="0" w:type="auto"/>
        <w:tblLayout w:type="fixed"/>
        <w:tblLook w:val="0000" w:firstRow="0" w:lastRow="0" w:firstColumn="0" w:lastColumn="0" w:noHBand="0" w:noVBand="0"/>
      </w:tblPr>
      <w:tblGrid>
        <w:gridCol w:w="4698"/>
        <w:gridCol w:w="630"/>
        <w:gridCol w:w="4248"/>
      </w:tblGrid>
      <w:tr w:rsidR="00C643B8" w:rsidRPr="00514711">
        <w:tc>
          <w:tcPr>
            <w:tcW w:w="4698" w:type="dxa"/>
          </w:tcPr>
          <w:p w:rsidR="00C643B8" w:rsidRPr="00514711" w:rsidRDefault="00C643B8">
            <w:pPr>
              <w:tabs>
                <w:tab w:val="center" w:pos="4680"/>
              </w:tabs>
              <w:suppressAutoHyphens/>
              <w:rPr>
                <w:color w:val="000000"/>
                <w:spacing w:val="-2"/>
              </w:rPr>
            </w:pPr>
            <w:r w:rsidRPr="00514711">
              <w:rPr>
                <w:color w:val="000000"/>
                <w:spacing w:val="-2"/>
              </w:rPr>
              <w:t>In the Matter of</w:t>
            </w:r>
          </w:p>
          <w:p w:rsidR="00C643B8" w:rsidRPr="00514711" w:rsidRDefault="00C643B8">
            <w:pPr>
              <w:tabs>
                <w:tab w:val="center" w:pos="4680"/>
              </w:tabs>
              <w:suppressAutoHyphens/>
              <w:rPr>
                <w:color w:val="000000"/>
                <w:spacing w:val="-2"/>
              </w:rPr>
            </w:pPr>
          </w:p>
          <w:p w:rsidR="00181F38" w:rsidRDefault="00BE5069" w:rsidP="00BE5069">
            <w:pPr>
              <w:tabs>
                <w:tab w:val="center" w:pos="4680"/>
              </w:tabs>
              <w:suppressAutoHyphens/>
              <w:rPr>
                <w:snapToGrid/>
                <w:color w:val="000000"/>
                <w:kern w:val="0"/>
                <w:szCs w:val="22"/>
              </w:rPr>
            </w:pPr>
            <w:r w:rsidRPr="00514711">
              <w:rPr>
                <w:snapToGrid/>
                <w:color w:val="000000"/>
                <w:kern w:val="0"/>
                <w:szCs w:val="22"/>
              </w:rPr>
              <w:t>Headsight, Inc.</w:t>
            </w:r>
            <w:r w:rsidR="00C643B8" w:rsidRPr="00514711">
              <w:rPr>
                <w:snapToGrid/>
                <w:color w:val="000000"/>
                <w:kern w:val="0"/>
                <w:szCs w:val="22"/>
              </w:rPr>
              <w:t xml:space="preserve"> Request for Waiver of </w:t>
            </w:r>
          </w:p>
          <w:p w:rsidR="00181F38" w:rsidRDefault="00C643B8" w:rsidP="00BE5069">
            <w:pPr>
              <w:tabs>
                <w:tab w:val="center" w:pos="4680"/>
              </w:tabs>
              <w:suppressAutoHyphens/>
              <w:rPr>
                <w:snapToGrid/>
                <w:color w:val="000000"/>
                <w:kern w:val="0"/>
                <w:szCs w:val="22"/>
              </w:rPr>
            </w:pPr>
            <w:r w:rsidRPr="00514711">
              <w:rPr>
                <w:snapToGrid/>
                <w:color w:val="000000"/>
                <w:kern w:val="0"/>
                <w:szCs w:val="22"/>
              </w:rPr>
              <w:t xml:space="preserve">Part 15 </w:t>
            </w:r>
            <w:r w:rsidR="00BE5069" w:rsidRPr="00514711">
              <w:rPr>
                <w:snapToGrid/>
                <w:color w:val="000000"/>
                <w:kern w:val="0"/>
                <w:szCs w:val="22"/>
              </w:rPr>
              <w:t xml:space="preserve">of the Commission’s </w:t>
            </w:r>
            <w:r w:rsidRPr="00514711">
              <w:rPr>
                <w:snapToGrid/>
                <w:color w:val="000000"/>
                <w:kern w:val="0"/>
                <w:szCs w:val="22"/>
              </w:rPr>
              <w:t xml:space="preserve">Rules </w:t>
            </w:r>
          </w:p>
          <w:p w:rsidR="00C643B8" w:rsidRPr="00514711" w:rsidRDefault="00BE5069" w:rsidP="00BE5069">
            <w:pPr>
              <w:tabs>
                <w:tab w:val="center" w:pos="4680"/>
              </w:tabs>
              <w:suppressAutoHyphens/>
              <w:rPr>
                <w:color w:val="000000"/>
                <w:spacing w:val="-2"/>
              </w:rPr>
            </w:pPr>
            <w:r w:rsidRPr="00514711">
              <w:rPr>
                <w:snapToGrid/>
                <w:color w:val="000000"/>
                <w:kern w:val="0"/>
                <w:szCs w:val="22"/>
              </w:rPr>
              <w:t>Applicable to Ultra-Wide Band Devices</w:t>
            </w:r>
          </w:p>
        </w:tc>
        <w:tc>
          <w:tcPr>
            <w:tcW w:w="630" w:type="dxa"/>
          </w:tcPr>
          <w:p w:rsidR="00C643B8" w:rsidRPr="00514711" w:rsidRDefault="00C643B8">
            <w:pPr>
              <w:tabs>
                <w:tab w:val="center" w:pos="4680"/>
              </w:tabs>
              <w:suppressAutoHyphens/>
              <w:rPr>
                <w:b/>
                <w:color w:val="000000"/>
                <w:spacing w:val="-2"/>
              </w:rPr>
            </w:pPr>
            <w:r w:rsidRPr="00514711">
              <w:rPr>
                <w:b/>
                <w:color w:val="000000"/>
                <w:spacing w:val="-2"/>
              </w:rPr>
              <w:t>)</w:t>
            </w:r>
          </w:p>
          <w:p w:rsidR="00C643B8" w:rsidRPr="00514711" w:rsidRDefault="00C643B8">
            <w:pPr>
              <w:tabs>
                <w:tab w:val="center" w:pos="4680"/>
              </w:tabs>
              <w:suppressAutoHyphens/>
              <w:rPr>
                <w:b/>
                <w:color w:val="000000"/>
                <w:spacing w:val="-2"/>
              </w:rPr>
            </w:pPr>
            <w:r w:rsidRPr="00514711">
              <w:rPr>
                <w:b/>
                <w:color w:val="000000"/>
                <w:spacing w:val="-2"/>
              </w:rPr>
              <w:t>)</w:t>
            </w:r>
          </w:p>
          <w:p w:rsidR="00C643B8" w:rsidRPr="00514711" w:rsidRDefault="00C643B8">
            <w:pPr>
              <w:tabs>
                <w:tab w:val="center" w:pos="4680"/>
              </w:tabs>
              <w:suppressAutoHyphens/>
              <w:rPr>
                <w:b/>
                <w:color w:val="000000"/>
                <w:spacing w:val="-2"/>
              </w:rPr>
            </w:pPr>
            <w:r w:rsidRPr="00514711">
              <w:rPr>
                <w:b/>
                <w:color w:val="000000"/>
                <w:spacing w:val="-2"/>
              </w:rPr>
              <w:t>)</w:t>
            </w:r>
          </w:p>
          <w:p w:rsidR="00C643B8" w:rsidRPr="00514711" w:rsidRDefault="00C643B8">
            <w:pPr>
              <w:tabs>
                <w:tab w:val="center" w:pos="4680"/>
              </w:tabs>
              <w:suppressAutoHyphens/>
              <w:rPr>
                <w:b/>
                <w:color w:val="000000"/>
                <w:spacing w:val="-2"/>
              </w:rPr>
            </w:pPr>
            <w:r w:rsidRPr="00514711">
              <w:rPr>
                <w:b/>
                <w:color w:val="000000"/>
                <w:spacing w:val="-2"/>
              </w:rPr>
              <w:t>)</w:t>
            </w:r>
          </w:p>
          <w:p w:rsidR="00181F38" w:rsidRPr="00514711" w:rsidRDefault="00181F38" w:rsidP="00181F38">
            <w:pPr>
              <w:tabs>
                <w:tab w:val="center" w:pos="4680"/>
              </w:tabs>
              <w:suppressAutoHyphens/>
              <w:rPr>
                <w:b/>
                <w:color w:val="000000"/>
                <w:spacing w:val="-2"/>
              </w:rPr>
            </w:pPr>
            <w:r w:rsidRPr="00514711">
              <w:rPr>
                <w:b/>
                <w:color w:val="000000"/>
                <w:spacing w:val="-2"/>
              </w:rPr>
              <w:t>)</w:t>
            </w:r>
          </w:p>
          <w:p w:rsidR="00C643B8" w:rsidRPr="00514711" w:rsidRDefault="00C643B8">
            <w:pPr>
              <w:tabs>
                <w:tab w:val="center" w:pos="4680"/>
              </w:tabs>
              <w:suppressAutoHyphens/>
              <w:rPr>
                <w:color w:val="000000"/>
                <w:spacing w:val="-2"/>
              </w:rPr>
            </w:pPr>
          </w:p>
        </w:tc>
        <w:tc>
          <w:tcPr>
            <w:tcW w:w="4248" w:type="dxa"/>
          </w:tcPr>
          <w:p w:rsidR="00C643B8" w:rsidRPr="00514711" w:rsidRDefault="00C643B8">
            <w:pPr>
              <w:tabs>
                <w:tab w:val="center" w:pos="4680"/>
              </w:tabs>
              <w:suppressAutoHyphens/>
              <w:rPr>
                <w:color w:val="000000"/>
                <w:spacing w:val="-2"/>
              </w:rPr>
            </w:pPr>
          </w:p>
          <w:p w:rsidR="00C643B8" w:rsidRPr="00514711" w:rsidRDefault="00C643B8">
            <w:pPr>
              <w:pStyle w:val="TOAHeading"/>
              <w:tabs>
                <w:tab w:val="clear" w:pos="9360"/>
                <w:tab w:val="center" w:pos="4680"/>
              </w:tabs>
              <w:rPr>
                <w:color w:val="000000"/>
                <w:spacing w:val="-2"/>
              </w:rPr>
            </w:pPr>
          </w:p>
          <w:p w:rsidR="00C643B8" w:rsidRPr="00514711" w:rsidRDefault="00C643B8" w:rsidP="00BE5069">
            <w:pPr>
              <w:tabs>
                <w:tab w:val="center" w:pos="4680"/>
              </w:tabs>
              <w:suppressAutoHyphens/>
              <w:rPr>
                <w:color w:val="000000"/>
                <w:spacing w:val="-2"/>
              </w:rPr>
            </w:pPr>
            <w:r w:rsidRPr="00514711">
              <w:rPr>
                <w:snapToGrid/>
                <w:color w:val="000000"/>
                <w:kern w:val="0"/>
                <w:szCs w:val="22"/>
              </w:rPr>
              <w:t>ET Docket No. 1</w:t>
            </w:r>
            <w:r w:rsidR="00BE5069" w:rsidRPr="00514711">
              <w:rPr>
                <w:snapToGrid/>
                <w:color w:val="000000"/>
                <w:kern w:val="0"/>
                <w:szCs w:val="22"/>
              </w:rPr>
              <w:t>6</w:t>
            </w:r>
            <w:r w:rsidR="00BE5069" w:rsidRPr="00514711">
              <w:rPr>
                <w:snapToGrid/>
                <w:color w:val="000000"/>
                <w:kern w:val="0"/>
                <w:szCs w:val="22"/>
              </w:rPr>
              <w:noBreakHyphen/>
              <w:t>44</w:t>
            </w:r>
          </w:p>
        </w:tc>
      </w:tr>
    </w:tbl>
    <w:p w:rsidR="00C643B8" w:rsidRPr="00514711" w:rsidRDefault="00C643B8">
      <w:pPr>
        <w:rPr>
          <w:color w:val="000000"/>
        </w:rPr>
      </w:pPr>
    </w:p>
    <w:p w:rsidR="00AD1E1E" w:rsidRDefault="00AD1E1E">
      <w:pPr>
        <w:pStyle w:val="StyleBoldCentered"/>
        <w:rPr>
          <w:color w:val="000000"/>
        </w:rPr>
      </w:pPr>
    </w:p>
    <w:p w:rsidR="00C643B8" w:rsidRPr="00514711" w:rsidRDefault="00C643B8">
      <w:pPr>
        <w:pStyle w:val="StyleBoldCentered"/>
        <w:rPr>
          <w:color w:val="000000"/>
        </w:rPr>
      </w:pPr>
      <w:r w:rsidRPr="00514711">
        <w:rPr>
          <w:color w:val="000000"/>
        </w:rPr>
        <w:t>ORDER</w:t>
      </w:r>
    </w:p>
    <w:p w:rsidR="00C643B8" w:rsidRPr="00514711" w:rsidRDefault="00C643B8">
      <w:pPr>
        <w:tabs>
          <w:tab w:val="left" w:pos="-720"/>
        </w:tabs>
        <w:suppressAutoHyphens/>
        <w:spacing w:line="227" w:lineRule="auto"/>
        <w:rPr>
          <w:color w:val="000000"/>
          <w:spacing w:val="-2"/>
        </w:rPr>
      </w:pPr>
    </w:p>
    <w:p w:rsidR="00C643B8" w:rsidRPr="00514711" w:rsidRDefault="00C643B8">
      <w:pPr>
        <w:tabs>
          <w:tab w:val="left" w:pos="720"/>
          <w:tab w:val="right" w:pos="9360"/>
        </w:tabs>
        <w:suppressAutoHyphens/>
        <w:spacing w:line="227" w:lineRule="auto"/>
        <w:rPr>
          <w:color w:val="000000"/>
          <w:spacing w:val="-2"/>
        </w:rPr>
      </w:pPr>
      <w:r w:rsidRPr="00514711">
        <w:rPr>
          <w:b/>
          <w:color w:val="000000"/>
          <w:spacing w:val="-2"/>
        </w:rPr>
        <w:t xml:space="preserve">Adopted:  </w:t>
      </w:r>
      <w:r w:rsidR="00FC5647">
        <w:rPr>
          <w:b/>
          <w:color w:val="000000"/>
          <w:spacing w:val="-2"/>
        </w:rPr>
        <w:t xml:space="preserve">March </w:t>
      </w:r>
      <w:r w:rsidR="00D54C53">
        <w:rPr>
          <w:b/>
          <w:color w:val="000000"/>
          <w:spacing w:val="-2"/>
        </w:rPr>
        <w:t>1</w:t>
      </w:r>
      <w:r w:rsidRPr="00514711">
        <w:rPr>
          <w:b/>
          <w:color w:val="000000"/>
          <w:spacing w:val="-2"/>
        </w:rPr>
        <w:t>, 201</w:t>
      </w:r>
      <w:r w:rsidR="00FC5647">
        <w:rPr>
          <w:b/>
          <w:color w:val="000000"/>
          <w:spacing w:val="-2"/>
        </w:rPr>
        <w:t>7</w:t>
      </w:r>
      <w:r w:rsidRPr="00514711">
        <w:rPr>
          <w:b/>
          <w:color w:val="000000"/>
          <w:spacing w:val="-2"/>
        </w:rPr>
        <w:tab/>
        <w:t xml:space="preserve">Released:  </w:t>
      </w:r>
      <w:r w:rsidR="00FC5647">
        <w:rPr>
          <w:b/>
          <w:color w:val="000000"/>
          <w:spacing w:val="-2"/>
        </w:rPr>
        <w:t xml:space="preserve">March </w:t>
      </w:r>
      <w:r w:rsidR="00D54C53">
        <w:rPr>
          <w:b/>
          <w:color w:val="000000"/>
          <w:spacing w:val="-2"/>
        </w:rPr>
        <w:t>1</w:t>
      </w:r>
      <w:r w:rsidRPr="00514711">
        <w:rPr>
          <w:b/>
          <w:color w:val="000000"/>
          <w:spacing w:val="-2"/>
        </w:rPr>
        <w:t>, 201</w:t>
      </w:r>
      <w:r w:rsidR="00FC5647">
        <w:rPr>
          <w:b/>
          <w:color w:val="000000"/>
          <w:spacing w:val="-2"/>
        </w:rPr>
        <w:t>7</w:t>
      </w:r>
    </w:p>
    <w:p w:rsidR="00C643B8" w:rsidRPr="00514711" w:rsidRDefault="00C643B8">
      <w:pPr>
        <w:rPr>
          <w:color w:val="000000"/>
        </w:rPr>
      </w:pPr>
    </w:p>
    <w:p w:rsidR="00C643B8" w:rsidRPr="00514711" w:rsidRDefault="00C643B8">
      <w:pPr>
        <w:rPr>
          <w:color w:val="000000"/>
          <w:spacing w:val="-2"/>
        </w:rPr>
      </w:pPr>
      <w:r w:rsidRPr="00514711">
        <w:rPr>
          <w:color w:val="000000"/>
        </w:rPr>
        <w:t xml:space="preserve">By the </w:t>
      </w:r>
      <w:r w:rsidRPr="00514711">
        <w:rPr>
          <w:color w:val="000000"/>
          <w:spacing w:val="-2"/>
        </w:rPr>
        <w:t>Chief, Office of Engineering and Technology:</w:t>
      </w:r>
    </w:p>
    <w:p w:rsidR="00C643B8" w:rsidRPr="00514711" w:rsidRDefault="00C643B8">
      <w:pPr>
        <w:rPr>
          <w:color w:val="000000"/>
          <w:spacing w:val="-2"/>
        </w:rPr>
      </w:pPr>
    </w:p>
    <w:p w:rsidR="00C643B8" w:rsidRPr="00514711" w:rsidRDefault="00C643B8">
      <w:pPr>
        <w:pStyle w:val="Heading1"/>
        <w:rPr>
          <w:color w:val="000000"/>
        </w:rPr>
      </w:pPr>
      <w:r w:rsidRPr="00514711">
        <w:rPr>
          <w:color w:val="000000"/>
        </w:rPr>
        <w:t>INTRODUCTION</w:t>
      </w:r>
    </w:p>
    <w:p w:rsidR="00C643B8" w:rsidRPr="00514711" w:rsidRDefault="00C643B8">
      <w:pPr>
        <w:pStyle w:val="ParaNum"/>
        <w:rPr>
          <w:color w:val="000000"/>
        </w:rPr>
      </w:pPr>
      <w:r w:rsidRPr="00514711">
        <w:rPr>
          <w:color w:val="000000"/>
        </w:rPr>
        <w:t xml:space="preserve">By this Order, we grant </w:t>
      </w:r>
      <w:r w:rsidR="003A0346">
        <w:rPr>
          <w:color w:val="000000"/>
        </w:rPr>
        <w:t xml:space="preserve">a </w:t>
      </w:r>
      <w:r w:rsidRPr="00514711">
        <w:rPr>
          <w:color w:val="000000"/>
        </w:rPr>
        <w:t xml:space="preserve">waiver of </w:t>
      </w:r>
      <w:r w:rsidR="00996E5A">
        <w:rPr>
          <w:color w:val="000000"/>
        </w:rPr>
        <w:t>Section</w:t>
      </w:r>
      <w:r w:rsidR="003A0346">
        <w:rPr>
          <w:color w:val="000000"/>
        </w:rPr>
        <w:t>s</w:t>
      </w:r>
      <w:r w:rsidR="00996E5A" w:rsidRPr="00514711">
        <w:rPr>
          <w:color w:val="000000"/>
        </w:rPr>
        <w:t xml:space="preserve"> 15.509(b) and 15.503(f)</w:t>
      </w:r>
      <w:r w:rsidR="00996E5A">
        <w:rPr>
          <w:color w:val="000000"/>
        </w:rPr>
        <w:t xml:space="preserve"> </w:t>
      </w:r>
      <w:r w:rsidR="00176FCA" w:rsidRPr="00514711">
        <w:rPr>
          <w:color w:val="000000"/>
        </w:rPr>
        <w:t>of our</w:t>
      </w:r>
      <w:r w:rsidRPr="00514711">
        <w:rPr>
          <w:color w:val="000000"/>
        </w:rPr>
        <w:t xml:space="preserve"> rules to </w:t>
      </w:r>
      <w:r w:rsidR="00BE5069" w:rsidRPr="00514711">
        <w:rPr>
          <w:color w:val="000000"/>
        </w:rPr>
        <w:t xml:space="preserve">Headsight, Inc. (Headsight) </w:t>
      </w:r>
      <w:r w:rsidRPr="00514711">
        <w:rPr>
          <w:color w:val="000000"/>
        </w:rPr>
        <w:t xml:space="preserve">to permit the certification </w:t>
      </w:r>
      <w:r w:rsidR="00E03184">
        <w:rPr>
          <w:color w:val="000000"/>
        </w:rPr>
        <w:t xml:space="preserve">and marketing </w:t>
      </w:r>
      <w:r w:rsidRPr="00514711">
        <w:rPr>
          <w:color w:val="000000"/>
        </w:rPr>
        <w:t xml:space="preserve">of </w:t>
      </w:r>
      <w:r w:rsidR="00A944EE" w:rsidRPr="00514711">
        <w:rPr>
          <w:color w:val="000000"/>
        </w:rPr>
        <w:t xml:space="preserve">an </w:t>
      </w:r>
      <w:r w:rsidR="00AC7D04" w:rsidRPr="00514711">
        <w:rPr>
          <w:color w:val="000000"/>
        </w:rPr>
        <w:t xml:space="preserve">unlicensed </w:t>
      </w:r>
      <w:r w:rsidR="00BE5069" w:rsidRPr="00514711">
        <w:rPr>
          <w:color w:val="000000"/>
        </w:rPr>
        <w:t>ultra</w:t>
      </w:r>
      <w:r w:rsidR="00BE5069" w:rsidRPr="00514711">
        <w:rPr>
          <w:color w:val="000000"/>
        </w:rPr>
        <w:noBreakHyphen/>
        <w:t xml:space="preserve">wide band </w:t>
      </w:r>
      <w:r w:rsidR="00AC7D04" w:rsidRPr="00514711">
        <w:rPr>
          <w:color w:val="000000"/>
        </w:rPr>
        <w:t xml:space="preserve">(UWB) </w:t>
      </w:r>
      <w:r w:rsidR="00BE5069" w:rsidRPr="00514711">
        <w:rPr>
          <w:color w:val="000000"/>
        </w:rPr>
        <w:t>ground</w:t>
      </w:r>
      <w:r w:rsidR="006F4DF8">
        <w:rPr>
          <w:color w:val="000000"/>
        </w:rPr>
        <w:t xml:space="preserve"> </w:t>
      </w:r>
      <w:r w:rsidR="00BE5069" w:rsidRPr="00514711">
        <w:rPr>
          <w:color w:val="000000"/>
        </w:rPr>
        <w:t>penetrating radar (GPR)</w:t>
      </w:r>
      <w:r w:rsidR="003A0346">
        <w:rPr>
          <w:color w:val="000000"/>
        </w:rPr>
        <w:t xml:space="preserve"> that will</w:t>
      </w:r>
      <w:r w:rsidR="004517C6" w:rsidRPr="00514711">
        <w:rPr>
          <w:color w:val="000000"/>
        </w:rPr>
        <w:t xml:space="preserve"> operat</w:t>
      </w:r>
      <w:r w:rsidR="003A0346">
        <w:rPr>
          <w:color w:val="000000"/>
        </w:rPr>
        <w:t>e</w:t>
      </w:r>
      <w:r w:rsidR="004517C6" w:rsidRPr="00514711">
        <w:rPr>
          <w:color w:val="000000"/>
        </w:rPr>
        <w:t xml:space="preserve"> </w:t>
      </w:r>
      <w:r w:rsidR="00AD0CAB">
        <w:rPr>
          <w:color w:val="000000"/>
        </w:rPr>
        <w:t xml:space="preserve">with its UWB bandwidth contained </w:t>
      </w:r>
      <w:r w:rsidR="0017254A" w:rsidRPr="00514711">
        <w:rPr>
          <w:color w:val="000000"/>
        </w:rPr>
        <w:t>in the 1</w:t>
      </w:r>
      <w:r w:rsidR="0017254A" w:rsidRPr="00514711">
        <w:rPr>
          <w:color w:val="000000"/>
        </w:rPr>
        <w:noBreakHyphen/>
        <w:t xml:space="preserve">6 GHz frequency band </w:t>
      </w:r>
      <w:r w:rsidR="00562F51">
        <w:rPr>
          <w:color w:val="000000"/>
        </w:rPr>
        <w:t xml:space="preserve">while installed </w:t>
      </w:r>
      <w:r w:rsidRPr="00514711">
        <w:rPr>
          <w:color w:val="000000"/>
        </w:rPr>
        <w:t>on agricultural equipment</w:t>
      </w:r>
      <w:r w:rsidR="00176FCA" w:rsidRPr="00514711">
        <w:rPr>
          <w:color w:val="000000"/>
        </w:rPr>
        <w:t>.</w:t>
      </w:r>
      <w:r w:rsidR="00567405" w:rsidRPr="00514711">
        <w:rPr>
          <w:rStyle w:val="FootnoteReference"/>
          <w:color w:val="000000"/>
        </w:rPr>
        <w:footnoteReference w:id="2"/>
      </w:r>
      <w:r w:rsidR="00176FCA" w:rsidRPr="00514711">
        <w:rPr>
          <w:color w:val="000000"/>
        </w:rPr>
        <w:t xml:space="preserve"> </w:t>
      </w:r>
      <w:r w:rsidR="005B24F1" w:rsidRPr="00514711">
        <w:rPr>
          <w:color w:val="000000"/>
        </w:rPr>
        <w:t xml:space="preserve"> </w:t>
      </w:r>
      <w:r w:rsidR="0026558E" w:rsidRPr="00514711">
        <w:rPr>
          <w:color w:val="000000"/>
        </w:rPr>
        <w:t>O</w:t>
      </w:r>
      <w:r w:rsidRPr="00514711">
        <w:rPr>
          <w:color w:val="000000"/>
        </w:rPr>
        <w:t xml:space="preserve">ur action here will permit </w:t>
      </w:r>
      <w:r w:rsidR="00C84D3C">
        <w:rPr>
          <w:color w:val="000000"/>
        </w:rPr>
        <w:t>the use of GPR technology in</w:t>
      </w:r>
      <w:r w:rsidRPr="00514711">
        <w:rPr>
          <w:color w:val="000000"/>
        </w:rPr>
        <w:t xml:space="preserve"> a variety of agricultural applications</w:t>
      </w:r>
      <w:r w:rsidR="00176FCA" w:rsidRPr="00514711">
        <w:rPr>
          <w:color w:val="000000"/>
        </w:rPr>
        <w:t>, such as map</w:t>
      </w:r>
      <w:r w:rsidR="00DA3D82" w:rsidRPr="00514711">
        <w:rPr>
          <w:color w:val="000000"/>
        </w:rPr>
        <w:t>ping</w:t>
      </w:r>
      <w:r w:rsidR="00176FCA" w:rsidRPr="00514711">
        <w:rPr>
          <w:color w:val="000000"/>
        </w:rPr>
        <w:t xml:space="preserve"> </w:t>
      </w:r>
      <w:r w:rsidR="00DA3D82" w:rsidRPr="00514711">
        <w:rPr>
          <w:color w:val="000000"/>
        </w:rPr>
        <w:t>soil</w:t>
      </w:r>
      <w:r w:rsidR="00176FCA" w:rsidRPr="00514711">
        <w:rPr>
          <w:color w:val="000000"/>
        </w:rPr>
        <w:t xml:space="preserve"> conditions and harvest</w:t>
      </w:r>
      <w:r w:rsidR="00DA3D82" w:rsidRPr="00514711">
        <w:rPr>
          <w:color w:val="000000"/>
        </w:rPr>
        <w:t>ing</w:t>
      </w:r>
      <w:r w:rsidR="00176FCA" w:rsidRPr="00514711">
        <w:rPr>
          <w:color w:val="000000"/>
        </w:rPr>
        <w:t xml:space="preserve"> crops precisely and</w:t>
      </w:r>
      <w:r w:rsidR="00726DE7" w:rsidRPr="00514711">
        <w:rPr>
          <w:color w:val="000000"/>
        </w:rPr>
        <w:t xml:space="preserve"> efficiently</w:t>
      </w:r>
      <w:r w:rsidR="00176FCA" w:rsidRPr="00514711">
        <w:rPr>
          <w:color w:val="000000"/>
        </w:rPr>
        <w:t>.</w:t>
      </w:r>
      <w:r w:rsidR="00176FCA" w:rsidRPr="00514711">
        <w:rPr>
          <w:rStyle w:val="FootnoteReference"/>
          <w:color w:val="000000"/>
        </w:rPr>
        <w:footnoteReference w:id="3"/>
      </w:r>
      <w:r w:rsidRPr="00514711">
        <w:rPr>
          <w:color w:val="000000"/>
        </w:rPr>
        <w:t xml:space="preserve">  We find that granting th</w:t>
      </w:r>
      <w:r w:rsidR="00107C11" w:rsidRPr="00514711">
        <w:rPr>
          <w:color w:val="000000"/>
        </w:rPr>
        <w:t>is</w:t>
      </w:r>
      <w:r w:rsidRPr="00514711">
        <w:rPr>
          <w:color w:val="000000"/>
        </w:rPr>
        <w:t xml:space="preserve"> waiver is in the public interest because</w:t>
      </w:r>
      <w:r w:rsidR="007906B8" w:rsidRPr="00514711">
        <w:rPr>
          <w:color w:val="000000"/>
        </w:rPr>
        <w:t xml:space="preserve"> </w:t>
      </w:r>
      <w:r w:rsidR="002F4969" w:rsidRPr="002979AB">
        <w:rPr>
          <w:color w:val="010101"/>
        </w:rPr>
        <w:t>this device poses no greater risk of causing harmful interference to authorized users of this spectrum than those devices already permitted under the existing rules, while</w:t>
      </w:r>
      <w:r w:rsidR="002F4969">
        <w:rPr>
          <w:rFonts w:ascii="timesnewroman" w:hAnsi="timesnewroman" w:cs="timesnewroman"/>
          <w:color w:val="010101"/>
        </w:rPr>
        <w:t xml:space="preserve"> </w:t>
      </w:r>
      <w:r w:rsidR="002F4969" w:rsidRPr="00514711">
        <w:rPr>
          <w:color w:val="000000"/>
        </w:rPr>
        <w:t>provid</w:t>
      </w:r>
      <w:r w:rsidR="002F4969">
        <w:rPr>
          <w:color w:val="000000"/>
        </w:rPr>
        <w:t>ing</w:t>
      </w:r>
      <w:r w:rsidR="002F4969" w:rsidRPr="00514711">
        <w:rPr>
          <w:color w:val="000000"/>
        </w:rPr>
        <w:t xml:space="preserve"> for innovative uses of GPR technology </w:t>
      </w:r>
      <w:r w:rsidR="003A0346">
        <w:rPr>
          <w:color w:val="000000"/>
        </w:rPr>
        <w:t>that will benefit the public through</w:t>
      </w:r>
      <w:r w:rsidR="003A0346" w:rsidRPr="00514711">
        <w:rPr>
          <w:color w:val="000000"/>
        </w:rPr>
        <w:t xml:space="preserve"> </w:t>
      </w:r>
      <w:r w:rsidR="002F4969" w:rsidRPr="00514711">
        <w:rPr>
          <w:color w:val="000000"/>
        </w:rPr>
        <w:t>improv</w:t>
      </w:r>
      <w:r w:rsidR="003A0346">
        <w:rPr>
          <w:color w:val="000000"/>
        </w:rPr>
        <w:t>ed</w:t>
      </w:r>
      <w:r w:rsidR="002F4969" w:rsidRPr="00514711">
        <w:rPr>
          <w:color w:val="000000"/>
        </w:rPr>
        <w:t xml:space="preserve"> farming operations and </w:t>
      </w:r>
      <w:r w:rsidR="003A0346">
        <w:rPr>
          <w:color w:val="000000"/>
        </w:rPr>
        <w:t xml:space="preserve">higher </w:t>
      </w:r>
      <w:r w:rsidR="002F4969" w:rsidRPr="00514711">
        <w:rPr>
          <w:color w:val="000000"/>
        </w:rPr>
        <w:t>crop yields</w:t>
      </w:r>
      <w:r w:rsidR="002F4969">
        <w:rPr>
          <w:color w:val="000000"/>
        </w:rPr>
        <w:t>.</w:t>
      </w:r>
    </w:p>
    <w:p w:rsidR="00C643B8" w:rsidRPr="00514711" w:rsidRDefault="00C643B8">
      <w:pPr>
        <w:pStyle w:val="Heading1"/>
        <w:rPr>
          <w:color w:val="000000"/>
        </w:rPr>
      </w:pPr>
      <w:r w:rsidRPr="00514711">
        <w:rPr>
          <w:color w:val="000000"/>
        </w:rPr>
        <w:t>BACKGROUND</w:t>
      </w:r>
    </w:p>
    <w:p w:rsidR="00C643B8" w:rsidRPr="00514711" w:rsidRDefault="00C643B8">
      <w:pPr>
        <w:pStyle w:val="ParaNum"/>
        <w:rPr>
          <w:color w:val="000000"/>
        </w:rPr>
      </w:pPr>
      <w:r w:rsidRPr="00514711">
        <w:rPr>
          <w:color w:val="000000"/>
        </w:rPr>
        <w:t xml:space="preserve">Part 15 of the </w:t>
      </w:r>
      <w:r w:rsidRPr="00514711">
        <w:rPr>
          <w:color w:val="000000"/>
          <w:szCs w:val="22"/>
        </w:rPr>
        <w:t>Commission’s</w:t>
      </w:r>
      <w:r w:rsidRPr="00514711">
        <w:rPr>
          <w:color w:val="000000"/>
        </w:rPr>
        <w:t xml:space="preserve"> rules permits low</w:t>
      </w:r>
      <w:r w:rsidRPr="00514711">
        <w:rPr>
          <w:color w:val="000000"/>
        </w:rPr>
        <w:noBreakHyphen/>
        <w:t>power radio frequency devices to operate without an individual license from the Commission.</w:t>
      </w:r>
      <w:r w:rsidR="00726DE7" w:rsidRPr="00514711">
        <w:rPr>
          <w:rStyle w:val="FootnoteReference"/>
          <w:color w:val="000000"/>
        </w:rPr>
        <w:footnoteReference w:id="4"/>
      </w:r>
      <w:r w:rsidRPr="00514711">
        <w:rPr>
          <w:color w:val="000000"/>
        </w:rPr>
        <w:t xml:space="preserve">  The technical and operating requirements are designed to ensure that unlicensed devices are unlikely to cause harmful interference to authorized radio services.  Part 15, Subpart </w:t>
      </w:r>
      <w:r w:rsidR="007F3F45" w:rsidRPr="00514711">
        <w:rPr>
          <w:color w:val="000000"/>
        </w:rPr>
        <w:t>F</w:t>
      </w:r>
      <w:r w:rsidR="00E36323" w:rsidRPr="00514711">
        <w:rPr>
          <w:color w:val="000000"/>
        </w:rPr>
        <w:t xml:space="preserve">, permits </w:t>
      </w:r>
      <w:r w:rsidR="00136AE9" w:rsidRPr="00514711">
        <w:rPr>
          <w:color w:val="000000"/>
        </w:rPr>
        <w:t xml:space="preserve">the operation of </w:t>
      </w:r>
      <w:r w:rsidR="00E36323" w:rsidRPr="00514711">
        <w:rPr>
          <w:color w:val="000000"/>
        </w:rPr>
        <w:t xml:space="preserve">unlicensed transmitters </w:t>
      </w:r>
      <w:r w:rsidR="00136AE9" w:rsidRPr="00514711">
        <w:rPr>
          <w:color w:val="000000"/>
        </w:rPr>
        <w:t xml:space="preserve">using UWB technology </w:t>
      </w:r>
      <w:r w:rsidR="00136AE9" w:rsidRPr="00514711">
        <w:rPr>
          <w:color w:val="000000"/>
          <w:szCs w:val="22"/>
        </w:rPr>
        <w:t xml:space="preserve">employing very narrow or short duration pulses that result in very large </w:t>
      </w:r>
      <w:r w:rsidR="00EE677E">
        <w:rPr>
          <w:color w:val="000000"/>
          <w:szCs w:val="22"/>
        </w:rPr>
        <w:t>(</w:t>
      </w:r>
      <w:r w:rsidR="00136AE9" w:rsidRPr="00514711">
        <w:rPr>
          <w:color w:val="000000"/>
          <w:szCs w:val="22"/>
        </w:rPr>
        <w:t>wideband</w:t>
      </w:r>
      <w:r w:rsidR="00EE677E">
        <w:rPr>
          <w:color w:val="000000"/>
          <w:szCs w:val="22"/>
        </w:rPr>
        <w:t>)</w:t>
      </w:r>
      <w:r w:rsidR="00136AE9" w:rsidRPr="00514711">
        <w:rPr>
          <w:color w:val="000000"/>
        </w:rPr>
        <w:t xml:space="preserve"> </w:t>
      </w:r>
      <w:r w:rsidR="00136AE9" w:rsidRPr="00514711">
        <w:rPr>
          <w:color w:val="000000"/>
          <w:szCs w:val="22"/>
        </w:rPr>
        <w:t>transmission bandwidths.</w:t>
      </w:r>
      <w:r w:rsidR="003D1585">
        <w:rPr>
          <w:rStyle w:val="FootnoteReference"/>
          <w:szCs w:val="22"/>
        </w:rPr>
        <w:footnoteReference w:id="5"/>
      </w:r>
      <w:r w:rsidR="00136AE9" w:rsidRPr="00514711">
        <w:rPr>
          <w:color w:val="000000"/>
          <w:szCs w:val="22"/>
        </w:rPr>
        <w:t xml:space="preserve">  </w:t>
      </w:r>
      <w:r w:rsidR="007374F7" w:rsidRPr="00514711">
        <w:rPr>
          <w:color w:val="000000"/>
          <w:szCs w:val="22"/>
        </w:rPr>
        <w:t>GPR</w:t>
      </w:r>
      <w:r w:rsidR="00A9223D" w:rsidRPr="00514711">
        <w:rPr>
          <w:color w:val="000000"/>
          <w:szCs w:val="22"/>
        </w:rPr>
        <w:t xml:space="preserve"> devices</w:t>
      </w:r>
      <w:r w:rsidR="007374F7" w:rsidRPr="00514711">
        <w:rPr>
          <w:color w:val="000000"/>
          <w:szCs w:val="22"/>
        </w:rPr>
        <w:t xml:space="preserve"> are </w:t>
      </w:r>
      <w:r w:rsidR="009D159A" w:rsidRPr="00514711">
        <w:rPr>
          <w:color w:val="000000"/>
          <w:szCs w:val="22"/>
        </w:rPr>
        <w:t xml:space="preserve">UWB </w:t>
      </w:r>
      <w:r w:rsidR="00A03F1C">
        <w:rPr>
          <w:color w:val="000000"/>
          <w:szCs w:val="22"/>
        </w:rPr>
        <w:t xml:space="preserve">imaging </w:t>
      </w:r>
      <w:r w:rsidR="007374F7" w:rsidRPr="00514711">
        <w:rPr>
          <w:color w:val="000000"/>
          <w:szCs w:val="22"/>
        </w:rPr>
        <w:t>radar</w:t>
      </w:r>
      <w:r w:rsidR="00A9223D" w:rsidRPr="00514711">
        <w:rPr>
          <w:color w:val="000000"/>
          <w:szCs w:val="22"/>
        </w:rPr>
        <w:t>s</w:t>
      </w:r>
      <w:r w:rsidR="007374F7" w:rsidRPr="00514711">
        <w:rPr>
          <w:color w:val="000000"/>
          <w:szCs w:val="22"/>
        </w:rPr>
        <w:t xml:space="preserve"> designed to obtain the images of buried objects or to</w:t>
      </w:r>
      <w:r w:rsidR="007374F7" w:rsidRPr="00514711">
        <w:rPr>
          <w:color w:val="000000"/>
        </w:rPr>
        <w:t xml:space="preserve"> </w:t>
      </w:r>
      <w:r w:rsidR="007374F7" w:rsidRPr="00514711">
        <w:rPr>
          <w:color w:val="000000"/>
          <w:szCs w:val="22"/>
        </w:rPr>
        <w:t>determine physical properties within the ground.</w:t>
      </w:r>
      <w:r w:rsidR="007374F7" w:rsidRPr="00514711">
        <w:rPr>
          <w:rStyle w:val="FootnoteReference"/>
          <w:color w:val="000000"/>
          <w:szCs w:val="22"/>
        </w:rPr>
        <w:footnoteReference w:id="6"/>
      </w:r>
      <w:r w:rsidR="007374F7" w:rsidRPr="00514711">
        <w:rPr>
          <w:color w:val="000000"/>
          <w:szCs w:val="22"/>
        </w:rPr>
        <w:t xml:space="preserve">  </w:t>
      </w:r>
      <w:r w:rsidR="00046010">
        <w:rPr>
          <w:color w:val="000000"/>
          <w:szCs w:val="22"/>
        </w:rPr>
        <w:t xml:space="preserve">Within </w:t>
      </w:r>
      <w:r w:rsidR="00136AE9" w:rsidRPr="00514711">
        <w:rPr>
          <w:color w:val="000000"/>
          <w:szCs w:val="22"/>
        </w:rPr>
        <w:t>S</w:t>
      </w:r>
      <w:r w:rsidR="00E36323" w:rsidRPr="00514711">
        <w:rPr>
          <w:color w:val="000000"/>
        </w:rPr>
        <w:t>ection 15.509</w:t>
      </w:r>
      <w:r w:rsidR="00046010">
        <w:rPr>
          <w:color w:val="000000"/>
        </w:rPr>
        <w:t xml:space="preserve">, which permits </w:t>
      </w:r>
      <w:r w:rsidR="00046010" w:rsidRPr="00514711">
        <w:rPr>
          <w:color w:val="000000"/>
        </w:rPr>
        <w:t>unlicensed GPR and wall</w:t>
      </w:r>
      <w:r w:rsidR="00046010">
        <w:rPr>
          <w:color w:val="000000"/>
        </w:rPr>
        <w:t>-</w:t>
      </w:r>
      <w:r w:rsidR="00046010" w:rsidRPr="00514711">
        <w:rPr>
          <w:color w:val="000000"/>
        </w:rPr>
        <w:t>imaging UWB devices to operate below 10.6 GHz</w:t>
      </w:r>
      <w:r w:rsidR="00046010">
        <w:rPr>
          <w:color w:val="000000"/>
        </w:rPr>
        <w:t>, the preamble to subsection</w:t>
      </w:r>
      <w:r w:rsidR="00046010" w:rsidRPr="00514711">
        <w:rPr>
          <w:color w:val="000000"/>
        </w:rPr>
        <w:t xml:space="preserve"> </w:t>
      </w:r>
      <w:r w:rsidR="00E36323" w:rsidRPr="00514711">
        <w:rPr>
          <w:color w:val="000000"/>
        </w:rPr>
        <w:t>(b)</w:t>
      </w:r>
      <w:r w:rsidR="005539AA" w:rsidRPr="00514711">
        <w:rPr>
          <w:color w:val="000000"/>
        </w:rPr>
        <w:t xml:space="preserve"> limit</w:t>
      </w:r>
      <w:r w:rsidR="00A9223D" w:rsidRPr="00514711">
        <w:rPr>
          <w:color w:val="000000"/>
        </w:rPr>
        <w:t>s</w:t>
      </w:r>
      <w:r w:rsidR="005539AA" w:rsidRPr="00514711">
        <w:rPr>
          <w:color w:val="000000"/>
        </w:rPr>
        <w:t xml:space="preserve"> their </w:t>
      </w:r>
      <w:r w:rsidR="005539AA" w:rsidRPr="00514711">
        <w:rPr>
          <w:color w:val="000000"/>
        </w:rPr>
        <w:lastRenderedPageBreak/>
        <w:t xml:space="preserve">use to </w:t>
      </w:r>
      <w:r w:rsidR="005539AA" w:rsidRPr="00514711">
        <w:rPr>
          <w:rFonts w:eastAsia="timesnewroman"/>
          <w:color w:val="000000"/>
          <w:szCs w:val="22"/>
        </w:rPr>
        <w:t>applications</w:t>
      </w:r>
      <w:r w:rsidR="005539AA" w:rsidRPr="00514711">
        <w:rPr>
          <w:rFonts w:eastAsia="timesnewroman"/>
          <w:color w:val="000000"/>
        </w:rPr>
        <w:t xml:space="preserve"> </w:t>
      </w:r>
      <w:r w:rsidR="005539AA" w:rsidRPr="00514711">
        <w:rPr>
          <w:color w:val="000000"/>
          <w:szCs w:val="22"/>
        </w:rPr>
        <w:t xml:space="preserve">associated with law enforcement, </w:t>
      </w:r>
      <w:r w:rsidR="00E94A7C">
        <w:rPr>
          <w:color w:val="000000"/>
          <w:szCs w:val="22"/>
        </w:rPr>
        <w:t>f</w:t>
      </w:r>
      <w:r w:rsidR="00A54DF8" w:rsidRPr="00514711">
        <w:rPr>
          <w:color w:val="000000"/>
          <w:szCs w:val="22"/>
        </w:rPr>
        <w:t>irefighting</w:t>
      </w:r>
      <w:r w:rsidR="005539AA" w:rsidRPr="00514711">
        <w:rPr>
          <w:color w:val="000000"/>
          <w:szCs w:val="22"/>
        </w:rPr>
        <w:t>, emergency rescue, scientific research, commercial mining, or construction</w:t>
      </w:r>
      <w:r w:rsidR="00CB68D2" w:rsidRPr="00514711">
        <w:rPr>
          <w:color w:val="000000"/>
          <w:szCs w:val="22"/>
        </w:rPr>
        <w:t>.</w:t>
      </w:r>
      <w:r w:rsidRPr="00514711">
        <w:rPr>
          <w:color w:val="000000"/>
          <w:sz w:val="20"/>
          <w:vertAlign w:val="superscript"/>
        </w:rPr>
        <w:footnoteReference w:id="7"/>
      </w:r>
      <w:r w:rsidRPr="00514711">
        <w:rPr>
          <w:color w:val="000000"/>
        </w:rPr>
        <w:t xml:space="preserve"> </w:t>
      </w:r>
      <w:r w:rsidR="00E36323" w:rsidRPr="00514711">
        <w:rPr>
          <w:color w:val="000000"/>
        </w:rPr>
        <w:t xml:space="preserve"> </w:t>
      </w:r>
      <w:r w:rsidR="000E0FE7">
        <w:rPr>
          <w:color w:val="000000"/>
        </w:rPr>
        <w:t>Additionally,</w:t>
      </w:r>
      <w:r w:rsidR="00046010">
        <w:rPr>
          <w:color w:val="000000"/>
          <w:szCs w:val="22"/>
        </w:rPr>
        <w:t xml:space="preserve"> subsection </w:t>
      </w:r>
      <w:r w:rsidR="000E65DC" w:rsidRPr="00514711">
        <w:rPr>
          <w:color w:val="000000"/>
          <w:szCs w:val="22"/>
        </w:rPr>
        <w:t>(b)(</w:t>
      </w:r>
      <w:r w:rsidR="007366A5">
        <w:rPr>
          <w:color w:val="000000"/>
          <w:szCs w:val="22"/>
        </w:rPr>
        <w:t>1</w:t>
      </w:r>
      <w:r w:rsidR="000E65DC" w:rsidRPr="00514711">
        <w:rPr>
          <w:color w:val="000000"/>
          <w:szCs w:val="22"/>
        </w:rPr>
        <w:t>) limits the operation of these devices to “parties eligible for licensing under the provisions of part 90”</w:t>
      </w:r>
      <w:r w:rsidR="00386B98">
        <w:rPr>
          <w:color w:val="000000"/>
          <w:szCs w:val="22"/>
        </w:rPr>
        <w:t xml:space="preserve"> (</w:t>
      </w:r>
      <w:r w:rsidR="00386B98" w:rsidRPr="00485C60">
        <w:rPr>
          <w:color w:val="000000"/>
          <w:szCs w:val="22"/>
        </w:rPr>
        <w:t>e.</w:t>
      </w:r>
      <w:r w:rsidR="00801D35" w:rsidRPr="00485C60">
        <w:rPr>
          <w:color w:val="000000"/>
          <w:szCs w:val="22"/>
        </w:rPr>
        <w:t>g.</w:t>
      </w:r>
      <w:r w:rsidR="00386B98" w:rsidRPr="00485C60">
        <w:rPr>
          <w:color w:val="000000"/>
          <w:szCs w:val="22"/>
        </w:rPr>
        <w:t>,</w:t>
      </w:r>
      <w:r w:rsidR="00386B98">
        <w:rPr>
          <w:color w:val="000000"/>
          <w:szCs w:val="22"/>
        </w:rPr>
        <w:t xml:space="preserve"> non-consumer entities </w:t>
      </w:r>
      <w:r w:rsidR="00613BB5">
        <w:rPr>
          <w:color w:val="000000"/>
          <w:szCs w:val="22"/>
        </w:rPr>
        <w:t xml:space="preserve">engaged in </w:t>
      </w:r>
      <w:r w:rsidR="00F93EB8">
        <w:rPr>
          <w:color w:val="000000"/>
          <w:szCs w:val="22"/>
        </w:rPr>
        <w:t xml:space="preserve">specific </w:t>
      </w:r>
      <w:r w:rsidR="00613BB5">
        <w:rPr>
          <w:color w:val="000000"/>
          <w:szCs w:val="22"/>
        </w:rPr>
        <w:t>commercial activities</w:t>
      </w:r>
      <w:r w:rsidR="00386B98">
        <w:rPr>
          <w:color w:val="000000"/>
          <w:szCs w:val="22"/>
        </w:rPr>
        <w:t>)</w:t>
      </w:r>
      <w:r w:rsidR="00CF49D9">
        <w:rPr>
          <w:color w:val="000000"/>
          <w:szCs w:val="22"/>
        </w:rPr>
        <w:t>;</w:t>
      </w:r>
      <w:bookmarkStart w:id="1" w:name="_Ref468871277"/>
      <w:r w:rsidR="00801D35" w:rsidRPr="00514711">
        <w:rPr>
          <w:rStyle w:val="FootnoteReference"/>
          <w:color w:val="000000"/>
          <w:szCs w:val="22"/>
        </w:rPr>
        <w:footnoteReference w:id="8"/>
      </w:r>
      <w:bookmarkEnd w:id="1"/>
      <w:r w:rsidR="000E0FE7">
        <w:rPr>
          <w:color w:val="000000"/>
          <w:szCs w:val="22"/>
        </w:rPr>
        <w:t xml:space="preserve"> and </w:t>
      </w:r>
      <w:r w:rsidR="00046010">
        <w:rPr>
          <w:color w:val="000000"/>
          <w:szCs w:val="22"/>
        </w:rPr>
        <w:t xml:space="preserve">subsection </w:t>
      </w:r>
      <w:r w:rsidR="000E65DC" w:rsidRPr="00514711">
        <w:rPr>
          <w:color w:val="000000"/>
          <w:szCs w:val="22"/>
        </w:rPr>
        <w:t>(b)(2) requires that the operation of GPR devices be coordinated with federal users via the Commission and the National Telecommunications and Information Administration (NTIA), as specified in Section 15.525 of the rules.</w:t>
      </w:r>
      <w:bookmarkStart w:id="2" w:name="_Ref461702827"/>
      <w:r w:rsidR="000E65DC" w:rsidRPr="00514711">
        <w:rPr>
          <w:rStyle w:val="FootnoteReference"/>
          <w:color w:val="000000"/>
          <w:szCs w:val="22"/>
        </w:rPr>
        <w:footnoteReference w:id="9"/>
      </w:r>
      <w:bookmarkEnd w:id="2"/>
      <w:r w:rsidR="000E65DC" w:rsidRPr="00514711">
        <w:rPr>
          <w:color w:val="000000"/>
          <w:szCs w:val="22"/>
        </w:rPr>
        <w:t xml:space="preserve"> </w:t>
      </w:r>
      <w:r w:rsidR="000E65DC" w:rsidRPr="00514711">
        <w:rPr>
          <w:color w:val="000000"/>
          <w:sz w:val="24"/>
          <w:szCs w:val="24"/>
        </w:rPr>
        <w:t xml:space="preserve"> </w:t>
      </w:r>
      <w:r w:rsidR="00136AE9" w:rsidRPr="00514711">
        <w:rPr>
          <w:color w:val="000000"/>
        </w:rPr>
        <w:t>S</w:t>
      </w:r>
      <w:r w:rsidR="005539AA" w:rsidRPr="00514711">
        <w:rPr>
          <w:color w:val="000000"/>
        </w:rPr>
        <w:t xml:space="preserve">ection 15.503(f) </w:t>
      </w:r>
      <w:r w:rsidR="006D2559" w:rsidRPr="00514711">
        <w:rPr>
          <w:color w:val="000000"/>
        </w:rPr>
        <w:t xml:space="preserve">requires </w:t>
      </w:r>
      <w:r w:rsidR="00136AE9" w:rsidRPr="00514711">
        <w:rPr>
          <w:color w:val="000000"/>
        </w:rPr>
        <w:t>GPR devices</w:t>
      </w:r>
      <w:r w:rsidR="006D2559" w:rsidRPr="00514711">
        <w:rPr>
          <w:color w:val="000000"/>
        </w:rPr>
        <w:t xml:space="preserve"> </w:t>
      </w:r>
      <w:r w:rsidR="006D2559" w:rsidRPr="00514711">
        <w:rPr>
          <w:color w:val="000000"/>
          <w:szCs w:val="22"/>
        </w:rPr>
        <w:t>to operate only when in contact with, or within one meter of, the ground</w:t>
      </w:r>
      <w:r w:rsidR="00CB68D2" w:rsidRPr="00514711">
        <w:rPr>
          <w:color w:val="000000"/>
          <w:szCs w:val="22"/>
        </w:rPr>
        <w:t>.</w:t>
      </w:r>
      <w:r w:rsidR="00AD3FE1" w:rsidRPr="00514711">
        <w:rPr>
          <w:rStyle w:val="FootnoteReference"/>
          <w:color w:val="000000"/>
          <w:szCs w:val="22"/>
        </w:rPr>
        <w:footnoteReference w:id="10"/>
      </w:r>
      <w:r w:rsidR="00A944EE" w:rsidRPr="00514711">
        <w:rPr>
          <w:color w:val="000000"/>
          <w:szCs w:val="22"/>
        </w:rPr>
        <w:t xml:space="preserve"> </w:t>
      </w:r>
    </w:p>
    <w:p w:rsidR="00DD6BA6" w:rsidRPr="00514711" w:rsidRDefault="00B64533">
      <w:pPr>
        <w:pStyle w:val="ParaNum"/>
        <w:rPr>
          <w:color w:val="000000"/>
        </w:rPr>
      </w:pPr>
      <w:r w:rsidRPr="00514711">
        <w:rPr>
          <w:color w:val="000000"/>
        </w:rPr>
        <w:t xml:space="preserve">Headsight </w:t>
      </w:r>
      <w:r w:rsidR="00C643B8" w:rsidRPr="00514711">
        <w:rPr>
          <w:color w:val="000000"/>
        </w:rPr>
        <w:t xml:space="preserve">filed a request seeking waiver of </w:t>
      </w:r>
      <w:r w:rsidR="0048490C">
        <w:rPr>
          <w:color w:val="000000"/>
        </w:rPr>
        <w:t>S</w:t>
      </w:r>
      <w:r w:rsidR="00C63E3F" w:rsidRPr="00514711">
        <w:rPr>
          <w:color w:val="000000"/>
        </w:rPr>
        <w:t xml:space="preserve">ections 15.509(b) </w:t>
      </w:r>
      <w:r w:rsidR="006D2559" w:rsidRPr="00514711">
        <w:rPr>
          <w:color w:val="000000"/>
        </w:rPr>
        <w:t xml:space="preserve">and 15.503(f) </w:t>
      </w:r>
      <w:r w:rsidR="00C63E3F" w:rsidRPr="00514711">
        <w:rPr>
          <w:color w:val="000000"/>
        </w:rPr>
        <w:t>of the rules</w:t>
      </w:r>
      <w:r w:rsidR="00C643B8" w:rsidRPr="00514711">
        <w:rPr>
          <w:color w:val="000000"/>
        </w:rPr>
        <w:t xml:space="preserve"> </w:t>
      </w:r>
      <w:r w:rsidR="00C643B8" w:rsidRPr="00514711">
        <w:rPr>
          <w:snapToGrid/>
          <w:color w:val="000000"/>
          <w:kern w:val="0"/>
          <w:szCs w:val="22"/>
        </w:rPr>
        <w:t xml:space="preserve">to </w:t>
      </w:r>
      <w:r w:rsidR="00BA63FC" w:rsidRPr="00514711">
        <w:rPr>
          <w:snapToGrid/>
          <w:color w:val="000000"/>
          <w:kern w:val="0"/>
          <w:szCs w:val="22"/>
        </w:rPr>
        <w:t>use</w:t>
      </w:r>
      <w:r w:rsidR="00456BC9" w:rsidRPr="00514711">
        <w:rPr>
          <w:snapToGrid/>
          <w:color w:val="000000"/>
          <w:kern w:val="0"/>
          <w:szCs w:val="22"/>
        </w:rPr>
        <w:t xml:space="preserve"> </w:t>
      </w:r>
      <w:r w:rsidRPr="00514711">
        <w:rPr>
          <w:color w:val="000000"/>
        </w:rPr>
        <w:t xml:space="preserve">the </w:t>
      </w:r>
      <w:r w:rsidRPr="00514711">
        <w:rPr>
          <w:color w:val="000000"/>
          <w:szCs w:val="22"/>
        </w:rPr>
        <w:t xml:space="preserve">UWB </w:t>
      </w:r>
      <w:r w:rsidRPr="00514711">
        <w:rPr>
          <w:color w:val="000000"/>
        </w:rPr>
        <w:t>GPR</w:t>
      </w:r>
      <w:r w:rsidRPr="00514711">
        <w:rPr>
          <w:color w:val="000000"/>
          <w:szCs w:val="22"/>
        </w:rPr>
        <w:t xml:space="preserve"> wireless technology for agricultural </w:t>
      </w:r>
      <w:r w:rsidR="00F14385" w:rsidRPr="00514711">
        <w:rPr>
          <w:color w:val="000000"/>
          <w:szCs w:val="22"/>
        </w:rPr>
        <w:t>application</w:t>
      </w:r>
      <w:r w:rsidRPr="00514711">
        <w:rPr>
          <w:color w:val="000000"/>
          <w:szCs w:val="22"/>
        </w:rPr>
        <w:t>s.</w:t>
      </w:r>
      <w:r w:rsidR="00C63E3F" w:rsidRPr="00514711">
        <w:rPr>
          <w:color w:val="000000"/>
          <w:szCs w:val="22"/>
        </w:rPr>
        <w:t xml:space="preserve">  Headsigh</w:t>
      </w:r>
      <w:r w:rsidR="00C63E3F" w:rsidRPr="00514711">
        <w:rPr>
          <w:color w:val="000000"/>
        </w:rPr>
        <w:t>t</w:t>
      </w:r>
      <w:r w:rsidR="00C63E3F" w:rsidRPr="00514711">
        <w:rPr>
          <w:color w:val="000000"/>
          <w:szCs w:val="22"/>
        </w:rPr>
        <w:t xml:space="preserve"> </w:t>
      </w:r>
      <w:r w:rsidR="00C63E3F" w:rsidRPr="00514711">
        <w:rPr>
          <w:color w:val="000000"/>
        </w:rPr>
        <w:t>states that its</w:t>
      </w:r>
      <w:r w:rsidR="00C63E3F" w:rsidRPr="00514711">
        <w:rPr>
          <w:color w:val="000000"/>
          <w:szCs w:val="22"/>
        </w:rPr>
        <w:t xml:space="preserve"> device, the Te</w:t>
      </w:r>
      <w:r w:rsidR="00C63E3F" w:rsidRPr="00514711">
        <w:rPr>
          <w:color w:val="000000"/>
        </w:rPr>
        <w:t>rra</w:t>
      </w:r>
      <w:r w:rsidR="00C63E3F" w:rsidRPr="00514711">
        <w:rPr>
          <w:color w:val="000000"/>
          <w:szCs w:val="22"/>
        </w:rPr>
        <w:t>hawk, uses UWB imaging</w:t>
      </w:r>
      <w:r w:rsidR="00C63E3F" w:rsidRPr="00514711">
        <w:rPr>
          <w:color w:val="000000"/>
        </w:rPr>
        <w:t xml:space="preserve"> </w:t>
      </w:r>
      <w:r w:rsidR="00C63E3F" w:rsidRPr="00514711">
        <w:rPr>
          <w:color w:val="000000"/>
          <w:szCs w:val="22"/>
        </w:rPr>
        <w:t xml:space="preserve">technology </w:t>
      </w:r>
      <w:r w:rsidR="00395C7E" w:rsidRPr="00514711">
        <w:rPr>
          <w:color w:val="000000"/>
          <w:szCs w:val="22"/>
        </w:rPr>
        <w:t xml:space="preserve">between 1 GHz and 6 GHz </w:t>
      </w:r>
      <w:r w:rsidR="00C63E3F" w:rsidRPr="00514711">
        <w:rPr>
          <w:color w:val="000000"/>
          <w:szCs w:val="22"/>
        </w:rPr>
        <w:t>to detect the ground surface conditions obscured by crops during harvest</w:t>
      </w:r>
      <w:r w:rsidR="00C63E3F" w:rsidRPr="00514711">
        <w:rPr>
          <w:color w:val="000000"/>
        </w:rPr>
        <w:t xml:space="preserve"> </w:t>
      </w:r>
      <w:r w:rsidR="00C63E3F" w:rsidRPr="00514711">
        <w:rPr>
          <w:color w:val="000000"/>
          <w:szCs w:val="22"/>
        </w:rPr>
        <w:t>opera</w:t>
      </w:r>
      <w:r w:rsidR="00C63E3F" w:rsidRPr="00514711">
        <w:rPr>
          <w:color w:val="000000"/>
        </w:rPr>
        <w:t>tions</w:t>
      </w:r>
      <w:r w:rsidR="003A0346">
        <w:rPr>
          <w:color w:val="000000"/>
        </w:rPr>
        <w:t>.  This information allows</w:t>
      </w:r>
      <w:r w:rsidR="00C63E3F" w:rsidRPr="00514711">
        <w:rPr>
          <w:color w:val="000000"/>
        </w:rPr>
        <w:t xml:space="preserve"> </w:t>
      </w:r>
      <w:r w:rsidR="00C63E3F" w:rsidRPr="00514711">
        <w:rPr>
          <w:color w:val="000000"/>
          <w:szCs w:val="22"/>
        </w:rPr>
        <w:t>for the precise positioning of the combine</w:t>
      </w:r>
      <w:r w:rsidR="00987A6C">
        <w:rPr>
          <w:color w:val="000000"/>
          <w:szCs w:val="22"/>
        </w:rPr>
        <w:t xml:space="preserve"> harvester</w:t>
      </w:r>
      <w:r w:rsidR="00C63E3F" w:rsidRPr="00514711">
        <w:rPr>
          <w:color w:val="000000"/>
        </w:rPr>
        <w:t>’s</w:t>
      </w:r>
      <w:r w:rsidR="009D159A" w:rsidRPr="00514711">
        <w:rPr>
          <w:rStyle w:val="FootnoteReference"/>
          <w:color w:val="000000"/>
          <w:szCs w:val="22"/>
        </w:rPr>
        <w:footnoteReference w:id="11"/>
      </w:r>
      <w:r w:rsidR="00C63E3F" w:rsidRPr="00514711">
        <w:rPr>
          <w:color w:val="000000"/>
          <w:szCs w:val="22"/>
        </w:rPr>
        <w:t xml:space="preserve"> cutting head (</w:t>
      </w:r>
      <w:r w:rsidR="00C63E3F" w:rsidRPr="006524BE">
        <w:rPr>
          <w:color w:val="000000"/>
        </w:rPr>
        <w:t>i.e</w:t>
      </w:r>
      <w:r w:rsidR="00C63E3F" w:rsidRPr="006524BE">
        <w:rPr>
          <w:color w:val="000000"/>
          <w:szCs w:val="22"/>
        </w:rPr>
        <w:t>.</w:t>
      </w:r>
      <w:r w:rsidR="00C63E3F" w:rsidRPr="006524BE">
        <w:rPr>
          <w:color w:val="000000"/>
        </w:rPr>
        <w:t>,</w:t>
      </w:r>
      <w:r w:rsidR="00C63E3F" w:rsidRPr="00514711">
        <w:rPr>
          <w:color w:val="000000"/>
        </w:rPr>
        <w:t xml:space="preserve"> </w:t>
      </w:r>
      <w:r w:rsidR="00C63E3F" w:rsidRPr="00514711">
        <w:rPr>
          <w:color w:val="000000"/>
          <w:szCs w:val="22"/>
        </w:rPr>
        <w:t xml:space="preserve">header </w:t>
      </w:r>
      <w:r w:rsidR="00C63E3F" w:rsidRPr="00514711">
        <w:rPr>
          <w:rFonts w:eastAsia="HiddenHorzOCR"/>
          <w:color w:val="000000"/>
          <w:szCs w:val="22"/>
        </w:rPr>
        <w:t>hei</w:t>
      </w:r>
      <w:r w:rsidR="00C63E3F" w:rsidRPr="00514711">
        <w:rPr>
          <w:rFonts w:eastAsia="HiddenHorzOCR"/>
          <w:color w:val="000000"/>
        </w:rPr>
        <w:t>g</w:t>
      </w:r>
      <w:r w:rsidR="00C63E3F" w:rsidRPr="00514711">
        <w:rPr>
          <w:rFonts w:eastAsia="HiddenHorzOCR"/>
          <w:color w:val="000000"/>
          <w:szCs w:val="22"/>
        </w:rPr>
        <w:t xml:space="preserve">ht), </w:t>
      </w:r>
      <w:r w:rsidR="00C63E3F" w:rsidRPr="00514711">
        <w:rPr>
          <w:color w:val="000000"/>
          <w:szCs w:val="22"/>
        </w:rPr>
        <w:t>which leads to faster harvesting operations, reduced operator fatigue, less</w:t>
      </w:r>
      <w:r w:rsidR="00C63E3F" w:rsidRPr="00514711">
        <w:rPr>
          <w:color w:val="000000"/>
        </w:rPr>
        <w:t xml:space="preserve"> </w:t>
      </w:r>
      <w:r w:rsidR="00C63E3F" w:rsidRPr="00514711">
        <w:rPr>
          <w:color w:val="000000"/>
          <w:szCs w:val="22"/>
        </w:rPr>
        <w:t>machine wear and tear</w:t>
      </w:r>
      <w:r w:rsidR="00C63E3F" w:rsidRPr="00514711">
        <w:rPr>
          <w:color w:val="000000"/>
        </w:rPr>
        <w:t>,</w:t>
      </w:r>
      <w:r w:rsidR="00C63E3F" w:rsidRPr="00514711">
        <w:rPr>
          <w:color w:val="000000"/>
          <w:szCs w:val="22"/>
        </w:rPr>
        <w:t xml:space="preserve"> and increased crop yields.</w:t>
      </w:r>
      <w:r w:rsidR="00DE4C5B" w:rsidRPr="00514711">
        <w:rPr>
          <w:rStyle w:val="FootnoteReference"/>
          <w:color w:val="000000"/>
          <w:szCs w:val="22"/>
        </w:rPr>
        <w:footnoteReference w:id="12"/>
      </w:r>
      <w:r w:rsidR="00C63E3F" w:rsidRPr="00514711">
        <w:rPr>
          <w:color w:val="000000"/>
          <w:szCs w:val="22"/>
        </w:rPr>
        <w:t xml:space="preserve"> </w:t>
      </w:r>
      <w:r w:rsidR="00C63E3F" w:rsidRPr="00514711">
        <w:rPr>
          <w:color w:val="000000"/>
        </w:rPr>
        <w:t xml:space="preserve"> </w:t>
      </w:r>
      <w:r w:rsidR="00B701A8">
        <w:rPr>
          <w:color w:val="000000"/>
        </w:rPr>
        <w:t>Headsight also anticipates use of the Terrahawk in the absence of crop cover to map</w:t>
      </w:r>
      <w:r w:rsidR="00B701A8">
        <w:t xml:space="preserve"> sub-surface ground conditions such as moisture content and soil compaction</w:t>
      </w:r>
      <w:r w:rsidR="003A0346">
        <w:t>.</w:t>
      </w:r>
    </w:p>
    <w:p w:rsidR="008C78BC" w:rsidRDefault="00C63E3F" w:rsidP="00514711">
      <w:pPr>
        <w:pStyle w:val="ParaNum"/>
        <w:rPr>
          <w:color w:val="000000"/>
        </w:rPr>
      </w:pPr>
      <w:r w:rsidRPr="00514711">
        <w:rPr>
          <w:color w:val="000000"/>
        </w:rPr>
        <w:t xml:space="preserve">Headsight </w:t>
      </w:r>
      <w:r w:rsidR="00521F9E" w:rsidRPr="00514711">
        <w:rPr>
          <w:color w:val="000000"/>
        </w:rPr>
        <w:t>describes</w:t>
      </w:r>
      <w:r w:rsidR="009B4B3B" w:rsidRPr="00514711">
        <w:rPr>
          <w:color w:val="000000"/>
        </w:rPr>
        <w:t xml:space="preserve"> </w:t>
      </w:r>
      <w:r w:rsidR="00AE71DA" w:rsidRPr="00514711">
        <w:rPr>
          <w:color w:val="000000"/>
        </w:rPr>
        <w:t>that the Terrahawk is a sealed circuit board assembly containing a UWB GPR designed by Novelda AS.  The assembly contains two modified bowtie antenna</w:t>
      </w:r>
      <w:r w:rsidR="00BB7BCD">
        <w:rPr>
          <w:color w:val="000000"/>
        </w:rPr>
        <w:t>e</w:t>
      </w:r>
      <w:r w:rsidR="00AE71DA" w:rsidRPr="00514711">
        <w:rPr>
          <w:color w:val="000000"/>
        </w:rPr>
        <w:t xml:space="preserve"> with a boresight gain of 4-6 dBi.  Multiple Terrahawk devices can be mounted along the harvester</w:t>
      </w:r>
      <w:r w:rsidR="00BB7BCD">
        <w:rPr>
          <w:color w:val="000000"/>
        </w:rPr>
        <w:t>’s</w:t>
      </w:r>
      <w:r w:rsidR="00AE71DA" w:rsidRPr="00514711">
        <w:rPr>
          <w:color w:val="000000"/>
        </w:rPr>
        <w:t xml:space="preserve"> header along with a base controller to communicate via Wi-Fi to a small transceiver located in the operator’s cab and connected to the harvester’s touch screen display.  </w:t>
      </w:r>
      <w:r w:rsidR="008C78BC">
        <w:rPr>
          <w:color w:val="000000"/>
        </w:rPr>
        <w:t xml:space="preserve">Headsight indicates that two of the major limitations with the </w:t>
      </w:r>
      <w:r w:rsidR="003734A2">
        <w:rPr>
          <w:color w:val="000000"/>
        </w:rPr>
        <w:t xml:space="preserve">current standard </w:t>
      </w:r>
      <w:r w:rsidR="008C78BC">
        <w:rPr>
          <w:color w:val="000000"/>
        </w:rPr>
        <w:t>use of mechanical arms that drag along the ground to measure header height are sensor failure and crop debris</w:t>
      </w:r>
      <w:r w:rsidR="008B1596">
        <w:rPr>
          <w:color w:val="000000"/>
        </w:rPr>
        <w:t>, which the Terrahawk can overcome by using GPR technology</w:t>
      </w:r>
      <w:r w:rsidR="003A0346">
        <w:rPr>
          <w:color w:val="000000"/>
        </w:rPr>
        <w:t>.  Headsight explains that</w:t>
      </w:r>
      <w:r w:rsidR="003734A2">
        <w:rPr>
          <w:color w:val="000000"/>
        </w:rPr>
        <w:t xml:space="preserve"> the Terrahawk</w:t>
      </w:r>
      <w:r w:rsidR="003A0346">
        <w:rPr>
          <w:color w:val="000000"/>
        </w:rPr>
        <w:t xml:space="preserve"> can overcome these limitations because its </w:t>
      </w:r>
      <w:r w:rsidR="003734A2">
        <w:rPr>
          <w:color w:val="000000"/>
        </w:rPr>
        <w:t xml:space="preserve">radar signals can penetrate the fallen crop, measure the distance to </w:t>
      </w:r>
      <w:r w:rsidR="00EC54E5">
        <w:rPr>
          <w:color w:val="000000"/>
        </w:rPr>
        <w:t xml:space="preserve">the soil </w:t>
      </w:r>
      <w:r w:rsidR="003734A2">
        <w:rPr>
          <w:color w:val="000000"/>
        </w:rPr>
        <w:t>beneath</w:t>
      </w:r>
      <w:r w:rsidR="00EC54E5">
        <w:rPr>
          <w:color w:val="000000"/>
        </w:rPr>
        <w:t>,</w:t>
      </w:r>
      <w:r w:rsidR="003734A2">
        <w:rPr>
          <w:color w:val="000000"/>
        </w:rPr>
        <w:t xml:space="preserve"> and provide protection to the header while allowing it to pick up much of the crop that would otherwise be lost</w:t>
      </w:r>
      <w:r w:rsidR="008B1596">
        <w:rPr>
          <w:color w:val="000000"/>
        </w:rPr>
        <w:t>.</w:t>
      </w:r>
      <w:r w:rsidR="008B1596">
        <w:rPr>
          <w:rStyle w:val="FootnoteReference"/>
        </w:rPr>
        <w:footnoteReference w:id="13"/>
      </w:r>
      <w:r w:rsidR="00CC2FA0">
        <w:rPr>
          <w:color w:val="000000"/>
        </w:rPr>
        <w:t xml:space="preserve">  However, because Part 15 does not currently allow the use of GPR for agricultural purposes, Headsight seeks a waiver of the restriction on permissible uses for GPR devices </w:t>
      </w:r>
      <w:r w:rsidR="00CC2FA0" w:rsidRPr="00514711">
        <w:rPr>
          <w:color w:val="000000"/>
        </w:rPr>
        <w:t xml:space="preserve">in Section 15.509(b).  </w:t>
      </w:r>
    </w:p>
    <w:p w:rsidR="000A4EE0" w:rsidRPr="00514711" w:rsidRDefault="00EA7A51" w:rsidP="00514711">
      <w:pPr>
        <w:pStyle w:val="ParaNum"/>
        <w:rPr>
          <w:color w:val="000000"/>
        </w:rPr>
      </w:pPr>
      <w:r>
        <w:rPr>
          <w:color w:val="000000"/>
        </w:rPr>
        <w:t>Additionally</w:t>
      </w:r>
      <w:r w:rsidR="00AE71DA" w:rsidRPr="00514711">
        <w:rPr>
          <w:color w:val="000000"/>
        </w:rPr>
        <w:t xml:space="preserve">, Headsight </w:t>
      </w:r>
      <w:r w:rsidR="00306A52">
        <w:rPr>
          <w:color w:val="000000"/>
        </w:rPr>
        <w:t xml:space="preserve">also </w:t>
      </w:r>
      <w:r w:rsidR="00336CA9">
        <w:rPr>
          <w:color w:val="000000"/>
        </w:rPr>
        <w:t>seeks</w:t>
      </w:r>
      <w:r w:rsidR="00306A52">
        <w:rPr>
          <w:color w:val="000000"/>
        </w:rPr>
        <w:t xml:space="preserve"> a waiver of the one-meter-above ground limitation of </w:t>
      </w:r>
      <w:r w:rsidR="00306A52">
        <w:rPr>
          <w:color w:val="000000"/>
        </w:rPr>
        <w:lastRenderedPageBreak/>
        <w:t>Section 15.503(f)</w:t>
      </w:r>
      <w:r w:rsidR="00CA7BD1">
        <w:rPr>
          <w:color w:val="000000"/>
        </w:rPr>
        <w:t xml:space="preserve">.  </w:t>
      </w:r>
      <w:r w:rsidR="00175C6E">
        <w:rPr>
          <w:color w:val="000000"/>
        </w:rPr>
        <w:t xml:space="preserve">Headsight </w:t>
      </w:r>
      <w:r w:rsidR="001B26BA">
        <w:rPr>
          <w:color w:val="000000"/>
        </w:rPr>
        <w:t xml:space="preserve">explains </w:t>
      </w:r>
      <w:r w:rsidR="00175C6E">
        <w:rPr>
          <w:color w:val="000000"/>
        </w:rPr>
        <w:t xml:space="preserve">that </w:t>
      </w:r>
      <w:r w:rsidR="00AE71DA" w:rsidRPr="00514711">
        <w:rPr>
          <w:color w:val="000000"/>
        </w:rPr>
        <w:t xml:space="preserve">the Terrahawk will need to operate </w:t>
      </w:r>
      <w:r w:rsidR="00BB7AFF">
        <w:rPr>
          <w:color w:val="000000"/>
        </w:rPr>
        <w:t>above the top of the crop height</w:t>
      </w:r>
      <w:r w:rsidR="00CA7BD1">
        <w:rPr>
          <w:color w:val="000000"/>
        </w:rPr>
        <w:t xml:space="preserve"> during </w:t>
      </w:r>
      <w:r w:rsidR="00BB7AFF">
        <w:rPr>
          <w:color w:val="000000"/>
        </w:rPr>
        <w:t>certain situations</w:t>
      </w:r>
      <w:r w:rsidR="000B10AD" w:rsidRPr="00514711">
        <w:rPr>
          <w:rFonts w:eastAsia="Calibri"/>
          <w:snapToGrid/>
          <w:color w:val="000000"/>
          <w:kern w:val="0"/>
          <w:szCs w:val="22"/>
        </w:rPr>
        <w:t>, such as</w:t>
      </w:r>
      <w:r w:rsidR="00BB7AFF">
        <w:rPr>
          <w:rFonts w:eastAsia="Calibri"/>
          <w:snapToGrid/>
          <w:color w:val="000000"/>
          <w:kern w:val="0"/>
          <w:szCs w:val="22"/>
        </w:rPr>
        <w:t xml:space="preserve"> harvesting</w:t>
      </w:r>
      <w:r w:rsidR="000B10AD" w:rsidRPr="00514711">
        <w:rPr>
          <w:rFonts w:eastAsia="Calibri"/>
          <w:snapToGrid/>
          <w:color w:val="000000"/>
          <w:kern w:val="0"/>
          <w:szCs w:val="22"/>
        </w:rPr>
        <w:t xml:space="preserve"> milo, </w:t>
      </w:r>
      <w:r w:rsidR="00CA7BD1">
        <w:rPr>
          <w:rFonts w:eastAsia="Calibri"/>
          <w:snapToGrid/>
          <w:color w:val="000000"/>
          <w:kern w:val="0"/>
          <w:szCs w:val="22"/>
        </w:rPr>
        <w:t>when</w:t>
      </w:r>
      <w:r w:rsidR="000B10AD" w:rsidRPr="00514711">
        <w:rPr>
          <w:rFonts w:eastAsia="Calibri"/>
          <w:snapToGrid/>
          <w:color w:val="000000"/>
          <w:kern w:val="0"/>
          <w:szCs w:val="22"/>
        </w:rPr>
        <w:t xml:space="preserve"> using </w:t>
      </w:r>
      <w:r w:rsidR="00CA7BD1">
        <w:rPr>
          <w:rFonts w:eastAsia="Calibri"/>
          <w:snapToGrid/>
          <w:color w:val="000000"/>
          <w:kern w:val="0"/>
          <w:szCs w:val="22"/>
        </w:rPr>
        <w:t xml:space="preserve">farm equipment with </w:t>
      </w:r>
      <w:r w:rsidR="000B10AD" w:rsidRPr="00514711">
        <w:rPr>
          <w:rFonts w:eastAsia="Calibri"/>
          <w:snapToGrid/>
          <w:color w:val="000000"/>
          <w:kern w:val="0"/>
          <w:szCs w:val="22"/>
        </w:rPr>
        <w:t>“platform headers</w:t>
      </w:r>
      <w:r w:rsidR="00CA7BD1">
        <w:rPr>
          <w:rFonts w:eastAsia="Calibri"/>
          <w:snapToGrid/>
          <w:color w:val="000000"/>
          <w:kern w:val="0"/>
          <w:szCs w:val="22"/>
        </w:rPr>
        <w:t>.</w:t>
      </w:r>
      <w:r w:rsidR="000B10AD" w:rsidRPr="00514711">
        <w:rPr>
          <w:rFonts w:eastAsia="Calibri"/>
          <w:snapToGrid/>
          <w:color w:val="000000"/>
          <w:kern w:val="0"/>
          <w:szCs w:val="22"/>
        </w:rPr>
        <w:t>”</w:t>
      </w:r>
      <w:r w:rsidR="000B10AD" w:rsidRPr="00514711">
        <w:rPr>
          <w:rStyle w:val="FootnoteReference"/>
          <w:rFonts w:eastAsia="Calibri"/>
          <w:snapToGrid/>
          <w:color w:val="000000"/>
          <w:kern w:val="0"/>
          <w:szCs w:val="22"/>
        </w:rPr>
        <w:footnoteReference w:id="14"/>
      </w:r>
      <w:r w:rsidR="00CA7BD1">
        <w:rPr>
          <w:rFonts w:eastAsia="Calibri"/>
          <w:snapToGrid/>
          <w:color w:val="000000"/>
          <w:kern w:val="0"/>
          <w:szCs w:val="22"/>
        </w:rPr>
        <w:t xml:space="preserve">  Such use would</w:t>
      </w:r>
      <w:r w:rsidR="00CA7BD1">
        <w:rPr>
          <w:color w:val="000000"/>
        </w:rPr>
        <w:t xml:space="preserve"> never be </w:t>
      </w:r>
      <w:r w:rsidR="00CA7BD1" w:rsidRPr="00514711">
        <w:rPr>
          <w:color w:val="000000"/>
        </w:rPr>
        <w:t>more than 10</w:t>
      </w:r>
      <w:r w:rsidR="00CA7BD1" w:rsidRPr="00514711">
        <w:rPr>
          <w:color w:val="000000"/>
        </w:rPr>
        <w:noBreakHyphen/>
        <w:t>12 feet (3-3.7 meters)</w:t>
      </w:r>
      <w:r w:rsidR="00CA7BD1">
        <w:rPr>
          <w:color w:val="000000"/>
        </w:rPr>
        <w:t xml:space="preserve"> above the soil surface, and would never extend more than one meter above the height of the crop</w:t>
      </w:r>
      <w:r w:rsidR="00BB7AFF">
        <w:rPr>
          <w:color w:val="000000"/>
        </w:rPr>
        <w:t xml:space="preserve"> canopy</w:t>
      </w:r>
      <w:r w:rsidR="00CA7BD1">
        <w:rPr>
          <w:color w:val="000000"/>
        </w:rPr>
        <w:t>.</w:t>
      </w:r>
      <w:r w:rsidR="00CA7BD1">
        <w:rPr>
          <w:rStyle w:val="FootnoteReference"/>
        </w:rPr>
        <w:footnoteReference w:id="15"/>
      </w:r>
      <w:r w:rsidR="00CA7BD1">
        <w:rPr>
          <w:color w:val="000000"/>
        </w:rPr>
        <w:t xml:space="preserve">  </w:t>
      </w:r>
      <w:r w:rsidR="00BB7AFF">
        <w:rPr>
          <w:color w:val="000000"/>
        </w:rPr>
        <w:t>However, Headsight notes that</w:t>
      </w:r>
      <w:r w:rsidR="00F124E1">
        <w:rPr>
          <w:color w:val="000000"/>
        </w:rPr>
        <w:t xml:space="preserve"> </w:t>
      </w:r>
      <w:r w:rsidR="00CA7BD1" w:rsidRPr="00514711">
        <w:rPr>
          <w:color w:val="000000"/>
        </w:rPr>
        <w:t>the Terrahawk will operate within one meter of the soil surface</w:t>
      </w:r>
      <w:r w:rsidR="00136278">
        <w:rPr>
          <w:color w:val="000000"/>
        </w:rPr>
        <w:t xml:space="preserve"> </w:t>
      </w:r>
      <w:r w:rsidR="00F124E1">
        <w:rPr>
          <w:color w:val="000000"/>
        </w:rPr>
        <w:t>in most conditions of use</w:t>
      </w:r>
      <w:r w:rsidR="009017A7">
        <w:rPr>
          <w:color w:val="000000"/>
        </w:rPr>
        <w:t>,</w:t>
      </w:r>
      <w:r w:rsidR="00F124E1">
        <w:rPr>
          <w:color w:val="000000"/>
        </w:rPr>
        <w:t xml:space="preserve"> </w:t>
      </w:r>
      <w:r w:rsidR="00136278">
        <w:rPr>
          <w:color w:val="000000"/>
        </w:rPr>
        <w:t xml:space="preserve">and that it will always operate </w:t>
      </w:r>
      <w:r w:rsidR="00136278">
        <w:t xml:space="preserve">within </w:t>
      </w:r>
      <w:r w:rsidR="00F124E1">
        <w:t>a</w:t>
      </w:r>
      <w:r w:rsidR="00136278">
        <w:t xml:space="preserve"> one</w:t>
      </w:r>
      <w:r w:rsidR="00F124E1">
        <w:t>-</w:t>
      </w:r>
      <w:r w:rsidR="00136278">
        <w:t>meter range</w:t>
      </w:r>
      <w:r w:rsidR="009017A7">
        <w:t xml:space="preserve"> </w:t>
      </w:r>
      <w:r w:rsidR="009017A7">
        <w:rPr>
          <w:color w:val="000000"/>
        </w:rPr>
        <w:t>in the absence of crop cover</w:t>
      </w:r>
      <w:r w:rsidR="00136278">
        <w:t>.</w:t>
      </w:r>
      <w:r w:rsidR="000B10AD" w:rsidRPr="00514711">
        <w:rPr>
          <w:rFonts w:eastAsia="Calibri"/>
          <w:snapToGrid/>
          <w:color w:val="000000"/>
          <w:kern w:val="0"/>
          <w:szCs w:val="22"/>
        </w:rPr>
        <w:t xml:space="preserve">  </w:t>
      </w:r>
      <w:r w:rsidR="00BB7AFF">
        <w:rPr>
          <w:color w:val="000000"/>
          <w:szCs w:val="22"/>
        </w:rPr>
        <w:t xml:space="preserve">Moreover, </w:t>
      </w:r>
      <w:r w:rsidR="00BB7AFF">
        <w:rPr>
          <w:color w:val="000000"/>
        </w:rPr>
        <w:t>H</w:t>
      </w:r>
      <w:r w:rsidR="00AE71DA" w:rsidRPr="00514711">
        <w:rPr>
          <w:color w:val="000000"/>
        </w:rPr>
        <w:t xml:space="preserve">eadsight affirms that the Terrahawk’s transmit antennas will always be pointed </w:t>
      </w:r>
      <w:r w:rsidR="00700B9A">
        <w:rPr>
          <w:color w:val="000000"/>
        </w:rPr>
        <w:t>downward</w:t>
      </w:r>
      <w:r w:rsidR="00BB7AFF">
        <w:rPr>
          <w:color w:val="000000"/>
        </w:rPr>
        <w:t xml:space="preserve"> (i.e.</w:t>
      </w:r>
      <w:r w:rsidR="00700B9A">
        <w:rPr>
          <w:color w:val="000000"/>
        </w:rPr>
        <w:t xml:space="preserve"> </w:t>
      </w:r>
      <w:r w:rsidR="00AE71DA" w:rsidRPr="00514711">
        <w:rPr>
          <w:color w:val="000000"/>
        </w:rPr>
        <w:t>toward the ground</w:t>
      </w:r>
      <w:r w:rsidR="00BB7AFF">
        <w:rPr>
          <w:color w:val="000000"/>
        </w:rPr>
        <w:t>) in all use scenarios</w:t>
      </w:r>
      <w:r w:rsidR="00AE71DA" w:rsidRPr="00514711">
        <w:rPr>
          <w:color w:val="000000"/>
        </w:rPr>
        <w:t>.</w:t>
      </w:r>
      <w:r w:rsidR="00AE71DA" w:rsidRPr="00514711">
        <w:rPr>
          <w:rStyle w:val="FootnoteReference"/>
          <w:color w:val="000000"/>
        </w:rPr>
        <w:footnoteReference w:id="16"/>
      </w:r>
    </w:p>
    <w:p w:rsidR="006341FE" w:rsidRPr="00951011" w:rsidRDefault="00C643B8" w:rsidP="00B24688">
      <w:pPr>
        <w:pStyle w:val="ParaNum"/>
        <w:widowControl/>
        <w:autoSpaceDE w:val="0"/>
        <w:autoSpaceDN w:val="0"/>
        <w:adjustRightInd w:val="0"/>
        <w:rPr>
          <w:color w:val="000000"/>
        </w:rPr>
      </w:pPr>
      <w:r w:rsidRPr="00514711">
        <w:rPr>
          <w:color w:val="000000"/>
        </w:rPr>
        <w:t xml:space="preserve">The Office of Engineering and Technology (OET) </w:t>
      </w:r>
      <w:r w:rsidR="00C31E21" w:rsidRPr="00514711">
        <w:rPr>
          <w:color w:val="000000"/>
        </w:rPr>
        <w:t>issued</w:t>
      </w:r>
      <w:r w:rsidRPr="00514711">
        <w:rPr>
          <w:color w:val="000000"/>
        </w:rPr>
        <w:t xml:space="preserve"> a Public Notice seeking comment on the </w:t>
      </w:r>
      <w:r w:rsidR="005255F7">
        <w:rPr>
          <w:color w:val="000000"/>
        </w:rPr>
        <w:t>Headsight</w:t>
      </w:r>
      <w:r w:rsidRPr="00514711">
        <w:rPr>
          <w:color w:val="000000"/>
        </w:rPr>
        <w:t xml:space="preserve"> Request</w:t>
      </w:r>
      <w:r w:rsidR="002F5CCC">
        <w:rPr>
          <w:color w:val="000000"/>
        </w:rPr>
        <w:t>.</w:t>
      </w:r>
      <w:r w:rsidRPr="00514711">
        <w:rPr>
          <w:rStyle w:val="FootnoteReference"/>
          <w:color w:val="000000"/>
        </w:rPr>
        <w:footnoteReference w:id="17"/>
      </w:r>
      <w:r w:rsidRPr="00514711">
        <w:rPr>
          <w:color w:val="000000"/>
        </w:rPr>
        <w:t xml:space="preserve"> </w:t>
      </w:r>
      <w:r w:rsidR="002F5CCC">
        <w:rPr>
          <w:color w:val="000000"/>
        </w:rPr>
        <w:t xml:space="preserve"> O</w:t>
      </w:r>
      <w:r w:rsidR="00CC6D08" w:rsidRPr="00514711">
        <w:rPr>
          <w:color w:val="000000"/>
        </w:rPr>
        <w:t xml:space="preserve">ne party, Trimble Navigation Limited (Trimble) </w:t>
      </w:r>
      <w:r w:rsidRPr="00514711">
        <w:rPr>
          <w:color w:val="000000"/>
        </w:rPr>
        <w:t>filed comments</w:t>
      </w:r>
      <w:r w:rsidR="00992B5E" w:rsidRPr="00514711">
        <w:rPr>
          <w:color w:val="000000"/>
        </w:rPr>
        <w:t>,</w:t>
      </w:r>
      <w:r w:rsidRPr="00514711">
        <w:rPr>
          <w:color w:val="000000"/>
        </w:rPr>
        <w:t xml:space="preserve"> </w:t>
      </w:r>
      <w:r w:rsidR="00AE0FB8" w:rsidRPr="00514711">
        <w:rPr>
          <w:color w:val="000000"/>
        </w:rPr>
        <w:t xml:space="preserve">and </w:t>
      </w:r>
      <w:r w:rsidR="00CC6D08" w:rsidRPr="00514711">
        <w:rPr>
          <w:color w:val="000000"/>
        </w:rPr>
        <w:t xml:space="preserve">Headsight </w:t>
      </w:r>
      <w:r w:rsidRPr="00514711">
        <w:rPr>
          <w:color w:val="000000"/>
        </w:rPr>
        <w:t>filed reply comments</w:t>
      </w:r>
      <w:r w:rsidR="004E5130" w:rsidRPr="00514711">
        <w:rPr>
          <w:color w:val="000000"/>
        </w:rPr>
        <w:t>, as elaborated in more details below</w:t>
      </w:r>
      <w:r w:rsidRPr="00514711">
        <w:rPr>
          <w:color w:val="000000"/>
        </w:rPr>
        <w:t xml:space="preserve">. </w:t>
      </w:r>
      <w:r w:rsidR="008108F9" w:rsidRPr="00514711">
        <w:rPr>
          <w:rFonts w:eastAsia="Calibri"/>
          <w:snapToGrid/>
          <w:color w:val="000000"/>
          <w:kern w:val="0"/>
          <w:szCs w:val="22"/>
        </w:rPr>
        <w:t xml:space="preserve"> </w:t>
      </w:r>
    </w:p>
    <w:p w:rsidR="00C643B8" w:rsidRPr="00514711" w:rsidRDefault="00C643B8">
      <w:pPr>
        <w:pStyle w:val="Heading1"/>
        <w:rPr>
          <w:color w:val="000000"/>
        </w:rPr>
      </w:pPr>
      <w:r w:rsidRPr="00514711">
        <w:rPr>
          <w:color w:val="000000"/>
        </w:rPr>
        <w:t>discussion</w:t>
      </w:r>
    </w:p>
    <w:p w:rsidR="003A7E84" w:rsidRPr="00514711" w:rsidRDefault="00C643B8" w:rsidP="00765ADF">
      <w:pPr>
        <w:pStyle w:val="ParaNum"/>
        <w:widowControl/>
        <w:autoSpaceDE w:val="0"/>
        <w:autoSpaceDN w:val="0"/>
        <w:adjustRightInd w:val="0"/>
        <w:rPr>
          <w:color w:val="000000"/>
        </w:rPr>
      </w:pPr>
      <w:r w:rsidRPr="00514711">
        <w:rPr>
          <w:color w:val="000000"/>
        </w:rPr>
        <w:t>We are auth</w:t>
      </w:r>
      <w:r w:rsidR="0048490C">
        <w:rPr>
          <w:color w:val="000000"/>
        </w:rPr>
        <w:t>orized to grant a waiver under S</w:t>
      </w:r>
      <w:r w:rsidRPr="00514711">
        <w:rPr>
          <w:color w:val="000000"/>
        </w:rPr>
        <w:t>ection 1.3 of the Commission's rules if the petitioner demonstrates good cause for such action.</w:t>
      </w:r>
      <w:r w:rsidRPr="00514711">
        <w:rPr>
          <w:rStyle w:val="FootnoteReference"/>
          <w:color w:val="000000"/>
        </w:rPr>
        <w:footnoteReference w:id="18"/>
      </w:r>
      <w:r w:rsidRPr="00514711">
        <w:rPr>
          <w:color w:val="000000"/>
        </w:rPr>
        <w:t xml:space="preserve">  Good cause, in turn, may be found and a waiver granted “where particular facts would make strict compliance inconsistent with the public interest.”</w:t>
      </w:r>
      <w:r w:rsidRPr="00514711">
        <w:rPr>
          <w:rStyle w:val="FootnoteReference"/>
          <w:color w:val="000000"/>
        </w:rPr>
        <w:footnoteReference w:id="19"/>
      </w:r>
      <w:r w:rsidRPr="00514711">
        <w:rPr>
          <w:color w:val="000000"/>
        </w:rPr>
        <w:t xml:space="preserve">  To satisfy this public interest requirement, the waiver cannot undermine the purposes of the rule, and there must be a stronger public interest benefit in granting the waiver than in applying the rule.</w:t>
      </w:r>
      <w:r w:rsidRPr="00514711">
        <w:rPr>
          <w:rStyle w:val="FootnoteReference"/>
          <w:color w:val="000000"/>
        </w:rPr>
        <w:footnoteReference w:id="20"/>
      </w:r>
      <w:r w:rsidRPr="00514711">
        <w:rPr>
          <w:color w:val="000000"/>
        </w:rPr>
        <w:t xml:space="preserve">  </w:t>
      </w:r>
    </w:p>
    <w:p w:rsidR="00C643B8" w:rsidRPr="00514711" w:rsidRDefault="00B738E3" w:rsidP="00765ADF">
      <w:pPr>
        <w:pStyle w:val="ParaNum"/>
        <w:widowControl/>
        <w:autoSpaceDE w:val="0"/>
        <w:autoSpaceDN w:val="0"/>
        <w:adjustRightInd w:val="0"/>
        <w:rPr>
          <w:color w:val="000000"/>
        </w:rPr>
      </w:pPr>
      <w:r w:rsidRPr="00514711">
        <w:rPr>
          <w:color w:val="000000"/>
        </w:rPr>
        <w:t xml:space="preserve">The UWB technical and operational standards </w:t>
      </w:r>
      <w:r w:rsidR="00C00538">
        <w:rPr>
          <w:color w:val="000000"/>
        </w:rPr>
        <w:t xml:space="preserve">in Part 15 </w:t>
      </w:r>
      <w:r w:rsidRPr="00514711">
        <w:rPr>
          <w:color w:val="000000"/>
        </w:rPr>
        <w:t xml:space="preserve">were adopted to ensure that UWB </w:t>
      </w:r>
      <w:r w:rsidR="00E26D2D">
        <w:rPr>
          <w:color w:val="000000"/>
        </w:rPr>
        <w:t xml:space="preserve">devices, including </w:t>
      </w:r>
      <w:r w:rsidRPr="00514711">
        <w:rPr>
          <w:color w:val="000000"/>
        </w:rPr>
        <w:t>ground penetrating radars</w:t>
      </w:r>
      <w:r w:rsidR="00C00538">
        <w:rPr>
          <w:color w:val="000000"/>
        </w:rPr>
        <w:t xml:space="preserve">, </w:t>
      </w:r>
      <w:r w:rsidRPr="00514711">
        <w:rPr>
          <w:color w:val="000000"/>
        </w:rPr>
        <w:t>do not cause harmful interference to authorized radio services, including Federal services.</w:t>
      </w:r>
      <w:r w:rsidR="00B7678C">
        <w:rPr>
          <w:rStyle w:val="FootnoteReference"/>
        </w:rPr>
        <w:footnoteReference w:id="21"/>
      </w:r>
      <w:r w:rsidRPr="00514711">
        <w:rPr>
          <w:color w:val="000000"/>
        </w:rPr>
        <w:t xml:space="preserve">  As we discuss below, a limited waiver of the restriction </w:t>
      </w:r>
      <w:r w:rsidR="00157D8B" w:rsidRPr="00514711">
        <w:rPr>
          <w:color w:val="000000"/>
        </w:rPr>
        <w:t>o</w:t>
      </w:r>
      <w:r w:rsidRPr="00514711">
        <w:rPr>
          <w:color w:val="000000"/>
        </w:rPr>
        <w:t xml:space="preserve">n permissible uses in </w:t>
      </w:r>
      <w:r w:rsidR="00434A12">
        <w:rPr>
          <w:color w:val="000000"/>
        </w:rPr>
        <w:t>Rule</w:t>
      </w:r>
      <w:r w:rsidRPr="00514711">
        <w:rPr>
          <w:color w:val="000000"/>
        </w:rPr>
        <w:t xml:space="preserve"> </w:t>
      </w:r>
      <w:r w:rsidR="00434A12">
        <w:rPr>
          <w:color w:val="000000"/>
        </w:rPr>
        <w:t>Section</w:t>
      </w:r>
      <w:r w:rsidRPr="00514711">
        <w:rPr>
          <w:color w:val="000000"/>
        </w:rPr>
        <w:t xml:space="preserve"> 15.509(b)</w:t>
      </w:r>
      <w:r w:rsidR="006D17EA" w:rsidRPr="00514711">
        <w:rPr>
          <w:color w:val="000000"/>
        </w:rPr>
        <w:t>,</w:t>
      </w:r>
      <w:r w:rsidRPr="00514711">
        <w:rPr>
          <w:color w:val="000000"/>
        </w:rPr>
        <w:t xml:space="preserve"> and </w:t>
      </w:r>
      <w:r w:rsidR="003A7E84" w:rsidRPr="00514711">
        <w:rPr>
          <w:color w:val="000000"/>
        </w:rPr>
        <w:t xml:space="preserve">of </w:t>
      </w:r>
      <w:r w:rsidRPr="00514711">
        <w:rPr>
          <w:color w:val="000000"/>
        </w:rPr>
        <w:t xml:space="preserve">the one-meter-above-ground limitation </w:t>
      </w:r>
      <w:r w:rsidR="006619CD">
        <w:rPr>
          <w:color w:val="000000"/>
        </w:rPr>
        <w:t xml:space="preserve">(not to exceed </w:t>
      </w:r>
      <w:r w:rsidR="00FD23C1">
        <w:rPr>
          <w:color w:val="000000"/>
        </w:rPr>
        <w:t xml:space="preserve">a height of </w:t>
      </w:r>
      <w:r w:rsidR="006619CD">
        <w:rPr>
          <w:color w:val="000000"/>
        </w:rPr>
        <w:t xml:space="preserve">3.7 meter above the soil surface) </w:t>
      </w:r>
      <w:r w:rsidR="003A7E84" w:rsidRPr="00514711">
        <w:rPr>
          <w:color w:val="000000"/>
        </w:rPr>
        <w:t>in</w:t>
      </w:r>
      <w:r w:rsidRPr="00514711">
        <w:rPr>
          <w:color w:val="000000"/>
        </w:rPr>
        <w:t xml:space="preserve"> </w:t>
      </w:r>
      <w:r w:rsidR="00434A12">
        <w:rPr>
          <w:color w:val="000000"/>
        </w:rPr>
        <w:t>Rule</w:t>
      </w:r>
      <w:r w:rsidRPr="00514711">
        <w:rPr>
          <w:color w:val="000000"/>
        </w:rPr>
        <w:t xml:space="preserve"> </w:t>
      </w:r>
      <w:r w:rsidR="00434A12">
        <w:rPr>
          <w:color w:val="000000"/>
        </w:rPr>
        <w:t>Section</w:t>
      </w:r>
      <w:r w:rsidRPr="00514711">
        <w:rPr>
          <w:color w:val="000000"/>
        </w:rPr>
        <w:t xml:space="preserve"> 15.503(f) for Headsight’s Terrahawk </w:t>
      </w:r>
      <w:r w:rsidR="003A7E84" w:rsidRPr="00514711">
        <w:rPr>
          <w:color w:val="000000"/>
        </w:rPr>
        <w:t xml:space="preserve">GPR </w:t>
      </w:r>
      <w:r w:rsidRPr="00514711">
        <w:rPr>
          <w:color w:val="000000"/>
        </w:rPr>
        <w:t xml:space="preserve">device would not increase the potential for harmful interference to authorized services, </w:t>
      </w:r>
      <w:r w:rsidRPr="006524BE">
        <w:rPr>
          <w:color w:val="000000"/>
        </w:rPr>
        <w:t>i.e.</w:t>
      </w:r>
      <w:r w:rsidRPr="00514711">
        <w:rPr>
          <w:color w:val="000000"/>
        </w:rPr>
        <w:t>, the Terrahawk poses no greater risk of causing harmful interference to radio communications services than any other GPR device operating under our</w:t>
      </w:r>
      <w:r w:rsidRPr="00514711">
        <w:rPr>
          <w:color w:val="000000"/>
          <w:szCs w:val="22"/>
        </w:rPr>
        <w:t xml:space="preserve"> </w:t>
      </w:r>
      <w:r w:rsidRPr="00514711">
        <w:rPr>
          <w:color w:val="000000"/>
        </w:rPr>
        <w:t xml:space="preserve">rules.  Hence, granting this waiver will not undermine the purpose of the rules.  </w:t>
      </w:r>
      <w:r w:rsidR="0017254A" w:rsidRPr="00514711">
        <w:rPr>
          <w:color w:val="000000"/>
        </w:rPr>
        <w:t>In addition</w:t>
      </w:r>
      <w:r w:rsidRPr="00514711">
        <w:rPr>
          <w:color w:val="000000"/>
        </w:rPr>
        <w:t xml:space="preserve">, we find that there is a stronger public interest benefit in granting this waiver than in strictly applying the rules.  </w:t>
      </w:r>
      <w:r w:rsidR="00251C52">
        <w:rPr>
          <w:color w:val="000000"/>
        </w:rPr>
        <w:t>T</w:t>
      </w:r>
      <w:r w:rsidRPr="00514711">
        <w:rPr>
          <w:color w:val="000000"/>
        </w:rPr>
        <w:t xml:space="preserve">he Terrahawk technology’s ability to assist in harvesting crops precisely and efficiently by controlling the header height on harvesting machinery </w:t>
      </w:r>
      <w:r w:rsidR="00251C52">
        <w:rPr>
          <w:color w:val="000000"/>
        </w:rPr>
        <w:t>promises to</w:t>
      </w:r>
      <w:r w:rsidR="00251C52" w:rsidRPr="00514711">
        <w:rPr>
          <w:color w:val="000000"/>
        </w:rPr>
        <w:t xml:space="preserve"> </w:t>
      </w:r>
      <w:r w:rsidRPr="00514711">
        <w:rPr>
          <w:color w:val="000000"/>
        </w:rPr>
        <w:t xml:space="preserve">bring increased </w:t>
      </w:r>
      <w:r w:rsidR="00983D0D" w:rsidRPr="00514711">
        <w:rPr>
          <w:color w:val="000000"/>
        </w:rPr>
        <w:t xml:space="preserve">crop </w:t>
      </w:r>
      <w:r w:rsidRPr="00514711">
        <w:rPr>
          <w:color w:val="000000"/>
        </w:rPr>
        <w:t>yield and improved harvesting efficiency</w:t>
      </w:r>
      <w:r w:rsidR="003135FF" w:rsidRPr="00514711">
        <w:rPr>
          <w:color w:val="000000"/>
        </w:rPr>
        <w:t xml:space="preserve">, </w:t>
      </w:r>
      <w:r w:rsidR="001123E7" w:rsidRPr="00514711">
        <w:rPr>
          <w:color w:val="000000"/>
        </w:rPr>
        <w:t xml:space="preserve">which will </w:t>
      </w:r>
      <w:r w:rsidR="003135FF" w:rsidRPr="00514711">
        <w:rPr>
          <w:color w:val="000000"/>
        </w:rPr>
        <w:t>benefit the American public.</w:t>
      </w:r>
      <w:r w:rsidR="00251C52">
        <w:rPr>
          <w:rStyle w:val="FootnoteReference"/>
        </w:rPr>
        <w:footnoteReference w:id="22"/>
      </w:r>
    </w:p>
    <w:p w:rsidR="00CD12CA" w:rsidRPr="00514711" w:rsidRDefault="00633BC5" w:rsidP="00B24688">
      <w:pPr>
        <w:pStyle w:val="Heading2"/>
        <w:rPr>
          <w:color w:val="000000"/>
        </w:rPr>
      </w:pPr>
      <w:r w:rsidRPr="00514711">
        <w:rPr>
          <w:color w:val="000000"/>
        </w:rPr>
        <w:t>Waiver of Section 15.50</w:t>
      </w:r>
      <w:r w:rsidR="002B077E" w:rsidRPr="00514711">
        <w:rPr>
          <w:color w:val="000000"/>
        </w:rPr>
        <w:t>9</w:t>
      </w:r>
      <w:r w:rsidRPr="00514711">
        <w:rPr>
          <w:color w:val="000000"/>
        </w:rPr>
        <w:t>(</w:t>
      </w:r>
      <w:r w:rsidR="002B077E" w:rsidRPr="00514711">
        <w:rPr>
          <w:color w:val="000000"/>
        </w:rPr>
        <w:t>b</w:t>
      </w:r>
      <w:r w:rsidRPr="00514711">
        <w:rPr>
          <w:color w:val="000000"/>
        </w:rPr>
        <w:t>) of the Commission Rules</w:t>
      </w:r>
    </w:p>
    <w:p w:rsidR="00AC339C" w:rsidRPr="00514711" w:rsidRDefault="00C643B8" w:rsidP="005C18BC">
      <w:pPr>
        <w:pStyle w:val="ParaNum"/>
        <w:widowControl/>
        <w:autoSpaceDE w:val="0"/>
        <w:autoSpaceDN w:val="0"/>
        <w:adjustRightInd w:val="0"/>
        <w:rPr>
          <w:color w:val="000000"/>
        </w:rPr>
      </w:pPr>
      <w:bookmarkStart w:id="3" w:name="FN[FN17]"/>
      <w:bookmarkStart w:id="4" w:name="FN[FN18]"/>
      <w:bookmarkStart w:id="5" w:name="FN[FN19]"/>
      <w:bookmarkEnd w:id="3"/>
      <w:bookmarkEnd w:id="4"/>
      <w:bookmarkEnd w:id="5"/>
      <w:r w:rsidRPr="00514711">
        <w:rPr>
          <w:color w:val="000000"/>
        </w:rPr>
        <w:t xml:space="preserve">We first address the waiver of </w:t>
      </w:r>
      <w:r w:rsidR="00C958CB" w:rsidRPr="00514711">
        <w:rPr>
          <w:color w:val="000000"/>
        </w:rPr>
        <w:t xml:space="preserve">the </w:t>
      </w:r>
      <w:r w:rsidR="003674E1" w:rsidRPr="00514711">
        <w:rPr>
          <w:color w:val="000000"/>
        </w:rPr>
        <w:t xml:space="preserve">restriction </w:t>
      </w:r>
      <w:r w:rsidR="00157D8B" w:rsidRPr="00514711">
        <w:rPr>
          <w:color w:val="000000"/>
        </w:rPr>
        <w:t>o</w:t>
      </w:r>
      <w:r w:rsidR="003674E1" w:rsidRPr="00514711">
        <w:rPr>
          <w:color w:val="000000"/>
        </w:rPr>
        <w:t xml:space="preserve">n </w:t>
      </w:r>
      <w:r w:rsidR="00C958CB" w:rsidRPr="00514711">
        <w:rPr>
          <w:color w:val="000000"/>
        </w:rPr>
        <w:t>permissible uses</w:t>
      </w:r>
      <w:r w:rsidR="006660AB" w:rsidRPr="00514711">
        <w:rPr>
          <w:color w:val="000000"/>
        </w:rPr>
        <w:t xml:space="preserve"> </w:t>
      </w:r>
      <w:r w:rsidR="00C958CB" w:rsidRPr="00514711">
        <w:rPr>
          <w:color w:val="000000"/>
        </w:rPr>
        <w:t xml:space="preserve">in </w:t>
      </w:r>
      <w:r w:rsidR="00434A12">
        <w:rPr>
          <w:color w:val="000000"/>
        </w:rPr>
        <w:t>Rule</w:t>
      </w:r>
      <w:r w:rsidRPr="00514711">
        <w:rPr>
          <w:color w:val="000000"/>
        </w:rPr>
        <w:t xml:space="preserve"> </w:t>
      </w:r>
      <w:r w:rsidR="00434A12">
        <w:rPr>
          <w:color w:val="000000"/>
        </w:rPr>
        <w:t>Section</w:t>
      </w:r>
      <w:r w:rsidRPr="00514711">
        <w:rPr>
          <w:color w:val="000000"/>
        </w:rPr>
        <w:t xml:space="preserve"> 15.</w:t>
      </w:r>
      <w:r w:rsidR="005E3966" w:rsidRPr="00514711">
        <w:rPr>
          <w:color w:val="000000"/>
        </w:rPr>
        <w:t>509</w:t>
      </w:r>
      <w:r w:rsidRPr="00514711">
        <w:rPr>
          <w:color w:val="000000"/>
        </w:rPr>
        <w:t>(</w:t>
      </w:r>
      <w:r w:rsidR="005E3966" w:rsidRPr="00514711">
        <w:rPr>
          <w:color w:val="000000"/>
        </w:rPr>
        <w:t>b</w:t>
      </w:r>
      <w:r w:rsidRPr="00514711">
        <w:rPr>
          <w:color w:val="000000"/>
        </w:rPr>
        <w:t xml:space="preserve">) for </w:t>
      </w:r>
      <w:r w:rsidR="005E3966" w:rsidRPr="00514711">
        <w:rPr>
          <w:color w:val="000000"/>
        </w:rPr>
        <w:t xml:space="preserve">Headsight </w:t>
      </w:r>
      <w:r w:rsidRPr="00514711">
        <w:rPr>
          <w:color w:val="000000"/>
        </w:rPr>
        <w:t xml:space="preserve">so that it </w:t>
      </w:r>
      <w:r w:rsidR="00FF3FCC">
        <w:rPr>
          <w:color w:val="000000"/>
        </w:rPr>
        <w:t xml:space="preserve">is eligible to </w:t>
      </w:r>
      <w:r w:rsidR="005E3966" w:rsidRPr="00514711">
        <w:rPr>
          <w:color w:val="000000"/>
        </w:rPr>
        <w:t xml:space="preserve">certify the Terrahawk for </w:t>
      </w:r>
      <w:r w:rsidR="00C958CB" w:rsidRPr="00514711">
        <w:rPr>
          <w:color w:val="000000"/>
        </w:rPr>
        <w:t xml:space="preserve">operation </w:t>
      </w:r>
      <w:r w:rsidR="005E3966" w:rsidRPr="00514711">
        <w:rPr>
          <w:color w:val="000000"/>
        </w:rPr>
        <w:t xml:space="preserve">in </w:t>
      </w:r>
      <w:r w:rsidR="004F4ECD" w:rsidRPr="00514711">
        <w:rPr>
          <w:color w:val="000000"/>
        </w:rPr>
        <w:t xml:space="preserve">the proposed </w:t>
      </w:r>
      <w:r w:rsidR="005E3966" w:rsidRPr="00514711">
        <w:rPr>
          <w:color w:val="000000"/>
        </w:rPr>
        <w:t xml:space="preserve">agricultural </w:t>
      </w:r>
      <w:r w:rsidR="00C958CB" w:rsidRPr="00514711">
        <w:rPr>
          <w:color w:val="000000"/>
        </w:rPr>
        <w:t>applications</w:t>
      </w:r>
      <w:r w:rsidR="005E3966" w:rsidRPr="00514711">
        <w:rPr>
          <w:color w:val="000000"/>
        </w:rPr>
        <w:t xml:space="preserve">. </w:t>
      </w:r>
      <w:r w:rsidRPr="00514711">
        <w:rPr>
          <w:color w:val="000000"/>
        </w:rPr>
        <w:t xml:space="preserve"> Section 15.</w:t>
      </w:r>
      <w:r w:rsidR="005E3966" w:rsidRPr="00514711">
        <w:rPr>
          <w:color w:val="000000"/>
        </w:rPr>
        <w:t>509</w:t>
      </w:r>
      <w:r w:rsidRPr="00514711">
        <w:rPr>
          <w:color w:val="000000"/>
        </w:rPr>
        <w:t>(</w:t>
      </w:r>
      <w:r w:rsidR="005E3966" w:rsidRPr="00514711">
        <w:rPr>
          <w:color w:val="000000"/>
        </w:rPr>
        <w:t>b</w:t>
      </w:r>
      <w:r w:rsidRPr="00514711">
        <w:rPr>
          <w:color w:val="000000"/>
        </w:rPr>
        <w:t>)</w:t>
      </w:r>
      <w:r w:rsidR="00613BB5">
        <w:rPr>
          <w:color w:val="000000"/>
        </w:rPr>
        <w:t xml:space="preserve"> includes three separate provisions applicable to UWB GPR devices</w:t>
      </w:r>
      <w:r w:rsidR="00F93EB8">
        <w:rPr>
          <w:color w:val="000000"/>
        </w:rPr>
        <w:t>.</w:t>
      </w:r>
      <w:r w:rsidR="00613BB5">
        <w:rPr>
          <w:rStyle w:val="FootnoteReference"/>
        </w:rPr>
        <w:footnoteReference w:id="23"/>
      </w:r>
      <w:r w:rsidRPr="00514711">
        <w:rPr>
          <w:color w:val="000000"/>
        </w:rPr>
        <w:t xml:space="preserve"> </w:t>
      </w:r>
      <w:r w:rsidR="00F93EB8">
        <w:rPr>
          <w:color w:val="000000"/>
        </w:rPr>
        <w:t xml:space="preserve"> The first provision</w:t>
      </w:r>
      <w:r w:rsidR="00B50064">
        <w:rPr>
          <w:color w:val="000000"/>
        </w:rPr>
        <w:t>, identified in the preamble</w:t>
      </w:r>
      <w:r w:rsidR="00610627">
        <w:rPr>
          <w:color w:val="000000"/>
        </w:rPr>
        <w:t xml:space="preserve"> of th</w:t>
      </w:r>
      <w:r w:rsidR="009F4999">
        <w:rPr>
          <w:color w:val="000000"/>
        </w:rPr>
        <w:t>is</w:t>
      </w:r>
      <w:r w:rsidR="00610627">
        <w:rPr>
          <w:color w:val="000000"/>
        </w:rPr>
        <w:t xml:space="preserve"> rule </w:t>
      </w:r>
      <w:r w:rsidR="00046010">
        <w:rPr>
          <w:color w:val="000000"/>
        </w:rPr>
        <w:t>subpart</w:t>
      </w:r>
      <w:r w:rsidR="00B50064">
        <w:rPr>
          <w:color w:val="000000"/>
        </w:rPr>
        <w:t>,</w:t>
      </w:r>
      <w:r w:rsidR="00F93EB8">
        <w:rPr>
          <w:color w:val="000000"/>
        </w:rPr>
        <w:t xml:space="preserve"> </w:t>
      </w:r>
      <w:r w:rsidR="006660AB" w:rsidRPr="00514711">
        <w:rPr>
          <w:color w:val="000000"/>
        </w:rPr>
        <w:t xml:space="preserve">limits </w:t>
      </w:r>
      <w:r w:rsidR="005E3966" w:rsidRPr="00514711">
        <w:rPr>
          <w:color w:val="000000"/>
        </w:rPr>
        <w:t>the use</w:t>
      </w:r>
      <w:r w:rsidR="00886291" w:rsidRPr="00514711">
        <w:rPr>
          <w:color w:val="000000"/>
        </w:rPr>
        <w:t xml:space="preserve"> of GPR </w:t>
      </w:r>
      <w:r w:rsidR="005E3966" w:rsidRPr="00514711">
        <w:rPr>
          <w:color w:val="000000"/>
        </w:rPr>
        <w:t xml:space="preserve">devices to </w:t>
      </w:r>
      <w:r w:rsidR="00EC1975" w:rsidRPr="00514711">
        <w:rPr>
          <w:color w:val="000000"/>
          <w:szCs w:val="22"/>
        </w:rPr>
        <w:t>applications</w:t>
      </w:r>
      <w:r w:rsidR="005E3966" w:rsidRPr="00514711">
        <w:rPr>
          <w:color w:val="000000"/>
          <w:szCs w:val="22"/>
        </w:rPr>
        <w:t xml:space="preserve"> associated with law enforcement, </w:t>
      </w:r>
      <w:r w:rsidR="00A54DF8" w:rsidRPr="00514711">
        <w:rPr>
          <w:color w:val="000000"/>
          <w:szCs w:val="22"/>
        </w:rPr>
        <w:t>firefighting</w:t>
      </w:r>
      <w:r w:rsidR="005E3966" w:rsidRPr="00514711">
        <w:rPr>
          <w:color w:val="000000"/>
          <w:szCs w:val="22"/>
        </w:rPr>
        <w:t>, emergency rescue, scientific research, commercial mining, or construction.</w:t>
      </w:r>
      <w:r w:rsidR="00886291" w:rsidRPr="00514711">
        <w:rPr>
          <w:color w:val="000000"/>
          <w:szCs w:val="22"/>
        </w:rPr>
        <w:t xml:space="preserve">  </w:t>
      </w:r>
      <w:r w:rsidR="00205991" w:rsidRPr="00514711">
        <w:rPr>
          <w:color w:val="000000"/>
          <w:szCs w:val="22"/>
        </w:rPr>
        <w:t>The purpose of th</w:t>
      </w:r>
      <w:r w:rsidR="00492ABE">
        <w:rPr>
          <w:color w:val="000000"/>
          <w:szCs w:val="22"/>
        </w:rPr>
        <w:t>is</w:t>
      </w:r>
      <w:r w:rsidR="00205991" w:rsidRPr="00514711">
        <w:rPr>
          <w:color w:val="000000"/>
          <w:szCs w:val="22"/>
        </w:rPr>
        <w:t xml:space="preserve"> </w:t>
      </w:r>
      <w:r w:rsidR="00492ABE">
        <w:rPr>
          <w:color w:val="000000"/>
          <w:szCs w:val="22"/>
        </w:rPr>
        <w:t>provision</w:t>
      </w:r>
      <w:r w:rsidR="00205991" w:rsidRPr="00514711">
        <w:rPr>
          <w:color w:val="000000"/>
          <w:szCs w:val="22"/>
        </w:rPr>
        <w:t xml:space="preserve"> is to ensure that GPR devices are used infrequently </w:t>
      </w:r>
      <w:r w:rsidR="00EC1975" w:rsidRPr="00514711">
        <w:rPr>
          <w:color w:val="000000"/>
          <w:szCs w:val="22"/>
        </w:rPr>
        <w:t>with a low proliferation rate, in order to avoid causing harmful interference to authorized users.</w:t>
      </w:r>
      <w:r w:rsidR="00300F7A" w:rsidRPr="00514711">
        <w:rPr>
          <w:rStyle w:val="FootnoteReference"/>
          <w:color w:val="000000"/>
          <w:szCs w:val="22"/>
        </w:rPr>
        <w:footnoteReference w:id="24"/>
      </w:r>
      <w:r w:rsidR="00EC1975" w:rsidRPr="00514711">
        <w:rPr>
          <w:color w:val="000000"/>
          <w:szCs w:val="22"/>
        </w:rPr>
        <w:t xml:space="preserve">  </w:t>
      </w:r>
      <w:r w:rsidR="00EA34E6">
        <w:rPr>
          <w:color w:val="000000"/>
          <w:szCs w:val="22"/>
        </w:rPr>
        <w:t>T</w:t>
      </w:r>
      <w:r w:rsidR="00F93EB8">
        <w:rPr>
          <w:color w:val="000000"/>
          <w:szCs w:val="22"/>
        </w:rPr>
        <w:t xml:space="preserve">he second provision, identified in </w:t>
      </w:r>
      <w:r w:rsidR="00434A12">
        <w:rPr>
          <w:color w:val="000000"/>
          <w:szCs w:val="22"/>
        </w:rPr>
        <w:t>Section</w:t>
      </w:r>
      <w:r w:rsidR="00E01EEF" w:rsidRPr="00514711">
        <w:rPr>
          <w:color w:val="000000"/>
          <w:szCs w:val="22"/>
        </w:rPr>
        <w:t xml:space="preserve"> 15.509(b)(1)</w:t>
      </w:r>
      <w:r w:rsidR="00EA34E6">
        <w:rPr>
          <w:color w:val="000000"/>
          <w:szCs w:val="22"/>
        </w:rPr>
        <w:t>,</w:t>
      </w:r>
      <w:r w:rsidR="00E01EEF" w:rsidRPr="00514711">
        <w:rPr>
          <w:color w:val="000000"/>
          <w:szCs w:val="22"/>
        </w:rPr>
        <w:t xml:space="preserve"> limits the operation of these devices to “parties eligible for licensing under the provisions of part 90</w:t>
      </w:r>
      <w:r w:rsidR="001A7B9F" w:rsidRPr="00514711">
        <w:rPr>
          <w:color w:val="000000"/>
          <w:szCs w:val="22"/>
        </w:rPr>
        <w:t>,</w:t>
      </w:r>
      <w:r w:rsidR="00E01EEF" w:rsidRPr="00514711">
        <w:rPr>
          <w:color w:val="000000"/>
          <w:szCs w:val="22"/>
        </w:rPr>
        <w:t>”</w:t>
      </w:r>
      <w:r w:rsidR="006073A4" w:rsidRPr="00514711">
        <w:rPr>
          <w:rStyle w:val="FootnoteReference"/>
          <w:color w:val="000000"/>
          <w:szCs w:val="22"/>
        </w:rPr>
        <w:footnoteReference w:id="25"/>
      </w:r>
      <w:r w:rsidR="00E01EEF" w:rsidRPr="00514711">
        <w:rPr>
          <w:color w:val="000000"/>
          <w:szCs w:val="22"/>
        </w:rPr>
        <w:t xml:space="preserve"> </w:t>
      </w:r>
      <w:r w:rsidR="00D47319">
        <w:rPr>
          <w:color w:val="000000"/>
          <w:szCs w:val="22"/>
        </w:rPr>
        <w:t>(</w:t>
      </w:r>
      <w:r w:rsidR="001A7B9F" w:rsidRPr="00514711">
        <w:rPr>
          <w:color w:val="000000"/>
          <w:szCs w:val="22"/>
        </w:rPr>
        <w:t xml:space="preserve">in effect, </w:t>
      </w:r>
      <w:r w:rsidR="00687390" w:rsidRPr="00514711">
        <w:rPr>
          <w:color w:val="000000"/>
          <w:szCs w:val="22"/>
        </w:rPr>
        <w:t xml:space="preserve">to </w:t>
      </w:r>
      <w:r w:rsidR="00080CE1">
        <w:rPr>
          <w:color w:val="000000"/>
          <w:szCs w:val="22"/>
        </w:rPr>
        <w:t>non</w:t>
      </w:r>
      <w:r w:rsidR="00080CE1">
        <w:rPr>
          <w:color w:val="000000"/>
          <w:szCs w:val="22"/>
        </w:rPr>
        <w:noBreakHyphen/>
        <w:t>consumers entities</w:t>
      </w:r>
      <w:r w:rsidR="00D97CF6">
        <w:rPr>
          <w:color w:val="000000"/>
          <w:szCs w:val="22"/>
        </w:rPr>
        <w:t xml:space="preserve"> engaged in certain commercial activities</w:t>
      </w:r>
      <w:r w:rsidR="00D47319">
        <w:rPr>
          <w:color w:val="000000"/>
          <w:szCs w:val="22"/>
        </w:rPr>
        <w:t>)</w:t>
      </w:r>
      <w:r w:rsidR="00EA34E6">
        <w:rPr>
          <w:color w:val="000000"/>
          <w:szCs w:val="22"/>
        </w:rPr>
        <w:t xml:space="preserve"> t</w:t>
      </w:r>
      <w:r w:rsidR="00EA34E6" w:rsidRPr="00514711">
        <w:rPr>
          <w:color w:val="000000"/>
          <w:szCs w:val="22"/>
        </w:rPr>
        <w:t>o restrict proliferation of GPR devices</w:t>
      </w:r>
      <w:r w:rsidR="00EA34E6">
        <w:rPr>
          <w:color w:val="000000"/>
          <w:szCs w:val="22"/>
        </w:rPr>
        <w:t xml:space="preserve"> in the consumer market</w:t>
      </w:r>
      <w:r w:rsidR="001A7B9F" w:rsidRPr="00514711">
        <w:rPr>
          <w:color w:val="000000"/>
          <w:szCs w:val="22"/>
        </w:rPr>
        <w:t xml:space="preserve">. </w:t>
      </w:r>
      <w:r w:rsidR="00E01EEF" w:rsidRPr="00514711">
        <w:rPr>
          <w:color w:val="000000"/>
          <w:szCs w:val="22"/>
        </w:rPr>
        <w:t xml:space="preserve"> </w:t>
      </w:r>
      <w:r w:rsidR="00EA34E6">
        <w:rPr>
          <w:color w:val="000000"/>
          <w:szCs w:val="22"/>
        </w:rPr>
        <w:t>T</w:t>
      </w:r>
      <w:r w:rsidR="00D97CF6">
        <w:rPr>
          <w:color w:val="000000"/>
          <w:szCs w:val="22"/>
        </w:rPr>
        <w:t xml:space="preserve">he third provision, identified in </w:t>
      </w:r>
      <w:r w:rsidR="00434A12">
        <w:rPr>
          <w:color w:val="000000"/>
          <w:szCs w:val="22"/>
        </w:rPr>
        <w:t>Section</w:t>
      </w:r>
      <w:r w:rsidR="00E01EEF" w:rsidRPr="00514711">
        <w:rPr>
          <w:color w:val="000000"/>
          <w:szCs w:val="22"/>
        </w:rPr>
        <w:t xml:space="preserve"> 15.509(b)(2)</w:t>
      </w:r>
      <w:r w:rsidR="00D97CF6">
        <w:rPr>
          <w:color w:val="000000"/>
          <w:szCs w:val="22"/>
        </w:rPr>
        <w:t>,</w:t>
      </w:r>
      <w:r w:rsidR="00E01EEF" w:rsidRPr="00514711">
        <w:rPr>
          <w:color w:val="000000"/>
          <w:szCs w:val="22"/>
        </w:rPr>
        <w:t xml:space="preserve"> requires </w:t>
      </w:r>
      <w:r w:rsidR="00377C82" w:rsidRPr="00514711">
        <w:rPr>
          <w:color w:val="000000"/>
          <w:szCs w:val="22"/>
        </w:rPr>
        <w:t>that the operation of GPR devices be coordinated with federal users</w:t>
      </w:r>
      <w:r w:rsidR="002D745C" w:rsidRPr="00514711">
        <w:rPr>
          <w:color w:val="000000"/>
          <w:szCs w:val="22"/>
        </w:rPr>
        <w:t xml:space="preserve"> via the Commission and the National Telecommunications and Information Administration (NTIA)</w:t>
      </w:r>
      <w:r w:rsidR="00377C82" w:rsidRPr="00514711">
        <w:rPr>
          <w:color w:val="000000"/>
          <w:szCs w:val="22"/>
        </w:rPr>
        <w:t>, as specified in Section 15.525 of the rules.</w:t>
      </w:r>
      <w:r w:rsidR="00F35A89" w:rsidRPr="00514711">
        <w:rPr>
          <w:rStyle w:val="FootnoteReference"/>
          <w:color w:val="000000"/>
          <w:szCs w:val="22"/>
        </w:rPr>
        <w:footnoteReference w:id="26"/>
      </w:r>
      <w:r w:rsidR="00D97CF6">
        <w:rPr>
          <w:color w:val="000000"/>
          <w:szCs w:val="22"/>
        </w:rPr>
        <w:t xml:space="preserve">  Headsight is only requesting waiver of the first provision, </w:t>
      </w:r>
      <w:r w:rsidR="00492ABE" w:rsidRPr="006524BE">
        <w:rPr>
          <w:color w:val="000000"/>
          <w:szCs w:val="22"/>
        </w:rPr>
        <w:t>i.e.</w:t>
      </w:r>
      <w:r w:rsidR="00492ABE">
        <w:rPr>
          <w:color w:val="000000"/>
          <w:szCs w:val="22"/>
        </w:rPr>
        <w:t xml:space="preserve">, </w:t>
      </w:r>
      <w:r w:rsidR="00D97CF6">
        <w:rPr>
          <w:color w:val="000000"/>
          <w:szCs w:val="22"/>
        </w:rPr>
        <w:t>the restriction on permissible uses</w:t>
      </w:r>
      <w:r w:rsidR="005D7AC2">
        <w:rPr>
          <w:color w:val="000000"/>
          <w:szCs w:val="22"/>
        </w:rPr>
        <w:t xml:space="preserve"> of UWB G</w:t>
      </w:r>
      <w:r w:rsidR="00D47319">
        <w:rPr>
          <w:color w:val="000000"/>
          <w:szCs w:val="22"/>
        </w:rPr>
        <w:t>PR</w:t>
      </w:r>
      <w:r w:rsidR="005D7AC2">
        <w:rPr>
          <w:color w:val="000000"/>
          <w:szCs w:val="22"/>
        </w:rPr>
        <w:t xml:space="preserve"> devices</w:t>
      </w:r>
      <w:r w:rsidR="00D97CF6">
        <w:rPr>
          <w:color w:val="000000"/>
          <w:szCs w:val="22"/>
        </w:rPr>
        <w:t>.</w:t>
      </w:r>
      <w:r w:rsidR="00FD178C">
        <w:rPr>
          <w:rStyle w:val="FootnoteReference"/>
          <w:szCs w:val="22"/>
        </w:rPr>
        <w:footnoteReference w:id="27"/>
      </w:r>
    </w:p>
    <w:p w:rsidR="002731A6" w:rsidRPr="00514711" w:rsidRDefault="00DE019F" w:rsidP="005C18BC">
      <w:pPr>
        <w:pStyle w:val="ParaNum"/>
        <w:widowControl/>
        <w:autoSpaceDE w:val="0"/>
        <w:autoSpaceDN w:val="0"/>
        <w:adjustRightInd w:val="0"/>
        <w:rPr>
          <w:color w:val="000000"/>
        </w:rPr>
      </w:pPr>
      <w:r w:rsidRPr="00514711">
        <w:rPr>
          <w:color w:val="000000"/>
        </w:rPr>
        <w:t xml:space="preserve">In its waiver request, </w:t>
      </w:r>
      <w:r w:rsidR="00E278E0" w:rsidRPr="00514711">
        <w:rPr>
          <w:color w:val="000000"/>
        </w:rPr>
        <w:t xml:space="preserve">Headsight argues that </w:t>
      </w:r>
      <w:r w:rsidR="003B0BDD">
        <w:rPr>
          <w:color w:val="000000"/>
        </w:rPr>
        <w:t>S</w:t>
      </w:r>
      <w:r w:rsidR="00E278E0" w:rsidRPr="00514711">
        <w:rPr>
          <w:color w:val="000000"/>
        </w:rPr>
        <w:t xml:space="preserve">ection 15.509(b) </w:t>
      </w:r>
      <w:r w:rsidR="00E278E0" w:rsidRPr="00514711">
        <w:rPr>
          <w:color w:val="000000"/>
          <w:szCs w:val="22"/>
        </w:rPr>
        <w:t xml:space="preserve">does not expressly authorize UWB ground imaging devices for agricultural use </w:t>
      </w:r>
      <w:r w:rsidR="005564BB">
        <w:rPr>
          <w:color w:val="000000"/>
          <w:szCs w:val="22"/>
        </w:rPr>
        <w:t xml:space="preserve">only </w:t>
      </w:r>
      <w:r w:rsidR="00E278E0" w:rsidRPr="00514711">
        <w:rPr>
          <w:color w:val="000000"/>
          <w:szCs w:val="22"/>
        </w:rPr>
        <w:t xml:space="preserve">because </w:t>
      </w:r>
      <w:r w:rsidR="00E278E0" w:rsidRPr="00514711">
        <w:rPr>
          <w:color w:val="000000"/>
        </w:rPr>
        <w:t>a</w:t>
      </w:r>
      <w:r w:rsidR="00E278E0" w:rsidRPr="00514711">
        <w:rPr>
          <w:color w:val="000000"/>
          <w:szCs w:val="22"/>
        </w:rPr>
        <w:t>gricultural use was never raised or discussed</w:t>
      </w:r>
      <w:r w:rsidR="00E278E0" w:rsidRPr="00514711">
        <w:rPr>
          <w:color w:val="000000"/>
        </w:rPr>
        <w:t xml:space="preserve"> during the UWB rulemaking; </w:t>
      </w:r>
      <w:r w:rsidR="005564BB">
        <w:rPr>
          <w:color w:val="000000"/>
        </w:rPr>
        <w:t xml:space="preserve">it </w:t>
      </w:r>
      <w:r w:rsidR="00E278E0" w:rsidRPr="00514711">
        <w:rPr>
          <w:color w:val="000000"/>
        </w:rPr>
        <w:t xml:space="preserve">contends that </w:t>
      </w:r>
      <w:r w:rsidR="00E278E0" w:rsidRPr="00514711">
        <w:rPr>
          <w:color w:val="000000"/>
          <w:szCs w:val="22"/>
        </w:rPr>
        <w:t>the use</w:t>
      </w:r>
      <w:r w:rsidR="00E278E0" w:rsidRPr="00514711">
        <w:rPr>
          <w:color w:val="000000"/>
        </w:rPr>
        <w:t xml:space="preserve"> </w:t>
      </w:r>
      <w:r w:rsidR="00E278E0" w:rsidRPr="00514711">
        <w:rPr>
          <w:color w:val="000000"/>
          <w:szCs w:val="22"/>
        </w:rPr>
        <w:t>of ground imaging technology in agriculture would have met the Commission’s essential</w:t>
      </w:r>
      <w:r w:rsidR="00E278E0" w:rsidRPr="00514711">
        <w:rPr>
          <w:color w:val="000000"/>
        </w:rPr>
        <w:t xml:space="preserve"> criteria of “low proliferation and infrequent use</w:t>
      </w:r>
      <w:r w:rsidR="00E278E0" w:rsidRPr="00514711">
        <w:rPr>
          <w:color w:val="000000"/>
          <w:szCs w:val="22"/>
        </w:rPr>
        <w:t>” because the Terrahawk would be used on agricultural equipment operating seasonally in rural areas.</w:t>
      </w:r>
      <w:r w:rsidR="00E278E0" w:rsidRPr="00514711">
        <w:rPr>
          <w:rStyle w:val="FootnoteReference"/>
          <w:color w:val="000000"/>
          <w:szCs w:val="22"/>
        </w:rPr>
        <w:footnoteReference w:id="28"/>
      </w:r>
      <w:r w:rsidR="00E278E0" w:rsidRPr="00514711">
        <w:rPr>
          <w:color w:val="000000"/>
          <w:szCs w:val="22"/>
        </w:rPr>
        <w:t xml:space="preserve">  </w:t>
      </w:r>
      <w:r w:rsidR="0039549B" w:rsidRPr="00514711">
        <w:rPr>
          <w:color w:val="000000"/>
        </w:rPr>
        <w:t>Headsight also emphasizes that its waiver request does not propose any relaxation in the UWB emission limits or technical standards that apply to UWB GPR devices.</w:t>
      </w:r>
      <w:r w:rsidR="0039549B" w:rsidRPr="00514711">
        <w:rPr>
          <w:rStyle w:val="FootnoteReference"/>
          <w:color w:val="000000"/>
        </w:rPr>
        <w:footnoteReference w:id="29"/>
      </w:r>
      <w:r w:rsidR="0039549B" w:rsidRPr="00514711">
        <w:rPr>
          <w:color w:val="000000"/>
        </w:rPr>
        <w:t xml:space="preserve">  </w:t>
      </w:r>
    </w:p>
    <w:p w:rsidR="007C1386" w:rsidRPr="00514711" w:rsidRDefault="00EE7FA2" w:rsidP="005C18BC">
      <w:pPr>
        <w:pStyle w:val="ParaNum"/>
        <w:widowControl/>
        <w:autoSpaceDE w:val="0"/>
        <w:autoSpaceDN w:val="0"/>
        <w:adjustRightInd w:val="0"/>
        <w:rPr>
          <w:color w:val="000000"/>
        </w:rPr>
      </w:pPr>
      <w:r w:rsidRPr="00514711">
        <w:rPr>
          <w:color w:val="000000"/>
        </w:rPr>
        <w:t xml:space="preserve">In comments, </w:t>
      </w:r>
      <w:r w:rsidR="007C1386" w:rsidRPr="00514711">
        <w:rPr>
          <w:color w:val="000000"/>
        </w:rPr>
        <w:t>Trimble</w:t>
      </w:r>
      <w:r w:rsidRPr="00514711">
        <w:rPr>
          <w:color w:val="000000"/>
        </w:rPr>
        <w:t xml:space="preserve">, a provider of </w:t>
      </w:r>
      <w:r w:rsidR="009A16CC" w:rsidRPr="00514711">
        <w:rPr>
          <w:color w:val="000000"/>
        </w:rPr>
        <w:t>global positioning system (</w:t>
      </w:r>
      <w:r w:rsidRPr="00514711">
        <w:rPr>
          <w:color w:val="000000"/>
        </w:rPr>
        <w:t>GPS</w:t>
      </w:r>
      <w:r w:rsidR="009A16CC" w:rsidRPr="00514711">
        <w:rPr>
          <w:color w:val="000000"/>
        </w:rPr>
        <w:t>)</w:t>
      </w:r>
      <w:r w:rsidRPr="00514711">
        <w:rPr>
          <w:color w:val="000000"/>
        </w:rPr>
        <w:t xml:space="preserve"> solutions,</w:t>
      </w:r>
      <w:r w:rsidR="007C1386" w:rsidRPr="00514711">
        <w:rPr>
          <w:color w:val="000000"/>
        </w:rPr>
        <w:t xml:space="preserve"> argues that Headsight has not provided the type of technical information necessary to demonstrate that there will be no interference to GPS operations</w:t>
      </w:r>
      <w:r w:rsidR="00251C52">
        <w:rPr>
          <w:color w:val="000000"/>
        </w:rPr>
        <w:t>.  I</w:t>
      </w:r>
      <w:r w:rsidR="007A7155">
        <w:rPr>
          <w:color w:val="000000"/>
        </w:rPr>
        <w:t>t</w:t>
      </w:r>
      <w:r w:rsidR="00251C52">
        <w:rPr>
          <w:color w:val="000000"/>
        </w:rPr>
        <w:t xml:space="preserve"> names a variety of GPS applications that it believes the Terrahawk could interfere with, including</w:t>
      </w:r>
      <w:r w:rsidR="007C1386" w:rsidRPr="00514711">
        <w:rPr>
          <w:color w:val="000000"/>
        </w:rPr>
        <w:t xml:space="preserve"> </w:t>
      </w:r>
      <w:r w:rsidR="00251C52">
        <w:rPr>
          <w:color w:val="000000"/>
        </w:rPr>
        <w:t>the use of</w:t>
      </w:r>
      <w:r w:rsidR="007C1386" w:rsidRPr="00514711">
        <w:rPr>
          <w:color w:val="000000"/>
        </w:rPr>
        <w:t xml:space="preserve"> GPS receivers on farming machinery, on an aircraft landing on a runway adjacent to a farm field, </w:t>
      </w:r>
      <w:r w:rsidR="00251C52">
        <w:rPr>
          <w:color w:val="000000"/>
        </w:rPr>
        <w:t>and</w:t>
      </w:r>
      <w:r w:rsidR="007C1386" w:rsidRPr="00514711">
        <w:rPr>
          <w:color w:val="000000"/>
        </w:rPr>
        <w:t xml:space="preserve"> on a fire truck on a highway that runs alongside a farm field.</w:t>
      </w:r>
      <w:r w:rsidR="007C1386" w:rsidRPr="00514711">
        <w:rPr>
          <w:rStyle w:val="FootnoteReference"/>
          <w:color w:val="000000"/>
        </w:rPr>
        <w:footnoteReference w:id="30"/>
      </w:r>
      <w:r w:rsidR="007C1386" w:rsidRPr="00514711">
        <w:rPr>
          <w:color w:val="000000"/>
        </w:rPr>
        <w:t xml:space="preserve">  </w:t>
      </w:r>
      <w:r w:rsidR="001D107C" w:rsidRPr="00514711">
        <w:rPr>
          <w:color w:val="000000"/>
        </w:rPr>
        <w:t xml:space="preserve">Trimble also questions why the Terrahawk could not operate in other spectrum, such as </w:t>
      </w:r>
      <w:r w:rsidR="006D17EA" w:rsidRPr="00514711">
        <w:rPr>
          <w:color w:val="000000"/>
        </w:rPr>
        <w:t xml:space="preserve">in </w:t>
      </w:r>
      <w:r w:rsidR="001D107C" w:rsidRPr="00514711">
        <w:rPr>
          <w:color w:val="000000"/>
        </w:rPr>
        <w:t>the 76</w:t>
      </w:r>
      <w:r w:rsidR="001D107C" w:rsidRPr="00514711">
        <w:rPr>
          <w:color w:val="000000"/>
        </w:rPr>
        <w:noBreakHyphen/>
        <w:t>81 GHz band.</w:t>
      </w:r>
      <w:r w:rsidR="001D107C" w:rsidRPr="00514711">
        <w:rPr>
          <w:rStyle w:val="FootnoteReference"/>
          <w:color w:val="000000"/>
        </w:rPr>
        <w:footnoteReference w:id="31"/>
      </w:r>
      <w:r w:rsidR="001D107C" w:rsidRPr="00514711">
        <w:rPr>
          <w:color w:val="000000"/>
        </w:rPr>
        <w:t xml:space="preserve">  </w:t>
      </w:r>
    </w:p>
    <w:p w:rsidR="00F112A0" w:rsidRPr="00514711" w:rsidRDefault="00F112A0" w:rsidP="005C18BC">
      <w:pPr>
        <w:pStyle w:val="ParaNum"/>
        <w:widowControl/>
        <w:autoSpaceDE w:val="0"/>
        <w:autoSpaceDN w:val="0"/>
        <w:adjustRightInd w:val="0"/>
        <w:rPr>
          <w:color w:val="000000"/>
        </w:rPr>
      </w:pPr>
      <w:r w:rsidRPr="00514711">
        <w:rPr>
          <w:color w:val="000000"/>
        </w:rPr>
        <w:t>In re</w:t>
      </w:r>
      <w:r w:rsidR="00AB7046">
        <w:rPr>
          <w:color w:val="000000"/>
        </w:rPr>
        <w:t>ply</w:t>
      </w:r>
      <w:r w:rsidR="00AC4298">
        <w:rPr>
          <w:color w:val="000000"/>
        </w:rPr>
        <w:t>,</w:t>
      </w:r>
      <w:r w:rsidRPr="00514711">
        <w:rPr>
          <w:color w:val="000000"/>
        </w:rPr>
        <w:t xml:space="preserve"> </w:t>
      </w:r>
      <w:r w:rsidR="00557726" w:rsidRPr="00514711">
        <w:rPr>
          <w:rFonts w:eastAsia="Calibri"/>
          <w:snapToGrid/>
          <w:color w:val="000000"/>
          <w:kern w:val="0"/>
          <w:szCs w:val="22"/>
        </w:rPr>
        <w:t xml:space="preserve">Headsight </w:t>
      </w:r>
      <w:r w:rsidR="00AC4298">
        <w:rPr>
          <w:rFonts w:eastAsia="Calibri"/>
          <w:snapToGrid/>
          <w:color w:val="000000"/>
          <w:kern w:val="0"/>
          <w:szCs w:val="22"/>
        </w:rPr>
        <w:t xml:space="preserve">responds that </w:t>
      </w:r>
      <w:r w:rsidR="002B0616" w:rsidRPr="00514711">
        <w:rPr>
          <w:rFonts w:eastAsia="Calibri"/>
          <w:snapToGrid/>
          <w:color w:val="000000"/>
          <w:kern w:val="0"/>
          <w:szCs w:val="22"/>
        </w:rPr>
        <w:t xml:space="preserve">it has </w:t>
      </w:r>
      <w:r w:rsidR="00B75103" w:rsidRPr="00514711">
        <w:rPr>
          <w:rFonts w:eastAsia="Calibri"/>
          <w:snapToGrid/>
          <w:color w:val="000000"/>
          <w:kern w:val="0"/>
          <w:szCs w:val="22"/>
        </w:rPr>
        <w:t>performed</w:t>
      </w:r>
      <w:r w:rsidRPr="00514711">
        <w:rPr>
          <w:rFonts w:eastAsia="Calibri"/>
          <w:snapToGrid/>
          <w:color w:val="000000"/>
          <w:kern w:val="0"/>
          <w:szCs w:val="22"/>
        </w:rPr>
        <w:t xml:space="preserve"> compatibility testing between the Terrahawk and a GPS receiver mounted on the same farming machinery</w:t>
      </w:r>
      <w:r w:rsidR="002B0616" w:rsidRPr="00514711">
        <w:rPr>
          <w:rFonts w:eastAsia="Calibri"/>
          <w:snapToGrid/>
          <w:color w:val="000000"/>
          <w:kern w:val="0"/>
          <w:szCs w:val="22"/>
        </w:rPr>
        <w:t xml:space="preserve">, </w:t>
      </w:r>
      <w:r w:rsidR="003205FB" w:rsidRPr="00514711">
        <w:rPr>
          <w:rFonts w:eastAsia="Calibri"/>
          <w:snapToGrid/>
          <w:color w:val="000000"/>
          <w:kern w:val="0"/>
          <w:szCs w:val="22"/>
        </w:rPr>
        <w:t xml:space="preserve">and the test results </w:t>
      </w:r>
      <w:r w:rsidRPr="00514711">
        <w:rPr>
          <w:rFonts w:eastAsia="Calibri"/>
          <w:snapToGrid/>
          <w:color w:val="000000"/>
          <w:kern w:val="0"/>
          <w:szCs w:val="22"/>
        </w:rPr>
        <w:t>showed no harmful interference</w:t>
      </w:r>
      <w:r w:rsidR="002B0616" w:rsidRPr="00514711">
        <w:rPr>
          <w:rFonts w:eastAsia="Calibri"/>
          <w:snapToGrid/>
          <w:color w:val="000000"/>
          <w:kern w:val="0"/>
          <w:szCs w:val="22"/>
        </w:rPr>
        <w:t>.</w:t>
      </w:r>
      <w:r w:rsidRPr="00514711">
        <w:rPr>
          <w:rStyle w:val="FootnoteReference"/>
          <w:rFonts w:eastAsia="Calibri"/>
          <w:snapToGrid/>
          <w:color w:val="000000"/>
          <w:kern w:val="0"/>
          <w:szCs w:val="22"/>
        </w:rPr>
        <w:footnoteReference w:id="32"/>
      </w:r>
      <w:r w:rsidRPr="00514711">
        <w:rPr>
          <w:rFonts w:eastAsia="Calibri"/>
          <w:snapToGrid/>
          <w:color w:val="000000"/>
          <w:kern w:val="0"/>
          <w:szCs w:val="22"/>
        </w:rPr>
        <w:t xml:space="preserve"> </w:t>
      </w:r>
      <w:r w:rsidR="003205FB" w:rsidRPr="00514711">
        <w:rPr>
          <w:rFonts w:eastAsia="Calibri"/>
          <w:snapToGrid/>
          <w:color w:val="000000"/>
          <w:kern w:val="0"/>
          <w:szCs w:val="22"/>
        </w:rPr>
        <w:t xml:space="preserve"> </w:t>
      </w:r>
      <w:r w:rsidR="00AC4298">
        <w:rPr>
          <w:rFonts w:eastAsia="Calibri"/>
          <w:snapToGrid/>
          <w:color w:val="000000"/>
          <w:kern w:val="0"/>
          <w:szCs w:val="22"/>
        </w:rPr>
        <w:t>W</w:t>
      </w:r>
      <w:r w:rsidR="008715D4" w:rsidRPr="00514711">
        <w:rPr>
          <w:rFonts w:eastAsia="Calibri"/>
          <w:snapToGrid/>
          <w:color w:val="000000"/>
          <w:kern w:val="0"/>
          <w:szCs w:val="22"/>
        </w:rPr>
        <w:t>ith respect to Trimble’s suggestion for operation in the 76-81 GHz band, Headsight states that radar signals at these frequencies will not effectively penetrate crops and other ground debris; therefore, the signal would not provide the kind of resolution and precision needed to determine the characteristics of the crop or the soil being investigated.</w:t>
      </w:r>
      <w:r w:rsidR="008715D4" w:rsidRPr="00514711">
        <w:rPr>
          <w:rStyle w:val="FootnoteReference"/>
          <w:rFonts w:eastAsia="Calibri"/>
          <w:snapToGrid/>
          <w:color w:val="000000"/>
          <w:kern w:val="0"/>
          <w:szCs w:val="22"/>
        </w:rPr>
        <w:footnoteReference w:id="33"/>
      </w:r>
      <w:r w:rsidR="008715D4" w:rsidRPr="00514711">
        <w:rPr>
          <w:rFonts w:eastAsia="Calibri"/>
          <w:snapToGrid/>
          <w:color w:val="000000"/>
          <w:kern w:val="0"/>
          <w:szCs w:val="22"/>
        </w:rPr>
        <w:t xml:space="preserve">  </w:t>
      </w:r>
    </w:p>
    <w:p w:rsidR="00CA6C2B" w:rsidRPr="00514711" w:rsidRDefault="00EC36F1" w:rsidP="00514711">
      <w:pPr>
        <w:pStyle w:val="ParaNum"/>
        <w:widowControl/>
        <w:autoSpaceDE w:val="0"/>
        <w:autoSpaceDN w:val="0"/>
        <w:adjustRightInd w:val="0"/>
        <w:rPr>
          <w:color w:val="000000"/>
        </w:rPr>
      </w:pPr>
      <w:r w:rsidRPr="00514711">
        <w:rPr>
          <w:i/>
          <w:color w:val="000000"/>
          <w:szCs w:val="22"/>
        </w:rPr>
        <w:t>Discussion</w:t>
      </w:r>
      <w:r w:rsidRPr="00514711">
        <w:rPr>
          <w:color w:val="000000"/>
          <w:szCs w:val="22"/>
        </w:rPr>
        <w:t xml:space="preserve">.  </w:t>
      </w:r>
      <w:r w:rsidR="002731A6" w:rsidRPr="00514711">
        <w:rPr>
          <w:color w:val="000000"/>
          <w:szCs w:val="22"/>
        </w:rPr>
        <w:t>We</w:t>
      </w:r>
      <w:r w:rsidR="0010633A" w:rsidRPr="00514711">
        <w:rPr>
          <w:color w:val="000000"/>
          <w:szCs w:val="22"/>
        </w:rPr>
        <w:t xml:space="preserve"> </w:t>
      </w:r>
      <w:r w:rsidR="000E490F" w:rsidRPr="00514711">
        <w:rPr>
          <w:color w:val="000000"/>
          <w:szCs w:val="22"/>
        </w:rPr>
        <w:t xml:space="preserve">find that Headsight’s proposed use of the Terrahawk – seasonally, on farm equipment </w:t>
      </w:r>
      <w:r w:rsidR="005965EF" w:rsidRPr="00514711">
        <w:rPr>
          <w:color w:val="000000"/>
          <w:szCs w:val="22"/>
        </w:rPr>
        <w:t xml:space="preserve">on agricultural land </w:t>
      </w:r>
      <w:r w:rsidR="000E490F" w:rsidRPr="00514711">
        <w:rPr>
          <w:color w:val="000000"/>
          <w:szCs w:val="22"/>
        </w:rPr>
        <w:t>in rural settings and for limited periods of time</w:t>
      </w:r>
      <w:r w:rsidR="000E490F" w:rsidRPr="00514711">
        <w:rPr>
          <w:rStyle w:val="FootnoteReference"/>
          <w:color w:val="000000"/>
          <w:szCs w:val="22"/>
        </w:rPr>
        <w:footnoteReference w:id="34"/>
      </w:r>
      <w:r w:rsidR="000E490F" w:rsidRPr="00514711">
        <w:rPr>
          <w:color w:val="000000"/>
          <w:szCs w:val="22"/>
        </w:rPr>
        <w:t xml:space="preserve"> – is consistent with the criteria of “low proliferation and infrequent use” for GPR</w:t>
      </w:r>
      <w:r w:rsidR="00127E68" w:rsidRPr="00514711">
        <w:rPr>
          <w:color w:val="000000"/>
          <w:szCs w:val="22"/>
        </w:rPr>
        <w:t xml:space="preserve">, </w:t>
      </w:r>
      <w:r w:rsidR="0023573C" w:rsidRPr="00514711">
        <w:rPr>
          <w:color w:val="000000"/>
          <w:szCs w:val="22"/>
        </w:rPr>
        <w:t xml:space="preserve">because </w:t>
      </w:r>
      <w:r w:rsidR="00127E68" w:rsidRPr="00514711">
        <w:rPr>
          <w:color w:val="000000"/>
          <w:szCs w:val="22"/>
        </w:rPr>
        <w:t>this specific use of GPR in agricultural applications do</w:t>
      </w:r>
      <w:r w:rsidR="00432472">
        <w:rPr>
          <w:color w:val="000000"/>
          <w:szCs w:val="22"/>
        </w:rPr>
        <w:t>es</w:t>
      </w:r>
      <w:r w:rsidR="00127E68" w:rsidRPr="00514711">
        <w:rPr>
          <w:color w:val="000000"/>
          <w:szCs w:val="22"/>
        </w:rPr>
        <w:t xml:space="preserve"> not differ greatly from any other permissible use listed in Section 15.509(b)</w:t>
      </w:r>
      <w:r w:rsidR="0028052C" w:rsidRPr="00514711">
        <w:rPr>
          <w:color w:val="000000"/>
          <w:szCs w:val="22"/>
        </w:rPr>
        <w:t xml:space="preserve">, such as </w:t>
      </w:r>
      <w:r w:rsidR="004D7819" w:rsidRPr="00514711">
        <w:rPr>
          <w:color w:val="000000"/>
          <w:szCs w:val="22"/>
        </w:rPr>
        <w:t xml:space="preserve">that </w:t>
      </w:r>
      <w:r w:rsidR="004E4E7B" w:rsidRPr="00514711">
        <w:rPr>
          <w:color w:val="000000"/>
          <w:szCs w:val="22"/>
        </w:rPr>
        <w:t xml:space="preserve">in </w:t>
      </w:r>
      <w:r w:rsidR="0028052C" w:rsidRPr="00514711">
        <w:rPr>
          <w:color w:val="000000"/>
          <w:szCs w:val="22"/>
        </w:rPr>
        <w:t>construction</w:t>
      </w:r>
      <w:r w:rsidR="004E4E7B" w:rsidRPr="00514711">
        <w:rPr>
          <w:color w:val="000000"/>
          <w:szCs w:val="22"/>
        </w:rPr>
        <w:t xml:space="preserve"> applications</w:t>
      </w:r>
      <w:r w:rsidR="009E49CF" w:rsidRPr="00514711">
        <w:rPr>
          <w:color w:val="000000"/>
          <w:szCs w:val="22"/>
        </w:rPr>
        <w:t>.</w:t>
      </w:r>
      <w:r w:rsidR="000E490F" w:rsidRPr="00514711">
        <w:rPr>
          <w:rStyle w:val="FootnoteReference"/>
          <w:color w:val="000000"/>
          <w:szCs w:val="22"/>
        </w:rPr>
        <w:footnoteReference w:id="35"/>
      </w:r>
      <w:r w:rsidR="000E490F" w:rsidRPr="00514711">
        <w:rPr>
          <w:color w:val="000000"/>
          <w:szCs w:val="22"/>
        </w:rPr>
        <w:t xml:space="preserve">  </w:t>
      </w:r>
      <w:r w:rsidR="007A327E">
        <w:rPr>
          <w:color w:val="000000"/>
          <w:szCs w:val="22"/>
        </w:rPr>
        <w:t>Moreover</w:t>
      </w:r>
      <w:r w:rsidR="00A549DA">
        <w:rPr>
          <w:color w:val="000000"/>
          <w:szCs w:val="22"/>
        </w:rPr>
        <w:t xml:space="preserve">, </w:t>
      </w:r>
      <w:r w:rsidR="00A549DA" w:rsidRPr="00514711">
        <w:rPr>
          <w:color w:val="000000"/>
          <w:szCs w:val="22"/>
        </w:rPr>
        <w:t xml:space="preserve">apart from allowing agricultural </w:t>
      </w:r>
      <w:r w:rsidR="00A549DA">
        <w:rPr>
          <w:color w:val="000000"/>
          <w:szCs w:val="22"/>
        </w:rPr>
        <w:t xml:space="preserve">use </w:t>
      </w:r>
      <w:r w:rsidR="00A549DA" w:rsidRPr="00514711">
        <w:rPr>
          <w:color w:val="000000"/>
          <w:szCs w:val="22"/>
        </w:rPr>
        <w:t xml:space="preserve">— </w:t>
      </w:r>
      <w:r w:rsidR="00A549DA">
        <w:rPr>
          <w:color w:val="000000"/>
          <w:szCs w:val="22"/>
        </w:rPr>
        <w:t>which is not on</w:t>
      </w:r>
      <w:r w:rsidR="00A549DA" w:rsidRPr="00514711">
        <w:rPr>
          <w:color w:val="000000"/>
          <w:szCs w:val="22"/>
        </w:rPr>
        <w:t xml:space="preserve"> the list of permissible operations in Section 15.509(b)</w:t>
      </w:r>
      <w:r w:rsidR="00A549DA">
        <w:rPr>
          <w:color w:val="000000"/>
          <w:szCs w:val="22"/>
        </w:rPr>
        <w:t xml:space="preserve"> </w:t>
      </w:r>
      <w:r w:rsidR="00A549DA" w:rsidRPr="00514711">
        <w:rPr>
          <w:color w:val="000000"/>
          <w:szCs w:val="22"/>
        </w:rPr>
        <w:t xml:space="preserve">— </w:t>
      </w:r>
      <w:r w:rsidR="00A0509D" w:rsidRPr="00514711">
        <w:rPr>
          <w:color w:val="000000"/>
          <w:szCs w:val="22"/>
        </w:rPr>
        <w:t xml:space="preserve"> </w:t>
      </w:r>
      <w:r w:rsidR="00A14DD3">
        <w:rPr>
          <w:color w:val="000000"/>
          <w:szCs w:val="22"/>
        </w:rPr>
        <w:t xml:space="preserve">we </w:t>
      </w:r>
      <w:r w:rsidR="00A549DA">
        <w:rPr>
          <w:color w:val="000000"/>
          <w:szCs w:val="22"/>
        </w:rPr>
        <w:t>are not</w:t>
      </w:r>
      <w:r w:rsidR="00A14DD3">
        <w:rPr>
          <w:color w:val="000000"/>
          <w:szCs w:val="22"/>
        </w:rPr>
        <w:t xml:space="preserve"> waiv</w:t>
      </w:r>
      <w:r w:rsidR="00A549DA">
        <w:rPr>
          <w:color w:val="000000"/>
          <w:szCs w:val="22"/>
        </w:rPr>
        <w:t>ing</w:t>
      </w:r>
      <w:r w:rsidR="00A14DD3">
        <w:rPr>
          <w:color w:val="000000"/>
          <w:szCs w:val="22"/>
        </w:rPr>
        <w:t xml:space="preserve"> </w:t>
      </w:r>
      <w:r w:rsidR="00A0509D" w:rsidRPr="00514711">
        <w:rPr>
          <w:color w:val="000000"/>
          <w:szCs w:val="22"/>
        </w:rPr>
        <w:t xml:space="preserve">the operating conditions of </w:t>
      </w:r>
      <w:r w:rsidR="00434A12">
        <w:rPr>
          <w:color w:val="000000"/>
          <w:szCs w:val="22"/>
        </w:rPr>
        <w:t>Section</w:t>
      </w:r>
      <w:r w:rsidR="00A0509D" w:rsidRPr="00514711">
        <w:rPr>
          <w:color w:val="000000"/>
          <w:szCs w:val="22"/>
        </w:rPr>
        <w:t>s 15.509(b)(1) and 15.509(b)(2)</w:t>
      </w:r>
      <w:r w:rsidR="00671C12">
        <w:rPr>
          <w:color w:val="000000"/>
          <w:szCs w:val="22"/>
        </w:rPr>
        <w:t>.</w:t>
      </w:r>
      <w:r w:rsidR="00A14DD3">
        <w:rPr>
          <w:color w:val="000000"/>
          <w:szCs w:val="22"/>
        </w:rPr>
        <w:t xml:space="preserve"> </w:t>
      </w:r>
      <w:r w:rsidR="00671C12">
        <w:rPr>
          <w:color w:val="000000"/>
          <w:szCs w:val="22"/>
        </w:rPr>
        <w:t>U</w:t>
      </w:r>
      <w:r w:rsidR="00A14DD3">
        <w:rPr>
          <w:color w:val="000000"/>
          <w:szCs w:val="22"/>
        </w:rPr>
        <w:t xml:space="preserve">sers of the Terrahawk </w:t>
      </w:r>
      <w:r w:rsidR="00671C12">
        <w:rPr>
          <w:color w:val="000000"/>
          <w:szCs w:val="22"/>
        </w:rPr>
        <w:t>must be</w:t>
      </w:r>
      <w:r w:rsidR="00A14DD3">
        <w:rPr>
          <w:color w:val="000000"/>
          <w:szCs w:val="22"/>
        </w:rPr>
        <w:t xml:space="preserve"> eligible for a license under Part 90 of our rules </w:t>
      </w:r>
      <w:r w:rsidR="00671C12">
        <w:rPr>
          <w:color w:val="000000"/>
          <w:szCs w:val="22"/>
        </w:rPr>
        <w:t xml:space="preserve">(which we expect they will be under </w:t>
      </w:r>
      <w:r w:rsidR="00A14DD3">
        <w:rPr>
          <w:color w:val="000000"/>
          <w:szCs w:val="22"/>
        </w:rPr>
        <w:t>the definition of “special industrial license”</w:t>
      </w:r>
      <w:r w:rsidR="00A14DD3">
        <w:rPr>
          <w:rStyle w:val="FootnoteReference"/>
          <w:szCs w:val="22"/>
        </w:rPr>
        <w:footnoteReference w:id="36"/>
      </w:r>
      <w:r w:rsidR="00671C12">
        <w:rPr>
          <w:color w:val="000000"/>
          <w:szCs w:val="22"/>
        </w:rPr>
        <w:t>).  Furthermore</w:t>
      </w:r>
      <w:r w:rsidR="00835D15">
        <w:rPr>
          <w:color w:val="000000"/>
          <w:szCs w:val="22"/>
        </w:rPr>
        <w:t>,</w:t>
      </w:r>
      <w:r w:rsidR="0092127C">
        <w:rPr>
          <w:color w:val="000000"/>
          <w:szCs w:val="22"/>
        </w:rPr>
        <w:t xml:space="preserve"> we will continue to require coordination of this device </w:t>
      </w:r>
      <w:r w:rsidR="00F92753">
        <w:rPr>
          <w:color w:val="000000"/>
          <w:szCs w:val="22"/>
        </w:rPr>
        <w:t xml:space="preserve">with Federal spectrum users </w:t>
      </w:r>
      <w:r w:rsidR="0092127C">
        <w:rPr>
          <w:color w:val="000000"/>
          <w:szCs w:val="22"/>
        </w:rPr>
        <w:t>as we would with any imaging system under the rules.</w:t>
      </w:r>
      <w:r w:rsidR="00A0509D" w:rsidRPr="00514711">
        <w:rPr>
          <w:rStyle w:val="FootnoteReference"/>
          <w:color w:val="000000"/>
          <w:szCs w:val="22"/>
        </w:rPr>
        <w:footnoteReference w:id="37"/>
      </w:r>
      <w:r w:rsidR="00A0509D" w:rsidRPr="00514711">
        <w:rPr>
          <w:color w:val="000000"/>
          <w:szCs w:val="22"/>
        </w:rPr>
        <w:t xml:space="preserve">  </w:t>
      </w:r>
    </w:p>
    <w:p w:rsidR="0080779E" w:rsidRPr="0080779E" w:rsidRDefault="0071672C" w:rsidP="00514711">
      <w:pPr>
        <w:pStyle w:val="ParaNum"/>
        <w:widowControl/>
        <w:autoSpaceDE w:val="0"/>
        <w:autoSpaceDN w:val="0"/>
        <w:adjustRightInd w:val="0"/>
        <w:rPr>
          <w:color w:val="000000"/>
        </w:rPr>
      </w:pPr>
      <w:r w:rsidRPr="00514711">
        <w:rPr>
          <w:color w:val="000000"/>
          <w:szCs w:val="22"/>
        </w:rPr>
        <w:t xml:space="preserve">We </w:t>
      </w:r>
      <w:r w:rsidR="006E3126" w:rsidRPr="00514711">
        <w:rPr>
          <w:color w:val="000000"/>
          <w:szCs w:val="22"/>
        </w:rPr>
        <w:t xml:space="preserve">also </w:t>
      </w:r>
      <w:r w:rsidRPr="00514711">
        <w:rPr>
          <w:color w:val="000000"/>
          <w:szCs w:val="22"/>
        </w:rPr>
        <w:t xml:space="preserve">determine that </w:t>
      </w:r>
      <w:r w:rsidR="007A5626">
        <w:rPr>
          <w:color w:val="000000"/>
          <w:szCs w:val="22"/>
        </w:rPr>
        <w:t xml:space="preserve">our UWB rules in general, and </w:t>
      </w:r>
      <w:r w:rsidRPr="00514711">
        <w:rPr>
          <w:color w:val="000000"/>
          <w:szCs w:val="22"/>
        </w:rPr>
        <w:t xml:space="preserve">our </w:t>
      </w:r>
      <w:r w:rsidR="0059194C">
        <w:rPr>
          <w:color w:val="000000"/>
          <w:szCs w:val="22"/>
        </w:rPr>
        <w:t xml:space="preserve">very restrictive </w:t>
      </w:r>
      <w:r w:rsidR="00FD39E5">
        <w:rPr>
          <w:color w:val="000000"/>
          <w:szCs w:val="22"/>
        </w:rPr>
        <w:t xml:space="preserve">emission </w:t>
      </w:r>
      <w:r w:rsidRPr="00514711">
        <w:rPr>
          <w:color w:val="000000"/>
          <w:szCs w:val="22"/>
        </w:rPr>
        <w:t xml:space="preserve">limits in the GPS </w:t>
      </w:r>
      <w:r w:rsidR="004A58F3" w:rsidRPr="00514711">
        <w:rPr>
          <w:color w:val="000000"/>
          <w:szCs w:val="22"/>
        </w:rPr>
        <w:t xml:space="preserve">frequency </w:t>
      </w:r>
      <w:r w:rsidRPr="00514711">
        <w:rPr>
          <w:color w:val="000000"/>
          <w:szCs w:val="22"/>
        </w:rPr>
        <w:t>bands</w:t>
      </w:r>
      <w:r w:rsidR="007A5626">
        <w:rPr>
          <w:color w:val="000000"/>
          <w:szCs w:val="22"/>
        </w:rPr>
        <w:t xml:space="preserve"> in particular,</w:t>
      </w:r>
      <w:r w:rsidR="00213436">
        <w:rPr>
          <w:rStyle w:val="FootnoteReference"/>
          <w:szCs w:val="22"/>
        </w:rPr>
        <w:footnoteReference w:id="38"/>
      </w:r>
      <w:r w:rsidRPr="00514711">
        <w:rPr>
          <w:color w:val="000000"/>
          <w:szCs w:val="22"/>
        </w:rPr>
        <w:t xml:space="preserve"> are sufficient to protect </w:t>
      </w:r>
      <w:r w:rsidR="003818A0">
        <w:rPr>
          <w:color w:val="000000"/>
          <w:szCs w:val="22"/>
        </w:rPr>
        <w:t>other authorized services in this spectrum, as we decided to be extremely conservative when we adopted the UWB rules in 2002.</w:t>
      </w:r>
      <w:r w:rsidR="003818A0">
        <w:rPr>
          <w:rStyle w:val="FootnoteReference"/>
          <w:szCs w:val="22"/>
        </w:rPr>
        <w:footnoteReference w:id="39"/>
      </w:r>
      <w:r w:rsidR="003818A0">
        <w:rPr>
          <w:color w:val="000000"/>
          <w:szCs w:val="22"/>
        </w:rPr>
        <w:t xml:space="preserve">  </w:t>
      </w:r>
      <w:r w:rsidR="00E72F81">
        <w:rPr>
          <w:color w:val="000000"/>
          <w:szCs w:val="22"/>
        </w:rPr>
        <w:t xml:space="preserve">We find that our rules amply protect </w:t>
      </w:r>
      <w:r w:rsidRPr="00514711">
        <w:rPr>
          <w:color w:val="000000"/>
          <w:szCs w:val="22"/>
        </w:rPr>
        <w:t xml:space="preserve">GPS receivers, whether co-located with the Terrahawk on the same farming equipment, or more distantly positioned, such as those </w:t>
      </w:r>
      <w:r w:rsidR="007B74B6">
        <w:rPr>
          <w:color w:val="000000"/>
          <w:szCs w:val="22"/>
        </w:rPr>
        <w:t>mentioned in Trimble’s comments, (</w:t>
      </w:r>
      <w:r w:rsidR="007B74B6" w:rsidRPr="00485C60">
        <w:rPr>
          <w:color w:val="000000"/>
          <w:szCs w:val="22"/>
        </w:rPr>
        <w:t>e.g.</w:t>
      </w:r>
      <w:r w:rsidR="007B74B6">
        <w:rPr>
          <w:color w:val="000000"/>
          <w:szCs w:val="22"/>
        </w:rPr>
        <w:t xml:space="preserve">, </w:t>
      </w:r>
      <w:r w:rsidRPr="00514711">
        <w:rPr>
          <w:color w:val="000000"/>
          <w:szCs w:val="22"/>
        </w:rPr>
        <w:t xml:space="preserve">in fire trucks traveling alongside </w:t>
      </w:r>
      <w:r w:rsidR="00251C52">
        <w:rPr>
          <w:color w:val="000000"/>
          <w:szCs w:val="22"/>
        </w:rPr>
        <w:t>a</w:t>
      </w:r>
      <w:r w:rsidR="00251C52" w:rsidRPr="00514711">
        <w:rPr>
          <w:color w:val="000000"/>
          <w:szCs w:val="22"/>
        </w:rPr>
        <w:t xml:space="preserve"> </w:t>
      </w:r>
      <w:r w:rsidRPr="00514711">
        <w:rPr>
          <w:color w:val="000000"/>
          <w:szCs w:val="22"/>
        </w:rPr>
        <w:t xml:space="preserve">farm field, or in airplanes on nearby </w:t>
      </w:r>
      <w:r w:rsidR="00C911D8">
        <w:rPr>
          <w:color w:val="000000"/>
          <w:szCs w:val="22"/>
        </w:rPr>
        <w:t>landing strips</w:t>
      </w:r>
      <w:r w:rsidR="007B74B6">
        <w:rPr>
          <w:color w:val="000000"/>
          <w:szCs w:val="22"/>
        </w:rPr>
        <w:t>)</w:t>
      </w:r>
      <w:r w:rsidRPr="00514711">
        <w:rPr>
          <w:color w:val="000000"/>
          <w:szCs w:val="22"/>
        </w:rPr>
        <w:t xml:space="preserve">, as </w:t>
      </w:r>
      <w:r w:rsidR="009F77B2" w:rsidRPr="00514711">
        <w:rPr>
          <w:color w:val="000000"/>
          <w:szCs w:val="22"/>
        </w:rPr>
        <w:t xml:space="preserve">attested by the absence of harmful interference complaints </w:t>
      </w:r>
      <w:r w:rsidR="00B42951" w:rsidRPr="00514711">
        <w:rPr>
          <w:color w:val="000000"/>
          <w:szCs w:val="22"/>
        </w:rPr>
        <w:t xml:space="preserve">resulting from the operation of UWB radars </w:t>
      </w:r>
      <w:r w:rsidR="00D52760">
        <w:rPr>
          <w:color w:val="000000"/>
          <w:szCs w:val="22"/>
        </w:rPr>
        <w:t xml:space="preserve">over the years.  </w:t>
      </w:r>
      <w:r w:rsidR="00C911D8">
        <w:rPr>
          <w:color w:val="000000"/>
          <w:szCs w:val="22"/>
        </w:rPr>
        <w:t xml:space="preserve">Additionally, </w:t>
      </w:r>
      <w:r w:rsidR="00C911D8" w:rsidRPr="00514711">
        <w:rPr>
          <w:color w:val="000000"/>
          <w:szCs w:val="22"/>
        </w:rPr>
        <w:t>Headsight is not requesting a relaxation of the</w:t>
      </w:r>
      <w:r w:rsidR="00C911D8">
        <w:rPr>
          <w:color w:val="000000"/>
          <w:szCs w:val="22"/>
        </w:rPr>
        <w:t xml:space="preserve"> emission</w:t>
      </w:r>
      <w:r w:rsidR="00C911D8" w:rsidRPr="00514711">
        <w:rPr>
          <w:color w:val="000000"/>
          <w:szCs w:val="22"/>
        </w:rPr>
        <w:t xml:space="preserve"> limits for the Terrahawk.  </w:t>
      </w:r>
      <w:r w:rsidR="00C911D8">
        <w:rPr>
          <w:color w:val="000000"/>
          <w:szCs w:val="22"/>
        </w:rPr>
        <w:t>C</w:t>
      </w:r>
      <w:r w:rsidR="00C911D8" w:rsidRPr="00514711">
        <w:rPr>
          <w:color w:val="000000"/>
          <w:szCs w:val="22"/>
        </w:rPr>
        <w:t xml:space="preserve">ompliance with our emission limits </w:t>
      </w:r>
      <w:r w:rsidR="00C911D8">
        <w:rPr>
          <w:color w:val="000000"/>
          <w:szCs w:val="22"/>
        </w:rPr>
        <w:t xml:space="preserve">gives us assurance </w:t>
      </w:r>
      <w:r w:rsidR="00C911D8" w:rsidRPr="00514711">
        <w:rPr>
          <w:color w:val="000000"/>
          <w:szCs w:val="22"/>
        </w:rPr>
        <w:t xml:space="preserve">that GPS devices </w:t>
      </w:r>
      <w:r w:rsidR="00C911D8">
        <w:rPr>
          <w:color w:val="000000"/>
          <w:szCs w:val="22"/>
        </w:rPr>
        <w:t xml:space="preserve">will </w:t>
      </w:r>
      <w:r w:rsidR="00C911D8" w:rsidRPr="00514711">
        <w:rPr>
          <w:color w:val="000000"/>
          <w:szCs w:val="22"/>
        </w:rPr>
        <w:t xml:space="preserve">receive the same protection from the Terrahawk as </w:t>
      </w:r>
      <w:r w:rsidR="00C911D8">
        <w:rPr>
          <w:color w:val="000000"/>
          <w:szCs w:val="22"/>
        </w:rPr>
        <w:t xml:space="preserve">that which is currently </w:t>
      </w:r>
      <w:r w:rsidR="00C911D8" w:rsidRPr="00514711">
        <w:rPr>
          <w:color w:val="000000"/>
          <w:szCs w:val="22"/>
        </w:rPr>
        <w:t xml:space="preserve">provided by other UWB GPR devices on the permissible operators’ list. </w:t>
      </w:r>
      <w:r w:rsidR="00C911D8">
        <w:rPr>
          <w:color w:val="000000"/>
          <w:szCs w:val="22"/>
        </w:rPr>
        <w:t xml:space="preserve"> </w:t>
      </w:r>
      <w:r w:rsidR="00D52760">
        <w:rPr>
          <w:color w:val="000000"/>
          <w:szCs w:val="22"/>
        </w:rPr>
        <w:t xml:space="preserve">We also observe that although Headsight’s limited demonstration </w:t>
      </w:r>
      <w:r w:rsidR="00251C52">
        <w:rPr>
          <w:color w:val="000000"/>
          <w:szCs w:val="22"/>
        </w:rPr>
        <w:t xml:space="preserve">of </w:t>
      </w:r>
      <w:r w:rsidR="00D52760">
        <w:rPr>
          <w:color w:val="000000"/>
          <w:szCs w:val="22"/>
        </w:rPr>
        <w:t xml:space="preserve">compatibility between the Terrahawk and a GPS device </w:t>
      </w:r>
      <w:r w:rsidR="00B75423">
        <w:rPr>
          <w:color w:val="000000"/>
          <w:szCs w:val="22"/>
        </w:rPr>
        <w:t xml:space="preserve">is neither </w:t>
      </w:r>
      <w:r w:rsidR="00D52760">
        <w:rPr>
          <w:color w:val="000000"/>
          <w:szCs w:val="22"/>
        </w:rPr>
        <w:t xml:space="preserve">comprehensive </w:t>
      </w:r>
      <w:r w:rsidR="00B75423">
        <w:rPr>
          <w:color w:val="000000"/>
          <w:szCs w:val="22"/>
        </w:rPr>
        <w:t>nor conclusive</w:t>
      </w:r>
      <w:r w:rsidR="007B263B">
        <w:rPr>
          <w:color w:val="000000"/>
          <w:szCs w:val="22"/>
        </w:rPr>
        <w:t>, the results</w:t>
      </w:r>
      <w:r w:rsidR="0077158A">
        <w:rPr>
          <w:color w:val="000000"/>
          <w:szCs w:val="22"/>
        </w:rPr>
        <w:t>, which are unchallenged by Trimble,</w:t>
      </w:r>
      <w:r w:rsidR="007B263B">
        <w:rPr>
          <w:color w:val="000000"/>
          <w:szCs w:val="22"/>
        </w:rPr>
        <w:t xml:space="preserve"> do </w:t>
      </w:r>
      <w:r w:rsidR="001356EB">
        <w:rPr>
          <w:color w:val="000000"/>
          <w:szCs w:val="22"/>
        </w:rPr>
        <w:t xml:space="preserve">nevertheless </w:t>
      </w:r>
      <w:r w:rsidR="00D52760">
        <w:rPr>
          <w:color w:val="000000"/>
          <w:szCs w:val="22"/>
        </w:rPr>
        <w:t>support the sufficiency of our UWB limits.</w:t>
      </w:r>
      <w:r w:rsidR="003E009F" w:rsidRPr="00514711">
        <w:rPr>
          <w:rStyle w:val="FootnoteReference"/>
          <w:color w:val="000000"/>
          <w:szCs w:val="22"/>
        </w:rPr>
        <w:footnoteReference w:id="40"/>
      </w:r>
      <w:r w:rsidRPr="00514711">
        <w:rPr>
          <w:color w:val="000000"/>
          <w:szCs w:val="22"/>
        </w:rPr>
        <w:t xml:space="preserve">  </w:t>
      </w:r>
    </w:p>
    <w:p w:rsidR="000849FA" w:rsidRDefault="009D7F9B" w:rsidP="00514711">
      <w:pPr>
        <w:pStyle w:val="ParaNum"/>
        <w:widowControl/>
        <w:autoSpaceDE w:val="0"/>
        <w:autoSpaceDN w:val="0"/>
        <w:adjustRightInd w:val="0"/>
        <w:rPr>
          <w:color w:val="000000"/>
        </w:rPr>
      </w:pPr>
      <w:r>
        <w:rPr>
          <w:color w:val="000000"/>
          <w:szCs w:val="22"/>
        </w:rPr>
        <w:t>As a practical matter</w:t>
      </w:r>
      <w:r w:rsidR="00C911D8">
        <w:rPr>
          <w:color w:val="000000"/>
          <w:szCs w:val="22"/>
        </w:rPr>
        <w:t>, w</w:t>
      </w:r>
      <w:r w:rsidR="0028052C" w:rsidRPr="00514711">
        <w:rPr>
          <w:color w:val="000000"/>
          <w:szCs w:val="22"/>
        </w:rPr>
        <w:t xml:space="preserve">e observe that </w:t>
      </w:r>
      <w:r>
        <w:rPr>
          <w:color w:val="000000"/>
          <w:szCs w:val="22"/>
        </w:rPr>
        <w:t>harvesters and other pieces of</w:t>
      </w:r>
      <w:r w:rsidRPr="00514711">
        <w:rPr>
          <w:color w:val="000000"/>
          <w:szCs w:val="22"/>
        </w:rPr>
        <w:t xml:space="preserve"> </w:t>
      </w:r>
      <w:r w:rsidR="0028052C" w:rsidRPr="00514711">
        <w:rPr>
          <w:color w:val="000000"/>
          <w:szCs w:val="22"/>
        </w:rPr>
        <w:t>farm equipment are</w:t>
      </w:r>
      <w:r w:rsidR="002F4F70">
        <w:rPr>
          <w:color w:val="000000"/>
          <w:szCs w:val="22"/>
        </w:rPr>
        <w:t xml:space="preserve"> commonly</w:t>
      </w:r>
      <w:r w:rsidR="0028052C" w:rsidRPr="00514711">
        <w:rPr>
          <w:color w:val="000000"/>
          <w:szCs w:val="22"/>
        </w:rPr>
        <w:t xml:space="preserve"> equipped with GPS receivers for precise crop management operations,</w:t>
      </w:r>
      <w:r w:rsidR="0028052C" w:rsidRPr="00514711">
        <w:rPr>
          <w:rStyle w:val="FootnoteReference"/>
          <w:color w:val="000000"/>
          <w:szCs w:val="22"/>
        </w:rPr>
        <w:footnoteReference w:id="41"/>
      </w:r>
      <w:r w:rsidR="0028052C" w:rsidRPr="00514711">
        <w:rPr>
          <w:color w:val="000000"/>
          <w:szCs w:val="22"/>
        </w:rPr>
        <w:t xml:space="preserve"> </w:t>
      </w:r>
      <w:r w:rsidR="009C3DD7">
        <w:rPr>
          <w:color w:val="000000"/>
          <w:szCs w:val="22"/>
        </w:rPr>
        <w:t>so the Terrahawk would be of little utility if it</w:t>
      </w:r>
      <w:r w:rsidR="009C3DD7" w:rsidRPr="00514711">
        <w:rPr>
          <w:color w:val="000000"/>
          <w:szCs w:val="22"/>
        </w:rPr>
        <w:t xml:space="preserve"> </w:t>
      </w:r>
      <w:r w:rsidR="0028052C" w:rsidRPr="00514711">
        <w:rPr>
          <w:color w:val="000000"/>
          <w:szCs w:val="22"/>
        </w:rPr>
        <w:t>caus</w:t>
      </w:r>
      <w:r w:rsidR="009C3DD7">
        <w:rPr>
          <w:color w:val="000000"/>
          <w:szCs w:val="22"/>
        </w:rPr>
        <w:t>ed</w:t>
      </w:r>
      <w:r w:rsidR="0028052C" w:rsidRPr="00514711">
        <w:rPr>
          <w:color w:val="000000"/>
          <w:szCs w:val="22"/>
        </w:rPr>
        <w:t xml:space="preserve"> interference to </w:t>
      </w:r>
      <w:r w:rsidR="009C3DD7">
        <w:rPr>
          <w:color w:val="000000"/>
          <w:szCs w:val="22"/>
        </w:rPr>
        <w:t>a harvester’s</w:t>
      </w:r>
      <w:r w:rsidR="0028052C" w:rsidRPr="00514711">
        <w:rPr>
          <w:color w:val="000000"/>
          <w:szCs w:val="22"/>
        </w:rPr>
        <w:t xml:space="preserve"> on</w:t>
      </w:r>
      <w:r w:rsidR="0028052C" w:rsidRPr="00514711">
        <w:rPr>
          <w:color w:val="000000"/>
          <w:szCs w:val="22"/>
        </w:rPr>
        <w:noBreakHyphen/>
        <w:t>board GPS receiver</w:t>
      </w:r>
      <w:r w:rsidR="002F4F70">
        <w:rPr>
          <w:color w:val="000000"/>
          <w:szCs w:val="22"/>
        </w:rPr>
        <w:t xml:space="preserve">.  </w:t>
      </w:r>
      <w:r w:rsidR="009C3DD7">
        <w:rPr>
          <w:color w:val="000000"/>
          <w:szCs w:val="22"/>
        </w:rPr>
        <w:t>We would not expect</w:t>
      </w:r>
      <w:r w:rsidR="00080CE1">
        <w:rPr>
          <w:color w:val="000000"/>
          <w:szCs w:val="22"/>
        </w:rPr>
        <w:t xml:space="preserve"> </w:t>
      </w:r>
      <w:r w:rsidR="002F053E">
        <w:rPr>
          <w:color w:val="000000"/>
          <w:szCs w:val="22"/>
        </w:rPr>
        <w:t>farmers</w:t>
      </w:r>
      <w:r w:rsidR="009C3DD7">
        <w:rPr>
          <w:color w:val="000000"/>
          <w:szCs w:val="22"/>
        </w:rPr>
        <w:t>, who</w:t>
      </w:r>
      <w:r w:rsidR="002F053E">
        <w:rPr>
          <w:color w:val="000000"/>
          <w:szCs w:val="22"/>
        </w:rPr>
        <w:t xml:space="preserve"> will have control over use of both devices</w:t>
      </w:r>
      <w:r w:rsidR="009C3DD7">
        <w:rPr>
          <w:color w:val="000000"/>
          <w:szCs w:val="22"/>
        </w:rPr>
        <w:t>,</w:t>
      </w:r>
      <w:r w:rsidR="002F053E">
        <w:rPr>
          <w:color w:val="000000"/>
          <w:szCs w:val="22"/>
        </w:rPr>
        <w:t xml:space="preserve"> </w:t>
      </w:r>
      <w:r w:rsidR="009C3DD7">
        <w:rPr>
          <w:color w:val="000000"/>
          <w:szCs w:val="22"/>
        </w:rPr>
        <w:t>to</w:t>
      </w:r>
      <w:r w:rsidR="002F053E">
        <w:rPr>
          <w:color w:val="000000"/>
          <w:szCs w:val="22"/>
        </w:rPr>
        <w:t xml:space="preserve"> use them together if they do not function together</w:t>
      </w:r>
      <w:r w:rsidR="0028052C" w:rsidRPr="00514711">
        <w:rPr>
          <w:color w:val="000000"/>
          <w:szCs w:val="22"/>
        </w:rPr>
        <w:t xml:space="preserve">.  </w:t>
      </w:r>
      <w:r w:rsidR="009C3DD7">
        <w:rPr>
          <w:color w:val="000000"/>
          <w:szCs w:val="22"/>
        </w:rPr>
        <w:t>Furthermore, w</w:t>
      </w:r>
      <w:r w:rsidR="007235ED" w:rsidRPr="00514711">
        <w:rPr>
          <w:color w:val="000000"/>
          <w:szCs w:val="22"/>
        </w:rPr>
        <w:t>e</w:t>
      </w:r>
      <w:r w:rsidR="002F053E">
        <w:rPr>
          <w:color w:val="000000"/>
          <w:szCs w:val="22"/>
        </w:rPr>
        <w:t xml:space="preserve"> </w:t>
      </w:r>
      <w:r w:rsidR="00301883" w:rsidRPr="00514711">
        <w:rPr>
          <w:color w:val="000000"/>
          <w:szCs w:val="22"/>
        </w:rPr>
        <w:t xml:space="preserve">find that </w:t>
      </w:r>
      <w:r w:rsidR="00BD2323" w:rsidRPr="00514711">
        <w:rPr>
          <w:color w:val="000000"/>
          <w:szCs w:val="22"/>
        </w:rPr>
        <w:t xml:space="preserve">the </w:t>
      </w:r>
      <w:r w:rsidR="00E71A7F">
        <w:rPr>
          <w:color w:val="000000"/>
          <w:szCs w:val="22"/>
        </w:rPr>
        <w:t xml:space="preserve">continued </w:t>
      </w:r>
      <w:r w:rsidR="00BD2323" w:rsidRPr="00514711">
        <w:rPr>
          <w:color w:val="000000"/>
          <w:szCs w:val="22"/>
        </w:rPr>
        <w:t>application of</w:t>
      </w:r>
      <w:r w:rsidR="00301883" w:rsidRPr="00514711">
        <w:rPr>
          <w:color w:val="000000"/>
          <w:szCs w:val="22"/>
        </w:rPr>
        <w:t xml:space="preserve"> the restrictions in </w:t>
      </w:r>
      <w:r w:rsidR="00434A12">
        <w:rPr>
          <w:color w:val="000000"/>
          <w:szCs w:val="22"/>
        </w:rPr>
        <w:t>Section</w:t>
      </w:r>
      <w:r w:rsidR="00301883" w:rsidRPr="00514711">
        <w:rPr>
          <w:color w:val="000000"/>
          <w:szCs w:val="22"/>
        </w:rPr>
        <w:t xml:space="preserve">s 5.509(b)(1) and (b)(2) on the operators of the Terrahawk </w:t>
      </w:r>
      <w:r w:rsidR="00E15B90" w:rsidRPr="00514711">
        <w:rPr>
          <w:color w:val="000000"/>
          <w:szCs w:val="22"/>
        </w:rPr>
        <w:t>(</w:t>
      </w:r>
      <w:r w:rsidR="00E15B90" w:rsidRPr="006524BE">
        <w:rPr>
          <w:color w:val="000000"/>
          <w:szCs w:val="22"/>
        </w:rPr>
        <w:t>i.e.</w:t>
      </w:r>
      <w:r w:rsidR="00E15B90" w:rsidRPr="00514711">
        <w:rPr>
          <w:i/>
          <w:color w:val="000000"/>
          <w:szCs w:val="22"/>
        </w:rPr>
        <w:t>,</w:t>
      </w:r>
      <w:r w:rsidR="00E15B90" w:rsidRPr="00514711">
        <w:rPr>
          <w:color w:val="000000"/>
          <w:szCs w:val="22"/>
        </w:rPr>
        <w:t xml:space="preserve"> to ensure that they are industrial/business entities and that the operations are coordinated with federal users) </w:t>
      </w:r>
      <w:r w:rsidR="00301883" w:rsidRPr="00514711">
        <w:rPr>
          <w:color w:val="000000"/>
          <w:szCs w:val="22"/>
        </w:rPr>
        <w:t xml:space="preserve">will serve to </w:t>
      </w:r>
      <w:r w:rsidR="00457F53" w:rsidRPr="00514711">
        <w:rPr>
          <w:color w:val="000000"/>
          <w:szCs w:val="22"/>
        </w:rPr>
        <w:t>avoid</w:t>
      </w:r>
      <w:r w:rsidR="00301883" w:rsidRPr="00514711">
        <w:rPr>
          <w:color w:val="000000"/>
          <w:szCs w:val="22"/>
        </w:rPr>
        <w:t xml:space="preserve"> proliferation of this device </w:t>
      </w:r>
      <w:r w:rsidR="001959BD" w:rsidRPr="00514711">
        <w:rPr>
          <w:color w:val="000000"/>
          <w:szCs w:val="22"/>
        </w:rPr>
        <w:t>into the consumer market</w:t>
      </w:r>
      <w:r w:rsidR="00301883" w:rsidRPr="00514711">
        <w:rPr>
          <w:color w:val="000000"/>
          <w:szCs w:val="22"/>
        </w:rPr>
        <w:t xml:space="preserve">.  </w:t>
      </w:r>
      <w:r w:rsidR="009C3DD7">
        <w:rPr>
          <w:color w:val="000000"/>
        </w:rPr>
        <w:t xml:space="preserve">For all these reasons, we find that </w:t>
      </w:r>
      <w:r w:rsidR="000C6A73">
        <w:rPr>
          <w:color w:val="000000"/>
        </w:rPr>
        <w:t xml:space="preserve">operation of the Terrahawk </w:t>
      </w:r>
      <w:r w:rsidR="007D36DD">
        <w:rPr>
          <w:color w:val="000000"/>
        </w:rPr>
        <w:t>will be</w:t>
      </w:r>
      <w:r w:rsidR="000C6A73">
        <w:rPr>
          <w:color w:val="000000"/>
        </w:rPr>
        <w:t xml:space="preserve"> consistent with the use characteristics associated with </w:t>
      </w:r>
      <w:r w:rsidR="009017A7">
        <w:rPr>
          <w:color w:val="000000"/>
        </w:rPr>
        <w:t xml:space="preserve">UWB </w:t>
      </w:r>
      <w:r w:rsidR="000C6A73">
        <w:rPr>
          <w:color w:val="000000"/>
        </w:rPr>
        <w:t>GP</w:t>
      </w:r>
      <w:r w:rsidR="009017A7">
        <w:rPr>
          <w:color w:val="000000"/>
        </w:rPr>
        <w:t>R</w:t>
      </w:r>
      <w:r w:rsidR="000C6A73">
        <w:rPr>
          <w:color w:val="000000"/>
        </w:rPr>
        <w:t xml:space="preserve"> applications and that it </w:t>
      </w:r>
      <w:r w:rsidR="002A252D" w:rsidRPr="00514711">
        <w:rPr>
          <w:color w:val="000000"/>
        </w:rPr>
        <w:t xml:space="preserve">will not </w:t>
      </w:r>
      <w:r w:rsidR="000849FA" w:rsidRPr="00514711">
        <w:rPr>
          <w:color w:val="000000"/>
        </w:rPr>
        <w:t>increase the potential for harmful interference to authorized users</w:t>
      </w:r>
      <w:r w:rsidR="009017A7">
        <w:rPr>
          <w:color w:val="000000"/>
        </w:rPr>
        <w:t>.</w:t>
      </w:r>
      <w:r w:rsidR="000849FA" w:rsidRPr="00514711">
        <w:rPr>
          <w:color w:val="000000"/>
        </w:rPr>
        <w:t xml:space="preserve"> </w:t>
      </w:r>
      <w:r w:rsidR="007D36DD">
        <w:rPr>
          <w:color w:val="000000"/>
        </w:rPr>
        <w:t xml:space="preserve"> Accordingly,</w:t>
      </w:r>
      <w:r w:rsidR="000C6A73">
        <w:rPr>
          <w:color w:val="000000"/>
        </w:rPr>
        <w:t xml:space="preserve"> grant of a waiver</w:t>
      </w:r>
      <w:r w:rsidR="000849FA" w:rsidRPr="00514711">
        <w:rPr>
          <w:color w:val="000000"/>
        </w:rPr>
        <w:t xml:space="preserve"> will not undermine the purpose of the rule.  </w:t>
      </w:r>
    </w:p>
    <w:p w:rsidR="00202A34" w:rsidRPr="00107818" w:rsidRDefault="002A252D" w:rsidP="00072611">
      <w:pPr>
        <w:pStyle w:val="ParaNum"/>
        <w:widowControl/>
        <w:autoSpaceDE w:val="0"/>
        <w:autoSpaceDN w:val="0"/>
        <w:adjustRightInd w:val="0"/>
        <w:rPr>
          <w:color w:val="000000"/>
        </w:rPr>
      </w:pPr>
      <w:r w:rsidRPr="00107818">
        <w:rPr>
          <w:color w:val="000000"/>
        </w:rPr>
        <w:t xml:space="preserve">Also, there is a stronger public interest benefit in granting this waiver than in strictly applying the rule.  </w:t>
      </w:r>
      <w:r w:rsidR="000C70EA" w:rsidRPr="00107818">
        <w:rPr>
          <w:color w:val="000000"/>
        </w:rPr>
        <w:t xml:space="preserve">We find that a limited waiver of our UWB rules is warranted here because </w:t>
      </w:r>
      <w:r w:rsidR="00107818">
        <w:rPr>
          <w:color w:val="000000"/>
        </w:rPr>
        <w:t>the Terrahawk</w:t>
      </w:r>
      <w:r w:rsidR="000C70EA" w:rsidRPr="00107818">
        <w:rPr>
          <w:color w:val="000000"/>
        </w:rPr>
        <w:t xml:space="preserve"> cannot </w:t>
      </w:r>
      <w:r w:rsidR="00044471">
        <w:rPr>
          <w:color w:val="000000"/>
        </w:rPr>
        <w:t>perform its functions</w:t>
      </w:r>
      <w:r w:rsidR="000C70EA" w:rsidRPr="00107818">
        <w:rPr>
          <w:color w:val="000000"/>
        </w:rPr>
        <w:t xml:space="preserve"> at other frequencies, such as in the </w:t>
      </w:r>
      <w:r w:rsidR="000C70EA" w:rsidRPr="00107818">
        <w:rPr>
          <w:rFonts w:eastAsia="Calibri"/>
          <w:snapToGrid/>
          <w:color w:val="000000"/>
          <w:kern w:val="0"/>
          <w:szCs w:val="22"/>
        </w:rPr>
        <w:t xml:space="preserve">76-81 GHz band, since radar signals at these frequencies </w:t>
      </w:r>
      <w:r w:rsidR="00D7032A">
        <w:rPr>
          <w:rFonts w:eastAsia="Calibri"/>
          <w:snapToGrid/>
          <w:color w:val="000000"/>
          <w:kern w:val="0"/>
          <w:szCs w:val="22"/>
        </w:rPr>
        <w:t>would</w:t>
      </w:r>
      <w:r w:rsidR="000C70EA" w:rsidRPr="00107818">
        <w:rPr>
          <w:rFonts w:eastAsia="Calibri"/>
          <w:snapToGrid/>
          <w:color w:val="000000"/>
          <w:kern w:val="0"/>
          <w:szCs w:val="22"/>
        </w:rPr>
        <w:t xml:space="preserve"> not provide the resolution and precision needed </w:t>
      </w:r>
      <w:r w:rsidR="00107818">
        <w:rPr>
          <w:rFonts w:eastAsia="Calibri"/>
          <w:snapToGrid/>
          <w:color w:val="000000"/>
          <w:kern w:val="0"/>
          <w:szCs w:val="22"/>
        </w:rPr>
        <w:t xml:space="preserve">to </w:t>
      </w:r>
      <w:r w:rsidR="002A7B2F">
        <w:rPr>
          <w:rFonts w:eastAsia="Calibri"/>
          <w:snapToGrid/>
          <w:color w:val="000000"/>
          <w:kern w:val="0"/>
          <w:szCs w:val="22"/>
        </w:rPr>
        <w:t xml:space="preserve">accurately </w:t>
      </w:r>
      <w:r w:rsidR="00854A16">
        <w:rPr>
          <w:rFonts w:eastAsia="Calibri"/>
          <w:snapToGrid/>
          <w:color w:val="000000"/>
          <w:kern w:val="0"/>
          <w:szCs w:val="22"/>
        </w:rPr>
        <w:t>perform its intended work</w:t>
      </w:r>
      <w:r w:rsidR="000C70EA" w:rsidRPr="00107818">
        <w:rPr>
          <w:rFonts w:eastAsia="Calibri"/>
          <w:snapToGrid/>
          <w:color w:val="000000"/>
          <w:kern w:val="0"/>
          <w:szCs w:val="22"/>
        </w:rPr>
        <w:t xml:space="preserve">. </w:t>
      </w:r>
      <w:r w:rsidR="00107818" w:rsidRPr="00107818">
        <w:rPr>
          <w:rFonts w:eastAsia="Calibri"/>
          <w:snapToGrid/>
          <w:color w:val="000000"/>
          <w:kern w:val="0"/>
          <w:szCs w:val="22"/>
        </w:rPr>
        <w:t xml:space="preserve"> Additionally, b</w:t>
      </w:r>
      <w:r w:rsidRPr="00107818">
        <w:rPr>
          <w:color w:val="000000"/>
        </w:rPr>
        <w:t>y allowing the</w:t>
      </w:r>
      <w:r w:rsidRPr="00107818">
        <w:rPr>
          <w:color w:val="000000"/>
          <w:szCs w:val="22"/>
        </w:rPr>
        <w:t xml:space="preserve"> Terrahawk’s agricultural </w:t>
      </w:r>
      <w:r w:rsidR="00854A16">
        <w:rPr>
          <w:color w:val="000000"/>
          <w:szCs w:val="22"/>
        </w:rPr>
        <w:t>use</w:t>
      </w:r>
      <w:r w:rsidRPr="00107818">
        <w:rPr>
          <w:color w:val="000000"/>
          <w:szCs w:val="22"/>
        </w:rPr>
        <w:t xml:space="preserve">, we </w:t>
      </w:r>
      <w:r w:rsidR="00854A16">
        <w:rPr>
          <w:color w:val="000000"/>
          <w:szCs w:val="22"/>
        </w:rPr>
        <w:t xml:space="preserve">will </w:t>
      </w:r>
      <w:r w:rsidR="00DE1F9C" w:rsidRPr="00107818">
        <w:rPr>
          <w:color w:val="000000"/>
          <w:szCs w:val="22"/>
        </w:rPr>
        <w:t xml:space="preserve">enable </w:t>
      </w:r>
      <w:r w:rsidR="00420647" w:rsidRPr="00107818">
        <w:rPr>
          <w:color w:val="000000"/>
          <w:szCs w:val="22"/>
        </w:rPr>
        <w:t>farmers</w:t>
      </w:r>
      <w:r w:rsidR="00DE1F9C" w:rsidRPr="00107818">
        <w:rPr>
          <w:color w:val="000000"/>
          <w:szCs w:val="22"/>
        </w:rPr>
        <w:t xml:space="preserve"> to take advantage</w:t>
      </w:r>
      <w:r w:rsidR="00DE1F9C" w:rsidRPr="00107818">
        <w:rPr>
          <w:color w:val="000000"/>
        </w:rPr>
        <w:t xml:space="preserve"> </w:t>
      </w:r>
      <w:r w:rsidR="00DE1F9C" w:rsidRPr="00107818">
        <w:rPr>
          <w:color w:val="000000"/>
          <w:szCs w:val="22"/>
        </w:rPr>
        <w:t>of state</w:t>
      </w:r>
      <w:r w:rsidR="00420647" w:rsidRPr="00107818">
        <w:rPr>
          <w:color w:val="000000"/>
          <w:szCs w:val="22"/>
        </w:rPr>
        <w:noBreakHyphen/>
      </w:r>
      <w:r w:rsidR="00DE1F9C" w:rsidRPr="00107818">
        <w:rPr>
          <w:color w:val="000000"/>
          <w:szCs w:val="22"/>
        </w:rPr>
        <w:t>of</w:t>
      </w:r>
      <w:r w:rsidR="00420647" w:rsidRPr="00107818">
        <w:rPr>
          <w:color w:val="000000"/>
          <w:szCs w:val="22"/>
        </w:rPr>
        <w:noBreakHyphen/>
      </w:r>
      <w:r w:rsidR="00DE1F9C" w:rsidRPr="00107818">
        <w:rPr>
          <w:color w:val="000000"/>
          <w:szCs w:val="22"/>
        </w:rPr>
        <w:t>the</w:t>
      </w:r>
      <w:r w:rsidR="00420647" w:rsidRPr="00107818">
        <w:rPr>
          <w:color w:val="000000"/>
          <w:szCs w:val="22"/>
        </w:rPr>
        <w:noBreakHyphen/>
      </w:r>
      <w:r w:rsidR="00DE1F9C" w:rsidRPr="00107818">
        <w:rPr>
          <w:color w:val="000000"/>
          <w:szCs w:val="22"/>
        </w:rPr>
        <w:t xml:space="preserve">art technology to analyze and </w:t>
      </w:r>
      <w:r w:rsidR="00177E98" w:rsidRPr="00107818">
        <w:rPr>
          <w:color w:val="000000"/>
          <w:szCs w:val="22"/>
        </w:rPr>
        <w:t>appropriately exploit</w:t>
      </w:r>
      <w:r w:rsidR="00DE1F9C" w:rsidRPr="00107818">
        <w:rPr>
          <w:color w:val="000000"/>
          <w:szCs w:val="22"/>
        </w:rPr>
        <w:t xml:space="preserve"> the soil to produce food </w:t>
      </w:r>
      <w:r w:rsidR="00854A16">
        <w:rPr>
          <w:color w:val="000000"/>
          <w:szCs w:val="22"/>
        </w:rPr>
        <w:t>more</w:t>
      </w:r>
      <w:r w:rsidR="00DE1F9C" w:rsidRPr="00107818">
        <w:rPr>
          <w:color w:val="000000"/>
          <w:szCs w:val="22"/>
        </w:rPr>
        <w:t xml:space="preserve"> efficient</w:t>
      </w:r>
      <w:r w:rsidR="00854A16">
        <w:rPr>
          <w:color w:val="000000"/>
          <w:szCs w:val="22"/>
        </w:rPr>
        <w:t>ly,</w:t>
      </w:r>
      <w:r w:rsidR="00DE1F9C" w:rsidRPr="00107818">
        <w:rPr>
          <w:color w:val="000000"/>
          <w:szCs w:val="22"/>
        </w:rPr>
        <w:t xml:space="preserve"> avoid unnecessary crop loss</w:t>
      </w:r>
      <w:r w:rsidR="007B53EC" w:rsidRPr="00107818">
        <w:rPr>
          <w:color w:val="000000"/>
          <w:szCs w:val="22"/>
        </w:rPr>
        <w:t>,</w:t>
      </w:r>
      <w:r w:rsidR="00DE1F9C" w:rsidRPr="00107818">
        <w:rPr>
          <w:color w:val="000000"/>
          <w:szCs w:val="22"/>
        </w:rPr>
        <w:t xml:space="preserve"> </w:t>
      </w:r>
      <w:r w:rsidR="00854A16">
        <w:rPr>
          <w:color w:val="000000"/>
          <w:szCs w:val="22"/>
        </w:rPr>
        <w:t>and</w:t>
      </w:r>
      <w:r w:rsidR="00DE1F9C" w:rsidRPr="00107818">
        <w:rPr>
          <w:color w:val="000000"/>
          <w:szCs w:val="22"/>
        </w:rPr>
        <w:t xml:space="preserve"> improv</w:t>
      </w:r>
      <w:r w:rsidR="00854A16">
        <w:rPr>
          <w:color w:val="000000"/>
          <w:szCs w:val="22"/>
        </w:rPr>
        <w:t>e</w:t>
      </w:r>
      <w:r w:rsidR="00DE1F9C" w:rsidRPr="00107818">
        <w:rPr>
          <w:color w:val="000000"/>
          <w:szCs w:val="22"/>
        </w:rPr>
        <w:t xml:space="preserve"> harvest yield</w:t>
      </w:r>
      <w:r w:rsidR="00854A16">
        <w:rPr>
          <w:color w:val="000000"/>
          <w:szCs w:val="22"/>
        </w:rPr>
        <w:t xml:space="preserve"> –</w:t>
      </w:r>
      <w:r w:rsidR="008B2ADE" w:rsidRPr="00107818">
        <w:rPr>
          <w:color w:val="000000"/>
          <w:szCs w:val="22"/>
        </w:rPr>
        <w:t xml:space="preserve"> </w:t>
      </w:r>
      <w:r w:rsidR="00DA3AEE" w:rsidRPr="00107818">
        <w:rPr>
          <w:color w:val="000000"/>
          <w:szCs w:val="22"/>
        </w:rPr>
        <w:t>thus benefiting the industry and consumers.</w:t>
      </w:r>
      <w:r w:rsidRPr="00107818">
        <w:rPr>
          <w:color w:val="000000"/>
          <w:szCs w:val="22"/>
        </w:rPr>
        <w:t xml:space="preserve">  </w:t>
      </w:r>
      <w:r w:rsidR="008E2629">
        <w:rPr>
          <w:color w:val="000000"/>
        </w:rPr>
        <w:t xml:space="preserve">For these reasons, we </w:t>
      </w:r>
      <w:r w:rsidRPr="00107818">
        <w:rPr>
          <w:color w:val="000000"/>
        </w:rPr>
        <w:t xml:space="preserve">find </w:t>
      </w:r>
      <w:r w:rsidR="008E2629">
        <w:rPr>
          <w:color w:val="000000"/>
        </w:rPr>
        <w:t xml:space="preserve">that </w:t>
      </w:r>
      <w:r w:rsidRPr="00107818">
        <w:rPr>
          <w:color w:val="000000"/>
        </w:rPr>
        <w:t>good cause exists for granting Headsight</w:t>
      </w:r>
      <w:r w:rsidR="00FA01B9" w:rsidRPr="00107818">
        <w:rPr>
          <w:color w:val="000000"/>
        </w:rPr>
        <w:t xml:space="preserve"> a waiver of </w:t>
      </w:r>
      <w:r w:rsidR="00B82366" w:rsidRPr="00107818">
        <w:rPr>
          <w:color w:val="000000"/>
        </w:rPr>
        <w:t xml:space="preserve">the </w:t>
      </w:r>
      <w:r w:rsidR="007B53EC" w:rsidRPr="00107818">
        <w:rPr>
          <w:color w:val="000000"/>
        </w:rPr>
        <w:t xml:space="preserve">restriction </w:t>
      </w:r>
      <w:r w:rsidR="00157D8B" w:rsidRPr="00107818">
        <w:rPr>
          <w:color w:val="000000"/>
        </w:rPr>
        <w:t>o</w:t>
      </w:r>
      <w:r w:rsidR="00C73E96" w:rsidRPr="00107818">
        <w:rPr>
          <w:color w:val="000000"/>
        </w:rPr>
        <w:t>n</w:t>
      </w:r>
      <w:r w:rsidR="007B53EC" w:rsidRPr="00107818">
        <w:rPr>
          <w:color w:val="000000"/>
        </w:rPr>
        <w:t xml:space="preserve"> </w:t>
      </w:r>
      <w:r w:rsidR="00B82366" w:rsidRPr="00107818">
        <w:rPr>
          <w:color w:val="000000"/>
        </w:rPr>
        <w:t xml:space="preserve">permissible uses in </w:t>
      </w:r>
      <w:r w:rsidR="00434A12" w:rsidRPr="00107818">
        <w:rPr>
          <w:color w:val="000000"/>
        </w:rPr>
        <w:t>Section</w:t>
      </w:r>
      <w:r w:rsidR="00FA01B9" w:rsidRPr="00107818">
        <w:rPr>
          <w:color w:val="000000"/>
        </w:rPr>
        <w:t xml:space="preserve"> 15.509(b)</w:t>
      </w:r>
      <w:r w:rsidRPr="00107818">
        <w:rPr>
          <w:color w:val="000000"/>
        </w:rPr>
        <w:t xml:space="preserve"> </w:t>
      </w:r>
      <w:r w:rsidR="00B82366" w:rsidRPr="00107818">
        <w:rPr>
          <w:color w:val="000000"/>
        </w:rPr>
        <w:t xml:space="preserve">so that it could </w:t>
      </w:r>
      <w:r w:rsidRPr="00107818">
        <w:rPr>
          <w:color w:val="000000"/>
        </w:rPr>
        <w:t>certify the Terrahawk</w:t>
      </w:r>
      <w:r w:rsidR="00FA01B9" w:rsidRPr="00107818">
        <w:rPr>
          <w:color w:val="000000"/>
        </w:rPr>
        <w:t xml:space="preserve"> with the conditions described below</w:t>
      </w:r>
      <w:r w:rsidRPr="00107818">
        <w:rPr>
          <w:color w:val="000000"/>
        </w:rPr>
        <w:t>.</w:t>
      </w:r>
    </w:p>
    <w:p w:rsidR="00633BC5" w:rsidRPr="00514711" w:rsidRDefault="00633BC5" w:rsidP="00633BC5">
      <w:pPr>
        <w:pStyle w:val="Heading2"/>
        <w:rPr>
          <w:color w:val="000000"/>
        </w:rPr>
      </w:pPr>
      <w:r w:rsidRPr="00514711">
        <w:rPr>
          <w:color w:val="000000"/>
        </w:rPr>
        <w:t>Waiver of Section 15.503(f) of the Commission Rules</w:t>
      </w:r>
    </w:p>
    <w:p w:rsidR="00717D9F" w:rsidRPr="00514711" w:rsidRDefault="00C643B8" w:rsidP="00A9700D">
      <w:pPr>
        <w:pStyle w:val="ParaNum"/>
        <w:widowControl/>
        <w:autoSpaceDE w:val="0"/>
        <w:autoSpaceDN w:val="0"/>
        <w:adjustRightInd w:val="0"/>
        <w:rPr>
          <w:color w:val="000000"/>
        </w:rPr>
      </w:pPr>
      <w:r w:rsidRPr="00514711">
        <w:rPr>
          <w:color w:val="000000"/>
        </w:rPr>
        <w:t xml:space="preserve">We now address the request for waiver of </w:t>
      </w:r>
      <w:r w:rsidR="00434A12">
        <w:rPr>
          <w:color w:val="000000"/>
        </w:rPr>
        <w:t>Rule</w:t>
      </w:r>
      <w:r w:rsidR="0085798A" w:rsidRPr="00514711">
        <w:rPr>
          <w:color w:val="000000"/>
        </w:rPr>
        <w:t xml:space="preserve"> </w:t>
      </w:r>
      <w:r w:rsidR="00434A12">
        <w:rPr>
          <w:color w:val="000000"/>
        </w:rPr>
        <w:t>Section</w:t>
      </w:r>
      <w:r w:rsidR="0085798A" w:rsidRPr="00514711">
        <w:rPr>
          <w:color w:val="000000"/>
        </w:rPr>
        <w:t xml:space="preserve"> 15.503(f) </w:t>
      </w:r>
      <w:r w:rsidRPr="00514711">
        <w:rPr>
          <w:color w:val="000000"/>
        </w:rPr>
        <w:t xml:space="preserve">so that the </w:t>
      </w:r>
      <w:r w:rsidR="0085798A" w:rsidRPr="00514711">
        <w:rPr>
          <w:color w:val="000000"/>
        </w:rPr>
        <w:t xml:space="preserve">Terrahawk </w:t>
      </w:r>
      <w:r w:rsidRPr="00514711">
        <w:rPr>
          <w:color w:val="000000"/>
        </w:rPr>
        <w:t xml:space="preserve">can operate </w:t>
      </w:r>
      <w:r w:rsidR="0085798A" w:rsidRPr="00514711">
        <w:rPr>
          <w:color w:val="000000"/>
        </w:rPr>
        <w:t xml:space="preserve">at </w:t>
      </w:r>
      <w:r w:rsidR="008B2ADE">
        <w:rPr>
          <w:color w:val="000000"/>
        </w:rPr>
        <w:t xml:space="preserve">crop height levels greater than </w:t>
      </w:r>
      <w:r w:rsidR="0085798A" w:rsidRPr="00514711">
        <w:rPr>
          <w:color w:val="000000"/>
        </w:rPr>
        <w:t>one</w:t>
      </w:r>
      <w:r w:rsidR="00202A34" w:rsidRPr="00514711">
        <w:rPr>
          <w:color w:val="000000"/>
        </w:rPr>
        <w:t xml:space="preserve"> </w:t>
      </w:r>
      <w:r w:rsidR="0085798A" w:rsidRPr="00514711">
        <w:rPr>
          <w:color w:val="000000"/>
        </w:rPr>
        <w:t xml:space="preserve">meter </w:t>
      </w:r>
      <w:r w:rsidR="00732A9A" w:rsidRPr="00514711">
        <w:rPr>
          <w:color w:val="000000"/>
        </w:rPr>
        <w:t>above the soil surface</w:t>
      </w:r>
      <w:r w:rsidR="008E2629">
        <w:rPr>
          <w:color w:val="000000"/>
        </w:rPr>
        <w:t>.</w:t>
      </w:r>
      <w:r w:rsidR="0085798A" w:rsidRPr="00514711">
        <w:rPr>
          <w:color w:val="000000"/>
        </w:rPr>
        <w:t xml:space="preserve">  </w:t>
      </w:r>
      <w:r w:rsidR="005D7800" w:rsidRPr="00514711">
        <w:rPr>
          <w:color w:val="000000"/>
        </w:rPr>
        <w:t xml:space="preserve">The purpose of this rule is to ensure that </w:t>
      </w:r>
      <w:r w:rsidR="008575ED" w:rsidRPr="00514711">
        <w:rPr>
          <w:color w:val="000000"/>
        </w:rPr>
        <w:t xml:space="preserve">GPR devices operate </w:t>
      </w:r>
      <w:r w:rsidR="005C18BC" w:rsidRPr="00514711">
        <w:rPr>
          <w:color w:val="000000"/>
        </w:rPr>
        <w:t xml:space="preserve">in a downward position, </w:t>
      </w:r>
      <w:r w:rsidR="00BA0BA0" w:rsidRPr="00514711">
        <w:rPr>
          <w:color w:val="000000"/>
        </w:rPr>
        <w:t>near</w:t>
      </w:r>
      <w:r w:rsidR="008575ED" w:rsidRPr="00514711">
        <w:rPr>
          <w:color w:val="000000"/>
        </w:rPr>
        <w:t xml:space="preserve"> the ground, in order for emissions to be attenuated and absorbed</w:t>
      </w:r>
      <w:r w:rsidR="005C18BC" w:rsidRPr="00514711">
        <w:rPr>
          <w:color w:val="000000"/>
        </w:rPr>
        <w:t xml:space="preserve"> by </w:t>
      </w:r>
      <w:r w:rsidR="00BA0BA0" w:rsidRPr="00514711">
        <w:rPr>
          <w:color w:val="000000"/>
        </w:rPr>
        <w:t>the material against which they are placed</w:t>
      </w:r>
      <w:r w:rsidR="00CF43F6" w:rsidRPr="00514711">
        <w:rPr>
          <w:color w:val="000000"/>
        </w:rPr>
        <w:t>,</w:t>
      </w:r>
      <w:r w:rsidR="00BA0BA0" w:rsidRPr="00514711">
        <w:rPr>
          <w:color w:val="000000"/>
        </w:rPr>
        <w:t xml:space="preserve"> or by </w:t>
      </w:r>
      <w:r w:rsidR="005C18BC" w:rsidRPr="00514711">
        <w:rPr>
          <w:color w:val="000000"/>
        </w:rPr>
        <w:t xml:space="preserve">surrounding </w:t>
      </w:r>
      <w:r w:rsidR="00BA0BA0" w:rsidRPr="00514711">
        <w:rPr>
          <w:color w:val="000000"/>
        </w:rPr>
        <w:t>objects</w:t>
      </w:r>
      <w:r w:rsidR="008575ED" w:rsidRPr="00514711">
        <w:rPr>
          <w:color w:val="000000"/>
        </w:rPr>
        <w:t>.</w:t>
      </w:r>
      <w:r w:rsidR="008575ED" w:rsidRPr="00514711">
        <w:rPr>
          <w:rStyle w:val="FootnoteReference"/>
          <w:color w:val="000000"/>
        </w:rPr>
        <w:footnoteReference w:id="42"/>
      </w:r>
      <w:r w:rsidR="008575ED" w:rsidRPr="00514711">
        <w:rPr>
          <w:color w:val="000000"/>
        </w:rPr>
        <w:t xml:space="preserve">  </w:t>
      </w:r>
    </w:p>
    <w:p w:rsidR="00717D9F" w:rsidRPr="00514711" w:rsidRDefault="00717D9F" w:rsidP="00A9700D">
      <w:pPr>
        <w:pStyle w:val="ParaNum"/>
        <w:widowControl/>
        <w:autoSpaceDE w:val="0"/>
        <w:autoSpaceDN w:val="0"/>
        <w:adjustRightInd w:val="0"/>
        <w:rPr>
          <w:color w:val="000000"/>
        </w:rPr>
      </w:pPr>
      <w:r w:rsidRPr="00514711">
        <w:rPr>
          <w:color w:val="000000"/>
        </w:rPr>
        <w:t xml:space="preserve">In its waiver petition, </w:t>
      </w:r>
      <w:r w:rsidRPr="00514711">
        <w:rPr>
          <w:color w:val="000000"/>
          <w:szCs w:val="22"/>
        </w:rPr>
        <w:t>Headsight requests that the one</w:t>
      </w:r>
      <w:r w:rsidRPr="00514711">
        <w:rPr>
          <w:color w:val="000000"/>
          <w:szCs w:val="22"/>
        </w:rPr>
        <w:noBreakHyphen/>
        <w:t xml:space="preserve">meter </w:t>
      </w:r>
      <w:r w:rsidR="008E2629">
        <w:rPr>
          <w:color w:val="000000"/>
          <w:szCs w:val="22"/>
        </w:rPr>
        <w:t>“</w:t>
      </w:r>
      <w:r w:rsidRPr="00514711">
        <w:rPr>
          <w:color w:val="000000"/>
          <w:szCs w:val="22"/>
        </w:rPr>
        <w:t>above</w:t>
      </w:r>
      <w:r w:rsidR="00426CEF" w:rsidRPr="00514711">
        <w:rPr>
          <w:color w:val="000000"/>
          <w:szCs w:val="22"/>
        </w:rPr>
        <w:t xml:space="preserve"> </w:t>
      </w:r>
      <w:r w:rsidRPr="00514711">
        <w:rPr>
          <w:color w:val="000000"/>
          <w:szCs w:val="22"/>
        </w:rPr>
        <w:t>ground</w:t>
      </w:r>
      <w:r w:rsidR="008E2629">
        <w:rPr>
          <w:color w:val="000000"/>
          <w:szCs w:val="22"/>
        </w:rPr>
        <w:t>”</w:t>
      </w:r>
      <w:r w:rsidRPr="00514711">
        <w:rPr>
          <w:color w:val="000000"/>
          <w:szCs w:val="22"/>
        </w:rPr>
        <w:t xml:space="preserve"> operati</w:t>
      </w:r>
      <w:r w:rsidRPr="00514711">
        <w:rPr>
          <w:color w:val="000000"/>
        </w:rPr>
        <w:t xml:space="preserve">ng limit </w:t>
      </w:r>
      <w:r w:rsidRPr="00514711">
        <w:rPr>
          <w:color w:val="000000"/>
          <w:szCs w:val="22"/>
        </w:rPr>
        <w:t>be applied in its case to mean one-meter operation above crop height.</w:t>
      </w:r>
      <w:r w:rsidRPr="00514711">
        <w:rPr>
          <w:rStyle w:val="FootnoteReference"/>
          <w:snapToGrid/>
          <w:color w:val="000000"/>
          <w:kern w:val="0"/>
          <w:szCs w:val="22"/>
        </w:rPr>
        <w:footnoteReference w:id="43"/>
      </w:r>
      <w:r w:rsidRPr="00514711">
        <w:rPr>
          <w:color w:val="000000"/>
          <w:szCs w:val="22"/>
        </w:rPr>
        <w:t xml:space="preserve">  Headsight states that different crops may have different heights and some crops, such as corn, are harvested close to the stalk near the soil level</w:t>
      </w:r>
      <w:r w:rsidR="00EE2BDF" w:rsidRPr="00514711">
        <w:rPr>
          <w:color w:val="000000"/>
          <w:szCs w:val="22"/>
        </w:rPr>
        <w:t>,</w:t>
      </w:r>
      <w:r w:rsidRPr="00514711">
        <w:rPr>
          <w:color w:val="000000"/>
          <w:szCs w:val="22"/>
        </w:rPr>
        <w:t xml:space="preserve"> whereas other crops, such as barley or milo or other grain cereal,</w:t>
      </w:r>
      <w:r w:rsidRPr="00514711">
        <w:rPr>
          <w:rStyle w:val="FootnoteReference"/>
          <w:color w:val="000000"/>
          <w:szCs w:val="22"/>
        </w:rPr>
        <w:footnoteReference w:id="44"/>
      </w:r>
      <w:r w:rsidRPr="00514711">
        <w:rPr>
          <w:color w:val="000000"/>
          <w:szCs w:val="22"/>
        </w:rPr>
        <w:t xml:space="preserve"> are harvested near the crop height.</w:t>
      </w:r>
      <w:r w:rsidRPr="00514711">
        <w:rPr>
          <w:rStyle w:val="FootnoteReference"/>
          <w:color w:val="000000"/>
          <w:szCs w:val="22"/>
        </w:rPr>
        <w:footnoteReference w:id="45"/>
      </w:r>
      <w:r w:rsidRPr="00514711">
        <w:rPr>
          <w:color w:val="000000"/>
          <w:szCs w:val="22"/>
        </w:rPr>
        <w:t xml:space="preserve">  </w:t>
      </w:r>
      <w:r w:rsidR="00B7182E" w:rsidRPr="00514711">
        <w:rPr>
          <w:color w:val="000000"/>
        </w:rPr>
        <w:t>Headsight request</w:t>
      </w:r>
      <w:r w:rsidR="00AB7724" w:rsidRPr="00514711">
        <w:rPr>
          <w:color w:val="000000"/>
        </w:rPr>
        <w:t>s</w:t>
      </w:r>
      <w:r w:rsidR="00B7182E" w:rsidRPr="00514711">
        <w:rPr>
          <w:color w:val="000000"/>
        </w:rPr>
        <w:t xml:space="preserve"> </w:t>
      </w:r>
      <w:r w:rsidR="00886A13" w:rsidRPr="00514711">
        <w:rPr>
          <w:color w:val="000000"/>
        </w:rPr>
        <w:t xml:space="preserve">that the Terrahawk be allowed to operate at </w:t>
      </w:r>
      <w:r w:rsidR="00B7182E" w:rsidRPr="00514711">
        <w:rPr>
          <w:color w:val="000000"/>
        </w:rPr>
        <w:t xml:space="preserve">a maximum height above </w:t>
      </w:r>
      <w:r w:rsidR="007666B8">
        <w:rPr>
          <w:color w:val="000000"/>
        </w:rPr>
        <w:t>the soil surface (</w:t>
      </w:r>
      <w:r w:rsidR="007666B8" w:rsidRPr="006524BE">
        <w:rPr>
          <w:color w:val="000000"/>
        </w:rPr>
        <w:t>i.e.</w:t>
      </w:r>
      <w:r w:rsidR="007666B8">
        <w:rPr>
          <w:color w:val="000000"/>
        </w:rPr>
        <w:t>, without crops present)</w:t>
      </w:r>
      <w:r w:rsidR="00B7182E" w:rsidRPr="00514711">
        <w:rPr>
          <w:color w:val="000000"/>
        </w:rPr>
        <w:t xml:space="preserve"> of no more than 10</w:t>
      </w:r>
      <w:r w:rsidR="00B7182E" w:rsidRPr="00514711">
        <w:rPr>
          <w:color w:val="000000"/>
        </w:rPr>
        <w:noBreakHyphen/>
        <w:t>12</w:t>
      </w:r>
      <w:r w:rsidR="002E28BB" w:rsidRPr="00514711">
        <w:rPr>
          <w:color w:val="000000"/>
        </w:rPr>
        <w:t> </w:t>
      </w:r>
      <w:r w:rsidR="00B7182E" w:rsidRPr="00514711">
        <w:rPr>
          <w:color w:val="000000"/>
        </w:rPr>
        <w:t>feet (</w:t>
      </w:r>
      <w:r w:rsidR="00C31308">
        <w:rPr>
          <w:color w:val="000000"/>
        </w:rPr>
        <w:softHyphen/>
        <w:t>3</w:t>
      </w:r>
      <w:r w:rsidR="00B7182E" w:rsidRPr="00514711">
        <w:rPr>
          <w:color w:val="000000"/>
        </w:rPr>
        <w:t>.7</w:t>
      </w:r>
      <w:r w:rsidR="002E28BB" w:rsidRPr="00514711">
        <w:rPr>
          <w:color w:val="000000"/>
        </w:rPr>
        <w:t> </w:t>
      </w:r>
      <w:r w:rsidR="00B7182E" w:rsidRPr="00514711">
        <w:rPr>
          <w:color w:val="000000"/>
        </w:rPr>
        <w:t xml:space="preserve">meters) but never more than </w:t>
      </w:r>
      <w:r w:rsidR="001C5E1D" w:rsidRPr="00514711">
        <w:rPr>
          <w:color w:val="000000"/>
        </w:rPr>
        <w:t>one</w:t>
      </w:r>
      <w:r w:rsidR="00B7182E" w:rsidRPr="00514711">
        <w:rPr>
          <w:color w:val="000000"/>
        </w:rPr>
        <w:t> meter above the crop canopy.</w:t>
      </w:r>
      <w:r w:rsidR="00B7182E" w:rsidRPr="00514711">
        <w:rPr>
          <w:rStyle w:val="FootnoteReference"/>
          <w:color w:val="000000"/>
        </w:rPr>
        <w:footnoteReference w:id="46"/>
      </w:r>
    </w:p>
    <w:p w:rsidR="00241064" w:rsidRPr="00514711" w:rsidRDefault="00406C8F" w:rsidP="00A9700D">
      <w:pPr>
        <w:pStyle w:val="ParaNum"/>
        <w:widowControl/>
        <w:autoSpaceDE w:val="0"/>
        <w:autoSpaceDN w:val="0"/>
        <w:adjustRightInd w:val="0"/>
        <w:rPr>
          <w:color w:val="000000"/>
        </w:rPr>
      </w:pPr>
      <w:r w:rsidRPr="00514711">
        <w:rPr>
          <w:color w:val="000000"/>
        </w:rPr>
        <w:t xml:space="preserve">Trimble contends that a UWB device operating several meters above the ground has the ability to produce harmful interference to GPS over a fairly wide area, even if it is pointing at the ground while transmitting.  </w:t>
      </w:r>
      <w:r w:rsidR="006112BE" w:rsidRPr="00514711">
        <w:rPr>
          <w:color w:val="000000"/>
        </w:rPr>
        <w:t>Trimble argues that Headsight did not provide data to support that crop material has the same ability to abate UWB radio frequency emissions as rocks, concrete or steel used in construction.</w:t>
      </w:r>
      <w:r w:rsidR="006112BE" w:rsidRPr="00514711">
        <w:rPr>
          <w:rStyle w:val="FootnoteReference"/>
          <w:color w:val="000000"/>
        </w:rPr>
        <w:footnoteReference w:id="47"/>
      </w:r>
      <w:r w:rsidR="006112BE" w:rsidRPr="00514711">
        <w:rPr>
          <w:color w:val="000000"/>
        </w:rPr>
        <w:t xml:space="preserve">  Trimble also questions whether “crops” could include plants and trees in urban areas.</w:t>
      </w:r>
      <w:r w:rsidR="006112BE" w:rsidRPr="00514711">
        <w:rPr>
          <w:rStyle w:val="FootnoteReference"/>
          <w:color w:val="000000"/>
        </w:rPr>
        <w:footnoteReference w:id="48"/>
      </w:r>
      <w:r w:rsidR="006112BE" w:rsidRPr="00514711">
        <w:rPr>
          <w:color w:val="000000"/>
        </w:rPr>
        <w:t xml:space="preserve">  </w:t>
      </w:r>
    </w:p>
    <w:p w:rsidR="007259E6" w:rsidRPr="00514711" w:rsidRDefault="007259E6" w:rsidP="00A9700D">
      <w:pPr>
        <w:pStyle w:val="ParaNum"/>
        <w:widowControl/>
        <w:autoSpaceDE w:val="0"/>
        <w:autoSpaceDN w:val="0"/>
        <w:adjustRightInd w:val="0"/>
        <w:rPr>
          <w:color w:val="000000"/>
        </w:rPr>
      </w:pPr>
      <w:r w:rsidRPr="00514711">
        <w:rPr>
          <w:color w:val="000000"/>
        </w:rPr>
        <w:t>In rep</w:t>
      </w:r>
      <w:r w:rsidR="006C0ECA">
        <w:rPr>
          <w:color w:val="000000"/>
        </w:rPr>
        <w:t>ly</w:t>
      </w:r>
      <w:r w:rsidRPr="00514711">
        <w:rPr>
          <w:color w:val="000000"/>
        </w:rPr>
        <w:t xml:space="preserve">, </w:t>
      </w:r>
      <w:r w:rsidR="00D037A4" w:rsidRPr="00514711">
        <w:rPr>
          <w:rFonts w:eastAsia="Calibri"/>
          <w:snapToGrid/>
          <w:color w:val="000000"/>
          <w:kern w:val="0"/>
          <w:szCs w:val="22"/>
        </w:rPr>
        <w:t xml:space="preserve">Headsight </w:t>
      </w:r>
      <w:r w:rsidR="001332EF">
        <w:rPr>
          <w:rFonts w:eastAsia="Calibri"/>
          <w:snapToGrid/>
          <w:color w:val="000000"/>
          <w:kern w:val="0"/>
          <w:szCs w:val="22"/>
        </w:rPr>
        <w:t>argues</w:t>
      </w:r>
      <w:r w:rsidR="00D037A4" w:rsidRPr="00514711">
        <w:rPr>
          <w:rFonts w:eastAsia="Calibri"/>
          <w:snapToGrid/>
          <w:color w:val="000000"/>
          <w:kern w:val="0"/>
          <w:szCs w:val="22"/>
        </w:rPr>
        <w:t xml:space="preserve"> that </w:t>
      </w:r>
      <w:r w:rsidR="006112BE" w:rsidRPr="00514711">
        <w:rPr>
          <w:color w:val="000000"/>
        </w:rPr>
        <w:t>th</w:t>
      </w:r>
      <w:r w:rsidR="00144133">
        <w:rPr>
          <w:color w:val="000000"/>
        </w:rPr>
        <w:t>e</w:t>
      </w:r>
      <w:r w:rsidR="006112BE" w:rsidRPr="00514711">
        <w:rPr>
          <w:color w:val="000000"/>
        </w:rPr>
        <w:t xml:space="preserve"> information regarding </w:t>
      </w:r>
      <w:r w:rsidR="006112BE" w:rsidRPr="00514711">
        <w:rPr>
          <w:color w:val="000000"/>
          <w:szCs w:val="22"/>
        </w:rPr>
        <w:t xml:space="preserve">attenuation comparisons </w:t>
      </w:r>
      <w:r w:rsidR="006112BE" w:rsidRPr="00514711">
        <w:rPr>
          <w:color w:val="000000"/>
        </w:rPr>
        <w:t xml:space="preserve">of crops </w:t>
      </w:r>
      <w:r w:rsidR="006112BE" w:rsidRPr="00514711">
        <w:rPr>
          <w:color w:val="000000"/>
          <w:szCs w:val="22"/>
        </w:rPr>
        <w:t>to</w:t>
      </w:r>
      <w:r w:rsidR="006112BE" w:rsidRPr="00514711">
        <w:rPr>
          <w:color w:val="000000"/>
        </w:rPr>
        <w:t xml:space="preserve"> </w:t>
      </w:r>
      <w:r w:rsidR="006112BE" w:rsidRPr="00514711">
        <w:rPr>
          <w:color w:val="000000"/>
          <w:szCs w:val="22"/>
        </w:rPr>
        <w:t>rock, concrete or steel</w:t>
      </w:r>
      <w:r w:rsidR="006112BE" w:rsidRPr="00514711">
        <w:rPr>
          <w:color w:val="000000"/>
        </w:rPr>
        <w:t xml:space="preserve"> </w:t>
      </w:r>
      <w:r w:rsidR="006112BE" w:rsidRPr="00514711">
        <w:rPr>
          <w:color w:val="000000"/>
          <w:szCs w:val="22"/>
        </w:rPr>
        <w:t>is irrelevant as to whether the Terrahawk creates</w:t>
      </w:r>
      <w:r w:rsidR="006112BE" w:rsidRPr="00514711">
        <w:rPr>
          <w:color w:val="000000"/>
        </w:rPr>
        <w:t xml:space="preserve"> </w:t>
      </w:r>
      <w:r w:rsidR="006112BE" w:rsidRPr="00514711">
        <w:rPr>
          <w:color w:val="000000"/>
          <w:szCs w:val="22"/>
        </w:rPr>
        <w:t xml:space="preserve">harmful interference to GPS devices, because Headsight has demonstrated </w:t>
      </w:r>
      <w:r w:rsidR="006112BE" w:rsidRPr="00514711">
        <w:rPr>
          <w:color w:val="000000"/>
        </w:rPr>
        <w:t xml:space="preserve">by compatibility testing that this </w:t>
      </w:r>
      <w:r w:rsidR="006112BE" w:rsidRPr="00514711">
        <w:rPr>
          <w:color w:val="000000"/>
          <w:szCs w:val="22"/>
        </w:rPr>
        <w:t>would not be the case.</w:t>
      </w:r>
      <w:r w:rsidR="006112BE" w:rsidRPr="00514711">
        <w:rPr>
          <w:rStyle w:val="FootnoteReference"/>
          <w:color w:val="000000"/>
          <w:szCs w:val="22"/>
        </w:rPr>
        <w:footnoteReference w:id="49"/>
      </w:r>
      <w:r w:rsidR="006112BE" w:rsidRPr="00514711">
        <w:rPr>
          <w:color w:val="000000"/>
          <w:szCs w:val="22"/>
        </w:rPr>
        <w:t xml:space="preserve">  </w:t>
      </w:r>
      <w:r w:rsidRPr="00514711">
        <w:rPr>
          <w:rFonts w:eastAsia="Calibri"/>
          <w:snapToGrid/>
          <w:color w:val="000000"/>
          <w:kern w:val="0"/>
          <w:szCs w:val="22"/>
        </w:rPr>
        <w:t xml:space="preserve">Finally, Headsight </w:t>
      </w:r>
      <w:r w:rsidR="00E113CF">
        <w:rPr>
          <w:rFonts w:eastAsia="Calibri"/>
          <w:snapToGrid/>
          <w:color w:val="000000"/>
          <w:kern w:val="0"/>
          <w:szCs w:val="22"/>
        </w:rPr>
        <w:t>affirms</w:t>
      </w:r>
      <w:r w:rsidRPr="00514711">
        <w:rPr>
          <w:rFonts w:eastAsia="Calibri"/>
          <w:snapToGrid/>
          <w:color w:val="000000"/>
          <w:kern w:val="0"/>
          <w:szCs w:val="22"/>
        </w:rPr>
        <w:t xml:space="preserve"> that </w:t>
      </w:r>
      <w:r w:rsidRPr="00514711">
        <w:rPr>
          <w:color w:val="000000"/>
        </w:rPr>
        <w:t>t</w:t>
      </w:r>
      <w:r w:rsidRPr="00514711">
        <w:rPr>
          <w:rFonts w:eastAsia="Calibri"/>
          <w:snapToGrid/>
          <w:color w:val="000000"/>
          <w:kern w:val="0"/>
          <w:szCs w:val="22"/>
        </w:rPr>
        <w:t>here will be no harvesting in city gardens</w:t>
      </w:r>
      <w:r w:rsidRPr="00514711">
        <w:rPr>
          <w:rStyle w:val="FootnoteReference"/>
          <w:rFonts w:eastAsia="Calibri"/>
          <w:snapToGrid/>
          <w:color w:val="000000"/>
          <w:kern w:val="0"/>
          <w:szCs w:val="22"/>
        </w:rPr>
        <w:footnoteReference w:id="50"/>
      </w:r>
      <w:r w:rsidRPr="00514711">
        <w:rPr>
          <w:rFonts w:eastAsia="Calibri"/>
          <w:snapToGrid/>
          <w:color w:val="000000"/>
          <w:kern w:val="0"/>
          <w:szCs w:val="22"/>
        </w:rPr>
        <w:t xml:space="preserve"> or on trees</w:t>
      </w:r>
      <w:r w:rsidRPr="00514711">
        <w:rPr>
          <w:rStyle w:val="FootnoteReference"/>
          <w:rFonts w:eastAsia="Calibri"/>
          <w:snapToGrid/>
          <w:color w:val="000000"/>
          <w:kern w:val="0"/>
          <w:szCs w:val="22"/>
        </w:rPr>
        <w:footnoteReference w:id="51"/>
      </w:r>
      <w:r w:rsidRPr="00514711">
        <w:rPr>
          <w:rFonts w:eastAsia="Calibri"/>
          <w:snapToGrid/>
          <w:color w:val="000000"/>
          <w:kern w:val="0"/>
          <w:szCs w:val="22"/>
        </w:rPr>
        <w:t xml:space="preserve"> using farm machinery equipped with Terrahawk devices.</w:t>
      </w:r>
    </w:p>
    <w:p w:rsidR="00891EFA" w:rsidRPr="00891EFA" w:rsidRDefault="009B7888" w:rsidP="004D6536">
      <w:pPr>
        <w:pStyle w:val="ParaNum"/>
        <w:widowControl/>
        <w:autoSpaceDE w:val="0"/>
        <w:autoSpaceDN w:val="0"/>
        <w:adjustRightInd w:val="0"/>
        <w:rPr>
          <w:color w:val="000000"/>
        </w:rPr>
      </w:pPr>
      <w:r w:rsidRPr="00011B6F">
        <w:rPr>
          <w:rFonts w:eastAsia="Calibri"/>
          <w:i/>
          <w:snapToGrid/>
          <w:color w:val="000000"/>
          <w:kern w:val="0"/>
          <w:szCs w:val="22"/>
        </w:rPr>
        <w:t>Discussion</w:t>
      </w:r>
      <w:r w:rsidRPr="00011B6F">
        <w:rPr>
          <w:rFonts w:eastAsia="Calibri"/>
          <w:snapToGrid/>
          <w:color w:val="000000"/>
          <w:kern w:val="0"/>
          <w:szCs w:val="22"/>
        </w:rPr>
        <w:t xml:space="preserve">.  </w:t>
      </w:r>
      <w:r w:rsidR="002A2705">
        <w:rPr>
          <w:rFonts w:eastAsia="Calibri"/>
          <w:snapToGrid/>
          <w:color w:val="000000"/>
          <w:kern w:val="0"/>
          <w:szCs w:val="22"/>
        </w:rPr>
        <w:t xml:space="preserve">We first note </w:t>
      </w:r>
      <w:r w:rsidR="000A12AC">
        <w:rPr>
          <w:rFonts w:eastAsia="Calibri"/>
          <w:snapToGrid/>
          <w:color w:val="000000"/>
          <w:kern w:val="0"/>
          <w:szCs w:val="22"/>
        </w:rPr>
        <w:t xml:space="preserve">that, </w:t>
      </w:r>
      <w:r w:rsidR="002A2705" w:rsidRPr="00514711">
        <w:rPr>
          <w:rFonts w:eastAsia="Calibri"/>
          <w:snapToGrid/>
          <w:color w:val="000000"/>
          <w:kern w:val="0"/>
          <w:szCs w:val="22"/>
        </w:rPr>
        <w:t xml:space="preserve">as Headsight indicates for </w:t>
      </w:r>
      <w:r w:rsidR="00B833C0">
        <w:rPr>
          <w:rFonts w:eastAsia="Calibri"/>
          <w:snapToGrid/>
          <w:color w:val="000000"/>
          <w:kern w:val="0"/>
          <w:szCs w:val="22"/>
        </w:rPr>
        <w:t>many</w:t>
      </w:r>
      <w:r w:rsidR="00B833C0" w:rsidRPr="00514711">
        <w:rPr>
          <w:rFonts w:eastAsia="Calibri"/>
          <w:snapToGrid/>
          <w:color w:val="000000"/>
          <w:kern w:val="0"/>
          <w:szCs w:val="22"/>
        </w:rPr>
        <w:t xml:space="preserve"> </w:t>
      </w:r>
      <w:r w:rsidR="002A2705" w:rsidRPr="00514711">
        <w:rPr>
          <w:rFonts w:eastAsia="Calibri"/>
          <w:snapToGrid/>
          <w:color w:val="000000"/>
          <w:kern w:val="0"/>
          <w:szCs w:val="22"/>
        </w:rPr>
        <w:t>crops, the Terrahawk complies with the one</w:t>
      </w:r>
      <w:r w:rsidR="002A2705" w:rsidRPr="00514711">
        <w:rPr>
          <w:rFonts w:eastAsia="Calibri"/>
          <w:snapToGrid/>
          <w:color w:val="000000"/>
          <w:kern w:val="0"/>
          <w:szCs w:val="22"/>
        </w:rPr>
        <w:noBreakHyphen/>
        <w:t>meter-above-ground limit; therefore, for all practical purposes, the waiver is only necessary in situations involving certain crops</w:t>
      </w:r>
      <w:r w:rsidR="00B833C0">
        <w:rPr>
          <w:rFonts w:eastAsia="Calibri"/>
          <w:snapToGrid/>
          <w:color w:val="000000"/>
          <w:kern w:val="0"/>
          <w:szCs w:val="22"/>
        </w:rPr>
        <w:t>,</w:t>
      </w:r>
      <w:r w:rsidR="002A2705" w:rsidRPr="00514711">
        <w:rPr>
          <w:rFonts w:eastAsia="Calibri"/>
          <w:snapToGrid/>
          <w:color w:val="000000"/>
          <w:kern w:val="0"/>
          <w:szCs w:val="22"/>
        </w:rPr>
        <w:t xml:space="preserve"> such as milo</w:t>
      </w:r>
      <w:r w:rsidR="00144133">
        <w:rPr>
          <w:rFonts w:eastAsia="Calibri"/>
          <w:snapToGrid/>
          <w:color w:val="000000"/>
          <w:kern w:val="0"/>
          <w:szCs w:val="22"/>
        </w:rPr>
        <w:t>,</w:t>
      </w:r>
      <w:r w:rsidR="00B833C0">
        <w:rPr>
          <w:rFonts w:eastAsia="Calibri"/>
          <w:snapToGrid/>
          <w:color w:val="000000"/>
          <w:kern w:val="0"/>
          <w:szCs w:val="22"/>
        </w:rPr>
        <w:t xml:space="preserve"> that are harvested </w:t>
      </w:r>
      <w:r w:rsidR="000662BF">
        <w:rPr>
          <w:rFonts w:eastAsia="Calibri"/>
          <w:snapToGrid/>
          <w:color w:val="000000"/>
          <w:kern w:val="0"/>
          <w:szCs w:val="22"/>
        </w:rPr>
        <w:t>near the crop height</w:t>
      </w:r>
      <w:r w:rsidR="00B833C0">
        <w:rPr>
          <w:rFonts w:eastAsia="Calibri"/>
          <w:snapToGrid/>
          <w:color w:val="000000"/>
          <w:kern w:val="0"/>
          <w:szCs w:val="22"/>
        </w:rPr>
        <w:t>.  This</w:t>
      </w:r>
      <w:r w:rsidR="00144133">
        <w:rPr>
          <w:rFonts w:eastAsia="Calibri"/>
          <w:snapToGrid/>
          <w:color w:val="000000"/>
          <w:kern w:val="0"/>
          <w:szCs w:val="22"/>
        </w:rPr>
        <w:t xml:space="preserve"> significantly </w:t>
      </w:r>
      <w:r w:rsidR="006B4CFC">
        <w:rPr>
          <w:rFonts w:eastAsia="Calibri"/>
          <w:snapToGrid/>
          <w:color w:val="000000"/>
          <w:kern w:val="0"/>
          <w:szCs w:val="22"/>
        </w:rPr>
        <w:t xml:space="preserve">further </w:t>
      </w:r>
      <w:r w:rsidR="00144133">
        <w:rPr>
          <w:rFonts w:eastAsia="Calibri"/>
          <w:snapToGrid/>
          <w:color w:val="000000"/>
          <w:kern w:val="0"/>
          <w:szCs w:val="22"/>
        </w:rPr>
        <w:t>limi</w:t>
      </w:r>
      <w:r w:rsidR="00B833C0">
        <w:rPr>
          <w:rFonts w:eastAsia="Calibri"/>
          <w:snapToGrid/>
          <w:color w:val="000000"/>
          <w:kern w:val="0"/>
          <w:szCs w:val="22"/>
        </w:rPr>
        <w:t>ts</w:t>
      </w:r>
      <w:r w:rsidR="00144133">
        <w:rPr>
          <w:rFonts w:eastAsia="Calibri"/>
          <w:snapToGrid/>
          <w:color w:val="000000"/>
          <w:kern w:val="0"/>
          <w:szCs w:val="22"/>
        </w:rPr>
        <w:t xml:space="preserve"> the percentage of time </w:t>
      </w:r>
      <w:r w:rsidR="006B4CFC">
        <w:rPr>
          <w:rFonts w:eastAsia="Calibri"/>
          <w:snapToGrid/>
          <w:color w:val="000000"/>
          <w:kern w:val="0"/>
          <w:szCs w:val="22"/>
        </w:rPr>
        <w:t xml:space="preserve">at which the device will </w:t>
      </w:r>
      <w:r w:rsidR="00B833C0">
        <w:rPr>
          <w:rFonts w:eastAsia="Calibri"/>
          <w:snapToGrid/>
          <w:color w:val="000000"/>
          <w:kern w:val="0"/>
          <w:szCs w:val="22"/>
        </w:rPr>
        <w:t xml:space="preserve">need to operate under a waiver of Section </w:t>
      </w:r>
      <w:r w:rsidR="00B833C0">
        <w:rPr>
          <w:color w:val="000000"/>
        </w:rPr>
        <w:t>15.503(f)</w:t>
      </w:r>
      <w:r w:rsidR="002A2705" w:rsidRPr="00514711">
        <w:rPr>
          <w:rFonts w:eastAsia="Calibri"/>
          <w:snapToGrid/>
          <w:color w:val="000000"/>
          <w:kern w:val="0"/>
          <w:szCs w:val="22"/>
        </w:rPr>
        <w:t>.</w:t>
      </w:r>
      <w:r w:rsidR="00D11CC1">
        <w:rPr>
          <w:rStyle w:val="FootnoteReference"/>
          <w:rFonts w:eastAsia="Calibri"/>
          <w:snapToGrid/>
          <w:kern w:val="0"/>
          <w:szCs w:val="22"/>
        </w:rPr>
        <w:footnoteReference w:id="52"/>
      </w:r>
      <w:r w:rsidR="002A2705">
        <w:rPr>
          <w:rFonts w:eastAsia="Calibri"/>
          <w:snapToGrid/>
          <w:color w:val="000000"/>
          <w:kern w:val="0"/>
          <w:szCs w:val="22"/>
        </w:rPr>
        <w:t xml:space="preserve">  </w:t>
      </w:r>
    </w:p>
    <w:p w:rsidR="00176FEE" w:rsidRPr="00891EFA" w:rsidRDefault="00697F4A" w:rsidP="00072611">
      <w:pPr>
        <w:pStyle w:val="ParaNum"/>
        <w:widowControl/>
        <w:autoSpaceDE w:val="0"/>
        <w:autoSpaceDN w:val="0"/>
        <w:adjustRightInd w:val="0"/>
        <w:rPr>
          <w:color w:val="000000"/>
        </w:rPr>
      </w:pPr>
      <w:r w:rsidRPr="00891EFA">
        <w:rPr>
          <w:rFonts w:eastAsia="Calibri"/>
          <w:snapToGrid/>
          <w:color w:val="000000"/>
          <w:kern w:val="0"/>
          <w:szCs w:val="22"/>
        </w:rPr>
        <w:t>A</w:t>
      </w:r>
      <w:r w:rsidR="00572721" w:rsidRPr="00891EFA">
        <w:rPr>
          <w:rFonts w:eastAsia="Calibri"/>
          <w:snapToGrid/>
          <w:color w:val="000000"/>
          <w:kern w:val="0"/>
          <w:szCs w:val="22"/>
        </w:rPr>
        <w:t xml:space="preserve">s we elaborated </w:t>
      </w:r>
      <w:r w:rsidR="00572721" w:rsidRPr="00891EFA">
        <w:rPr>
          <w:rFonts w:eastAsia="Calibri"/>
          <w:i/>
          <w:snapToGrid/>
          <w:color w:val="000000"/>
          <w:kern w:val="0"/>
          <w:szCs w:val="22"/>
        </w:rPr>
        <w:t>supra</w:t>
      </w:r>
      <w:r w:rsidR="00572721" w:rsidRPr="00891EFA">
        <w:rPr>
          <w:rFonts w:eastAsia="Calibri"/>
          <w:snapToGrid/>
          <w:color w:val="000000"/>
          <w:kern w:val="0"/>
          <w:szCs w:val="22"/>
        </w:rPr>
        <w:t xml:space="preserve">, </w:t>
      </w:r>
      <w:r w:rsidRPr="00891EFA">
        <w:rPr>
          <w:rFonts w:eastAsia="Calibri"/>
          <w:snapToGrid/>
          <w:color w:val="000000"/>
          <w:kern w:val="0"/>
          <w:szCs w:val="22"/>
        </w:rPr>
        <w:t>our UWB emission limits are restrictive in general</w:t>
      </w:r>
      <w:r w:rsidR="003D7100" w:rsidRPr="00891EFA">
        <w:rPr>
          <w:rFonts w:eastAsia="Calibri"/>
          <w:snapToGrid/>
          <w:color w:val="000000"/>
          <w:kern w:val="0"/>
          <w:szCs w:val="22"/>
        </w:rPr>
        <w:t>,</w:t>
      </w:r>
      <w:r w:rsidRPr="00891EFA">
        <w:rPr>
          <w:rFonts w:eastAsia="Calibri"/>
          <w:snapToGrid/>
          <w:color w:val="000000"/>
          <w:kern w:val="0"/>
          <w:szCs w:val="22"/>
        </w:rPr>
        <w:t xml:space="preserve"> and even more so in the GPS bands.  W</w:t>
      </w:r>
      <w:r w:rsidR="00572721" w:rsidRPr="00891EFA">
        <w:rPr>
          <w:rFonts w:eastAsia="Calibri"/>
          <w:snapToGrid/>
          <w:color w:val="000000"/>
          <w:kern w:val="0"/>
          <w:szCs w:val="22"/>
        </w:rPr>
        <w:t xml:space="preserve">e find that allowing the Terrahawk to operate one meter above the crop canopy, </w:t>
      </w:r>
      <w:r w:rsidR="009D1DA2">
        <w:rPr>
          <w:rFonts w:eastAsia="Calibri"/>
          <w:snapToGrid/>
          <w:color w:val="000000"/>
          <w:kern w:val="0"/>
          <w:szCs w:val="22"/>
        </w:rPr>
        <w:t xml:space="preserve">restricted to </w:t>
      </w:r>
      <w:r w:rsidR="00572721" w:rsidRPr="00891EFA">
        <w:rPr>
          <w:rFonts w:eastAsia="Calibri"/>
          <w:snapToGrid/>
          <w:color w:val="000000"/>
          <w:kern w:val="0"/>
          <w:szCs w:val="22"/>
        </w:rPr>
        <w:t xml:space="preserve">no more than </w:t>
      </w:r>
      <w:r w:rsidR="00572721" w:rsidRPr="00891EFA">
        <w:rPr>
          <w:color w:val="000000"/>
        </w:rPr>
        <w:t>12 feet (3.7 meters)</w:t>
      </w:r>
      <w:r w:rsidR="00572721" w:rsidRPr="00891EFA">
        <w:rPr>
          <w:rFonts w:eastAsia="Calibri"/>
          <w:snapToGrid/>
          <w:color w:val="000000"/>
          <w:kern w:val="0"/>
          <w:szCs w:val="22"/>
        </w:rPr>
        <w:t xml:space="preserve"> above the soil surface</w:t>
      </w:r>
      <w:r w:rsidR="000A12AC">
        <w:rPr>
          <w:rFonts w:eastAsia="Calibri"/>
          <w:snapToGrid/>
          <w:color w:val="000000"/>
          <w:kern w:val="0"/>
          <w:szCs w:val="22"/>
        </w:rPr>
        <w:t>,</w:t>
      </w:r>
      <w:r w:rsidR="00572721" w:rsidRPr="00891EFA">
        <w:rPr>
          <w:rFonts w:eastAsia="Calibri"/>
          <w:snapToGrid/>
          <w:color w:val="000000"/>
          <w:kern w:val="0"/>
          <w:szCs w:val="22"/>
        </w:rPr>
        <w:t xml:space="preserve"> will not increase harmful interference risks to GPS receivers </w:t>
      </w:r>
      <w:r w:rsidRPr="00891EFA">
        <w:rPr>
          <w:rFonts w:eastAsia="Calibri"/>
          <w:snapToGrid/>
          <w:color w:val="000000"/>
          <w:kern w:val="0"/>
          <w:szCs w:val="22"/>
        </w:rPr>
        <w:t xml:space="preserve">(and any other receiver operating in the same band as the Terrahawk) </w:t>
      </w:r>
      <w:r w:rsidR="00572721" w:rsidRPr="00891EFA">
        <w:rPr>
          <w:rFonts w:eastAsia="Calibri"/>
          <w:snapToGrid/>
          <w:color w:val="000000"/>
          <w:kern w:val="0"/>
          <w:szCs w:val="22"/>
        </w:rPr>
        <w:t xml:space="preserve">for several reasons.  </w:t>
      </w:r>
      <w:r w:rsidR="00103943" w:rsidRPr="00891EFA">
        <w:rPr>
          <w:rFonts w:eastAsia="Calibri"/>
          <w:snapToGrid/>
          <w:color w:val="000000"/>
          <w:kern w:val="0"/>
          <w:szCs w:val="22"/>
        </w:rPr>
        <w:t xml:space="preserve">First, </w:t>
      </w:r>
      <w:r w:rsidR="004A1CEE" w:rsidRPr="00891EFA">
        <w:rPr>
          <w:rFonts w:eastAsia="Calibri"/>
          <w:snapToGrid/>
          <w:color w:val="000000"/>
          <w:kern w:val="0"/>
          <w:szCs w:val="22"/>
        </w:rPr>
        <w:t>the</w:t>
      </w:r>
      <w:r w:rsidR="00103943" w:rsidRPr="00891EFA">
        <w:rPr>
          <w:rFonts w:eastAsia="Calibri"/>
          <w:snapToGrid/>
          <w:color w:val="000000"/>
          <w:kern w:val="0"/>
          <w:szCs w:val="22"/>
        </w:rPr>
        <w:t xml:space="preserve"> Terrahawk’s </w:t>
      </w:r>
      <w:r w:rsidR="00387E3D" w:rsidRPr="00891EFA">
        <w:rPr>
          <w:rFonts w:eastAsia="Calibri"/>
          <w:snapToGrid/>
          <w:color w:val="000000"/>
          <w:kern w:val="0"/>
          <w:szCs w:val="22"/>
        </w:rPr>
        <w:t xml:space="preserve">emissions </w:t>
      </w:r>
      <w:r w:rsidR="000662BF">
        <w:rPr>
          <w:rFonts w:eastAsia="Calibri"/>
          <w:snapToGrid/>
          <w:color w:val="000000"/>
          <w:kern w:val="0"/>
          <w:szCs w:val="22"/>
        </w:rPr>
        <w:t>must be</w:t>
      </w:r>
      <w:r w:rsidR="000662BF" w:rsidRPr="00891EFA">
        <w:rPr>
          <w:rFonts w:eastAsia="Calibri"/>
          <w:snapToGrid/>
          <w:color w:val="000000"/>
          <w:kern w:val="0"/>
          <w:szCs w:val="22"/>
        </w:rPr>
        <w:t xml:space="preserve"> </w:t>
      </w:r>
      <w:r w:rsidR="00080CE1" w:rsidRPr="00891EFA">
        <w:rPr>
          <w:rFonts w:eastAsia="Calibri"/>
          <w:snapToGrid/>
          <w:color w:val="000000"/>
          <w:kern w:val="0"/>
          <w:szCs w:val="22"/>
        </w:rPr>
        <w:t>aimed</w:t>
      </w:r>
      <w:r w:rsidR="00103943" w:rsidRPr="00891EFA">
        <w:rPr>
          <w:rFonts w:eastAsia="Calibri"/>
          <w:snapToGrid/>
          <w:color w:val="000000"/>
          <w:kern w:val="0"/>
          <w:szCs w:val="22"/>
        </w:rPr>
        <w:t xml:space="preserve"> in the direction of the ground</w:t>
      </w:r>
      <w:r w:rsidR="000662BF">
        <w:rPr>
          <w:rFonts w:eastAsia="Calibri"/>
          <w:snapToGrid/>
          <w:color w:val="000000"/>
          <w:kern w:val="0"/>
          <w:szCs w:val="22"/>
        </w:rPr>
        <w:t xml:space="preserve"> to ensure effective harvesting operations.  H</w:t>
      </w:r>
      <w:r w:rsidR="009C1B40" w:rsidRPr="00891EFA">
        <w:rPr>
          <w:rFonts w:eastAsia="Calibri"/>
          <w:snapToGrid/>
          <w:color w:val="000000"/>
          <w:kern w:val="0"/>
          <w:szCs w:val="22"/>
        </w:rPr>
        <w:t xml:space="preserve">ence, </w:t>
      </w:r>
      <w:r w:rsidR="008B0BDF" w:rsidRPr="00891EFA">
        <w:rPr>
          <w:rFonts w:eastAsia="Calibri"/>
          <w:snapToGrid/>
          <w:color w:val="000000"/>
          <w:kern w:val="0"/>
          <w:szCs w:val="22"/>
        </w:rPr>
        <w:t>the device’s downward position</w:t>
      </w:r>
      <w:r w:rsidR="00A74310">
        <w:rPr>
          <w:rFonts w:eastAsia="Calibri"/>
          <w:snapToGrid/>
          <w:color w:val="000000"/>
          <w:kern w:val="0"/>
          <w:szCs w:val="22"/>
        </w:rPr>
        <w:t>ed</w:t>
      </w:r>
      <w:r w:rsidR="008B0BDF" w:rsidRPr="00891EFA">
        <w:rPr>
          <w:rFonts w:eastAsia="Calibri"/>
          <w:snapToGrid/>
          <w:color w:val="000000"/>
          <w:kern w:val="0"/>
          <w:szCs w:val="22"/>
        </w:rPr>
        <w:t xml:space="preserve"> </w:t>
      </w:r>
      <w:r w:rsidR="00E91EDD">
        <w:rPr>
          <w:rFonts w:eastAsia="Calibri"/>
          <w:snapToGrid/>
          <w:color w:val="000000"/>
          <w:kern w:val="0"/>
          <w:szCs w:val="22"/>
        </w:rPr>
        <w:t>antenna</w:t>
      </w:r>
      <w:r w:rsidR="0062230A">
        <w:rPr>
          <w:rStyle w:val="FootnoteReference"/>
          <w:rFonts w:eastAsia="Calibri"/>
          <w:snapToGrid/>
          <w:kern w:val="0"/>
          <w:szCs w:val="22"/>
        </w:rPr>
        <w:footnoteReference w:id="53"/>
      </w:r>
      <w:r w:rsidR="00E91EDD">
        <w:rPr>
          <w:rFonts w:eastAsia="Calibri"/>
          <w:snapToGrid/>
          <w:color w:val="000000"/>
          <w:kern w:val="0"/>
          <w:szCs w:val="22"/>
        </w:rPr>
        <w:t xml:space="preserve"> </w:t>
      </w:r>
      <w:r w:rsidR="008B0BDF" w:rsidRPr="00891EFA">
        <w:rPr>
          <w:rFonts w:eastAsia="Calibri"/>
          <w:snapToGrid/>
          <w:color w:val="000000"/>
          <w:kern w:val="0"/>
          <w:szCs w:val="22"/>
        </w:rPr>
        <w:t>w</w:t>
      </w:r>
      <w:r w:rsidR="000662BF">
        <w:rPr>
          <w:rFonts w:eastAsia="Calibri"/>
          <w:snapToGrid/>
          <w:color w:val="000000"/>
          <w:kern w:val="0"/>
          <w:szCs w:val="22"/>
        </w:rPr>
        <w:t>ill</w:t>
      </w:r>
      <w:r w:rsidR="008B0BDF" w:rsidRPr="00891EFA">
        <w:rPr>
          <w:rFonts w:eastAsia="Calibri"/>
          <w:snapToGrid/>
          <w:color w:val="000000"/>
          <w:kern w:val="0"/>
          <w:szCs w:val="22"/>
        </w:rPr>
        <w:t xml:space="preserve"> ensure that its emissions are not </w:t>
      </w:r>
      <w:r w:rsidR="00693998" w:rsidRPr="00891EFA">
        <w:rPr>
          <w:rFonts w:eastAsia="Calibri"/>
          <w:snapToGrid/>
          <w:color w:val="000000"/>
          <w:kern w:val="0"/>
          <w:szCs w:val="22"/>
        </w:rPr>
        <w:t>pointed</w:t>
      </w:r>
      <w:r w:rsidR="008B0BDF" w:rsidRPr="00891EFA">
        <w:rPr>
          <w:rFonts w:eastAsia="Calibri"/>
          <w:snapToGrid/>
          <w:color w:val="000000"/>
          <w:kern w:val="0"/>
          <w:szCs w:val="22"/>
        </w:rPr>
        <w:t xml:space="preserve"> </w:t>
      </w:r>
      <w:r w:rsidR="00693998" w:rsidRPr="00891EFA">
        <w:rPr>
          <w:rFonts w:eastAsia="Calibri"/>
          <w:snapToGrid/>
          <w:color w:val="000000"/>
          <w:kern w:val="0"/>
          <w:szCs w:val="22"/>
        </w:rPr>
        <w:t>toward</w:t>
      </w:r>
      <w:r w:rsidR="008B0BDF" w:rsidRPr="00891EFA">
        <w:rPr>
          <w:rFonts w:eastAsia="Calibri"/>
          <w:snapToGrid/>
          <w:color w:val="000000"/>
          <w:kern w:val="0"/>
          <w:szCs w:val="22"/>
        </w:rPr>
        <w:t xml:space="preserve"> any nearby </w:t>
      </w:r>
      <w:r w:rsidR="00D84817" w:rsidRPr="00891EFA">
        <w:rPr>
          <w:rFonts w:eastAsia="Calibri"/>
          <w:snapToGrid/>
          <w:color w:val="000000"/>
          <w:kern w:val="0"/>
          <w:szCs w:val="22"/>
        </w:rPr>
        <w:t xml:space="preserve">potential victim </w:t>
      </w:r>
      <w:r w:rsidR="008B0BDF" w:rsidRPr="00891EFA">
        <w:rPr>
          <w:rFonts w:eastAsia="Calibri"/>
          <w:snapToGrid/>
          <w:color w:val="000000"/>
          <w:kern w:val="0"/>
          <w:szCs w:val="22"/>
        </w:rPr>
        <w:t>receiver unless this receiver is directly in its path</w:t>
      </w:r>
      <w:r w:rsidR="00171107" w:rsidRPr="00891EFA">
        <w:rPr>
          <w:rFonts w:eastAsia="Calibri"/>
          <w:snapToGrid/>
          <w:color w:val="000000"/>
          <w:kern w:val="0"/>
          <w:szCs w:val="22"/>
        </w:rPr>
        <w:t xml:space="preserve"> and</w:t>
      </w:r>
      <w:r w:rsidR="003071DD" w:rsidRPr="00891EFA">
        <w:rPr>
          <w:rFonts w:eastAsia="Calibri"/>
          <w:snapToGrid/>
          <w:color w:val="000000"/>
          <w:kern w:val="0"/>
          <w:szCs w:val="22"/>
        </w:rPr>
        <w:t xml:space="preserve"> with its</w:t>
      </w:r>
      <w:r w:rsidR="00171107" w:rsidRPr="00891EFA">
        <w:rPr>
          <w:rFonts w:eastAsia="Calibri"/>
          <w:snapToGrid/>
          <w:color w:val="000000"/>
          <w:kern w:val="0"/>
          <w:szCs w:val="22"/>
        </w:rPr>
        <w:t xml:space="preserve"> receive</w:t>
      </w:r>
      <w:r w:rsidR="003071DD" w:rsidRPr="00891EFA">
        <w:rPr>
          <w:rFonts w:eastAsia="Calibri"/>
          <w:snapToGrid/>
          <w:color w:val="000000"/>
          <w:kern w:val="0"/>
          <w:szCs w:val="22"/>
        </w:rPr>
        <w:t xml:space="preserve"> antenna aligned with </w:t>
      </w:r>
      <w:r w:rsidR="003071DD">
        <w:t>the Terrahawk’s antenna</w:t>
      </w:r>
      <w:r w:rsidR="00E03233">
        <w:t>.  Second</w:t>
      </w:r>
      <w:r w:rsidR="000015E4">
        <w:t xml:space="preserve">, </w:t>
      </w:r>
      <w:r w:rsidR="005467EB">
        <w:t xml:space="preserve">with the Terrahawk’s antenna </w:t>
      </w:r>
      <w:r w:rsidR="00122800">
        <w:t>focusing on crops on</w:t>
      </w:r>
      <w:r w:rsidR="005467EB">
        <w:t xml:space="preserve"> the ground, </w:t>
      </w:r>
      <w:r w:rsidR="000015E4">
        <w:t>emissions from the antenna</w:t>
      </w:r>
      <w:r w:rsidR="005467EB">
        <w:t>’s</w:t>
      </w:r>
      <w:r w:rsidR="000015E4">
        <w:t xml:space="preserve"> side lobes are unlikely to cause harmful interference</w:t>
      </w:r>
      <w:r w:rsidR="0040326F">
        <w:t xml:space="preserve"> under our restrictive UWB emission limits</w:t>
      </w:r>
      <w:r w:rsidR="005E1757">
        <w:t xml:space="preserve">, </w:t>
      </w:r>
      <w:r w:rsidR="00117681">
        <w:t>even at the requested operating height</w:t>
      </w:r>
      <w:r w:rsidR="0040326F">
        <w:t xml:space="preserve"> – especially</w:t>
      </w:r>
      <w:r w:rsidR="00FE09AA">
        <w:t xml:space="preserve"> since </w:t>
      </w:r>
      <w:r w:rsidR="00844C19">
        <w:t xml:space="preserve">any intervening object </w:t>
      </w:r>
      <w:r w:rsidR="005E1757">
        <w:t xml:space="preserve">would </w:t>
      </w:r>
      <w:r w:rsidR="00E03233">
        <w:t>lessen these emissions</w:t>
      </w:r>
      <w:r w:rsidR="00432F32">
        <w:t xml:space="preserve"> even further</w:t>
      </w:r>
      <w:r w:rsidR="003071DD">
        <w:t>.</w:t>
      </w:r>
      <w:r w:rsidR="00103943" w:rsidRPr="00891EFA">
        <w:rPr>
          <w:rFonts w:eastAsia="Calibri"/>
          <w:snapToGrid/>
          <w:color w:val="000000"/>
          <w:kern w:val="0"/>
          <w:szCs w:val="22"/>
        </w:rPr>
        <w:t xml:space="preserve">  </w:t>
      </w:r>
      <w:r w:rsidR="00E03233">
        <w:rPr>
          <w:rFonts w:eastAsia="Calibri"/>
          <w:snapToGrid/>
          <w:color w:val="000000"/>
          <w:kern w:val="0"/>
          <w:szCs w:val="22"/>
        </w:rPr>
        <w:t>Third</w:t>
      </w:r>
      <w:r w:rsidR="00103943" w:rsidRPr="00891EFA">
        <w:rPr>
          <w:rFonts w:eastAsia="Calibri"/>
          <w:snapToGrid/>
          <w:color w:val="000000"/>
          <w:kern w:val="0"/>
          <w:szCs w:val="22"/>
        </w:rPr>
        <w:t xml:space="preserve">, the Terrahawk will be attached to farm machinery operating inside fields during harvest operations, and the possibility of a </w:t>
      </w:r>
      <w:r w:rsidR="008310BE" w:rsidRPr="00891EFA">
        <w:rPr>
          <w:rFonts w:eastAsia="Calibri"/>
          <w:snapToGrid/>
          <w:color w:val="000000"/>
          <w:kern w:val="0"/>
          <w:szCs w:val="22"/>
        </w:rPr>
        <w:t xml:space="preserve">potential </w:t>
      </w:r>
      <w:r w:rsidR="00103943" w:rsidRPr="00891EFA">
        <w:rPr>
          <w:rFonts w:eastAsia="Calibri"/>
          <w:snapToGrid/>
          <w:color w:val="000000"/>
          <w:kern w:val="0"/>
          <w:szCs w:val="22"/>
        </w:rPr>
        <w:t xml:space="preserve">victim receiver among crop plants is </w:t>
      </w:r>
      <w:r w:rsidR="009C1B40" w:rsidRPr="00891EFA">
        <w:rPr>
          <w:rFonts w:eastAsia="Calibri"/>
          <w:snapToGrid/>
          <w:color w:val="000000"/>
          <w:kern w:val="0"/>
          <w:szCs w:val="22"/>
        </w:rPr>
        <w:t xml:space="preserve">highly </w:t>
      </w:r>
      <w:r w:rsidR="00103943" w:rsidRPr="00891EFA">
        <w:rPr>
          <w:rFonts w:eastAsia="Calibri"/>
          <w:snapToGrid/>
          <w:color w:val="000000"/>
          <w:kern w:val="0"/>
          <w:szCs w:val="22"/>
        </w:rPr>
        <w:t xml:space="preserve">unlikely.  </w:t>
      </w:r>
      <w:r w:rsidR="009C7608" w:rsidRPr="00891EFA">
        <w:rPr>
          <w:rFonts w:eastAsia="Calibri"/>
          <w:snapToGrid/>
          <w:color w:val="000000"/>
          <w:kern w:val="0"/>
          <w:szCs w:val="22"/>
        </w:rPr>
        <w:t>Finally</w:t>
      </w:r>
      <w:r w:rsidR="00103943" w:rsidRPr="00891EFA">
        <w:rPr>
          <w:rFonts w:eastAsia="Calibri"/>
          <w:snapToGrid/>
          <w:color w:val="000000"/>
          <w:kern w:val="0"/>
          <w:szCs w:val="22"/>
        </w:rPr>
        <w:t>, the Terrahawk must typically operate with a co</w:t>
      </w:r>
      <w:r w:rsidR="00103943" w:rsidRPr="00891EFA">
        <w:rPr>
          <w:rFonts w:eastAsia="Calibri"/>
          <w:snapToGrid/>
          <w:color w:val="000000"/>
          <w:kern w:val="0"/>
          <w:szCs w:val="22"/>
        </w:rPr>
        <w:noBreakHyphen/>
        <w:t>located GPS receiver on</w:t>
      </w:r>
      <w:r w:rsidR="00103943" w:rsidRPr="00891EFA">
        <w:rPr>
          <w:rFonts w:eastAsia="Calibri"/>
          <w:snapToGrid/>
          <w:color w:val="000000"/>
          <w:kern w:val="0"/>
          <w:szCs w:val="22"/>
        </w:rPr>
        <w:noBreakHyphen/>
        <w:t xml:space="preserve">board the same farm equipment, and </w:t>
      </w:r>
      <w:r w:rsidR="009D1DA2">
        <w:rPr>
          <w:rFonts w:eastAsia="Calibri"/>
          <w:snapToGrid/>
          <w:color w:val="000000"/>
          <w:kern w:val="0"/>
          <w:szCs w:val="22"/>
        </w:rPr>
        <w:t xml:space="preserve">its usefulness would be obviated if it causes harmful interference to </w:t>
      </w:r>
      <w:r w:rsidR="007E02D6">
        <w:rPr>
          <w:rFonts w:eastAsia="Calibri"/>
          <w:snapToGrid/>
          <w:color w:val="000000"/>
          <w:kern w:val="0"/>
          <w:szCs w:val="22"/>
        </w:rPr>
        <w:t xml:space="preserve">this </w:t>
      </w:r>
      <w:r w:rsidR="009D1DA2">
        <w:rPr>
          <w:rFonts w:eastAsia="Calibri"/>
          <w:snapToGrid/>
          <w:color w:val="000000"/>
          <w:kern w:val="0"/>
          <w:szCs w:val="22"/>
        </w:rPr>
        <w:t xml:space="preserve">co-located device.  We can also expect similar protection to other radio services given that </w:t>
      </w:r>
      <w:r w:rsidR="00103943" w:rsidRPr="00891EFA">
        <w:rPr>
          <w:rFonts w:eastAsia="Calibri"/>
          <w:snapToGrid/>
          <w:color w:val="000000"/>
          <w:kern w:val="0"/>
          <w:szCs w:val="22"/>
        </w:rPr>
        <w:t>our limits on UWB emissions are designed to ensure that these emissions do not cause harmful interference</w:t>
      </w:r>
      <w:r w:rsidR="009D1DA2">
        <w:rPr>
          <w:rFonts w:eastAsia="Calibri"/>
          <w:snapToGrid/>
          <w:color w:val="000000"/>
          <w:kern w:val="0"/>
          <w:szCs w:val="22"/>
        </w:rPr>
        <w:t>.</w:t>
      </w:r>
    </w:p>
    <w:p w:rsidR="00893812" w:rsidRPr="00893812" w:rsidRDefault="000C338F" w:rsidP="00893812">
      <w:pPr>
        <w:pStyle w:val="ParaNum"/>
        <w:widowControl/>
        <w:autoSpaceDE w:val="0"/>
        <w:autoSpaceDN w:val="0"/>
        <w:adjustRightInd w:val="0"/>
        <w:rPr>
          <w:color w:val="000000"/>
        </w:rPr>
      </w:pPr>
      <w:r>
        <w:rPr>
          <w:rFonts w:eastAsia="Calibri"/>
          <w:snapToGrid/>
          <w:color w:val="000000"/>
          <w:kern w:val="0"/>
          <w:szCs w:val="22"/>
        </w:rPr>
        <w:t>However, t</w:t>
      </w:r>
      <w:r w:rsidR="0094251C">
        <w:rPr>
          <w:rFonts w:eastAsia="Calibri"/>
          <w:snapToGrid/>
          <w:color w:val="000000"/>
          <w:kern w:val="0"/>
          <w:szCs w:val="22"/>
        </w:rPr>
        <w:t xml:space="preserve">o further </w:t>
      </w:r>
      <w:r w:rsidR="00C5313B">
        <w:rPr>
          <w:rFonts w:eastAsia="Calibri"/>
          <w:snapToGrid/>
          <w:color w:val="000000"/>
          <w:kern w:val="0"/>
          <w:szCs w:val="22"/>
        </w:rPr>
        <w:t>restrict</w:t>
      </w:r>
      <w:r w:rsidR="0094251C">
        <w:rPr>
          <w:rFonts w:eastAsia="Calibri"/>
          <w:snapToGrid/>
          <w:color w:val="000000"/>
          <w:kern w:val="0"/>
          <w:szCs w:val="22"/>
        </w:rPr>
        <w:t xml:space="preserve"> </w:t>
      </w:r>
      <w:r w:rsidR="00854652">
        <w:rPr>
          <w:rFonts w:eastAsia="Calibri"/>
          <w:snapToGrid/>
          <w:color w:val="000000"/>
          <w:kern w:val="0"/>
          <w:szCs w:val="22"/>
        </w:rPr>
        <w:t xml:space="preserve">potential </w:t>
      </w:r>
      <w:r w:rsidR="00117681">
        <w:rPr>
          <w:rFonts w:eastAsia="Calibri"/>
          <w:snapToGrid/>
          <w:color w:val="000000"/>
          <w:kern w:val="0"/>
          <w:szCs w:val="22"/>
        </w:rPr>
        <w:t>harmful interference</w:t>
      </w:r>
      <w:r w:rsidR="0062230A">
        <w:rPr>
          <w:rFonts w:eastAsia="Calibri"/>
          <w:snapToGrid/>
          <w:color w:val="000000"/>
          <w:kern w:val="0"/>
          <w:szCs w:val="22"/>
        </w:rPr>
        <w:t xml:space="preserve"> </w:t>
      </w:r>
      <w:r w:rsidR="009D1DA2">
        <w:rPr>
          <w:rFonts w:eastAsia="Calibri"/>
          <w:snapToGrid/>
          <w:color w:val="000000"/>
          <w:kern w:val="0"/>
          <w:szCs w:val="22"/>
        </w:rPr>
        <w:t xml:space="preserve">by minimizing the amount of time that the Terrahawk </w:t>
      </w:r>
      <w:r w:rsidR="00EE3FE2">
        <w:rPr>
          <w:rFonts w:eastAsia="Calibri"/>
          <w:snapToGrid/>
          <w:color w:val="000000"/>
          <w:kern w:val="0"/>
          <w:szCs w:val="22"/>
        </w:rPr>
        <w:t xml:space="preserve">will </w:t>
      </w:r>
      <w:r w:rsidR="009D1DA2">
        <w:rPr>
          <w:rFonts w:eastAsia="Calibri"/>
          <w:snapToGrid/>
          <w:color w:val="000000"/>
          <w:kern w:val="0"/>
          <w:szCs w:val="22"/>
        </w:rPr>
        <w:t xml:space="preserve">operate in non-compliance with our </w:t>
      </w:r>
      <w:r w:rsidR="00EE3FE2">
        <w:rPr>
          <w:rFonts w:eastAsia="Calibri"/>
          <w:snapToGrid/>
          <w:color w:val="000000"/>
          <w:kern w:val="0"/>
          <w:szCs w:val="22"/>
        </w:rPr>
        <w:t>height</w:t>
      </w:r>
      <w:r w:rsidR="00424DA8">
        <w:rPr>
          <w:rFonts w:eastAsia="Calibri"/>
          <w:snapToGrid/>
          <w:color w:val="000000"/>
          <w:kern w:val="0"/>
          <w:szCs w:val="22"/>
        </w:rPr>
        <w:noBreakHyphen/>
      </w:r>
      <w:r w:rsidR="00EE3FE2">
        <w:rPr>
          <w:rFonts w:eastAsia="Calibri"/>
          <w:snapToGrid/>
          <w:color w:val="000000"/>
          <w:kern w:val="0"/>
          <w:szCs w:val="22"/>
        </w:rPr>
        <w:t xml:space="preserve">limitation </w:t>
      </w:r>
      <w:r w:rsidR="009D1DA2">
        <w:rPr>
          <w:rFonts w:eastAsia="Calibri"/>
          <w:snapToGrid/>
          <w:color w:val="000000"/>
          <w:kern w:val="0"/>
          <w:szCs w:val="22"/>
        </w:rPr>
        <w:t xml:space="preserve">rule, </w:t>
      </w:r>
      <w:r w:rsidR="0094251C">
        <w:rPr>
          <w:rFonts w:eastAsia="Calibri"/>
          <w:snapToGrid/>
          <w:color w:val="000000"/>
          <w:kern w:val="0"/>
          <w:szCs w:val="22"/>
        </w:rPr>
        <w:t xml:space="preserve">we will </w:t>
      </w:r>
      <w:r w:rsidR="0040326F">
        <w:rPr>
          <w:rFonts w:eastAsia="Calibri"/>
          <w:snapToGrid/>
          <w:color w:val="000000"/>
          <w:kern w:val="0"/>
          <w:szCs w:val="22"/>
        </w:rPr>
        <w:t xml:space="preserve">explicitly </w:t>
      </w:r>
      <w:r w:rsidR="0094251C">
        <w:rPr>
          <w:rFonts w:eastAsia="Calibri"/>
          <w:snapToGrid/>
          <w:color w:val="000000"/>
          <w:kern w:val="0"/>
          <w:szCs w:val="22"/>
        </w:rPr>
        <w:t xml:space="preserve">require the device to operate no higher than 1 meter from the soil surface when </w:t>
      </w:r>
      <w:r w:rsidR="00026585">
        <w:rPr>
          <w:rFonts w:eastAsia="Calibri"/>
          <w:snapToGrid/>
          <w:color w:val="000000"/>
          <w:kern w:val="0"/>
          <w:szCs w:val="22"/>
        </w:rPr>
        <w:t xml:space="preserve">the soil imaging is performed </w:t>
      </w:r>
      <w:r w:rsidR="0094251C">
        <w:rPr>
          <w:rFonts w:eastAsia="Calibri"/>
          <w:snapToGrid/>
          <w:color w:val="000000"/>
          <w:kern w:val="0"/>
          <w:szCs w:val="22"/>
        </w:rPr>
        <w:t>in free space (</w:t>
      </w:r>
      <w:r w:rsidR="0094251C" w:rsidRPr="006524BE">
        <w:rPr>
          <w:rFonts w:eastAsia="Calibri"/>
          <w:snapToGrid/>
          <w:color w:val="000000"/>
          <w:kern w:val="0"/>
          <w:szCs w:val="22"/>
        </w:rPr>
        <w:t>i.e.</w:t>
      </w:r>
      <w:r w:rsidR="0094251C">
        <w:rPr>
          <w:rFonts w:eastAsia="Calibri"/>
          <w:snapToGrid/>
          <w:color w:val="000000"/>
          <w:kern w:val="0"/>
          <w:szCs w:val="22"/>
        </w:rPr>
        <w:t>, without crops beneath the device)</w:t>
      </w:r>
      <w:r w:rsidR="00FD0FBB">
        <w:rPr>
          <w:rFonts w:eastAsia="Calibri"/>
          <w:snapToGrid/>
          <w:color w:val="000000"/>
          <w:kern w:val="0"/>
          <w:szCs w:val="22"/>
        </w:rPr>
        <w:t xml:space="preserve"> </w:t>
      </w:r>
      <w:r w:rsidR="00DD471F" w:rsidRPr="00485C60">
        <w:rPr>
          <w:rFonts w:eastAsia="Calibri"/>
          <w:snapToGrid/>
          <w:color w:val="000000"/>
          <w:kern w:val="0"/>
          <w:szCs w:val="22"/>
        </w:rPr>
        <w:t>e.g.</w:t>
      </w:r>
      <w:r w:rsidR="00DD471F">
        <w:rPr>
          <w:rFonts w:eastAsia="Calibri"/>
          <w:snapToGrid/>
          <w:color w:val="000000"/>
          <w:kern w:val="0"/>
          <w:szCs w:val="22"/>
        </w:rPr>
        <w:t xml:space="preserve">, </w:t>
      </w:r>
      <w:r w:rsidR="00FD0FBB">
        <w:rPr>
          <w:rFonts w:eastAsia="Calibri"/>
          <w:snapToGrid/>
          <w:color w:val="000000"/>
          <w:kern w:val="0"/>
          <w:szCs w:val="22"/>
        </w:rPr>
        <w:t xml:space="preserve">for purposes </w:t>
      </w:r>
      <w:r w:rsidR="009C7608">
        <w:rPr>
          <w:rFonts w:eastAsia="Calibri"/>
          <w:snapToGrid/>
          <w:color w:val="000000"/>
          <w:kern w:val="0"/>
          <w:szCs w:val="22"/>
        </w:rPr>
        <w:t>such as</w:t>
      </w:r>
      <w:r w:rsidR="00FD0FBB">
        <w:rPr>
          <w:rFonts w:eastAsia="Calibri"/>
          <w:snapToGrid/>
          <w:color w:val="000000"/>
          <w:kern w:val="0"/>
          <w:szCs w:val="22"/>
        </w:rPr>
        <w:t xml:space="preserve"> m</w:t>
      </w:r>
      <w:r w:rsidR="00FD0FBB" w:rsidRPr="00FD0FBB">
        <w:rPr>
          <w:color w:val="000000"/>
        </w:rPr>
        <w:t xml:space="preserve">apping subsurface ground conditions </w:t>
      </w:r>
      <w:r w:rsidR="009C7608">
        <w:rPr>
          <w:color w:val="000000"/>
        </w:rPr>
        <w:t>for</w:t>
      </w:r>
      <w:r w:rsidR="00FD0FBB" w:rsidRPr="00FD0FBB">
        <w:rPr>
          <w:color w:val="000000"/>
        </w:rPr>
        <w:t xml:space="preserve"> moisture content and soil compaction</w:t>
      </w:r>
      <w:r w:rsidR="009C7608">
        <w:rPr>
          <w:color w:val="000000"/>
        </w:rPr>
        <w:t xml:space="preserve"> as described by Headsight</w:t>
      </w:r>
      <w:r>
        <w:rPr>
          <w:color w:val="000000"/>
        </w:rPr>
        <w:t>, when this operation is not performed concurrently with harvest operations</w:t>
      </w:r>
      <w:r w:rsidR="0094251C">
        <w:rPr>
          <w:rFonts w:eastAsia="Calibri"/>
          <w:snapToGrid/>
          <w:color w:val="000000"/>
          <w:kern w:val="0"/>
          <w:szCs w:val="22"/>
        </w:rPr>
        <w:t>.</w:t>
      </w:r>
      <w:r w:rsidR="004E2195">
        <w:rPr>
          <w:rStyle w:val="FootnoteReference"/>
          <w:rFonts w:eastAsia="Calibri"/>
          <w:snapToGrid/>
          <w:kern w:val="0"/>
          <w:szCs w:val="22"/>
        </w:rPr>
        <w:footnoteReference w:id="54"/>
      </w:r>
      <w:r w:rsidR="0094251C">
        <w:rPr>
          <w:rFonts w:eastAsia="Calibri"/>
          <w:snapToGrid/>
          <w:color w:val="000000"/>
          <w:kern w:val="0"/>
          <w:szCs w:val="22"/>
        </w:rPr>
        <w:t xml:space="preserve">  </w:t>
      </w:r>
      <w:r w:rsidR="00840F59">
        <w:rPr>
          <w:rFonts w:eastAsia="Calibri"/>
          <w:snapToGrid/>
          <w:color w:val="000000"/>
          <w:kern w:val="0"/>
          <w:szCs w:val="22"/>
        </w:rPr>
        <w:t>In other words</w:t>
      </w:r>
      <w:r w:rsidR="000C78B1">
        <w:rPr>
          <w:rFonts w:eastAsia="Calibri"/>
          <w:snapToGrid/>
          <w:color w:val="000000"/>
          <w:kern w:val="0"/>
          <w:szCs w:val="22"/>
        </w:rPr>
        <w:t>, w</w:t>
      </w:r>
      <w:r w:rsidR="005E1757">
        <w:rPr>
          <w:rFonts w:eastAsia="Calibri"/>
          <w:snapToGrid/>
          <w:color w:val="000000"/>
          <w:kern w:val="0"/>
          <w:szCs w:val="22"/>
        </w:rPr>
        <w:t>hen used as a regular ground imaging radar in this manner (</w:t>
      </w:r>
      <w:r w:rsidR="005E1757" w:rsidRPr="006524BE">
        <w:rPr>
          <w:rFonts w:eastAsia="Calibri"/>
          <w:snapToGrid/>
          <w:color w:val="000000"/>
          <w:kern w:val="0"/>
          <w:szCs w:val="22"/>
        </w:rPr>
        <w:t>i.e.</w:t>
      </w:r>
      <w:r w:rsidR="005E1757">
        <w:rPr>
          <w:rFonts w:eastAsia="Calibri"/>
          <w:snapToGrid/>
          <w:color w:val="000000"/>
          <w:kern w:val="0"/>
          <w:szCs w:val="22"/>
        </w:rPr>
        <w:t xml:space="preserve">, when crops are absent), the Terrahawk will be subject to the same </w:t>
      </w:r>
      <w:r w:rsidR="00432F32">
        <w:rPr>
          <w:rFonts w:eastAsia="Calibri"/>
          <w:snapToGrid/>
          <w:color w:val="000000"/>
          <w:kern w:val="0"/>
          <w:szCs w:val="22"/>
        </w:rPr>
        <w:t xml:space="preserve">height </w:t>
      </w:r>
      <w:r w:rsidR="005E1757">
        <w:rPr>
          <w:rFonts w:eastAsia="Calibri"/>
          <w:snapToGrid/>
          <w:color w:val="000000"/>
          <w:kern w:val="0"/>
          <w:szCs w:val="22"/>
        </w:rPr>
        <w:t xml:space="preserve">constraint as other </w:t>
      </w:r>
      <w:r w:rsidR="00CA646D">
        <w:rPr>
          <w:rFonts w:eastAsia="Calibri"/>
          <w:snapToGrid/>
          <w:color w:val="000000"/>
          <w:kern w:val="0"/>
          <w:szCs w:val="22"/>
        </w:rPr>
        <w:t xml:space="preserve">UWB </w:t>
      </w:r>
      <w:r w:rsidR="005E1757">
        <w:rPr>
          <w:rFonts w:eastAsia="Calibri"/>
          <w:snapToGrid/>
          <w:color w:val="000000"/>
          <w:kern w:val="0"/>
          <w:szCs w:val="22"/>
        </w:rPr>
        <w:t xml:space="preserve">GPR devices operating under our rules. </w:t>
      </w:r>
      <w:r w:rsidR="005F1909">
        <w:rPr>
          <w:rFonts w:eastAsia="Calibri"/>
          <w:snapToGrid/>
          <w:color w:val="000000"/>
          <w:kern w:val="0"/>
          <w:szCs w:val="22"/>
        </w:rPr>
        <w:t xml:space="preserve"> </w:t>
      </w:r>
      <w:r w:rsidR="00CC66C5">
        <w:rPr>
          <w:rFonts w:eastAsia="Calibri"/>
          <w:snapToGrid/>
          <w:color w:val="000000"/>
          <w:kern w:val="0"/>
          <w:szCs w:val="22"/>
        </w:rPr>
        <w:t>Accordingly, f</w:t>
      </w:r>
      <w:r w:rsidR="0094251C">
        <w:rPr>
          <w:rFonts w:eastAsia="Calibri"/>
          <w:snapToGrid/>
          <w:color w:val="000000"/>
          <w:kern w:val="0"/>
          <w:szCs w:val="22"/>
        </w:rPr>
        <w:t>or all the above reasons, we find that</w:t>
      </w:r>
      <w:r w:rsidR="00D31B47" w:rsidRPr="00011B6F">
        <w:rPr>
          <w:color w:val="000000"/>
        </w:rPr>
        <w:t xml:space="preserve"> granting this waiver will not </w:t>
      </w:r>
      <w:r w:rsidR="001275FD" w:rsidRPr="00011B6F">
        <w:rPr>
          <w:color w:val="000000"/>
        </w:rPr>
        <w:t>increase the potential for harmful interference to authorized users</w:t>
      </w:r>
      <w:r w:rsidR="005067C8" w:rsidRPr="00011B6F">
        <w:rPr>
          <w:color w:val="000000"/>
        </w:rPr>
        <w:t>,</w:t>
      </w:r>
      <w:r w:rsidR="001275FD" w:rsidRPr="00011B6F">
        <w:rPr>
          <w:color w:val="000000"/>
        </w:rPr>
        <w:t xml:space="preserve"> </w:t>
      </w:r>
      <w:r w:rsidR="005067C8" w:rsidRPr="00011B6F">
        <w:rPr>
          <w:color w:val="000000"/>
        </w:rPr>
        <w:t xml:space="preserve">thus, it </w:t>
      </w:r>
      <w:r w:rsidR="001275FD" w:rsidRPr="00011B6F">
        <w:rPr>
          <w:color w:val="000000"/>
        </w:rPr>
        <w:t xml:space="preserve">will not </w:t>
      </w:r>
      <w:r w:rsidR="00D31B47" w:rsidRPr="00011B6F">
        <w:rPr>
          <w:color w:val="000000"/>
        </w:rPr>
        <w:t>undermine the purpose of th</w:t>
      </w:r>
      <w:r w:rsidR="008D3A8F" w:rsidRPr="00011B6F">
        <w:rPr>
          <w:color w:val="000000"/>
        </w:rPr>
        <w:t>e</w:t>
      </w:r>
      <w:r w:rsidR="00D31B47" w:rsidRPr="00011B6F">
        <w:rPr>
          <w:color w:val="000000"/>
        </w:rPr>
        <w:t xml:space="preserve"> rule.  </w:t>
      </w:r>
      <w:r w:rsidR="00E91EDD">
        <w:rPr>
          <w:rFonts w:eastAsia="Calibri"/>
          <w:snapToGrid/>
          <w:color w:val="000000"/>
          <w:kern w:val="0"/>
          <w:szCs w:val="22"/>
        </w:rPr>
        <w:t xml:space="preserve">Moreover, we find that Headsight has met the threshold for a waiver of our rules, and that we need not reach the determination whether losses to the Terrahawk’s emissions caused by crops are equivalent to </w:t>
      </w:r>
      <w:r w:rsidR="00505D5D">
        <w:rPr>
          <w:rFonts w:eastAsia="Calibri"/>
          <w:snapToGrid/>
          <w:color w:val="000000"/>
          <w:kern w:val="0"/>
          <w:szCs w:val="22"/>
        </w:rPr>
        <w:t>th</w:t>
      </w:r>
      <w:r w:rsidR="006D573B">
        <w:rPr>
          <w:rFonts w:eastAsia="Calibri"/>
          <w:snapToGrid/>
          <w:color w:val="000000"/>
          <w:kern w:val="0"/>
          <w:szCs w:val="22"/>
        </w:rPr>
        <w:t>ose</w:t>
      </w:r>
      <w:r w:rsidR="00505D5D">
        <w:rPr>
          <w:rFonts w:eastAsia="Calibri"/>
          <w:snapToGrid/>
          <w:color w:val="000000"/>
          <w:kern w:val="0"/>
          <w:szCs w:val="22"/>
        </w:rPr>
        <w:t xml:space="preserve"> caused by </w:t>
      </w:r>
      <w:r w:rsidR="00E91EDD">
        <w:rPr>
          <w:rFonts w:eastAsia="Calibri"/>
          <w:snapToGrid/>
          <w:color w:val="000000"/>
          <w:kern w:val="0"/>
          <w:szCs w:val="22"/>
        </w:rPr>
        <w:t>other ground materials, such as rocks or concrete, as Trimble alludes to.</w:t>
      </w:r>
      <w:r w:rsidR="006D573B">
        <w:rPr>
          <w:rStyle w:val="FootnoteReference"/>
          <w:rFonts w:eastAsia="Calibri"/>
          <w:snapToGrid/>
          <w:kern w:val="0"/>
          <w:szCs w:val="22"/>
        </w:rPr>
        <w:footnoteReference w:id="55"/>
      </w:r>
    </w:p>
    <w:p w:rsidR="00893812" w:rsidRPr="00893812" w:rsidRDefault="00105BFF" w:rsidP="00893812">
      <w:pPr>
        <w:pStyle w:val="ParaNum"/>
        <w:widowControl/>
        <w:autoSpaceDE w:val="0"/>
        <w:autoSpaceDN w:val="0"/>
        <w:adjustRightInd w:val="0"/>
        <w:rPr>
          <w:color w:val="000000"/>
        </w:rPr>
      </w:pPr>
      <w:r>
        <w:rPr>
          <w:color w:val="000000"/>
        </w:rPr>
        <w:t xml:space="preserve">To ensure that granting the waiver of Section </w:t>
      </w:r>
      <w:r w:rsidR="00012221">
        <w:rPr>
          <w:color w:val="000000"/>
        </w:rPr>
        <w:t xml:space="preserve">15.503(f) will not increase the potential for interference to authorized </w:t>
      </w:r>
      <w:r w:rsidR="00761895">
        <w:rPr>
          <w:color w:val="000000"/>
        </w:rPr>
        <w:t>users</w:t>
      </w:r>
      <w:r w:rsidR="00012221">
        <w:rPr>
          <w:color w:val="000000"/>
        </w:rPr>
        <w:t xml:space="preserve">, </w:t>
      </w:r>
      <w:r w:rsidR="0072154E">
        <w:rPr>
          <w:color w:val="000000"/>
        </w:rPr>
        <w:t xml:space="preserve">we will require that </w:t>
      </w:r>
      <w:r w:rsidR="00012221">
        <w:rPr>
          <w:color w:val="000000"/>
        </w:rPr>
        <w:t>measurements showing compliance with the emission levels specified in Section</w:t>
      </w:r>
      <w:r w:rsidR="0072154E">
        <w:rPr>
          <w:color w:val="000000"/>
        </w:rPr>
        <w:t>s</w:t>
      </w:r>
      <w:r w:rsidR="00012221">
        <w:rPr>
          <w:color w:val="000000"/>
        </w:rPr>
        <w:t xml:space="preserve"> 15.509 (d) and (e) be performed with the Terrahawk </w:t>
      </w:r>
      <w:r w:rsidR="00694912">
        <w:rPr>
          <w:color w:val="000000"/>
        </w:rPr>
        <w:t>positioned</w:t>
      </w:r>
      <w:r w:rsidR="00012221">
        <w:rPr>
          <w:color w:val="000000"/>
        </w:rPr>
        <w:t xml:space="preserve"> at </w:t>
      </w:r>
      <w:r w:rsidR="009B336E">
        <w:rPr>
          <w:color w:val="000000"/>
        </w:rPr>
        <w:t>heights of 1</w:t>
      </w:r>
      <w:r w:rsidR="008D2301">
        <w:rPr>
          <w:color w:val="000000"/>
        </w:rPr>
        <w:t>,</w:t>
      </w:r>
      <w:r w:rsidR="009B336E">
        <w:rPr>
          <w:color w:val="000000"/>
        </w:rPr>
        <w:t xml:space="preserve"> 2, 3 and 3.7</w:t>
      </w:r>
      <w:r w:rsidR="008D2301">
        <w:rPr>
          <w:color w:val="000000"/>
        </w:rPr>
        <w:t> </w:t>
      </w:r>
      <w:r w:rsidR="009B336E">
        <w:rPr>
          <w:color w:val="000000"/>
        </w:rPr>
        <w:t>m</w:t>
      </w:r>
      <w:r w:rsidR="008D2301">
        <w:rPr>
          <w:color w:val="000000"/>
        </w:rPr>
        <w:t>eters</w:t>
      </w:r>
      <w:r w:rsidR="009B336E">
        <w:rPr>
          <w:color w:val="000000"/>
        </w:rPr>
        <w:t xml:space="preserve"> </w:t>
      </w:r>
      <w:r w:rsidR="00012221">
        <w:rPr>
          <w:color w:val="000000"/>
        </w:rPr>
        <w:t>above the ground</w:t>
      </w:r>
      <w:r w:rsidR="001D6073">
        <w:rPr>
          <w:color w:val="000000"/>
        </w:rPr>
        <w:t xml:space="preserve">.  </w:t>
      </w:r>
      <w:r w:rsidR="00FF6377">
        <w:rPr>
          <w:color w:val="000000"/>
        </w:rPr>
        <w:t>Furthermore, t</w:t>
      </w:r>
      <w:r w:rsidR="001D6073">
        <w:rPr>
          <w:color w:val="000000"/>
        </w:rPr>
        <w:t xml:space="preserve">o avoid potential aggregation of emissions from multiple Terrahawk transmitters, </w:t>
      </w:r>
      <w:r w:rsidR="001D6073">
        <w:rPr>
          <w:color w:val="000000"/>
          <w:szCs w:val="22"/>
        </w:rPr>
        <w:t>we will require a minimum separation distance of 1.5</w:t>
      </w:r>
      <w:r w:rsidR="00626232">
        <w:t> </w:t>
      </w:r>
      <w:r w:rsidR="001D6073">
        <w:rPr>
          <w:color w:val="000000"/>
          <w:szCs w:val="22"/>
        </w:rPr>
        <w:t xml:space="preserve">meters (~ 5 feet) between transmitters when they are </w:t>
      </w:r>
      <w:r w:rsidR="00AD4B2F">
        <w:rPr>
          <w:color w:val="000000"/>
          <w:szCs w:val="22"/>
        </w:rPr>
        <w:t>installed</w:t>
      </w:r>
      <w:r w:rsidR="001D6073">
        <w:rPr>
          <w:color w:val="000000"/>
        </w:rPr>
        <w:t xml:space="preserve"> </w:t>
      </w:r>
      <w:r w:rsidR="00626232">
        <w:rPr>
          <w:color w:val="000000"/>
        </w:rPr>
        <w:t xml:space="preserve">for operation </w:t>
      </w:r>
      <w:r w:rsidR="001D6073">
        <w:rPr>
          <w:color w:val="000000"/>
        </w:rPr>
        <w:t xml:space="preserve">on a single piece of farming machinery </w:t>
      </w:r>
      <w:r w:rsidR="001D6073" w:rsidRPr="00372AD3">
        <w:rPr>
          <w:color w:val="000000"/>
          <w:szCs w:val="22"/>
        </w:rPr>
        <w:t>(</w:t>
      </w:r>
      <w:r w:rsidR="00626232">
        <w:rPr>
          <w:color w:val="000000"/>
          <w:szCs w:val="22"/>
        </w:rPr>
        <w:t xml:space="preserve">a </w:t>
      </w:r>
      <w:r w:rsidR="001D6073" w:rsidRPr="00372AD3">
        <w:rPr>
          <w:color w:val="000000"/>
          <w:szCs w:val="22"/>
        </w:rPr>
        <w:t>combine harvester</w:t>
      </w:r>
      <w:r w:rsidR="001D6073" w:rsidRPr="00613BB5">
        <w:rPr>
          <w:color w:val="000000"/>
          <w:szCs w:val="22"/>
        </w:rPr>
        <w:t xml:space="preserve">, ground </w:t>
      </w:r>
      <w:r w:rsidR="001D6073" w:rsidRPr="00F85DB7">
        <w:rPr>
          <w:color w:val="000000"/>
          <w:szCs w:val="22"/>
        </w:rPr>
        <w:t xml:space="preserve">tiller, fertilizer, </w:t>
      </w:r>
      <w:r w:rsidR="001D6073" w:rsidRPr="00EB0159">
        <w:rPr>
          <w:color w:val="000000"/>
          <w:szCs w:val="22"/>
        </w:rPr>
        <w:t>etc</w:t>
      </w:r>
      <w:r w:rsidR="001D6073" w:rsidRPr="00F85DB7">
        <w:rPr>
          <w:color w:val="000000"/>
          <w:szCs w:val="22"/>
        </w:rPr>
        <w:t>.)</w:t>
      </w:r>
      <w:r w:rsidR="001D6073">
        <w:rPr>
          <w:color w:val="000000"/>
          <w:szCs w:val="22"/>
        </w:rPr>
        <w:t>.</w:t>
      </w:r>
      <w:r w:rsidR="00012221">
        <w:rPr>
          <w:color w:val="000000"/>
        </w:rPr>
        <w:t xml:space="preserve">  </w:t>
      </w:r>
    </w:p>
    <w:p w:rsidR="00C643B8" w:rsidRPr="007616EA" w:rsidRDefault="00D31B47" w:rsidP="007616EA">
      <w:pPr>
        <w:pStyle w:val="ParaNum"/>
        <w:widowControl/>
        <w:autoSpaceDE w:val="0"/>
        <w:autoSpaceDN w:val="0"/>
        <w:adjustRightInd w:val="0"/>
        <w:rPr>
          <w:color w:val="000000"/>
        </w:rPr>
      </w:pPr>
      <w:r w:rsidRPr="007616EA">
        <w:rPr>
          <w:color w:val="000000"/>
        </w:rPr>
        <w:t xml:space="preserve">In addition, there is a stronger public </w:t>
      </w:r>
      <w:r w:rsidR="00197B58" w:rsidRPr="007616EA">
        <w:rPr>
          <w:color w:val="000000"/>
        </w:rPr>
        <w:t>i</w:t>
      </w:r>
      <w:r w:rsidRPr="007616EA">
        <w:rPr>
          <w:color w:val="000000"/>
        </w:rPr>
        <w:t xml:space="preserve">nterest benefit in granting this waiver than in strictly applying the rule.  By allowing the Terrahawk to </w:t>
      </w:r>
      <w:r w:rsidRPr="00E5313B">
        <w:rPr>
          <w:color w:val="000000"/>
        </w:rPr>
        <w:t>operate one</w:t>
      </w:r>
      <w:r w:rsidR="006D1DCE" w:rsidRPr="00E5313B">
        <w:rPr>
          <w:color w:val="000000"/>
        </w:rPr>
        <w:t xml:space="preserve"> </w:t>
      </w:r>
      <w:r w:rsidRPr="00E5313B">
        <w:rPr>
          <w:color w:val="000000"/>
        </w:rPr>
        <w:t xml:space="preserve">meter above crop heights, </w:t>
      </w:r>
      <w:r w:rsidR="00453275" w:rsidRPr="00E5313B">
        <w:rPr>
          <w:color w:val="000000"/>
        </w:rPr>
        <w:t>it can be used in conjunction with the harvesting of</w:t>
      </w:r>
      <w:r w:rsidRPr="00E5313B">
        <w:rPr>
          <w:color w:val="000000"/>
        </w:rPr>
        <w:t xml:space="preserve"> many crops</w:t>
      </w:r>
      <w:r w:rsidR="00F254EF" w:rsidRPr="00E5313B">
        <w:rPr>
          <w:color w:val="000000"/>
        </w:rPr>
        <w:t>,</w:t>
      </w:r>
      <w:r w:rsidRPr="00E5313B">
        <w:rPr>
          <w:color w:val="000000"/>
        </w:rPr>
        <w:t xml:space="preserve"> including tall cereal crops</w:t>
      </w:r>
      <w:r w:rsidR="00453275" w:rsidRPr="00E5313B">
        <w:rPr>
          <w:color w:val="000000"/>
        </w:rPr>
        <w:t>.</w:t>
      </w:r>
      <w:r w:rsidR="003D6C7F">
        <w:rPr>
          <w:rStyle w:val="FootnoteReference"/>
        </w:rPr>
        <w:footnoteReference w:id="56"/>
      </w:r>
      <w:r w:rsidR="00453275" w:rsidRPr="007616EA">
        <w:rPr>
          <w:color w:val="000000"/>
        </w:rPr>
        <w:t xml:space="preserve">  </w:t>
      </w:r>
      <w:r w:rsidR="00E5313B" w:rsidRPr="007616EA">
        <w:rPr>
          <w:color w:val="000000"/>
        </w:rPr>
        <w:t>Allowing</w:t>
      </w:r>
      <w:r w:rsidRPr="00A02E75">
        <w:rPr>
          <w:color w:val="000000"/>
        </w:rPr>
        <w:t xml:space="preserve"> farmers </w:t>
      </w:r>
      <w:r w:rsidR="00E5313B" w:rsidRPr="00A02E75">
        <w:rPr>
          <w:color w:val="000000"/>
        </w:rPr>
        <w:t>to obtain</w:t>
      </w:r>
      <w:r w:rsidRPr="00E5313B">
        <w:rPr>
          <w:color w:val="000000"/>
        </w:rPr>
        <w:t xml:space="preserve"> </w:t>
      </w:r>
      <w:r w:rsidR="00440904" w:rsidRPr="00E5313B">
        <w:rPr>
          <w:color w:val="000000"/>
          <w:szCs w:val="22"/>
        </w:rPr>
        <w:t>timely and accurate data on soil</w:t>
      </w:r>
      <w:r w:rsidR="005352FD" w:rsidRPr="00E5313B">
        <w:rPr>
          <w:color w:val="000000"/>
          <w:szCs w:val="22"/>
        </w:rPr>
        <w:t xml:space="preserve"> composition</w:t>
      </w:r>
      <w:r w:rsidR="00440904" w:rsidRPr="00E5313B">
        <w:rPr>
          <w:color w:val="000000"/>
          <w:szCs w:val="22"/>
        </w:rPr>
        <w:t>, and crop conditions</w:t>
      </w:r>
      <w:r w:rsidR="00E5313B" w:rsidRPr="00E5313B">
        <w:rPr>
          <w:color w:val="000000"/>
        </w:rPr>
        <w:t xml:space="preserve"> will</w:t>
      </w:r>
      <w:r w:rsidR="002216AD" w:rsidRPr="00E5313B">
        <w:rPr>
          <w:color w:val="000000"/>
        </w:rPr>
        <w:t xml:space="preserve"> lead</w:t>
      </w:r>
      <w:r w:rsidR="00CA646D">
        <w:rPr>
          <w:color w:val="000000"/>
        </w:rPr>
        <w:t xml:space="preserve"> </w:t>
      </w:r>
      <w:r w:rsidR="002216AD" w:rsidRPr="00E5313B">
        <w:rPr>
          <w:color w:val="000000"/>
        </w:rPr>
        <w:t>to higher crop yields</w:t>
      </w:r>
      <w:r w:rsidR="00A21912" w:rsidRPr="00E5313B">
        <w:rPr>
          <w:color w:val="000000"/>
        </w:rPr>
        <w:t xml:space="preserve">, which </w:t>
      </w:r>
      <w:r w:rsidR="00E5313B" w:rsidRPr="00E5313B">
        <w:rPr>
          <w:color w:val="000000"/>
        </w:rPr>
        <w:t xml:space="preserve">in turn </w:t>
      </w:r>
      <w:r w:rsidR="00A21912" w:rsidRPr="00E5313B">
        <w:rPr>
          <w:color w:val="000000"/>
        </w:rPr>
        <w:t>will benefit the American public</w:t>
      </w:r>
      <w:r w:rsidR="002216AD" w:rsidRPr="00E5313B">
        <w:rPr>
          <w:color w:val="000000"/>
        </w:rPr>
        <w:t>.</w:t>
      </w:r>
      <w:r w:rsidR="00F53913" w:rsidRPr="00E5313B">
        <w:rPr>
          <w:color w:val="000000"/>
        </w:rPr>
        <w:t xml:space="preserve">  We thus find good cause exists for granting Headsight a waiver of </w:t>
      </w:r>
      <w:r w:rsidR="00434A12" w:rsidRPr="00E5313B">
        <w:rPr>
          <w:color w:val="000000"/>
        </w:rPr>
        <w:t>Section</w:t>
      </w:r>
      <w:r w:rsidR="00F53913" w:rsidRPr="00E5313B">
        <w:rPr>
          <w:color w:val="000000"/>
        </w:rPr>
        <w:t xml:space="preserve"> 15.503(f)</w:t>
      </w:r>
      <w:r w:rsidR="00E5313B" w:rsidRPr="00E5313B">
        <w:rPr>
          <w:color w:val="000000"/>
        </w:rPr>
        <w:t>.</w:t>
      </w:r>
      <w:r w:rsidR="00E5313B">
        <w:rPr>
          <w:color w:val="000000"/>
        </w:rPr>
        <w:t xml:space="preserve">  </w:t>
      </w:r>
      <w:r w:rsidR="00C643B8" w:rsidRPr="007616EA">
        <w:rPr>
          <w:color w:val="000000"/>
        </w:rPr>
        <w:t>To further ensure that harmful interference to authorized operations will not occur, we impos</w:t>
      </w:r>
      <w:r w:rsidR="00E5313B">
        <w:rPr>
          <w:color w:val="000000"/>
        </w:rPr>
        <w:t xml:space="preserve">e explicit </w:t>
      </w:r>
      <w:r w:rsidR="00C643B8" w:rsidRPr="007616EA">
        <w:rPr>
          <w:color w:val="000000"/>
        </w:rPr>
        <w:t xml:space="preserve">conditions on the </w:t>
      </w:r>
      <w:r w:rsidR="006769A4">
        <w:rPr>
          <w:color w:val="000000"/>
        </w:rPr>
        <w:t>testing</w:t>
      </w:r>
      <w:r w:rsidR="00C643B8" w:rsidRPr="007616EA">
        <w:rPr>
          <w:color w:val="000000"/>
        </w:rPr>
        <w:t xml:space="preserve"> and operation of the </w:t>
      </w:r>
      <w:r w:rsidR="00DD2415" w:rsidRPr="00A02E75">
        <w:rPr>
          <w:color w:val="000000"/>
        </w:rPr>
        <w:t>Terrahawk</w:t>
      </w:r>
      <w:r w:rsidR="00C643B8" w:rsidRPr="00A02E75">
        <w:rPr>
          <w:color w:val="000000"/>
        </w:rPr>
        <w:t xml:space="preserve"> under th</w:t>
      </w:r>
      <w:r w:rsidR="00DD2415" w:rsidRPr="00A02E75">
        <w:rPr>
          <w:color w:val="000000"/>
        </w:rPr>
        <w:t>is</w:t>
      </w:r>
      <w:r w:rsidR="00C643B8" w:rsidRPr="00A02E75">
        <w:rPr>
          <w:color w:val="000000"/>
        </w:rPr>
        <w:t xml:space="preserve"> waiver, as </w:t>
      </w:r>
      <w:r w:rsidR="00E5313B">
        <w:rPr>
          <w:color w:val="000000"/>
        </w:rPr>
        <w:t>follows:</w:t>
      </w:r>
    </w:p>
    <w:p w:rsidR="00C643B8" w:rsidRPr="00514711" w:rsidRDefault="00C643B8" w:rsidP="00573CFF">
      <w:pPr>
        <w:pStyle w:val="StyleParaNumLeft"/>
        <w:numPr>
          <w:ilvl w:val="0"/>
          <w:numId w:val="0"/>
        </w:numPr>
        <w:spacing w:before="240"/>
        <w:rPr>
          <w:color w:val="000000"/>
          <w:u w:val="single"/>
        </w:rPr>
      </w:pPr>
      <w:r w:rsidRPr="00514711">
        <w:rPr>
          <w:color w:val="000000"/>
          <w:u w:val="single"/>
        </w:rPr>
        <w:t>WAIVER CONDITIONS</w:t>
      </w:r>
    </w:p>
    <w:p w:rsidR="00C643B8" w:rsidRPr="00514711" w:rsidRDefault="00C643B8" w:rsidP="005F0144">
      <w:pPr>
        <w:pStyle w:val="ParaNum"/>
        <w:rPr>
          <w:color w:val="000000"/>
        </w:rPr>
      </w:pPr>
      <w:r w:rsidRPr="00514711">
        <w:rPr>
          <w:color w:val="000000"/>
        </w:rPr>
        <w:t xml:space="preserve">The following conditions shall apply to the waiver being granted to </w:t>
      </w:r>
      <w:r w:rsidR="00287533" w:rsidRPr="00514711">
        <w:rPr>
          <w:color w:val="000000"/>
        </w:rPr>
        <w:t>Headsight</w:t>
      </w:r>
      <w:r w:rsidRPr="00514711">
        <w:rPr>
          <w:color w:val="000000"/>
        </w:rPr>
        <w:t xml:space="preserve"> for </w:t>
      </w:r>
      <w:r w:rsidR="006769A4">
        <w:rPr>
          <w:color w:val="000000"/>
        </w:rPr>
        <w:t xml:space="preserve">the testing, </w:t>
      </w:r>
      <w:r w:rsidRPr="00514711">
        <w:rPr>
          <w:color w:val="000000"/>
        </w:rPr>
        <w:t xml:space="preserve">certification </w:t>
      </w:r>
      <w:r w:rsidR="002702C6" w:rsidRPr="00514711">
        <w:rPr>
          <w:color w:val="000000"/>
        </w:rPr>
        <w:t xml:space="preserve">and operation </w:t>
      </w:r>
      <w:r w:rsidRPr="00514711">
        <w:rPr>
          <w:color w:val="000000"/>
        </w:rPr>
        <w:t xml:space="preserve">of the </w:t>
      </w:r>
      <w:r w:rsidR="00287533" w:rsidRPr="00514711">
        <w:rPr>
          <w:color w:val="000000"/>
        </w:rPr>
        <w:t>Terrahawk GPR device</w:t>
      </w:r>
      <w:r w:rsidRPr="00514711">
        <w:rPr>
          <w:color w:val="000000"/>
        </w:rPr>
        <w:t>:</w:t>
      </w:r>
    </w:p>
    <w:p w:rsidR="00395BB1" w:rsidRDefault="00C643B8" w:rsidP="005F0144">
      <w:pPr>
        <w:pStyle w:val="StyleParaNumLeft"/>
        <w:numPr>
          <w:ilvl w:val="1"/>
          <w:numId w:val="15"/>
        </w:numPr>
        <w:tabs>
          <w:tab w:val="clear" w:pos="1440"/>
          <w:tab w:val="clear" w:pos="1800"/>
          <w:tab w:val="left" w:pos="1080"/>
        </w:tabs>
        <w:ind w:left="720" w:firstLine="0"/>
        <w:rPr>
          <w:color w:val="000000"/>
        </w:rPr>
      </w:pPr>
      <w:r w:rsidRPr="00514711">
        <w:rPr>
          <w:color w:val="000000"/>
        </w:rPr>
        <w:t xml:space="preserve">The </w:t>
      </w:r>
      <w:r w:rsidR="00623F13" w:rsidRPr="00514711">
        <w:rPr>
          <w:color w:val="000000"/>
        </w:rPr>
        <w:t>Terrahawk</w:t>
      </w:r>
      <w:r w:rsidRPr="00514711">
        <w:rPr>
          <w:color w:val="000000"/>
        </w:rPr>
        <w:t xml:space="preserve"> shall be </w:t>
      </w:r>
      <w:r w:rsidR="00694912">
        <w:rPr>
          <w:color w:val="000000"/>
        </w:rPr>
        <w:t>tested</w:t>
      </w:r>
      <w:r w:rsidR="00694912" w:rsidRPr="00514711">
        <w:rPr>
          <w:color w:val="000000"/>
        </w:rPr>
        <w:t xml:space="preserve"> </w:t>
      </w:r>
      <w:r w:rsidRPr="00514711">
        <w:rPr>
          <w:color w:val="000000"/>
        </w:rPr>
        <w:t xml:space="preserve">for compliance with </w:t>
      </w:r>
      <w:r w:rsidR="003A468C" w:rsidRPr="00514711">
        <w:rPr>
          <w:color w:val="000000"/>
        </w:rPr>
        <w:t xml:space="preserve">all </w:t>
      </w:r>
      <w:r w:rsidRPr="00514711">
        <w:rPr>
          <w:color w:val="000000"/>
        </w:rPr>
        <w:t>the technical specifications applicable to operation under 47 CFR Part 15.</w:t>
      </w:r>
      <w:r w:rsidRPr="00514711">
        <w:rPr>
          <w:rStyle w:val="FootnoteReference"/>
          <w:color w:val="000000"/>
        </w:rPr>
        <w:footnoteReference w:id="57"/>
      </w:r>
      <w:r w:rsidRPr="00514711">
        <w:rPr>
          <w:color w:val="000000"/>
        </w:rPr>
        <w:t xml:space="preserve"> </w:t>
      </w:r>
      <w:r w:rsidR="00571E8F" w:rsidRPr="00514711">
        <w:rPr>
          <w:color w:val="000000"/>
        </w:rPr>
        <w:t xml:space="preserve"> </w:t>
      </w:r>
      <w:r w:rsidRPr="00514711">
        <w:rPr>
          <w:color w:val="000000"/>
        </w:rPr>
        <w:t xml:space="preserve">However, compliance with the </w:t>
      </w:r>
      <w:r w:rsidR="00026151" w:rsidRPr="00514711">
        <w:rPr>
          <w:color w:val="000000"/>
        </w:rPr>
        <w:t xml:space="preserve">restriction on permissible uses of GPR devices in </w:t>
      </w:r>
      <w:r w:rsidRPr="00514711">
        <w:rPr>
          <w:color w:val="000000"/>
        </w:rPr>
        <w:t>47 CFR </w:t>
      </w:r>
      <w:r w:rsidR="00623F13" w:rsidRPr="00514711">
        <w:rPr>
          <w:color w:val="000000"/>
          <w:szCs w:val="22"/>
        </w:rPr>
        <w:t>§</w:t>
      </w:r>
      <w:r w:rsidRPr="00514711">
        <w:rPr>
          <w:color w:val="000000"/>
        </w:rPr>
        <w:t> </w:t>
      </w:r>
      <w:r w:rsidR="00623F13" w:rsidRPr="00514711">
        <w:rPr>
          <w:color w:val="000000"/>
        </w:rPr>
        <w:t>15.509</w:t>
      </w:r>
      <w:r w:rsidRPr="00514711">
        <w:rPr>
          <w:color w:val="000000"/>
        </w:rPr>
        <w:t>(</w:t>
      </w:r>
      <w:r w:rsidR="00623F13" w:rsidRPr="00514711">
        <w:rPr>
          <w:color w:val="000000"/>
        </w:rPr>
        <w:t>b</w:t>
      </w:r>
      <w:r w:rsidRPr="00514711">
        <w:rPr>
          <w:color w:val="000000"/>
        </w:rPr>
        <w:t>)</w:t>
      </w:r>
      <w:r w:rsidR="00026151" w:rsidRPr="00514711">
        <w:rPr>
          <w:color w:val="000000"/>
        </w:rPr>
        <w:t xml:space="preserve">, </w:t>
      </w:r>
      <w:r w:rsidR="008645A3" w:rsidRPr="00514711">
        <w:rPr>
          <w:color w:val="000000"/>
        </w:rPr>
        <w:t xml:space="preserve">and </w:t>
      </w:r>
      <w:r w:rsidR="00026151" w:rsidRPr="00514711">
        <w:rPr>
          <w:color w:val="000000"/>
        </w:rPr>
        <w:t xml:space="preserve">with </w:t>
      </w:r>
      <w:r w:rsidR="006C692B" w:rsidRPr="00514711">
        <w:rPr>
          <w:color w:val="000000"/>
        </w:rPr>
        <w:t>the one-meter-above-ground limitation of 47 CFR </w:t>
      </w:r>
      <w:r w:rsidR="006C692B" w:rsidRPr="00514711">
        <w:rPr>
          <w:color w:val="000000"/>
          <w:szCs w:val="22"/>
        </w:rPr>
        <w:t>§</w:t>
      </w:r>
      <w:r w:rsidR="006C692B" w:rsidRPr="00514711">
        <w:rPr>
          <w:color w:val="000000"/>
        </w:rPr>
        <w:t> </w:t>
      </w:r>
      <w:r w:rsidR="008645A3" w:rsidRPr="00514711">
        <w:rPr>
          <w:color w:val="000000"/>
        </w:rPr>
        <w:t xml:space="preserve">15.503(f) </w:t>
      </w:r>
      <w:r w:rsidR="00687BDF" w:rsidRPr="00514711">
        <w:rPr>
          <w:color w:val="000000"/>
        </w:rPr>
        <w:t>is</w:t>
      </w:r>
      <w:r w:rsidRPr="00514711">
        <w:rPr>
          <w:color w:val="000000"/>
        </w:rPr>
        <w:t xml:space="preserve"> waived to allow the device to </w:t>
      </w:r>
      <w:r w:rsidR="00623F13" w:rsidRPr="00514711">
        <w:rPr>
          <w:color w:val="000000"/>
        </w:rPr>
        <w:t xml:space="preserve">be used </w:t>
      </w:r>
      <w:r w:rsidR="005965EF" w:rsidRPr="00514711">
        <w:rPr>
          <w:color w:val="000000"/>
        </w:rPr>
        <w:t xml:space="preserve">for </w:t>
      </w:r>
      <w:r w:rsidR="00623F13" w:rsidRPr="00514711">
        <w:rPr>
          <w:color w:val="000000"/>
        </w:rPr>
        <w:t>agricultural purposes, at a height of one</w:t>
      </w:r>
      <w:r w:rsidR="0096688B" w:rsidRPr="00514711">
        <w:rPr>
          <w:color w:val="000000"/>
        </w:rPr>
        <w:t xml:space="preserve"> </w:t>
      </w:r>
      <w:r w:rsidR="00623F13" w:rsidRPr="00514711">
        <w:rPr>
          <w:color w:val="000000"/>
        </w:rPr>
        <w:t xml:space="preserve">meter </w:t>
      </w:r>
      <w:r w:rsidR="00DB4B34" w:rsidRPr="00514711">
        <w:rPr>
          <w:color w:val="000000"/>
        </w:rPr>
        <w:t>a</w:t>
      </w:r>
      <w:r w:rsidR="00623F13" w:rsidRPr="00514711">
        <w:rPr>
          <w:color w:val="000000"/>
        </w:rPr>
        <w:t>bove crop heights</w:t>
      </w:r>
      <w:r w:rsidR="00545516" w:rsidRPr="00514711">
        <w:rPr>
          <w:color w:val="000000"/>
        </w:rPr>
        <w:t>,</w:t>
      </w:r>
      <w:r w:rsidR="00623F13" w:rsidRPr="00514711">
        <w:rPr>
          <w:color w:val="000000"/>
        </w:rPr>
        <w:t xml:space="preserve"> but not to exceed </w:t>
      </w:r>
      <w:r w:rsidR="00BA75EF" w:rsidRPr="00514711">
        <w:rPr>
          <w:color w:val="000000"/>
        </w:rPr>
        <w:t>12</w:t>
      </w:r>
      <w:r w:rsidR="006D64F7" w:rsidRPr="00514711">
        <w:rPr>
          <w:color w:val="000000"/>
        </w:rPr>
        <w:t> </w:t>
      </w:r>
      <w:r w:rsidR="00BA75EF" w:rsidRPr="00514711">
        <w:rPr>
          <w:color w:val="000000"/>
        </w:rPr>
        <w:t>feet (3.7 meters)</w:t>
      </w:r>
      <w:r w:rsidR="00623F13" w:rsidRPr="00514711">
        <w:rPr>
          <w:color w:val="000000"/>
        </w:rPr>
        <w:t xml:space="preserve"> above the soil surface</w:t>
      </w:r>
      <w:r w:rsidR="00395BB1" w:rsidRPr="00514711">
        <w:rPr>
          <w:color w:val="000000"/>
        </w:rPr>
        <w:t>.</w:t>
      </w:r>
    </w:p>
    <w:p w:rsidR="005140CB" w:rsidRDefault="005140CB" w:rsidP="005F0144">
      <w:pPr>
        <w:pStyle w:val="StyleParaNumLeft"/>
        <w:numPr>
          <w:ilvl w:val="1"/>
          <w:numId w:val="15"/>
        </w:numPr>
        <w:tabs>
          <w:tab w:val="clear" w:pos="1440"/>
          <w:tab w:val="clear" w:pos="1800"/>
          <w:tab w:val="left" w:pos="1080"/>
        </w:tabs>
        <w:ind w:left="720" w:firstLine="0"/>
        <w:rPr>
          <w:color w:val="000000"/>
        </w:rPr>
      </w:pPr>
      <w:r>
        <w:rPr>
          <w:color w:val="000000"/>
        </w:rPr>
        <w:t xml:space="preserve">The measurements to show compliance with the emission levels specified in </w:t>
      </w:r>
      <w:r w:rsidR="004A2163">
        <w:rPr>
          <w:color w:val="000000"/>
        </w:rPr>
        <w:t>47 CFR §</w:t>
      </w:r>
      <w:r w:rsidR="00626232">
        <w:rPr>
          <w:color w:val="000000"/>
        </w:rPr>
        <w:t>§</w:t>
      </w:r>
      <w:r w:rsidR="004A2163">
        <w:rPr>
          <w:color w:val="000000"/>
        </w:rPr>
        <w:t xml:space="preserve"> </w:t>
      </w:r>
      <w:r>
        <w:rPr>
          <w:color w:val="000000"/>
        </w:rPr>
        <w:t xml:space="preserve">15.509(d) and (e) must be performed with the Terrahawk positioned </w:t>
      </w:r>
      <w:r w:rsidR="009B336E">
        <w:rPr>
          <w:color w:val="000000"/>
        </w:rPr>
        <w:t xml:space="preserve">at 1, 2, 3, and </w:t>
      </w:r>
      <w:r>
        <w:rPr>
          <w:color w:val="000000"/>
        </w:rPr>
        <w:t>3.7 meters above the ground.</w:t>
      </w:r>
      <w:r w:rsidR="00A267D4">
        <w:rPr>
          <w:color w:val="000000"/>
        </w:rPr>
        <w:t xml:space="preserve">  </w:t>
      </w:r>
      <w:r w:rsidR="00034817" w:rsidRPr="0007603D">
        <w:rPr>
          <w:color w:val="000000" w:themeColor="text1"/>
        </w:rPr>
        <w:t>Compliance measurements shall be performed according to Commission-approved test procedures to obtain worst-case emission levels.</w:t>
      </w:r>
      <w:bookmarkStart w:id="6" w:name="_Ref474173962"/>
      <w:r w:rsidR="00034817">
        <w:rPr>
          <w:rStyle w:val="FootnoteReference"/>
        </w:rPr>
        <w:footnoteReference w:id="58"/>
      </w:r>
      <w:bookmarkEnd w:id="6"/>
      <w:r w:rsidR="005748DB">
        <w:rPr>
          <w:color w:val="000000" w:themeColor="text1"/>
        </w:rPr>
        <w:t xml:space="preserve"> </w:t>
      </w:r>
    </w:p>
    <w:p w:rsidR="005140CB" w:rsidRDefault="00AD4B2F" w:rsidP="005F0144">
      <w:pPr>
        <w:pStyle w:val="StyleParaNumLeft"/>
        <w:numPr>
          <w:ilvl w:val="1"/>
          <w:numId w:val="15"/>
        </w:numPr>
        <w:tabs>
          <w:tab w:val="clear" w:pos="1440"/>
          <w:tab w:val="clear" w:pos="1800"/>
          <w:tab w:val="left" w:pos="1080"/>
        </w:tabs>
        <w:ind w:left="720" w:firstLine="0"/>
        <w:rPr>
          <w:color w:val="000000"/>
        </w:rPr>
      </w:pPr>
      <w:r>
        <w:rPr>
          <w:color w:val="000000"/>
        </w:rPr>
        <w:t xml:space="preserve">Multiple </w:t>
      </w:r>
      <w:r w:rsidR="0066789C">
        <w:rPr>
          <w:color w:val="000000"/>
        </w:rPr>
        <w:t xml:space="preserve">Terrahawk transmitters intended to </w:t>
      </w:r>
      <w:r w:rsidR="002B33F3">
        <w:rPr>
          <w:color w:val="000000"/>
        </w:rPr>
        <w:t xml:space="preserve">be mounted on a single </w:t>
      </w:r>
      <w:r w:rsidR="00222313">
        <w:rPr>
          <w:color w:val="000000"/>
        </w:rPr>
        <w:t xml:space="preserve">piece of </w:t>
      </w:r>
      <w:r w:rsidR="002B33F3">
        <w:rPr>
          <w:color w:val="000000"/>
        </w:rPr>
        <w:t>farm</w:t>
      </w:r>
      <w:r w:rsidR="00222313">
        <w:rPr>
          <w:color w:val="000000"/>
        </w:rPr>
        <w:t>ing</w:t>
      </w:r>
      <w:r w:rsidR="002B33F3">
        <w:rPr>
          <w:color w:val="000000"/>
        </w:rPr>
        <w:t xml:space="preserve"> </w:t>
      </w:r>
      <w:r w:rsidR="00272D4E">
        <w:rPr>
          <w:color w:val="000000"/>
        </w:rPr>
        <w:t>machinery</w:t>
      </w:r>
      <w:r w:rsidR="002B33F3">
        <w:rPr>
          <w:color w:val="000000"/>
        </w:rPr>
        <w:t xml:space="preserve"> </w:t>
      </w:r>
      <w:r w:rsidR="00222313" w:rsidRPr="00372AD3">
        <w:rPr>
          <w:color w:val="000000"/>
          <w:szCs w:val="22"/>
        </w:rPr>
        <w:t>(</w:t>
      </w:r>
      <w:r w:rsidR="00BA371E">
        <w:rPr>
          <w:color w:val="000000"/>
          <w:szCs w:val="22"/>
        </w:rPr>
        <w:t xml:space="preserve">a </w:t>
      </w:r>
      <w:r w:rsidR="00222313" w:rsidRPr="00372AD3">
        <w:rPr>
          <w:color w:val="000000"/>
          <w:szCs w:val="22"/>
        </w:rPr>
        <w:t>combine harvester</w:t>
      </w:r>
      <w:r w:rsidR="00222313" w:rsidRPr="00613BB5">
        <w:rPr>
          <w:color w:val="000000"/>
          <w:szCs w:val="22"/>
        </w:rPr>
        <w:t xml:space="preserve">, ground </w:t>
      </w:r>
      <w:r w:rsidR="00222313" w:rsidRPr="00F85DB7">
        <w:rPr>
          <w:color w:val="000000"/>
          <w:szCs w:val="22"/>
        </w:rPr>
        <w:t xml:space="preserve">tiller, fertilizer, </w:t>
      </w:r>
      <w:r w:rsidR="00222313" w:rsidRPr="00EB0159">
        <w:rPr>
          <w:color w:val="000000"/>
          <w:szCs w:val="22"/>
        </w:rPr>
        <w:t>etc</w:t>
      </w:r>
      <w:r w:rsidR="00222313" w:rsidRPr="00F85DB7">
        <w:rPr>
          <w:color w:val="000000"/>
          <w:szCs w:val="22"/>
        </w:rPr>
        <w:t>.)</w:t>
      </w:r>
      <w:r w:rsidR="00222313">
        <w:rPr>
          <w:color w:val="000000"/>
          <w:szCs w:val="22"/>
        </w:rPr>
        <w:t xml:space="preserve"> </w:t>
      </w:r>
      <w:r w:rsidR="002B33F3">
        <w:rPr>
          <w:color w:val="000000"/>
        </w:rPr>
        <w:t xml:space="preserve">in any installation </w:t>
      </w:r>
      <w:r w:rsidR="0066789C">
        <w:rPr>
          <w:color w:val="000000"/>
        </w:rPr>
        <w:t xml:space="preserve">shall be </w:t>
      </w:r>
      <w:r w:rsidR="00975D69">
        <w:rPr>
          <w:color w:val="000000"/>
        </w:rPr>
        <w:t>positioned</w:t>
      </w:r>
      <w:r>
        <w:rPr>
          <w:color w:val="000000"/>
        </w:rPr>
        <w:t xml:space="preserve"> </w:t>
      </w:r>
      <w:r w:rsidR="00626232">
        <w:rPr>
          <w:color w:val="000000"/>
        </w:rPr>
        <w:t xml:space="preserve">for operation </w:t>
      </w:r>
      <w:r>
        <w:rPr>
          <w:color w:val="000000"/>
        </w:rPr>
        <w:t>with a minimum separation distance of 1.5 m (~ 5 feet) between transmitters.</w:t>
      </w:r>
      <w:r w:rsidR="00032710">
        <w:rPr>
          <w:color w:val="000000"/>
        </w:rPr>
        <w:t xml:space="preserve"> </w:t>
      </w:r>
      <w:r w:rsidR="002B33F3">
        <w:rPr>
          <w:color w:val="000000"/>
        </w:rPr>
        <w:t xml:space="preserve"> </w:t>
      </w:r>
      <w:r w:rsidR="00032710">
        <w:rPr>
          <w:color w:val="000000"/>
        </w:rPr>
        <w:t>T</w:t>
      </w:r>
      <w:r w:rsidR="002B33F3">
        <w:rPr>
          <w:color w:val="000000"/>
        </w:rPr>
        <w:t xml:space="preserve">esting shall be performed </w:t>
      </w:r>
      <w:r>
        <w:rPr>
          <w:color w:val="000000"/>
        </w:rPr>
        <w:t>with two</w:t>
      </w:r>
      <w:r w:rsidR="002B33F3">
        <w:rPr>
          <w:color w:val="000000"/>
        </w:rPr>
        <w:t xml:space="preserve"> </w:t>
      </w:r>
      <w:r w:rsidR="00626232">
        <w:rPr>
          <w:color w:val="000000"/>
        </w:rPr>
        <w:t xml:space="preserve">(2) </w:t>
      </w:r>
      <w:r w:rsidR="002B33F3">
        <w:rPr>
          <w:color w:val="000000"/>
        </w:rPr>
        <w:t xml:space="preserve">Terrahawk transmitters </w:t>
      </w:r>
      <w:r w:rsidR="00272D4E">
        <w:rPr>
          <w:color w:val="000000"/>
        </w:rPr>
        <w:t xml:space="preserve">mounted </w:t>
      </w:r>
      <w:r w:rsidR="00975D69">
        <w:rPr>
          <w:color w:val="000000"/>
        </w:rPr>
        <w:t>with</w:t>
      </w:r>
      <w:r>
        <w:rPr>
          <w:color w:val="000000"/>
        </w:rPr>
        <w:t xml:space="preserve"> this separation distance</w:t>
      </w:r>
      <w:r w:rsidR="00CA6BAD">
        <w:rPr>
          <w:color w:val="000000"/>
        </w:rPr>
        <w:t>,</w:t>
      </w:r>
      <w:r>
        <w:rPr>
          <w:color w:val="000000"/>
        </w:rPr>
        <w:t xml:space="preserve"> </w:t>
      </w:r>
      <w:r w:rsidR="00AE6E7A">
        <w:rPr>
          <w:color w:val="000000"/>
        </w:rPr>
        <w:t>while transmitting simultaneously</w:t>
      </w:r>
      <w:r w:rsidR="00CA6BAD">
        <w:rPr>
          <w:color w:val="000000"/>
        </w:rPr>
        <w:t>,</w:t>
      </w:r>
      <w:r w:rsidR="00AE6E7A">
        <w:rPr>
          <w:color w:val="000000"/>
        </w:rPr>
        <w:t xml:space="preserve"> </w:t>
      </w:r>
      <w:r w:rsidR="002B33F3">
        <w:rPr>
          <w:color w:val="000000"/>
        </w:rPr>
        <w:t xml:space="preserve">to demonstrate compliance with the emission </w:t>
      </w:r>
      <w:r w:rsidR="00CA6BAD">
        <w:rPr>
          <w:color w:val="000000"/>
        </w:rPr>
        <w:t>limits</w:t>
      </w:r>
      <w:r w:rsidR="002B33F3">
        <w:rPr>
          <w:color w:val="000000"/>
        </w:rPr>
        <w:t xml:space="preserve"> specified in 47 CFR §</w:t>
      </w:r>
      <w:r w:rsidR="00626232">
        <w:rPr>
          <w:color w:val="000000"/>
        </w:rPr>
        <w:t>§</w:t>
      </w:r>
      <w:r w:rsidR="002B33F3">
        <w:rPr>
          <w:color w:val="000000"/>
        </w:rPr>
        <w:t xml:space="preserve"> 15.509(d) and (e)</w:t>
      </w:r>
      <w:r w:rsidR="00922D97">
        <w:rPr>
          <w:color w:val="000000"/>
        </w:rPr>
        <w:t>, using Commission</w:t>
      </w:r>
      <w:r w:rsidR="00922D97">
        <w:rPr>
          <w:color w:val="000000"/>
        </w:rPr>
        <w:noBreakHyphen/>
        <w:t>approved test procedures</w:t>
      </w:r>
      <w:r w:rsidR="002B33F3">
        <w:rPr>
          <w:color w:val="000000"/>
        </w:rPr>
        <w:t>.</w:t>
      </w:r>
      <w:r>
        <w:rPr>
          <w:rStyle w:val="FootnoteReference"/>
        </w:rPr>
        <w:footnoteReference w:id="59"/>
      </w:r>
      <w:r w:rsidR="007D4450">
        <w:rPr>
          <w:color w:val="000000"/>
        </w:rPr>
        <w:t xml:space="preserve"> </w:t>
      </w:r>
    </w:p>
    <w:p w:rsidR="007F62F5" w:rsidRPr="00514711" w:rsidRDefault="007F62F5" w:rsidP="005F0144">
      <w:pPr>
        <w:pStyle w:val="StyleParaNumLeft"/>
        <w:numPr>
          <w:ilvl w:val="1"/>
          <w:numId w:val="15"/>
        </w:numPr>
        <w:tabs>
          <w:tab w:val="clear" w:pos="1440"/>
          <w:tab w:val="clear" w:pos="1800"/>
          <w:tab w:val="left" w:pos="1080"/>
        </w:tabs>
        <w:ind w:left="720" w:firstLine="0"/>
        <w:rPr>
          <w:color w:val="000000"/>
        </w:rPr>
      </w:pPr>
      <w:r>
        <w:rPr>
          <w:color w:val="000000"/>
        </w:rPr>
        <w:t>The Terrahawk</w:t>
      </w:r>
      <w:r w:rsidR="005140CB">
        <w:rPr>
          <w:color w:val="000000"/>
        </w:rPr>
        <w:t xml:space="preserve"> </w:t>
      </w:r>
      <w:r>
        <w:rPr>
          <w:color w:val="000000"/>
        </w:rPr>
        <w:t xml:space="preserve">shall comply with the coordination requirements in </w:t>
      </w:r>
      <w:r w:rsidRPr="00514711">
        <w:rPr>
          <w:color w:val="000000"/>
        </w:rPr>
        <w:t>47 CFR </w:t>
      </w:r>
      <w:r w:rsidRPr="00514711">
        <w:rPr>
          <w:color w:val="000000"/>
          <w:szCs w:val="22"/>
        </w:rPr>
        <w:t>§</w:t>
      </w:r>
      <w:r w:rsidRPr="00514711">
        <w:rPr>
          <w:color w:val="000000"/>
        </w:rPr>
        <w:t> 15.5</w:t>
      </w:r>
      <w:r>
        <w:rPr>
          <w:color w:val="000000"/>
        </w:rPr>
        <w:t>25</w:t>
      </w:r>
      <w:r w:rsidR="0011737C">
        <w:rPr>
          <w:color w:val="000000"/>
        </w:rPr>
        <w:t>.  T</w:t>
      </w:r>
      <w:r w:rsidRPr="006A73A1">
        <w:t>he manufacturer</w:t>
      </w:r>
      <w:r>
        <w:t xml:space="preserve"> of the Terrahawk</w:t>
      </w:r>
      <w:r w:rsidRPr="006A73A1">
        <w:t xml:space="preserve">, or </w:t>
      </w:r>
      <w:r>
        <w:t>its</w:t>
      </w:r>
      <w:r w:rsidRPr="006A73A1">
        <w:t xml:space="preserve"> authorized sales agents, must inform purchasers and users of th</w:t>
      </w:r>
      <w:r>
        <w:t>is device</w:t>
      </w:r>
      <w:r w:rsidRPr="006A73A1">
        <w:t xml:space="preserve"> </w:t>
      </w:r>
      <w:r w:rsidR="00C64385">
        <w:t>about</w:t>
      </w:r>
      <w:r w:rsidRPr="006A73A1">
        <w:t xml:space="preserve"> the requirement to undertake detailed coordination of operational areas with the FCC </w:t>
      </w:r>
      <w:r w:rsidR="006747E7">
        <w:t xml:space="preserve">and NTIA </w:t>
      </w:r>
      <w:r w:rsidRPr="006A73A1">
        <w:t>prior to the equipment being operated.</w:t>
      </w:r>
    </w:p>
    <w:p w:rsidR="00C643B8" w:rsidRPr="00514711" w:rsidRDefault="00395BB1" w:rsidP="005F0144">
      <w:pPr>
        <w:pStyle w:val="StyleParaNumLeft"/>
        <w:numPr>
          <w:ilvl w:val="1"/>
          <w:numId w:val="15"/>
        </w:numPr>
        <w:tabs>
          <w:tab w:val="clear" w:pos="1440"/>
          <w:tab w:val="clear" w:pos="1800"/>
          <w:tab w:val="left" w:pos="1080"/>
        </w:tabs>
        <w:ind w:left="720" w:firstLine="0"/>
        <w:rPr>
          <w:color w:val="000000"/>
        </w:rPr>
      </w:pPr>
      <w:r w:rsidRPr="00514711">
        <w:rPr>
          <w:color w:val="000000"/>
        </w:rPr>
        <w:t xml:space="preserve">The Terrahawk’s </w:t>
      </w:r>
      <w:r w:rsidR="00623F13" w:rsidRPr="00514711">
        <w:rPr>
          <w:color w:val="000000"/>
        </w:rPr>
        <w:t xml:space="preserve">emissions </w:t>
      </w:r>
      <w:r w:rsidRPr="00514711">
        <w:rPr>
          <w:color w:val="000000"/>
        </w:rPr>
        <w:t>shall be</w:t>
      </w:r>
      <w:r w:rsidR="00545516" w:rsidRPr="00514711">
        <w:rPr>
          <w:color w:val="000000"/>
        </w:rPr>
        <w:t xml:space="preserve"> </w:t>
      </w:r>
      <w:r w:rsidR="005352FD" w:rsidRPr="00514711">
        <w:rPr>
          <w:color w:val="000000"/>
        </w:rPr>
        <w:t>aimed</w:t>
      </w:r>
      <w:r w:rsidR="00545516" w:rsidRPr="00514711">
        <w:rPr>
          <w:color w:val="000000"/>
        </w:rPr>
        <w:t xml:space="preserve"> downward toward the ground </w:t>
      </w:r>
      <w:r w:rsidR="00DF3A1D">
        <w:rPr>
          <w:color w:val="000000"/>
        </w:rPr>
        <w:t>so they can be attenuated by</w:t>
      </w:r>
      <w:r w:rsidR="005352FD" w:rsidRPr="00514711">
        <w:rPr>
          <w:color w:val="000000"/>
        </w:rPr>
        <w:t xml:space="preserve"> the presence of crops</w:t>
      </w:r>
      <w:r w:rsidRPr="00514711">
        <w:rPr>
          <w:color w:val="000000"/>
        </w:rPr>
        <w:t xml:space="preserve">, and shall not be </w:t>
      </w:r>
      <w:r w:rsidR="00761895">
        <w:rPr>
          <w:color w:val="000000"/>
        </w:rPr>
        <w:t xml:space="preserve">operated </w:t>
      </w:r>
      <w:r w:rsidR="00217BEE">
        <w:rPr>
          <w:color w:val="000000"/>
        </w:rPr>
        <w:t xml:space="preserve">at a height of greater than 1 meter </w:t>
      </w:r>
      <w:r w:rsidR="00761895">
        <w:rPr>
          <w:color w:val="000000"/>
        </w:rPr>
        <w:t xml:space="preserve">when </w:t>
      </w:r>
      <w:r w:rsidR="00217BEE">
        <w:rPr>
          <w:color w:val="000000"/>
        </w:rPr>
        <w:t>there are no crops beneath the device</w:t>
      </w:r>
      <w:r w:rsidR="00623F13" w:rsidRPr="00514711">
        <w:rPr>
          <w:color w:val="000000"/>
        </w:rPr>
        <w:t xml:space="preserve">. </w:t>
      </w:r>
    </w:p>
    <w:p w:rsidR="006747E7" w:rsidRPr="006747E7" w:rsidRDefault="0001284B" w:rsidP="00F44A0E">
      <w:pPr>
        <w:pStyle w:val="StyleParaNumLeft"/>
        <w:numPr>
          <w:ilvl w:val="1"/>
          <w:numId w:val="15"/>
        </w:numPr>
        <w:tabs>
          <w:tab w:val="clear" w:pos="360"/>
          <w:tab w:val="clear" w:pos="1440"/>
          <w:tab w:val="clear" w:pos="1800"/>
          <w:tab w:val="num" w:pos="720"/>
          <w:tab w:val="left" w:pos="1080"/>
        </w:tabs>
        <w:ind w:left="720" w:firstLine="0"/>
        <w:rPr>
          <w:color w:val="000000"/>
        </w:rPr>
      </w:pPr>
      <w:r w:rsidRPr="00372AD3">
        <w:rPr>
          <w:color w:val="000000"/>
          <w:szCs w:val="22"/>
        </w:rPr>
        <w:t xml:space="preserve">The Terrahawk shall only be installed on </w:t>
      </w:r>
      <w:r w:rsidR="005328C8" w:rsidRPr="00372AD3">
        <w:rPr>
          <w:color w:val="000000"/>
          <w:szCs w:val="22"/>
        </w:rPr>
        <w:t>farming machinery</w:t>
      </w:r>
      <w:r w:rsidR="0040326F" w:rsidRPr="00372AD3">
        <w:rPr>
          <w:color w:val="000000"/>
          <w:szCs w:val="22"/>
        </w:rPr>
        <w:t xml:space="preserve"> (combine </w:t>
      </w:r>
      <w:r w:rsidR="00D95113" w:rsidRPr="00372AD3">
        <w:rPr>
          <w:color w:val="000000"/>
          <w:szCs w:val="22"/>
        </w:rPr>
        <w:t>harvester</w:t>
      </w:r>
      <w:r w:rsidR="0040326F" w:rsidRPr="00613BB5">
        <w:rPr>
          <w:color w:val="000000"/>
          <w:szCs w:val="22"/>
        </w:rPr>
        <w:t>s</w:t>
      </w:r>
      <w:r w:rsidR="00E413D8" w:rsidRPr="00613BB5">
        <w:rPr>
          <w:color w:val="000000"/>
          <w:szCs w:val="22"/>
        </w:rPr>
        <w:t xml:space="preserve">, </w:t>
      </w:r>
      <w:r w:rsidR="00F73985" w:rsidRPr="00613BB5">
        <w:rPr>
          <w:color w:val="000000"/>
          <w:szCs w:val="22"/>
        </w:rPr>
        <w:t xml:space="preserve">ground </w:t>
      </w:r>
      <w:r w:rsidR="00E413D8" w:rsidRPr="00F85DB7">
        <w:rPr>
          <w:color w:val="000000"/>
          <w:szCs w:val="22"/>
        </w:rPr>
        <w:t>tiller</w:t>
      </w:r>
      <w:r w:rsidR="0040326F" w:rsidRPr="00F85DB7">
        <w:rPr>
          <w:color w:val="000000"/>
          <w:szCs w:val="22"/>
        </w:rPr>
        <w:t>s</w:t>
      </w:r>
      <w:r w:rsidR="00E413D8" w:rsidRPr="00F85DB7">
        <w:rPr>
          <w:color w:val="000000"/>
          <w:szCs w:val="22"/>
        </w:rPr>
        <w:t xml:space="preserve">, </w:t>
      </w:r>
      <w:r w:rsidR="00F73985" w:rsidRPr="00F85DB7">
        <w:rPr>
          <w:color w:val="000000"/>
          <w:szCs w:val="22"/>
        </w:rPr>
        <w:t>fertilizer</w:t>
      </w:r>
      <w:r w:rsidR="0040326F" w:rsidRPr="00F85DB7">
        <w:rPr>
          <w:color w:val="000000"/>
          <w:szCs w:val="22"/>
        </w:rPr>
        <w:t>s</w:t>
      </w:r>
      <w:r w:rsidR="00F73985" w:rsidRPr="00F85DB7">
        <w:rPr>
          <w:color w:val="000000"/>
          <w:szCs w:val="22"/>
        </w:rPr>
        <w:t xml:space="preserve">, </w:t>
      </w:r>
      <w:r w:rsidR="00E413D8" w:rsidRPr="00EB0159">
        <w:rPr>
          <w:color w:val="000000"/>
          <w:szCs w:val="22"/>
        </w:rPr>
        <w:t>etc</w:t>
      </w:r>
      <w:r w:rsidR="00E413D8" w:rsidRPr="00F85DB7">
        <w:rPr>
          <w:color w:val="000000"/>
          <w:szCs w:val="22"/>
        </w:rPr>
        <w:t>.</w:t>
      </w:r>
      <w:r w:rsidR="0040326F" w:rsidRPr="00F85DB7">
        <w:rPr>
          <w:color w:val="000000"/>
          <w:szCs w:val="22"/>
        </w:rPr>
        <w:t>) and operated</w:t>
      </w:r>
      <w:r w:rsidR="00D7032A" w:rsidRPr="00F85DB7">
        <w:rPr>
          <w:color w:val="000000"/>
          <w:szCs w:val="22"/>
        </w:rPr>
        <w:t xml:space="preserve"> </w:t>
      </w:r>
      <w:r w:rsidR="0098344C" w:rsidRPr="00F85DB7">
        <w:rPr>
          <w:color w:val="000000"/>
          <w:szCs w:val="22"/>
        </w:rPr>
        <w:t xml:space="preserve">in fields </w:t>
      </w:r>
      <w:r w:rsidR="0040326F" w:rsidRPr="00F85DB7">
        <w:rPr>
          <w:color w:val="000000"/>
          <w:szCs w:val="22"/>
        </w:rPr>
        <w:t xml:space="preserve">that are </w:t>
      </w:r>
      <w:r w:rsidR="0098344C" w:rsidRPr="00F85DB7">
        <w:rPr>
          <w:color w:val="000000"/>
          <w:szCs w:val="22"/>
        </w:rPr>
        <w:t xml:space="preserve">located </w:t>
      </w:r>
      <w:r w:rsidR="00D7032A" w:rsidRPr="00F85DB7">
        <w:rPr>
          <w:color w:val="000000"/>
          <w:szCs w:val="22"/>
        </w:rPr>
        <w:t xml:space="preserve">in rural </w:t>
      </w:r>
      <w:r w:rsidR="0040326F" w:rsidRPr="00F85DB7">
        <w:rPr>
          <w:color w:val="000000"/>
          <w:szCs w:val="22"/>
        </w:rPr>
        <w:t xml:space="preserve">or predominantly agricultural </w:t>
      </w:r>
      <w:r w:rsidR="00D7032A" w:rsidRPr="00F85DB7">
        <w:rPr>
          <w:color w:val="000000"/>
          <w:szCs w:val="22"/>
        </w:rPr>
        <w:t>areas</w:t>
      </w:r>
      <w:r w:rsidR="006747E7">
        <w:rPr>
          <w:color w:val="000000"/>
          <w:szCs w:val="22"/>
        </w:rPr>
        <w:t xml:space="preserve"> as </w:t>
      </w:r>
      <w:r w:rsidR="00353DD4">
        <w:rPr>
          <w:color w:val="000000"/>
          <w:szCs w:val="22"/>
        </w:rPr>
        <w:t xml:space="preserve">generally </w:t>
      </w:r>
      <w:r w:rsidR="006747E7">
        <w:rPr>
          <w:color w:val="000000"/>
          <w:szCs w:val="22"/>
        </w:rPr>
        <w:t xml:space="preserve">defined by </w:t>
      </w:r>
      <w:r w:rsidR="007F72C0">
        <w:rPr>
          <w:color w:val="000000"/>
          <w:szCs w:val="22"/>
        </w:rPr>
        <w:t xml:space="preserve">the </w:t>
      </w:r>
      <w:r w:rsidR="006747E7">
        <w:rPr>
          <w:color w:val="000000"/>
          <w:szCs w:val="22"/>
        </w:rPr>
        <w:t xml:space="preserve">United States </w:t>
      </w:r>
      <w:r w:rsidR="006747E7" w:rsidRPr="006747E7">
        <w:rPr>
          <w:color w:val="000000"/>
          <w:szCs w:val="22"/>
        </w:rPr>
        <w:t xml:space="preserve"> Geological Survey National Land Cover Database (NLCD) classifications</w:t>
      </w:r>
      <w:r w:rsidR="006747E7">
        <w:rPr>
          <w:color w:val="000000"/>
          <w:szCs w:val="22"/>
        </w:rPr>
        <w:t xml:space="preserve"> 81 (Pasture/Hay) and 82 (Cultivated Crops).</w:t>
      </w:r>
      <w:r w:rsidR="006747E7">
        <w:rPr>
          <w:rStyle w:val="FootnoteReference"/>
          <w:szCs w:val="22"/>
        </w:rPr>
        <w:footnoteReference w:id="60"/>
      </w:r>
      <w:r w:rsidRPr="00F85DB7">
        <w:rPr>
          <w:color w:val="000000"/>
          <w:szCs w:val="22"/>
        </w:rPr>
        <w:t xml:space="preserve">  </w:t>
      </w:r>
    </w:p>
    <w:p w:rsidR="00F254EF" w:rsidRPr="00514711" w:rsidRDefault="00671C12" w:rsidP="005F0144">
      <w:pPr>
        <w:pStyle w:val="StyleParaNumLeft"/>
        <w:numPr>
          <w:ilvl w:val="1"/>
          <w:numId w:val="15"/>
        </w:numPr>
        <w:tabs>
          <w:tab w:val="clear" w:pos="1440"/>
          <w:tab w:val="clear" w:pos="1800"/>
          <w:tab w:val="left" w:pos="1080"/>
        </w:tabs>
        <w:ind w:left="720" w:firstLine="0"/>
        <w:rPr>
          <w:color w:val="000000"/>
        </w:rPr>
      </w:pPr>
      <w:r>
        <w:rPr>
          <w:color w:val="000000"/>
          <w:szCs w:val="22"/>
        </w:rPr>
        <w:t>O</w:t>
      </w:r>
      <w:r w:rsidR="0011737C" w:rsidRPr="00F85DB7">
        <w:rPr>
          <w:color w:val="000000"/>
          <w:szCs w:val="22"/>
        </w:rPr>
        <w:t xml:space="preserve">peration of this device shall be limited to </w:t>
      </w:r>
      <w:r w:rsidRPr="00514711">
        <w:rPr>
          <w:color w:val="000000"/>
          <w:szCs w:val="22"/>
        </w:rPr>
        <w:t xml:space="preserve">parties eligible for licensing under the provisions of </w:t>
      </w:r>
      <w:r>
        <w:rPr>
          <w:color w:val="000000"/>
          <w:szCs w:val="22"/>
        </w:rPr>
        <w:t>pa</w:t>
      </w:r>
      <w:r w:rsidRPr="00514711">
        <w:rPr>
          <w:color w:val="000000"/>
          <w:szCs w:val="22"/>
        </w:rPr>
        <w:t>rt 90</w:t>
      </w:r>
      <w:r>
        <w:rPr>
          <w:color w:val="000000"/>
          <w:szCs w:val="22"/>
        </w:rPr>
        <w:t xml:space="preserve"> of the Commission’s rules (</w:t>
      </w:r>
      <w:r w:rsidRPr="00485C60">
        <w:rPr>
          <w:color w:val="000000"/>
          <w:szCs w:val="22"/>
        </w:rPr>
        <w:t>e.g.</w:t>
      </w:r>
      <w:r w:rsidR="00626232">
        <w:rPr>
          <w:color w:val="000000"/>
          <w:szCs w:val="22"/>
        </w:rPr>
        <w:t>,</w:t>
      </w:r>
      <w:r>
        <w:rPr>
          <w:color w:val="000000"/>
          <w:szCs w:val="22"/>
        </w:rPr>
        <w:t xml:space="preserve"> persons</w:t>
      </w:r>
      <w:r w:rsidR="0011737C" w:rsidRPr="00F85DB7">
        <w:rPr>
          <w:color w:val="000000"/>
          <w:szCs w:val="22"/>
        </w:rPr>
        <w:t xml:space="preserve"> regularly involved in activities such as the operation of farms,</w:t>
      </w:r>
      <w:r w:rsidR="0011737C" w:rsidRPr="003D1E74">
        <w:rPr>
          <w:szCs w:val="22"/>
        </w:rPr>
        <w:t xml:space="preserve"> ranches, or similar land areas, for the quantity production of crops or plants; including soil </w:t>
      </w:r>
      <w:r w:rsidR="00547A60" w:rsidRPr="003D1E74">
        <w:rPr>
          <w:szCs w:val="22"/>
        </w:rPr>
        <w:t xml:space="preserve">plowing, soil </w:t>
      </w:r>
      <w:r w:rsidR="0011737C" w:rsidRPr="003D1E74">
        <w:rPr>
          <w:szCs w:val="22"/>
        </w:rPr>
        <w:t>conditioning, seeding, fertilizing, or harvesting for agricultural activities</w:t>
      </w:r>
      <w:r>
        <w:rPr>
          <w:szCs w:val="22"/>
        </w:rPr>
        <w:t>)</w:t>
      </w:r>
      <w:r w:rsidR="0011737C" w:rsidRPr="003D1E74">
        <w:rPr>
          <w:szCs w:val="22"/>
        </w:rPr>
        <w:t xml:space="preserve">. </w:t>
      </w:r>
      <w:r w:rsidR="0011737C" w:rsidRPr="00372AD3">
        <w:rPr>
          <w:color w:val="000000"/>
          <w:szCs w:val="22"/>
        </w:rPr>
        <w:t xml:space="preserve"> </w:t>
      </w:r>
      <w:r w:rsidR="0001284B" w:rsidRPr="00372AD3">
        <w:rPr>
          <w:color w:val="000000"/>
          <w:szCs w:val="22"/>
        </w:rPr>
        <w:t>No</w:t>
      </w:r>
      <w:r w:rsidR="0001284B" w:rsidRPr="00514711">
        <w:rPr>
          <w:color w:val="000000"/>
        </w:rPr>
        <w:t xml:space="preserve"> operation in city gardens </w:t>
      </w:r>
      <w:r w:rsidR="00117E0F" w:rsidRPr="00514711">
        <w:rPr>
          <w:color w:val="000000"/>
        </w:rPr>
        <w:t xml:space="preserve">or on trees </w:t>
      </w:r>
      <w:r w:rsidR="0001284B" w:rsidRPr="00514711">
        <w:rPr>
          <w:color w:val="000000"/>
        </w:rPr>
        <w:t xml:space="preserve">is permitted.  </w:t>
      </w:r>
    </w:p>
    <w:p w:rsidR="00C643B8" w:rsidRPr="00514711" w:rsidRDefault="00C643B8" w:rsidP="005F0144">
      <w:pPr>
        <w:pStyle w:val="StyleParaNumLeft"/>
        <w:widowControl/>
        <w:numPr>
          <w:ilvl w:val="1"/>
          <w:numId w:val="15"/>
        </w:numPr>
        <w:tabs>
          <w:tab w:val="clear" w:pos="1440"/>
          <w:tab w:val="clear" w:pos="1800"/>
          <w:tab w:val="left" w:pos="1080"/>
        </w:tabs>
        <w:autoSpaceDE w:val="0"/>
        <w:autoSpaceDN w:val="0"/>
        <w:adjustRightInd w:val="0"/>
        <w:ind w:left="720" w:firstLine="0"/>
        <w:rPr>
          <w:color w:val="000000"/>
        </w:rPr>
      </w:pPr>
      <w:r w:rsidRPr="00514711">
        <w:rPr>
          <w:snapToGrid/>
          <w:color w:val="000000"/>
          <w:szCs w:val="22"/>
        </w:rPr>
        <w:t xml:space="preserve">This waiver shall apply only to the </w:t>
      </w:r>
      <w:r w:rsidR="0080711B" w:rsidRPr="00514711">
        <w:rPr>
          <w:snapToGrid/>
          <w:color w:val="000000"/>
          <w:szCs w:val="22"/>
        </w:rPr>
        <w:t>Terrahawk GPR</w:t>
      </w:r>
      <w:r w:rsidRPr="00514711">
        <w:rPr>
          <w:snapToGrid/>
          <w:color w:val="000000"/>
          <w:szCs w:val="22"/>
        </w:rPr>
        <w:t xml:space="preserve"> device as described herein, </w:t>
      </w:r>
      <w:r w:rsidR="00E81DCF" w:rsidRPr="00514711">
        <w:rPr>
          <w:snapToGrid/>
          <w:color w:val="000000"/>
          <w:szCs w:val="22"/>
        </w:rPr>
        <w:t xml:space="preserve">and </w:t>
      </w:r>
      <w:r w:rsidR="00E81DCF" w:rsidRPr="00514711">
        <w:rPr>
          <w:color w:val="000000"/>
          <w:szCs w:val="22"/>
        </w:rPr>
        <w:t xml:space="preserve">is not to be considered to apply generally to other </w:t>
      </w:r>
      <w:r w:rsidR="006747E7">
        <w:rPr>
          <w:color w:val="000000"/>
          <w:szCs w:val="22"/>
        </w:rPr>
        <w:t xml:space="preserve">UWB GPR </w:t>
      </w:r>
      <w:r w:rsidR="00E81DCF" w:rsidRPr="00514711">
        <w:rPr>
          <w:color w:val="000000"/>
          <w:szCs w:val="22"/>
        </w:rPr>
        <w:t>devices.</w:t>
      </w:r>
      <w:r w:rsidR="00E81DCF">
        <w:rPr>
          <w:color w:val="000000"/>
          <w:szCs w:val="22"/>
        </w:rPr>
        <w:t xml:space="preserve">  </w:t>
      </w:r>
      <w:r w:rsidR="00E81DCF">
        <w:rPr>
          <w:snapToGrid/>
          <w:color w:val="000000"/>
          <w:szCs w:val="22"/>
        </w:rPr>
        <w:t>A</w:t>
      </w:r>
      <w:r w:rsidRPr="00514711">
        <w:rPr>
          <w:snapToGrid/>
          <w:color w:val="000000"/>
          <w:szCs w:val="22"/>
        </w:rPr>
        <w:t xml:space="preserve"> copy of this Order shall be provided with the application for certification of the device.</w:t>
      </w:r>
      <w:r w:rsidRPr="00514711">
        <w:rPr>
          <w:color w:val="000000"/>
        </w:rPr>
        <w:t xml:space="preserve"> </w:t>
      </w:r>
    </w:p>
    <w:p w:rsidR="00C643B8" w:rsidRPr="00514711" w:rsidRDefault="00C643B8">
      <w:pPr>
        <w:pStyle w:val="Heading1"/>
        <w:rPr>
          <w:color w:val="000000"/>
        </w:rPr>
      </w:pPr>
      <w:r w:rsidRPr="00514711">
        <w:rPr>
          <w:color w:val="000000"/>
        </w:rPr>
        <w:t>ORDERING CLAUSE</w:t>
      </w:r>
    </w:p>
    <w:p w:rsidR="00C643B8" w:rsidRPr="00514711" w:rsidRDefault="00C643B8" w:rsidP="00FC5647">
      <w:pPr>
        <w:pStyle w:val="ParaNum"/>
        <w:widowControl/>
        <w:rPr>
          <w:color w:val="000000"/>
        </w:rPr>
      </w:pPr>
      <w:r w:rsidRPr="00514711">
        <w:rPr>
          <w:color w:val="000000"/>
        </w:rPr>
        <w:t xml:space="preserve">Accordingly, </w:t>
      </w:r>
      <w:r w:rsidRPr="00514711">
        <w:rPr>
          <w:color w:val="000000"/>
          <w:szCs w:val="22"/>
        </w:rPr>
        <w:t>pursuant</w:t>
      </w:r>
      <w:r w:rsidRPr="00514711">
        <w:rPr>
          <w:color w:val="000000"/>
        </w:rPr>
        <w:t xml:space="preserve"> to </w:t>
      </w:r>
      <w:r w:rsidRPr="00514711">
        <w:rPr>
          <w:color w:val="000000"/>
          <w:szCs w:val="22"/>
        </w:rPr>
        <w:t xml:space="preserve">authority in Section 0.31, 0.241 and 1.3 of the Commission's rules, 47 CFR Sections 0.31, 0.241 and 1.3, and </w:t>
      </w:r>
      <w:r w:rsidRPr="00514711">
        <w:rPr>
          <w:color w:val="000000"/>
        </w:rPr>
        <w:t>Sections 4(i), 302, 303(e), and 303(r) of the Communications Act of 1934, as amended, 47 U.S.C. Sections 154(i), 302, 303(e), and 303(r), IT IS ORDERED that the request</w:t>
      </w:r>
      <w:r w:rsidR="00687BDF" w:rsidRPr="00514711">
        <w:rPr>
          <w:color w:val="000000"/>
        </w:rPr>
        <w:t>s</w:t>
      </w:r>
      <w:r w:rsidRPr="00514711">
        <w:rPr>
          <w:color w:val="000000"/>
        </w:rPr>
        <w:t xml:space="preserve"> for waiver of </w:t>
      </w:r>
      <w:r w:rsidR="00687BDF" w:rsidRPr="00514711">
        <w:rPr>
          <w:color w:val="000000"/>
        </w:rPr>
        <w:t>the restriction on permissible uses of GPR devices in Section 15.509(b), and of the one-meter-above-ground limitation of Section 15.503(f)</w:t>
      </w:r>
      <w:r w:rsidRPr="00514711">
        <w:rPr>
          <w:color w:val="000000"/>
          <w:szCs w:val="22"/>
        </w:rPr>
        <w:t>, 47 C.F.R. §</w:t>
      </w:r>
      <w:r w:rsidR="001D6C98" w:rsidRPr="00514711">
        <w:rPr>
          <w:color w:val="000000"/>
          <w:szCs w:val="22"/>
        </w:rPr>
        <w:t xml:space="preserve">§ </w:t>
      </w:r>
      <w:r w:rsidRPr="00514711">
        <w:rPr>
          <w:color w:val="000000"/>
          <w:szCs w:val="22"/>
        </w:rPr>
        <w:t>15.</w:t>
      </w:r>
      <w:r w:rsidR="001D6C98" w:rsidRPr="00514711">
        <w:rPr>
          <w:color w:val="000000"/>
          <w:szCs w:val="22"/>
        </w:rPr>
        <w:t>50</w:t>
      </w:r>
      <w:r w:rsidR="003A468C" w:rsidRPr="00514711">
        <w:rPr>
          <w:color w:val="000000"/>
          <w:szCs w:val="22"/>
        </w:rPr>
        <w:t>9</w:t>
      </w:r>
      <w:r w:rsidRPr="00514711">
        <w:rPr>
          <w:color w:val="000000"/>
          <w:szCs w:val="22"/>
        </w:rPr>
        <w:t>(</w:t>
      </w:r>
      <w:r w:rsidR="003A468C" w:rsidRPr="00514711">
        <w:rPr>
          <w:color w:val="000000"/>
          <w:szCs w:val="22"/>
        </w:rPr>
        <w:t>b</w:t>
      </w:r>
      <w:r w:rsidRPr="00514711">
        <w:rPr>
          <w:color w:val="000000"/>
          <w:szCs w:val="22"/>
        </w:rPr>
        <w:t>)</w:t>
      </w:r>
      <w:r w:rsidR="001D6C98" w:rsidRPr="00514711">
        <w:rPr>
          <w:color w:val="000000"/>
          <w:szCs w:val="22"/>
        </w:rPr>
        <w:t xml:space="preserve"> and 15.50</w:t>
      </w:r>
      <w:r w:rsidR="003A468C" w:rsidRPr="00514711">
        <w:rPr>
          <w:color w:val="000000"/>
          <w:szCs w:val="22"/>
        </w:rPr>
        <w:t>3</w:t>
      </w:r>
      <w:r w:rsidR="001D6C98" w:rsidRPr="00514711">
        <w:rPr>
          <w:color w:val="000000"/>
          <w:szCs w:val="22"/>
        </w:rPr>
        <w:t>(</w:t>
      </w:r>
      <w:r w:rsidR="003A468C" w:rsidRPr="00514711">
        <w:rPr>
          <w:color w:val="000000"/>
          <w:szCs w:val="22"/>
        </w:rPr>
        <w:t>f</w:t>
      </w:r>
      <w:r w:rsidR="001D6C98" w:rsidRPr="00514711">
        <w:rPr>
          <w:color w:val="000000"/>
          <w:szCs w:val="22"/>
        </w:rPr>
        <w:t>)</w:t>
      </w:r>
      <w:r w:rsidRPr="00514711">
        <w:rPr>
          <w:color w:val="000000"/>
          <w:szCs w:val="22"/>
        </w:rPr>
        <w:t xml:space="preserve">, for </w:t>
      </w:r>
      <w:r w:rsidR="001D6C98" w:rsidRPr="00514711">
        <w:rPr>
          <w:color w:val="000000"/>
          <w:szCs w:val="22"/>
        </w:rPr>
        <w:t>Headsight</w:t>
      </w:r>
      <w:r w:rsidRPr="00514711">
        <w:rPr>
          <w:color w:val="000000"/>
          <w:szCs w:val="22"/>
        </w:rPr>
        <w:t xml:space="preserve">, Inc. </w:t>
      </w:r>
      <w:r w:rsidRPr="00514711">
        <w:rPr>
          <w:color w:val="000000"/>
        </w:rPr>
        <w:t>ARE GRANTED, subject to the conditions listed above.  This action is effective upon release of this Order.</w:t>
      </w:r>
    </w:p>
    <w:p w:rsidR="00C643B8" w:rsidRDefault="00C643B8">
      <w:pPr>
        <w:pStyle w:val="ParaNum"/>
        <w:keepNext/>
        <w:widowControl/>
        <w:rPr>
          <w:color w:val="000000"/>
        </w:rPr>
      </w:pPr>
      <w:r w:rsidRPr="00514711">
        <w:rPr>
          <w:color w:val="000000"/>
        </w:rPr>
        <w:t>IT IS FURTHER ORDERED that, if no petitions for reconsideration or applications for review are timely filed, this proceeding SHALL BE TERMINATED and the docket CLOSED.</w:t>
      </w:r>
    </w:p>
    <w:p w:rsidR="00C643B8" w:rsidRPr="00514711" w:rsidRDefault="00C643B8">
      <w:pPr>
        <w:pStyle w:val="ParaNum"/>
        <w:numPr>
          <w:ilvl w:val="0"/>
          <w:numId w:val="0"/>
        </w:numPr>
        <w:rPr>
          <w:color w:val="000000"/>
        </w:rPr>
      </w:pPr>
    </w:p>
    <w:p w:rsidR="00C643B8" w:rsidRPr="00514711" w:rsidRDefault="00C643B8">
      <w:pPr>
        <w:suppressAutoHyphens/>
        <w:ind w:left="3600" w:firstLine="720"/>
        <w:rPr>
          <w:color w:val="000000"/>
        </w:rPr>
      </w:pPr>
      <w:r w:rsidRPr="00514711">
        <w:rPr>
          <w:color w:val="000000"/>
        </w:rPr>
        <w:t>FEDERAL COMMUNICATIONS COMMISSION</w:t>
      </w:r>
    </w:p>
    <w:p w:rsidR="00C643B8" w:rsidRPr="00514711" w:rsidRDefault="00C643B8">
      <w:pPr>
        <w:suppressAutoHyphens/>
        <w:ind w:left="3600" w:firstLine="720"/>
        <w:rPr>
          <w:color w:val="000000"/>
        </w:rPr>
      </w:pPr>
    </w:p>
    <w:p w:rsidR="00C643B8" w:rsidRPr="00514711" w:rsidRDefault="00C643B8">
      <w:pPr>
        <w:suppressAutoHyphens/>
        <w:ind w:left="3600" w:firstLine="720"/>
        <w:rPr>
          <w:color w:val="000000"/>
        </w:rPr>
      </w:pPr>
    </w:p>
    <w:p w:rsidR="001D6C98" w:rsidRPr="00514711" w:rsidRDefault="001D6C98">
      <w:pPr>
        <w:suppressAutoHyphens/>
        <w:ind w:left="3600" w:firstLine="720"/>
        <w:rPr>
          <w:color w:val="000000"/>
        </w:rPr>
      </w:pPr>
    </w:p>
    <w:p w:rsidR="00C643B8" w:rsidRPr="00514711" w:rsidRDefault="00C643B8">
      <w:pPr>
        <w:suppressAutoHyphens/>
        <w:ind w:left="3600" w:firstLine="720"/>
        <w:rPr>
          <w:color w:val="000000"/>
        </w:rPr>
      </w:pPr>
      <w:r w:rsidRPr="00514711">
        <w:rPr>
          <w:color w:val="000000"/>
        </w:rPr>
        <w:t>Julius P. Knapp</w:t>
      </w:r>
    </w:p>
    <w:p w:rsidR="00C643B8" w:rsidRPr="00514711" w:rsidRDefault="00C643B8">
      <w:pPr>
        <w:suppressAutoHyphens/>
        <w:ind w:left="3600" w:firstLine="720"/>
        <w:rPr>
          <w:color w:val="000000"/>
        </w:rPr>
      </w:pPr>
      <w:r w:rsidRPr="00514711">
        <w:rPr>
          <w:color w:val="000000"/>
        </w:rPr>
        <w:t>Chief, Office of Engineering and Technology</w:t>
      </w:r>
    </w:p>
    <w:sectPr w:rsidR="00C643B8" w:rsidRPr="00514711" w:rsidSect="00983A9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0B" w:rsidRDefault="00E15F0B">
      <w:pPr>
        <w:spacing w:line="20" w:lineRule="exact"/>
      </w:pPr>
    </w:p>
  </w:endnote>
  <w:endnote w:type="continuationSeparator" w:id="0">
    <w:p w:rsidR="00E15F0B" w:rsidRDefault="00E15F0B">
      <w:r>
        <w:t xml:space="preserve"> </w:t>
      </w:r>
    </w:p>
  </w:endnote>
  <w:endnote w:type="continuationNotice" w:id="1">
    <w:p w:rsidR="00E15F0B" w:rsidRDefault="00E15F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timesnewroman">
    <w:altName w:val="Times New Roman"/>
    <w:charset w:val="00"/>
    <w:family w:val="auto"/>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BC" w:rsidRDefault="005C18BC">
    <w:pPr>
      <w:pStyle w:val="Footer"/>
      <w:framePr w:wrap="around" w:vAnchor="text" w:hAnchor="margin" w:xAlign="center" w:y="1"/>
    </w:pPr>
    <w:r>
      <w:fldChar w:fldCharType="begin"/>
    </w:r>
    <w:r>
      <w:instrText xml:space="preserve">PAGE  </w:instrText>
    </w:r>
    <w:r>
      <w:fldChar w:fldCharType="end"/>
    </w:r>
  </w:p>
  <w:p w:rsidR="005C18BC" w:rsidRDefault="005C1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BC" w:rsidRDefault="005C18BC">
    <w:pPr>
      <w:pStyle w:val="Footer"/>
      <w:framePr w:wrap="around" w:vAnchor="text" w:hAnchor="margin" w:xAlign="center" w:y="1"/>
    </w:pPr>
    <w:r>
      <w:fldChar w:fldCharType="begin"/>
    </w:r>
    <w:r>
      <w:instrText xml:space="preserve">PAGE  </w:instrText>
    </w:r>
    <w:r>
      <w:fldChar w:fldCharType="separate"/>
    </w:r>
    <w:r w:rsidR="00736EB8">
      <w:rPr>
        <w:noProof/>
      </w:rPr>
      <w:t>2</w:t>
    </w:r>
    <w:r>
      <w:fldChar w:fldCharType="end"/>
    </w:r>
  </w:p>
  <w:p w:rsidR="005C18BC" w:rsidRDefault="005C18B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BC" w:rsidRDefault="005C18B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0B" w:rsidRDefault="00E15F0B">
      <w:r>
        <w:separator/>
      </w:r>
    </w:p>
  </w:footnote>
  <w:footnote w:type="continuationSeparator" w:id="0">
    <w:p w:rsidR="00E15F0B" w:rsidRDefault="00E15F0B">
      <w:pPr>
        <w:spacing w:before="120"/>
        <w:rPr>
          <w:sz w:val="20"/>
        </w:rPr>
      </w:pPr>
      <w:r>
        <w:rPr>
          <w:sz w:val="20"/>
        </w:rPr>
        <w:t xml:space="preserve">(Continued from previous page)  </w:t>
      </w:r>
      <w:r>
        <w:rPr>
          <w:sz w:val="20"/>
        </w:rPr>
        <w:separator/>
      </w:r>
    </w:p>
  </w:footnote>
  <w:footnote w:type="continuationNotice" w:id="1">
    <w:p w:rsidR="00E15F0B" w:rsidRDefault="00E15F0B">
      <w:pPr>
        <w:jc w:val="right"/>
        <w:rPr>
          <w:sz w:val="20"/>
        </w:rPr>
      </w:pPr>
      <w:r>
        <w:rPr>
          <w:sz w:val="20"/>
        </w:rPr>
        <w:t>(continued….)</w:t>
      </w:r>
    </w:p>
  </w:footnote>
  <w:footnote w:id="2">
    <w:p w:rsidR="005C18BC" w:rsidRPr="004D6536" w:rsidRDefault="005C18BC">
      <w:pPr>
        <w:pStyle w:val="FootnoteText"/>
        <w:rPr>
          <w:color w:val="000000"/>
        </w:rPr>
      </w:pPr>
      <w:r w:rsidRPr="004D6536">
        <w:rPr>
          <w:rStyle w:val="FootnoteReference"/>
          <w:color w:val="000000"/>
        </w:rPr>
        <w:footnoteRef/>
      </w:r>
      <w:r w:rsidRPr="004D6536">
        <w:rPr>
          <w:color w:val="000000"/>
        </w:rPr>
        <w:t xml:space="preserve"> 47 C.F.R. §§ 15.503(f) and 15.509(b).</w:t>
      </w:r>
    </w:p>
  </w:footnote>
  <w:footnote w:id="3">
    <w:p w:rsidR="005C18BC" w:rsidRPr="004D6536" w:rsidRDefault="005C18BC" w:rsidP="00176FCA">
      <w:pPr>
        <w:pStyle w:val="FootnoteText"/>
        <w:rPr>
          <w:color w:val="000000"/>
        </w:rPr>
      </w:pPr>
      <w:r w:rsidRPr="004D6536">
        <w:rPr>
          <w:rStyle w:val="FootnoteReference"/>
          <w:color w:val="000000"/>
        </w:rPr>
        <w:footnoteRef/>
      </w:r>
      <w:r w:rsidRPr="004D6536">
        <w:rPr>
          <w:color w:val="000000"/>
        </w:rPr>
        <w:t xml:space="preserve"> </w:t>
      </w:r>
      <w:r w:rsidR="00DB620A" w:rsidRPr="004D6536">
        <w:rPr>
          <w:i/>
          <w:color w:val="000000"/>
        </w:rPr>
        <w:t>See Headsight Petition for Waiver of Part 15 of the Commission's Rules Applicable to Ultra-Wideband Devices</w:t>
      </w:r>
      <w:r w:rsidR="00DB620A" w:rsidRPr="004D6536">
        <w:rPr>
          <w:color w:val="000000"/>
        </w:rPr>
        <w:t>, filed Ja</w:t>
      </w:r>
      <w:r w:rsidR="00F376FA" w:rsidRPr="004D6536">
        <w:rPr>
          <w:color w:val="000000"/>
        </w:rPr>
        <w:t>n 21, 2016, ET Docket No. 16</w:t>
      </w:r>
      <w:r w:rsidR="00F376FA" w:rsidRPr="004D6536">
        <w:rPr>
          <w:color w:val="000000"/>
        </w:rPr>
        <w:noBreakHyphen/>
        <w:t xml:space="preserve">44 </w:t>
      </w:r>
      <w:r w:rsidR="00F376FA" w:rsidRPr="004D6536">
        <w:rPr>
          <w:color w:val="000000"/>
          <w:szCs w:val="22"/>
        </w:rPr>
        <w:t>(Headsight Request).</w:t>
      </w:r>
    </w:p>
  </w:footnote>
  <w:footnote w:id="4">
    <w:p w:rsidR="00726DE7" w:rsidRPr="004D6536" w:rsidRDefault="00726DE7">
      <w:pPr>
        <w:pStyle w:val="FootnoteText"/>
        <w:rPr>
          <w:color w:val="000000"/>
        </w:rPr>
      </w:pPr>
      <w:r w:rsidRPr="004D6536">
        <w:rPr>
          <w:rStyle w:val="FootnoteReference"/>
          <w:color w:val="000000"/>
        </w:rPr>
        <w:footnoteRef/>
      </w:r>
      <w:r w:rsidRPr="004D6536">
        <w:rPr>
          <w:color w:val="000000"/>
        </w:rPr>
        <w:t xml:space="preserve"> 47 C.F.R. </w:t>
      </w:r>
      <w:r w:rsidRPr="004D6536">
        <w:rPr>
          <w:color w:val="000000"/>
          <w:spacing w:val="-2"/>
        </w:rPr>
        <w:t xml:space="preserve">§§ 15.1 </w:t>
      </w:r>
      <w:r w:rsidRPr="004D6536">
        <w:rPr>
          <w:i/>
          <w:color w:val="000000"/>
          <w:spacing w:val="-2"/>
        </w:rPr>
        <w:t>et seq</w:t>
      </w:r>
      <w:r w:rsidRPr="004D6536">
        <w:rPr>
          <w:color w:val="000000"/>
          <w:spacing w:val="-2"/>
        </w:rPr>
        <w:t>.</w:t>
      </w:r>
    </w:p>
  </w:footnote>
  <w:footnote w:id="5">
    <w:p w:rsidR="003D1585" w:rsidRDefault="003D1585">
      <w:pPr>
        <w:pStyle w:val="FootnoteText"/>
      </w:pPr>
      <w:r>
        <w:rPr>
          <w:rStyle w:val="FootnoteReference"/>
        </w:rPr>
        <w:footnoteRef/>
      </w:r>
      <w:r>
        <w:t xml:space="preserve"> </w:t>
      </w:r>
      <w:r w:rsidRPr="004D6536">
        <w:rPr>
          <w:color w:val="000000"/>
        </w:rPr>
        <w:t xml:space="preserve">47 C.F.R. </w:t>
      </w:r>
      <w:r w:rsidRPr="004D6536">
        <w:rPr>
          <w:color w:val="000000"/>
          <w:spacing w:val="-2"/>
        </w:rPr>
        <w:t>§§ 15.</w:t>
      </w:r>
      <w:r>
        <w:rPr>
          <w:color w:val="000000"/>
          <w:spacing w:val="-2"/>
        </w:rPr>
        <w:t>501</w:t>
      </w:r>
      <w:r>
        <w:rPr>
          <w:color w:val="000000"/>
          <w:spacing w:val="-2"/>
        </w:rPr>
        <w:noBreakHyphen/>
        <w:t>15.525.</w:t>
      </w:r>
    </w:p>
  </w:footnote>
  <w:footnote w:id="6">
    <w:p w:rsidR="005C18BC" w:rsidRPr="004D6536" w:rsidRDefault="005C18BC">
      <w:pPr>
        <w:pStyle w:val="FootnoteText"/>
        <w:rPr>
          <w:color w:val="000000"/>
        </w:rPr>
      </w:pPr>
      <w:r w:rsidRPr="004D6536">
        <w:rPr>
          <w:rStyle w:val="FootnoteReference"/>
          <w:color w:val="000000"/>
        </w:rPr>
        <w:footnoteRef/>
      </w:r>
      <w:r w:rsidRPr="004D6536">
        <w:rPr>
          <w:color w:val="000000"/>
        </w:rPr>
        <w:t xml:space="preserve"> Common applications include inspections of highways, bridges and runways, and determining the location of gas pipelines.  Other applications include uses in forensic and archaeological studies.  </w:t>
      </w:r>
      <w:r w:rsidRPr="004D6536">
        <w:rPr>
          <w:i/>
          <w:iCs/>
          <w:color w:val="000000"/>
        </w:rPr>
        <w:t xml:space="preserve">See </w:t>
      </w:r>
      <w:r w:rsidRPr="00CA15EB">
        <w:rPr>
          <w:i/>
          <w:color w:val="000000"/>
        </w:rPr>
        <w:t>Revision of Part 15 of the Commission</w:t>
      </w:r>
      <w:r w:rsidR="00A02E75">
        <w:rPr>
          <w:i/>
          <w:color w:val="000000"/>
        </w:rPr>
        <w:t>’</w:t>
      </w:r>
      <w:r w:rsidRPr="00CA15EB">
        <w:rPr>
          <w:i/>
          <w:color w:val="000000"/>
        </w:rPr>
        <w:t>s Rules Regarding Ultra-Wideband Transmission Systems</w:t>
      </w:r>
      <w:r w:rsidRPr="004D6536">
        <w:rPr>
          <w:color w:val="000000"/>
        </w:rPr>
        <w:t xml:space="preserve">, </w:t>
      </w:r>
      <w:r w:rsidR="00CA15EB" w:rsidRPr="00CA15EB">
        <w:rPr>
          <w:color w:val="000000"/>
        </w:rPr>
        <w:t>Order</w:t>
      </w:r>
      <w:r w:rsidR="00CA15EB">
        <w:rPr>
          <w:color w:val="000000"/>
        </w:rPr>
        <w:t>,</w:t>
      </w:r>
      <w:r w:rsidR="00CA15EB" w:rsidRPr="004D6536">
        <w:rPr>
          <w:color w:val="000000"/>
        </w:rPr>
        <w:t xml:space="preserve"> </w:t>
      </w:r>
      <w:r w:rsidRPr="004D6536">
        <w:rPr>
          <w:color w:val="000000"/>
        </w:rPr>
        <w:t>ET Docket No. 98-153, 17 FCC R</w:t>
      </w:r>
      <w:r w:rsidR="00A54DF8" w:rsidRPr="004D6536">
        <w:rPr>
          <w:color w:val="000000"/>
        </w:rPr>
        <w:t>c</w:t>
      </w:r>
      <w:r w:rsidRPr="004D6536">
        <w:rPr>
          <w:color w:val="000000"/>
        </w:rPr>
        <w:t>d 13522</w:t>
      </w:r>
      <w:r w:rsidR="00C82AE4">
        <w:rPr>
          <w:color w:val="000000"/>
        </w:rPr>
        <w:t>,</w:t>
      </w:r>
      <w:r w:rsidRPr="004D6536">
        <w:rPr>
          <w:color w:val="000000"/>
        </w:rPr>
        <w:t xml:space="preserve"> </w:t>
      </w:r>
      <w:r w:rsidR="00B648AF" w:rsidRPr="004D6536">
        <w:rPr>
          <w:color w:val="000000"/>
        </w:rPr>
        <w:t>para. </w:t>
      </w:r>
      <w:r w:rsidRPr="004D6536">
        <w:rPr>
          <w:color w:val="000000"/>
        </w:rPr>
        <w:t>3 (2002).</w:t>
      </w:r>
    </w:p>
  </w:footnote>
  <w:footnote w:id="7">
    <w:p w:rsidR="005C18BC" w:rsidRPr="004D6536" w:rsidRDefault="005C18BC">
      <w:pPr>
        <w:pStyle w:val="FootnoteText"/>
        <w:rPr>
          <w:color w:val="000000"/>
        </w:rPr>
      </w:pPr>
      <w:r w:rsidRPr="004D6536">
        <w:rPr>
          <w:rStyle w:val="FootnoteReference"/>
          <w:color w:val="000000"/>
        </w:rPr>
        <w:footnoteRef/>
      </w:r>
      <w:r w:rsidRPr="004D6536">
        <w:rPr>
          <w:color w:val="000000"/>
        </w:rPr>
        <w:t xml:space="preserve"> 47 CFR § 15.509(b). </w:t>
      </w:r>
    </w:p>
  </w:footnote>
  <w:footnote w:id="8">
    <w:p w:rsidR="00801D35" w:rsidRPr="004D6536" w:rsidRDefault="00801D35" w:rsidP="00801D35">
      <w:pPr>
        <w:pStyle w:val="FootnoteText"/>
        <w:rPr>
          <w:color w:val="000000"/>
        </w:rPr>
      </w:pPr>
      <w:r w:rsidRPr="004D6536">
        <w:rPr>
          <w:rStyle w:val="FootnoteReference"/>
          <w:color w:val="000000"/>
        </w:rPr>
        <w:footnoteRef/>
      </w:r>
      <w:r w:rsidRPr="004D6536">
        <w:rPr>
          <w:color w:val="000000"/>
        </w:rPr>
        <w:t xml:space="preserve"> </w:t>
      </w:r>
      <w:r w:rsidR="00417060" w:rsidRPr="004D6536">
        <w:rPr>
          <w:i/>
          <w:color w:val="000000"/>
        </w:rPr>
        <w:t>See</w:t>
      </w:r>
      <w:r w:rsidR="00417060" w:rsidRPr="004D6536">
        <w:rPr>
          <w:color w:val="000000"/>
        </w:rPr>
        <w:t xml:space="preserve"> 47 C.F.R. § 90.</w:t>
      </w:r>
      <w:r w:rsidR="00417060">
        <w:rPr>
          <w:color w:val="000000"/>
        </w:rPr>
        <w:t xml:space="preserve">7 </w:t>
      </w:r>
      <w:r w:rsidR="00046010">
        <w:rPr>
          <w:color w:val="000000"/>
        </w:rPr>
        <w:t>(</w:t>
      </w:r>
      <w:r w:rsidR="00417060" w:rsidRPr="004D6536">
        <w:rPr>
          <w:color w:val="000000"/>
        </w:rPr>
        <w:t>defin</w:t>
      </w:r>
      <w:r w:rsidR="00046010">
        <w:rPr>
          <w:color w:val="000000"/>
        </w:rPr>
        <w:t>ing</w:t>
      </w:r>
      <w:r w:rsidR="00417060" w:rsidRPr="004D6536">
        <w:rPr>
          <w:color w:val="000000"/>
        </w:rPr>
        <w:t xml:space="preserve"> </w:t>
      </w:r>
      <w:r w:rsidR="00417060">
        <w:rPr>
          <w:color w:val="000000"/>
        </w:rPr>
        <w:t>“special industrial licensee” as “</w:t>
      </w:r>
      <w:r w:rsidR="00417060">
        <w:t>p</w:t>
      </w:r>
      <w:r w:rsidR="00417060" w:rsidRPr="00862E5B">
        <w:t xml:space="preserve">ersons regularly engaged in any of the following activities: (1) </w:t>
      </w:r>
      <w:r w:rsidR="00417060">
        <w:t>t</w:t>
      </w:r>
      <w:r w:rsidR="00417060" w:rsidRPr="00862E5B">
        <w:t>he operation of farms, ranches, or similar land areas, for the quantity production of crops or plants; vines or trees (excluding forestry operations); or for the keeping, grazing or feeding of livestock for animal products, animal increase, or value enhancement;</w:t>
      </w:r>
      <w:r w:rsidR="00417060">
        <w:t xml:space="preserve"> (2)</w:t>
      </w:r>
      <w:r w:rsidR="00417060">
        <w:rPr>
          <w:color w:val="000000"/>
        </w:rPr>
        <w:t xml:space="preserve"> pl</w:t>
      </w:r>
      <w:r w:rsidR="00417060" w:rsidRPr="00862E5B">
        <w:t>owing, soil conditioning, seeding, fertilizing, or harvesting for agricultural activities</w:t>
      </w:r>
      <w:r w:rsidR="00417060">
        <w:rPr>
          <w:color w:val="000000"/>
        </w:rPr>
        <w:t>”</w:t>
      </w:r>
      <w:r w:rsidR="00046010">
        <w:rPr>
          <w:color w:val="000000"/>
        </w:rPr>
        <w:t>)</w:t>
      </w:r>
      <w:r w:rsidR="00613BB5">
        <w:rPr>
          <w:color w:val="000000"/>
        </w:rPr>
        <w:t xml:space="preserve">.  </w:t>
      </w:r>
    </w:p>
  </w:footnote>
  <w:footnote w:id="9">
    <w:p w:rsidR="000E65DC" w:rsidRPr="004D6536" w:rsidRDefault="000E65DC" w:rsidP="000E65DC">
      <w:pPr>
        <w:pStyle w:val="FootnoteText"/>
        <w:rPr>
          <w:color w:val="000000"/>
        </w:rPr>
      </w:pPr>
      <w:r w:rsidRPr="004D6536">
        <w:rPr>
          <w:rStyle w:val="FootnoteReference"/>
          <w:color w:val="000000"/>
        </w:rPr>
        <w:footnoteRef/>
      </w:r>
      <w:r w:rsidRPr="004D6536">
        <w:rPr>
          <w:color w:val="000000"/>
        </w:rPr>
        <w:t xml:space="preserve"> 47 C.F.R. § 15.525.</w:t>
      </w:r>
      <w:r w:rsidR="00B27B23" w:rsidRPr="004D6536">
        <w:rPr>
          <w:color w:val="000000"/>
        </w:rPr>
        <w:t xml:space="preserve">  This section requires that </w:t>
      </w:r>
      <w:r w:rsidR="00432472">
        <w:rPr>
          <w:color w:val="000000"/>
        </w:rPr>
        <w:t xml:space="preserve">the users of </w:t>
      </w:r>
      <w:r w:rsidR="00B27B23" w:rsidRPr="004D6536">
        <w:rPr>
          <w:color w:val="000000"/>
        </w:rPr>
        <w:t xml:space="preserve">UWB imaging systems coordinate </w:t>
      </w:r>
      <w:r w:rsidR="00432472">
        <w:rPr>
          <w:color w:val="000000"/>
        </w:rPr>
        <w:t xml:space="preserve">their intended operation </w:t>
      </w:r>
      <w:r w:rsidR="00B27B23" w:rsidRPr="004D6536">
        <w:rPr>
          <w:color w:val="000000"/>
        </w:rPr>
        <w:t xml:space="preserve">with federal users through the Commission before the equipment may be used.  </w:t>
      </w:r>
      <w:r w:rsidR="00432472">
        <w:rPr>
          <w:color w:val="000000"/>
        </w:rPr>
        <w:t xml:space="preserve">Operators of this equipment are to provide to the Office of Engineering and Technology their name, address and personal contact information; the desired geographical area of operation; and the FCC ID number of the device. </w:t>
      </w:r>
      <w:r w:rsidR="0026457B">
        <w:rPr>
          <w:color w:val="000000"/>
        </w:rPr>
        <w:t xml:space="preserve"> </w:t>
      </w:r>
      <w:r w:rsidR="00432472">
        <w:rPr>
          <w:color w:val="000000"/>
        </w:rPr>
        <w:t xml:space="preserve">Manufacturers or authorized sales agents are to notify purchasers of this requirement. </w:t>
      </w:r>
      <w:r w:rsidR="0026457B">
        <w:rPr>
          <w:color w:val="000000"/>
        </w:rPr>
        <w:t xml:space="preserve"> </w:t>
      </w:r>
      <w:r w:rsidR="00B27B23" w:rsidRPr="004D6536">
        <w:rPr>
          <w:color w:val="000000"/>
        </w:rPr>
        <w:t>These coordination requirement for imaging devices were adopted to protect potentially affected federal government users that provid</w:t>
      </w:r>
      <w:r w:rsidR="00562F51" w:rsidRPr="004D6536">
        <w:rPr>
          <w:color w:val="000000"/>
        </w:rPr>
        <w:t>e</w:t>
      </w:r>
      <w:r w:rsidR="00B27B23" w:rsidRPr="004D6536">
        <w:rPr>
          <w:color w:val="000000"/>
        </w:rPr>
        <w:t xml:space="preserve"> safety-of-life services.</w:t>
      </w:r>
    </w:p>
  </w:footnote>
  <w:footnote w:id="10">
    <w:p w:rsidR="005C18BC" w:rsidRPr="004D6536" w:rsidRDefault="005C18BC" w:rsidP="00AD3FE1">
      <w:pPr>
        <w:pStyle w:val="FootnoteText"/>
        <w:rPr>
          <w:color w:val="000000"/>
        </w:rPr>
      </w:pPr>
      <w:r w:rsidRPr="004D6536">
        <w:rPr>
          <w:rStyle w:val="FootnoteReference"/>
          <w:color w:val="000000"/>
        </w:rPr>
        <w:footnoteRef/>
      </w:r>
      <w:r w:rsidRPr="004D6536">
        <w:rPr>
          <w:color w:val="000000"/>
        </w:rPr>
        <w:t xml:space="preserve"> 47 CFR § 15.503(f) defines a GPR as “a field disturbance sensor that is designed to operate only when in contact with, or within one meter of, the ground for the purpose of detecting or obtaining the images of buried objects or determining the physical properties within the ground.  The energy from the GPR is intentionally directed down into the ground for this purpose</w:t>
      </w:r>
      <w:r w:rsidR="00562F51" w:rsidRPr="004D6536">
        <w:rPr>
          <w:color w:val="000000"/>
        </w:rPr>
        <w:t>.</w:t>
      </w:r>
      <w:r w:rsidRPr="004D6536">
        <w:rPr>
          <w:color w:val="000000"/>
        </w:rPr>
        <w:t xml:space="preserve">” </w:t>
      </w:r>
    </w:p>
  </w:footnote>
  <w:footnote w:id="11">
    <w:p w:rsidR="009D159A" w:rsidRPr="004D6536" w:rsidRDefault="009D159A" w:rsidP="009D159A">
      <w:pPr>
        <w:pStyle w:val="FootnoteText"/>
        <w:rPr>
          <w:color w:val="000000"/>
        </w:rPr>
      </w:pPr>
      <w:r w:rsidRPr="004D6536">
        <w:rPr>
          <w:rStyle w:val="FootnoteReference"/>
          <w:color w:val="000000"/>
        </w:rPr>
        <w:footnoteRef/>
      </w:r>
      <w:r w:rsidRPr="004D6536">
        <w:rPr>
          <w:color w:val="000000"/>
        </w:rPr>
        <w:t xml:space="preserve"> The </w:t>
      </w:r>
      <w:r w:rsidRPr="004D6536">
        <w:rPr>
          <w:bCs/>
          <w:color w:val="000000"/>
        </w:rPr>
        <w:t>combine harvester</w:t>
      </w:r>
      <w:r w:rsidRPr="004D6536">
        <w:rPr>
          <w:color w:val="000000"/>
        </w:rPr>
        <w:t xml:space="preserve"> is a machine that harvests grain crops.  The name derives from its combining three separate operations comprising harvesting—reaping, threshing, and winnowing—into a single process.</w:t>
      </w:r>
    </w:p>
  </w:footnote>
  <w:footnote w:id="12">
    <w:p w:rsidR="00DE4C5B" w:rsidRPr="004D6536" w:rsidRDefault="00DE4C5B" w:rsidP="00DE4C5B">
      <w:pPr>
        <w:pStyle w:val="FootnoteText"/>
        <w:rPr>
          <w:color w:val="000000"/>
        </w:rPr>
      </w:pPr>
      <w:r w:rsidRPr="004D6536">
        <w:rPr>
          <w:rStyle w:val="FootnoteReference"/>
          <w:color w:val="000000"/>
        </w:rPr>
        <w:footnoteRef/>
      </w:r>
      <w:r w:rsidRPr="004D6536">
        <w:rPr>
          <w:color w:val="000000"/>
        </w:rPr>
        <w:t xml:space="preserve"> Headsight</w:t>
      </w:r>
      <w:r w:rsidRPr="004D6536">
        <w:rPr>
          <w:i/>
          <w:color w:val="000000"/>
        </w:rPr>
        <w:t xml:space="preserve"> </w:t>
      </w:r>
      <w:r w:rsidRPr="004D6536">
        <w:rPr>
          <w:color w:val="000000"/>
        </w:rPr>
        <w:t>Request at 3.</w:t>
      </w:r>
    </w:p>
  </w:footnote>
  <w:footnote w:id="13">
    <w:p w:rsidR="008B1596" w:rsidRPr="004D6536" w:rsidRDefault="008B1596">
      <w:pPr>
        <w:pStyle w:val="FootnoteText"/>
        <w:rPr>
          <w:color w:val="000000"/>
        </w:rPr>
      </w:pPr>
      <w:r w:rsidRPr="004D6536">
        <w:rPr>
          <w:rStyle w:val="FootnoteReference"/>
          <w:color w:val="000000"/>
        </w:rPr>
        <w:footnoteRef/>
      </w:r>
      <w:r w:rsidRPr="004D6536">
        <w:rPr>
          <w:color w:val="000000"/>
        </w:rPr>
        <w:t xml:space="preserve"> </w:t>
      </w:r>
      <w:r w:rsidR="00A02E75">
        <w:rPr>
          <w:i/>
          <w:color w:val="000000"/>
        </w:rPr>
        <w:t>Id.</w:t>
      </w:r>
      <w:r w:rsidRPr="004D6536">
        <w:rPr>
          <w:color w:val="000000"/>
        </w:rPr>
        <w:t xml:space="preserve"> at 6</w:t>
      </w:r>
      <w:r w:rsidR="003734A2" w:rsidRPr="004D6536">
        <w:rPr>
          <w:color w:val="000000"/>
        </w:rPr>
        <w:noBreakHyphen/>
        <w:t>7</w:t>
      </w:r>
      <w:r w:rsidRPr="004D6536">
        <w:rPr>
          <w:color w:val="000000"/>
        </w:rPr>
        <w:t>.</w:t>
      </w:r>
    </w:p>
  </w:footnote>
  <w:footnote w:id="14">
    <w:p w:rsidR="000B10AD" w:rsidRPr="00B765D1" w:rsidRDefault="000B10AD" w:rsidP="000B10AD">
      <w:pPr>
        <w:pStyle w:val="FootnoteText"/>
        <w:rPr>
          <w:color w:val="000000"/>
        </w:rPr>
      </w:pPr>
      <w:r w:rsidRPr="003B53CA">
        <w:rPr>
          <w:rStyle w:val="FootnoteReference"/>
          <w:color w:val="000000"/>
        </w:rPr>
        <w:footnoteRef/>
      </w:r>
      <w:r w:rsidRPr="003B53CA">
        <w:rPr>
          <w:color w:val="000000"/>
        </w:rPr>
        <w:t xml:space="preserve"> Headsight explains that “there are three types of combine headers for which the Terrahawk would be most applicable: </w:t>
      </w:r>
      <w:r w:rsidR="00432472" w:rsidRPr="003B53CA">
        <w:rPr>
          <w:color w:val="000000"/>
        </w:rPr>
        <w:t>co</w:t>
      </w:r>
      <w:r w:rsidR="00432472">
        <w:rPr>
          <w:color w:val="000000"/>
        </w:rPr>
        <w:t>rn</w:t>
      </w:r>
      <w:r w:rsidR="00432472" w:rsidRPr="003B53CA">
        <w:rPr>
          <w:color w:val="000000"/>
        </w:rPr>
        <w:t xml:space="preserve"> </w:t>
      </w:r>
      <w:r w:rsidRPr="003B53CA">
        <w:rPr>
          <w:color w:val="000000"/>
        </w:rPr>
        <w:t xml:space="preserve">heads, </w:t>
      </w:r>
      <w:r w:rsidR="00432472" w:rsidRPr="003B53CA">
        <w:rPr>
          <w:color w:val="000000"/>
        </w:rPr>
        <w:t>platfo</w:t>
      </w:r>
      <w:r w:rsidR="00432472">
        <w:rPr>
          <w:color w:val="000000"/>
        </w:rPr>
        <w:t>rm</w:t>
      </w:r>
      <w:r w:rsidR="00432472" w:rsidRPr="003B53CA">
        <w:rPr>
          <w:color w:val="000000"/>
        </w:rPr>
        <w:t xml:space="preserve"> </w:t>
      </w:r>
      <w:r w:rsidRPr="003B53CA">
        <w:rPr>
          <w:color w:val="000000"/>
        </w:rPr>
        <w:t>heads, and stripper heads.  Corn heads are used specifically for harvesting corn.  Platform heads can harvest a large variety of grains such as wheat, lentils, soybeans, rice, barley, flax, milo, peas, oats and mustard.  Stripper heads can be used for many of the same standing grains as a platform heads, but are used in situations where it is desirable to leave the stalk standing and strip the grain from it.”  Headsight Request at 7.</w:t>
      </w:r>
      <w:r w:rsidR="00CA7BD1">
        <w:rPr>
          <w:color w:val="000000"/>
        </w:rPr>
        <w:t xml:space="preserve">  </w:t>
      </w:r>
      <w:r w:rsidR="00CA7BD1">
        <w:rPr>
          <w:i/>
          <w:color w:val="000000"/>
        </w:rPr>
        <w:t xml:space="preserve">See also </w:t>
      </w:r>
      <w:r w:rsidR="00A02E75">
        <w:rPr>
          <w:color w:val="000000"/>
        </w:rPr>
        <w:t xml:space="preserve">Letter from Terry Mahn, Counsel for </w:t>
      </w:r>
      <w:r w:rsidR="00CA7BD1" w:rsidRPr="004D6536">
        <w:rPr>
          <w:color w:val="000000"/>
        </w:rPr>
        <w:t>Headsight</w:t>
      </w:r>
      <w:r w:rsidR="00A02E75">
        <w:rPr>
          <w:color w:val="000000"/>
        </w:rPr>
        <w:t xml:space="preserve"> Inc. to </w:t>
      </w:r>
      <w:r w:rsidR="00A02E75">
        <w:t>Marlene H. Dortch, Secretary, FCC,</w:t>
      </w:r>
      <w:r w:rsidR="00CA7BD1" w:rsidRPr="004D6536">
        <w:rPr>
          <w:color w:val="000000"/>
        </w:rPr>
        <w:t xml:space="preserve"> </w:t>
      </w:r>
      <w:r w:rsidR="00A02E75">
        <w:rPr>
          <w:color w:val="000000"/>
        </w:rPr>
        <w:t>ET Docket 16</w:t>
      </w:r>
      <w:r w:rsidR="009017A7">
        <w:rPr>
          <w:color w:val="000000"/>
        </w:rPr>
        <w:noBreakHyphen/>
      </w:r>
      <w:r w:rsidR="00A02E75">
        <w:rPr>
          <w:color w:val="000000"/>
        </w:rPr>
        <w:t xml:space="preserve">44 </w:t>
      </w:r>
      <w:r w:rsidR="00CA7BD1" w:rsidRPr="004D6536">
        <w:rPr>
          <w:color w:val="000000"/>
        </w:rPr>
        <w:t>at 2 (filed April 26, 2016)</w:t>
      </w:r>
      <w:r w:rsidR="00A02E75">
        <w:rPr>
          <w:color w:val="000000"/>
        </w:rPr>
        <w:t xml:space="preserve"> (Headsight </w:t>
      </w:r>
      <w:r w:rsidR="00A02E75" w:rsidRPr="004E1522">
        <w:rPr>
          <w:i/>
          <w:color w:val="000000"/>
        </w:rPr>
        <w:t>E</w:t>
      </w:r>
      <w:r w:rsidR="00A02E75">
        <w:rPr>
          <w:i/>
          <w:color w:val="000000"/>
        </w:rPr>
        <w:t>x Parte</w:t>
      </w:r>
      <w:r w:rsidR="00A02E75">
        <w:rPr>
          <w:color w:val="000000"/>
        </w:rPr>
        <w:t>)</w:t>
      </w:r>
      <w:r w:rsidR="00CA7BD1" w:rsidRPr="004D6536">
        <w:rPr>
          <w:color w:val="000000"/>
        </w:rPr>
        <w:t>.</w:t>
      </w:r>
    </w:p>
  </w:footnote>
  <w:footnote w:id="15">
    <w:p w:rsidR="00CA7BD1" w:rsidRDefault="00CA7BD1">
      <w:pPr>
        <w:pStyle w:val="FootnoteText"/>
      </w:pPr>
      <w:r>
        <w:rPr>
          <w:rStyle w:val="FootnoteReference"/>
        </w:rPr>
        <w:footnoteRef/>
      </w:r>
      <w:r>
        <w:t xml:space="preserve"> </w:t>
      </w:r>
      <w:r w:rsidR="00B765D1">
        <w:t xml:space="preserve">Headsight </w:t>
      </w:r>
      <w:r w:rsidR="00B765D1" w:rsidRPr="00B82B30">
        <w:rPr>
          <w:i/>
        </w:rPr>
        <w:t>Ex</w:t>
      </w:r>
      <w:r w:rsidR="00A02E75">
        <w:rPr>
          <w:i/>
        </w:rPr>
        <w:t xml:space="preserve"> P</w:t>
      </w:r>
      <w:r w:rsidR="00B765D1" w:rsidRPr="00B82B30">
        <w:rPr>
          <w:i/>
        </w:rPr>
        <w:t>arte</w:t>
      </w:r>
      <w:r w:rsidR="00B765D1">
        <w:t xml:space="preserve"> at 2.</w:t>
      </w:r>
    </w:p>
  </w:footnote>
  <w:footnote w:id="16">
    <w:p w:rsidR="00AE71DA" w:rsidRPr="004D6536" w:rsidRDefault="00AE71DA">
      <w:pPr>
        <w:pStyle w:val="FootnoteText"/>
        <w:rPr>
          <w:color w:val="000000"/>
        </w:rPr>
      </w:pPr>
      <w:r w:rsidRPr="004D6536">
        <w:rPr>
          <w:rStyle w:val="FootnoteReference"/>
          <w:color w:val="000000"/>
        </w:rPr>
        <w:footnoteRef/>
      </w:r>
      <w:r w:rsidRPr="004D6536">
        <w:rPr>
          <w:color w:val="000000"/>
        </w:rPr>
        <w:t xml:space="preserve"> Headsight</w:t>
      </w:r>
      <w:r w:rsidRPr="004D6536">
        <w:rPr>
          <w:i/>
          <w:color w:val="000000"/>
        </w:rPr>
        <w:t xml:space="preserve"> </w:t>
      </w:r>
      <w:r w:rsidRPr="004D6536">
        <w:rPr>
          <w:color w:val="000000"/>
        </w:rPr>
        <w:t>Request at 4</w:t>
      </w:r>
      <w:r w:rsidR="003734A2" w:rsidRPr="004D6536">
        <w:rPr>
          <w:color w:val="000000"/>
        </w:rPr>
        <w:noBreakHyphen/>
      </w:r>
      <w:r w:rsidRPr="004D6536">
        <w:rPr>
          <w:color w:val="000000"/>
        </w:rPr>
        <w:t>5.</w:t>
      </w:r>
    </w:p>
  </w:footnote>
  <w:footnote w:id="17">
    <w:p w:rsidR="005C18BC" w:rsidRPr="004D6536" w:rsidRDefault="005C18BC">
      <w:pPr>
        <w:pStyle w:val="FootnoteText"/>
        <w:rPr>
          <w:color w:val="000000"/>
        </w:rPr>
      </w:pPr>
      <w:r w:rsidRPr="004D6536">
        <w:rPr>
          <w:rStyle w:val="FootnoteReference"/>
          <w:color w:val="000000"/>
        </w:rPr>
        <w:footnoteRef/>
      </w:r>
      <w:r w:rsidRPr="004D6536">
        <w:rPr>
          <w:color w:val="000000"/>
        </w:rPr>
        <w:t xml:space="preserve"> </w:t>
      </w:r>
      <w:r w:rsidRPr="004D6536">
        <w:rPr>
          <w:i/>
          <w:color w:val="000000"/>
        </w:rPr>
        <w:t xml:space="preserve">See Office of Engineering and Technology Declares the </w:t>
      </w:r>
      <w:r w:rsidRPr="004D6536">
        <w:rPr>
          <w:bCs/>
          <w:i/>
          <w:color w:val="000000"/>
        </w:rPr>
        <w:t>Headsight, Inc. Request For Waiver Of Certain Part 15 Ultra-Wideband (UWB) Rules</w:t>
      </w:r>
      <w:r w:rsidRPr="004D6536">
        <w:rPr>
          <w:i/>
          <w:color w:val="000000"/>
        </w:rPr>
        <w:t xml:space="preserve"> to be a “Permit-but-Disclose” Proceeding for Ex Parte Purposes and Requests Comment</w:t>
      </w:r>
      <w:r w:rsidRPr="004D6536">
        <w:rPr>
          <w:color w:val="000000"/>
        </w:rPr>
        <w:t xml:space="preserve">, </w:t>
      </w:r>
      <w:r w:rsidR="00A50C48" w:rsidRPr="004D6536">
        <w:rPr>
          <w:color w:val="000000"/>
        </w:rPr>
        <w:t>DA 16</w:t>
      </w:r>
      <w:r w:rsidR="00A50C48" w:rsidRPr="004D6536">
        <w:rPr>
          <w:color w:val="000000"/>
        </w:rPr>
        <w:noBreakHyphen/>
        <w:t xml:space="preserve">172, </w:t>
      </w:r>
      <w:r w:rsidRPr="004D6536">
        <w:rPr>
          <w:color w:val="000000"/>
        </w:rPr>
        <w:t>Public Notice, 31</w:t>
      </w:r>
      <w:r w:rsidRPr="004D6536">
        <w:rPr>
          <w:snapToGrid w:val="0"/>
          <w:color w:val="000000"/>
          <w:kern w:val="28"/>
        </w:rPr>
        <w:t xml:space="preserve"> FCC Rcd 1170 (2016).</w:t>
      </w:r>
      <w:r w:rsidRPr="004D6536">
        <w:rPr>
          <w:color w:val="000000"/>
        </w:rPr>
        <w:t xml:space="preserve"> </w:t>
      </w:r>
    </w:p>
  </w:footnote>
  <w:footnote w:id="18">
    <w:p w:rsidR="005C18BC" w:rsidRPr="004D6536" w:rsidRDefault="005C18BC">
      <w:pPr>
        <w:pStyle w:val="FootnoteText"/>
        <w:rPr>
          <w:color w:val="000000"/>
        </w:rPr>
      </w:pPr>
      <w:r w:rsidRPr="004D6536">
        <w:rPr>
          <w:rStyle w:val="FootnoteReference"/>
          <w:color w:val="000000"/>
        </w:rPr>
        <w:footnoteRef/>
      </w:r>
      <w:r w:rsidRPr="004D6536">
        <w:rPr>
          <w:color w:val="000000"/>
        </w:rPr>
        <w:t xml:space="preserve"> </w:t>
      </w:r>
      <w:hyperlink r:id="rId1" w:tgtFrame="_top" w:history="1">
        <w:r w:rsidRPr="004D6536">
          <w:rPr>
            <w:color w:val="000000"/>
          </w:rPr>
          <w:t>47 C.F.R. § 1.3</w:t>
        </w:r>
      </w:hyperlink>
      <w:r w:rsidR="00EC54E5">
        <w:rPr>
          <w:color w:val="000000"/>
        </w:rPr>
        <w:t xml:space="preserve">; </w:t>
      </w:r>
      <w:r w:rsidR="00EC54E5" w:rsidRPr="00EC54E5">
        <w:rPr>
          <w:i/>
          <w:color w:val="000000"/>
        </w:rPr>
        <w:t>s</w:t>
      </w:r>
      <w:r w:rsidRPr="004D6536">
        <w:rPr>
          <w:i/>
          <w:iCs/>
          <w:color w:val="000000"/>
        </w:rPr>
        <w:t>ee also</w:t>
      </w:r>
      <w:r w:rsidRPr="004D6536">
        <w:rPr>
          <w:iCs/>
          <w:color w:val="000000"/>
        </w:rPr>
        <w:t xml:space="preserve"> </w:t>
      </w:r>
      <w:hyperlink r:id="rId2" w:tgtFrame="_top" w:history="1">
        <w:r w:rsidRPr="004D6536">
          <w:rPr>
            <w:i/>
            <w:iCs/>
            <w:color w:val="000000"/>
          </w:rPr>
          <w:t>ICO Global Communications (Holdings) Limited v. FCC</w:t>
        </w:r>
        <w:r w:rsidRPr="004D6536">
          <w:rPr>
            <w:color w:val="000000"/>
          </w:rPr>
          <w:t>, 428 F.3d 264 (D.C. Cir. 2005)</w:t>
        </w:r>
      </w:hyperlink>
      <w:r w:rsidRPr="004D6536">
        <w:rPr>
          <w:color w:val="000000"/>
        </w:rPr>
        <w:t xml:space="preserve">; </w:t>
      </w:r>
      <w:hyperlink r:id="rId3" w:tgtFrame="_top" w:history="1">
        <w:r w:rsidRPr="004D6536">
          <w:rPr>
            <w:i/>
            <w:iCs/>
            <w:color w:val="000000"/>
          </w:rPr>
          <w:t>Northeast Cellular Telephone Co. v. FCC</w:t>
        </w:r>
        <w:r w:rsidRPr="004D6536">
          <w:rPr>
            <w:color w:val="000000"/>
          </w:rPr>
          <w:t>, 897 F.2d 1164 (D.C. Cir. 1990)</w:t>
        </w:r>
      </w:hyperlink>
      <w:r w:rsidRPr="004D6536">
        <w:rPr>
          <w:color w:val="000000"/>
        </w:rPr>
        <w:t xml:space="preserve">; </w:t>
      </w:r>
      <w:hyperlink r:id="rId4" w:tgtFrame="_top" w:history="1">
        <w:r w:rsidRPr="004D6536">
          <w:rPr>
            <w:i/>
            <w:iCs/>
            <w:color w:val="000000"/>
          </w:rPr>
          <w:t>WAIT Radio v. FCC</w:t>
        </w:r>
        <w:r w:rsidRPr="004D6536">
          <w:rPr>
            <w:color w:val="000000"/>
          </w:rPr>
          <w:t>, 418 F.2d 1153 (D.C. Cir. 1969)</w:t>
        </w:r>
      </w:hyperlink>
      <w:r w:rsidRPr="004D6536">
        <w:rPr>
          <w:color w:val="000000"/>
        </w:rPr>
        <w:t>.</w:t>
      </w:r>
    </w:p>
  </w:footnote>
  <w:footnote w:id="19">
    <w:p w:rsidR="005C18BC" w:rsidRPr="004D6536" w:rsidRDefault="005C18BC">
      <w:pPr>
        <w:pStyle w:val="FootnoteText"/>
        <w:rPr>
          <w:color w:val="000000"/>
        </w:rPr>
      </w:pPr>
      <w:r w:rsidRPr="004D6536">
        <w:rPr>
          <w:rStyle w:val="FootnoteReference"/>
          <w:color w:val="000000"/>
        </w:rPr>
        <w:footnoteRef/>
      </w:r>
      <w:r w:rsidRPr="004D6536">
        <w:rPr>
          <w:color w:val="000000"/>
        </w:rPr>
        <w:t xml:space="preserve"> </w:t>
      </w:r>
      <w:r w:rsidRPr="004D6536">
        <w:rPr>
          <w:i/>
          <w:iCs/>
          <w:color w:val="000000"/>
        </w:rPr>
        <w:t>Northeast Cellular</w:t>
      </w:r>
      <w:r w:rsidRPr="004D6536">
        <w:rPr>
          <w:i/>
          <w:color w:val="000000"/>
        </w:rPr>
        <w:t>,</w:t>
      </w:r>
      <w:r w:rsidRPr="004D6536">
        <w:rPr>
          <w:color w:val="000000"/>
        </w:rPr>
        <w:t xml:space="preserve"> </w:t>
      </w:r>
      <w:r w:rsidRPr="004D6536">
        <w:rPr>
          <w:i/>
          <w:color w:val="000000"/>
        </w:rPr>
        <w:t>supra</w:t>
      </w:r>
      <w:r w:rsidRPr="004D6536">
        <w:rPr>
          <w:color w:val="000000"/>
        </w:rPr>
        <w:t xml:space="preserve"> at 1166; </w:t>
      </w:r>
      <w:r w:rsidRPr="004D6536">
        <w:rPr>
          <w:i/>
          <w:color w:val="000000"/>
        </w:rPr>
        <w:t>see also</w:t>
      </w:r>
      <w:r w:rsidRPr="004D6536">
        <w:rPr>
          <w:color w:val="000000"/>
        </w:rPr>
        <w:t xml:space="preserve"> </w:t>
      </w:r>
      <w:hyperlink r:id="rId5" w:tgtFrame="_top" w:history="1">
        <w:r w:rsidRPr="004D6536">
          <w:rPr>
            <w:i/>
            <w:iCs/>
            <w:color w:val="000000"/>
          </w:rPr>
          <w:t>ICO Global Communications</w:t>
        </w:r>
        <w:r w:rsidRPr="004D6536">
          <w:rPr>
            <w:i/>
            <w:color w:val="000000"/>
          </w:rPr>
          <w:t>,</w:t>
        </w:r>
        <w:r w:rsidRPr="004D6536">
          <w:rPr>
            <w:color w:val="000000"/>
          </w:rPr>
          <w:t xml:space="preserve"> </w:t>
        </w:r>
        <w:r w:rsidRPr="004D6536">
          <w:rPr>
            <w:i/>
            <w:color w:val="000000"/>
          </w:rPr>
          <w:t>supra</w:t>
        </w:r>
        <w:r w:rsidRPr="004D6536">
          <w:rPr>
            <w:color w:val="000000"/>
          </w:rPr>
          <w:t xml:space="preserve"> at 269</w:t>
        </w:r>
      </w:hyperlink>
      <w:r w:rsidRPr="004D6536">
        <w:rPr>
          <w:color w:val="000000"/>
        </w:rPr>
        <w:t xml:space="preserve"> (quoting </w:t>
      </w:r>
      <w:r w:rsidRPr="004D6536">
        <w:rPr>
          <w:i/>
          <w:iCs/>
          <w:color w:val="000000"/>
        </w:rPr>
        <w:t>Northeast Cellular</w:t>
      </w:r>
      <w:r w:rsidRPr="004D6536">
        <w:rPr>
          <w:color w:val="000000"/>
        </w:rPr>
        <w:t xml:space="preserve">); </w:t>
      </w:r>
      <w:hyperlink r:id="rId6" w:tgtFrame="_top" w:history="1">
        <w:r w:rsidRPr="004D6536">
          <w:rPr>
            <w:i/>
            <w:iCs/>
            <w:color w:val="000000"/>
          </w:rPr>
          <w:t>WAIT Radio</w:t>
        </w:r>
        <w:r w:rsidRPr="004D6536">
          <w:rPr>
            <w:i/>
            <w:color w:val="000000"/>
          </w:rPr>
          <w:t>,</w:t>
        </w:r>
        <w:r w:rsidRPr="004D6536">
          <w:rPr>
            <w:color w:val="000000"/>
          </w:rPr>
          <w:t xml:space="preserve"> </w:t>
        </w:r>
        <w:r w:rsidRPr="004D6536">
          <w:rPr>
            <w:i/>
            <w:color w:val="000000"/>
          </w:rPr>
          <w:t>supra</w:t>
        </w:r>
        <w:r w:rsidRPr="004D6536">
          <w:rPr>
            <w:color w:val="000000"/>
          </w:rPr>
          <w:t xml:space="preserve"> at 1157-59</w:t>
        </w:r>
      </w:hyperlink>
      <w:r w:rsidRPr="004D6536">
        <w:rPr>
          <w:color w:val="000000"/>
        </w:rPr>
        <w:t>.</w:t>
      </w:r>
    </w:p>
  </w:footnote>
  <w:footnote w:id="20">
    <w:p w:rsidR="005C18BC" w:rsidRPr="004D6536" w:rsidRDefault="005C18BC">
      <w:pPr>
        <w:pStyle w:val="FootnoteText"/>
        <w:rPr>
          <w:color w:val="000000"/>
        </w:rPr>
      </w:pPr>
      <w:r w:rsidRPr="004D6536">
        <w:rPr>
          <w:rStyle w:val="FootnoteReference"/>
          <w:color w:val="000000"/>
        </w:rPr>
        <w:footnoteRef/>
      </w:r>
      <w:r w:rsidRPr="004D6536">
        <w:rPr>
          <w:color w:val="000000"/>
        </w:rPr>
        <w:t xml:space="preserve"> </w:t>
      </w:r>
      <w:r w:rsidRPr="004D6536">
        <w:rPr>
          <w:i/>
          <w:color w:val="000000"/>
        </w:rPr>
        <w:t>See, e.g., WAIT Radio</w:t>
      </w:r>
      <w:r w:rsidRPr="004D6536">
        <w:rPr>
          <w:color w:val="000000"/>
        </w:rPr>
        <w:t>, 418 F.2d at 1157 (stating that even though the overall objectives of a general rule have been adjudge</w:t>
      </w:r>
      <w:r w:rsidR="00311EEB">
        <w:rPr>
          <w:color w:val="000000"/>
        </w:rPr>
        <w:t>d</w:t>
      </w:r>
      <w:r w:rsidRPr="004D6536">
        <w:rPr>
          <w:color w:val="000000"/>
        </w:rPr>
        <w:t xml:space="preserve"> to be in the public interest, it is possible that application of the rule to a specific case may not serve the public interest if an applicant’s proposal does not undermine the public interest policy served by the rule); </w:t>
      </w:r>
      <w:r w:rsidRPr="004D6536">
        <w:rPr>
          <w:i/>
          <w:color w:val="000000"/>
        </w:rPr>
        <w:t>Northeast Cellular</w:t>
      </w:r>
      <w:r w:rsidRPr="004D6536">
        <w:rPr>
          <w:color w:val="000000"/>
        </w:rPr>
        <w:t>, 897 F.2d at 1166 (stating that in granting a waiver, an agency must explain why deviation from the general rule better serves the public interest than would strict adherence to the rule).</w:t>
      </w:r>
    </w:p>
  </w:footnote>
  <w:footnote w:id="21">
    <w:p w:rsidR="00B7678C" w:rsidRDefault="00B7678C">
      <w:pPr>
        <w:pStyle w:val="FootnoteText"/>
      </w:pPr>
      <w:r>
        <w:rPr>
          <w:rStyle w:val="FootnoteReference"/>
        </w:rPr>
        <w:footnoteRef/>
      </w:r>
      <w:r>
        <w:t xml:space="preserve"> </w:t>
      </w:r>
      <w:r w:rsidRPr="00B7678C">
        <w:rPr>
          <w:i/>
          <w:color w:val="000000"/>
        </w:rPr>
        <w:t>Revision of Part 15 of the Commission's Rules Regarding Ultra-Wideband Transmission Systems</w:t>
      </w:r>
      <w:r w:rsidRPr="004D6536">
        <w:rPr>
          <w:color w:val="000000"/>
        </w:rPr>
        <w:t xml:space="preserve">, </w:t>
      </w:r>
      <w:r>
        <w:rPr>
          <w:color w:val="000000"/>
        </w:rPr>
        <w:t xml:space="preserve">First Report and </w:t>
      </w:r>
      <w:r w:rsidRPr="00B7678C">
        <w:rPr>
          <w:color w:val="000000"/>
        </w:rPr>
        <w:t>Order</w:t>
      </w:r>
      <w:r>
        <w:rPr>
          <w:color w:val="000000"/>
        </w:rPr>
        <w:t>,</w:t>
      </w:r>
      <w:r w:rsidRPr="004D6536">
        <w:rPr>
          <w:color w:val="000000"/>
        </w:rPr>
        <w:t xml:space="preserve"> ET Docket No. 98-153, 17 FCC Rcd </w:t>
      </w:r>
      <w:r>
        <w:rPr>
          <w:color w:val="000000"/>
        </w:rPr>
        <w:t>7435</w:t>
      </w:r>
      <w:r w:rsidRPr="004D6536">
        <w:rPr>
          <w:color w:val="000000"/>
        </w:rPr>
        <w:t xml:space="preserve"> (2002)</w:t>
      </w:r>
      <w:r w:rsidR="002643C0" w:rsidRPr="002643C0">
        <w:rPr>
          <w:iCs/>
          <w:color w:val="000000"/>
        </w:rPr>
        <w:t xml:space="preserve"> </w:t>
      </w:r>
      <w:r w:rsidR="002643C0" w:rsidRPr="004D6536">
        <w:rPr>
          <w:iCs/>
          <w:color w:val="000000"/>
        </w:rPr>
        <w:t>(</w:t>
      </w:r>
      <w:r w:rsidR="002643C0" w:rsidRPr="004D6536">
        <w:rPr>
          <w:i/>
          <w:iCs/>
          <w:color w:val="000000"/>
        </w:rPr>
        <w:t>UWB First R&amp;O</w:t>
      </w:r>
      <w:r w:rsidR="002643C0" w:rsidRPr="004D6536">
        <w:rPr>
          <w:iCs/>
          <w:color w:val="000000"/>
        </w:rPr>
        <w:t>)</w:t>
      </w:r>
      <w:r w:rsidR="000A42D7">
        <w:rPr>
          <w:color w:val="000000"/>
        </w:rPr>
        <w:t xml:space="preserve">; </w:t>
      </w:r>
      <w:r w:rsidR="000A42D7">
        <w:rPr>
          <w:i/>
          <w:color w:val="000000"/>
        </w:rPr>
        <w:t>see also</w:t>
      </w:r>
      <w:r w:rsidR="000A42D7">
        <w:rPr>
          <w:color w:val="000000"/>
        </w:rPr>
        <w:t xml:space="preserve">, </w:t>
      </w:r>
      <w:r w:rsidR="000A42D7" w:rsidRPr="004D6536">
        <w:rPr>
          <w:color w:val="000000"/>
        </w:rPr>
        <w:t xml:space="preserve">47 C.F.R. </w:t>
      </w:r>
      <w:r w:rsidR="000A42D7" w:rsidRPr="004D6536">
        <w:rPr>
          <w:color w:val="000000"/>
          <w:spacing w:val="-2"/>
        </w:rPr>
        <w:t>§§ 15.</w:t>
      </w:r>
      <w:r w:rsidR="000A42D7">
        <w:rPr>
          <w:color w:val="000000"/>
          <w:spacing w:val="-2"/>
        </w:rPr>
        <w:t>501</w:t>
      </w:r>
      <w:r w:rsidR="000A42D7">
        <w:rPr>
          <w:color w:val="000000"/>
          <w:spacing w:val="-2"/>
        </w:rPr>
        <w:noBreakHyphen/>
        <w:t>15.525.</w:t>
      </w:r>
    </w:p>
  </w:footnote>
  <w:footnote w:id="22">
    <w:p w:rsidR="00251C52" w:rsidRDefault="00251C52">
      <w:pPr>
        <w:pStyle w:val="FootnoteText"/>
      </w:pPr>
      <w:r>
        <w:rPr>
          <w:rStyle w:val="FootnoteReference"/>
        </w:rPr>
        <w:footnoteRef/>
      </w:r>
      <w:r>
        <w:t xml:space="preserve"> Moreover, use of the </w:t>
      </w:r>
      <w:r w:rsidRPr="00514711">
        <w:rPr>
          <w:color w:val="000000"/>
        </w:rPr>
        <w:t xml:space="preserve">UWB GPR technology will </w:t>
      </w:r>
      <w:r>
        <w:rPr>
          <w:color w:val="000000"/>
        </w:rPr>
        <w:t>allow</w:t>
      </w:r>
      <w:r w:rsidRPr="00514711">
        <w:rPr>
          <w:color w:val="000000"/>
        </w:rPr>
        <w:t xml:space="preserve"> farmers </w:t>
      </w:r>
      <w:r>
        <w:rPr>
          <w:color w:val="000000"/>
        </w:rPr>
        <w:t>to</w:t>
      </w:r>
      <w:r w:rsidRPr="00514711">
        <w:rPr>
          <w:color w:val="000000"/>
        </w:rPr>
        <w:t xml:space="preserve"> m</w:t>
      </w:r>
      <w:r w:rsidRPr="00514711">
        <w:rPr>
          <w:color w:val="000000"/>
          <w:szCs w:val="22"/>
        </w:rPr>
        <w:t>ap sub-surface ground conditions such as moisture content and soil compaction</w:t>
      </w:r>
      <w:r w:rsidRPr="00514711">
        <w:rPr>
          <w:color w:val="000000"/>
        </w:rPr>
        <w:t xml:space="preserve">, </w:t>
      </w:r>
      <w:r>
        <w:rPr>
          <w:color w:val="000000"/>
        </w:rPr>
        <w:t xml:space="preserve">and can </w:t>
      </w:r>
      <w:r w:rsidRPr="00514711">
        <w:rPr>
          <w:color w:val="000000"/>
        </w:rPr>
        <w:t xml:space="preserve">help </w:t>
      </w:r>
      <w:r>
        <w:rPr>
          <w:color w:val="000000"/>
        </w:rPr>
        <w:t xml:space="preserve">them </w:t>
      </w:r>
      <w:r w:rsidRPr="00514711">
        <w:rPr>
          <w:color w:val="000000"/>
        </w:rPr>
        <w:t xml:space="preserve">avoid hard-to-detect surface conditions </w:t>
      </w:r>
      <w:r w:rsidRPr="00514711">
        <w:rPr>
          <w:color w:val="000000"/>
          <w:szCs w:val="22"/>
        </w:rPr>
        <w:t xml:space="preserve">such as uneven terrain and field stones </w:t>
      </w:r>
      <w:r w:rsidRPr="00514711">
        <w:rPr>
          <w:color w:val="000000"/>
        </w:rPr>
        <w:t xml:space="preserve">that </w:t>
      </w:r>
      <w:r w:rsidRPr="00514711">
        <w:rPr>
          <w:color w:val="000000"/>
          <w:szCs w:val="22"/>
        </w:rPr>
        <w:t>could present safety concerns for both workers and equipment</w:t>
      </w:r>
      <w:r>
        <w:rPr>
          <w:color w:val="000000"/>
          <w:szCs w:val="22"/>
        </w:rPr>
        <w:t>.</w:t>
      </w:r>
    </w:p>
  </w:footnote>
  <w:footnote w:id="23">
    <w:p w:rsidR="00613BB5" w:rsidRDefault="00613BB5">
      <w:pPr>
        <w:pStyle w:val="FootnoteText"/>
      </w:pPr>
      <w:r>
        <w:rPr>
          <w:rStyle w:val="FootnoteReference"/>
        </w:rPr>
        <w:footnoteRef/>
      </w:r>
      <w:r>
        <w:t xml:space="preserve"> 47</w:t>
      </w:r>
      <w:r w:rsidR="0082516D">
        <w:t> </w:t>
      </w:r>
      <w:r>
        <w:t xml:space="preserve">C.F.R. § 15.509(b), (b)(1) and (b)(2).  </w:t>
      </w:r>
    </w:p>
  </w:footnote>
  <w:footnote w:id="24">
    <w:p w:rsidR="00300F7A" w:rsidRPr="004D6536" w:rsidRDefault="00300F7A">
      <w:pPr>
        <w:pStyle w:val="FootnoteText"/>
        <w:rPr>
          <w:color w:val="000000"/>
        </w:rPr>
      </w:pPr>
      <w:r w:rsidRPr="004D6536">
        <w:rPr>
          <w:rStyle w:val="FootnoteReference"/>
          <w:color w:val="000000"/>
        </w:rPr>
        <w:footnoteRef/>
      </w:r>
      <w:r w:rsidRPr="004D6536">
        <w:rPr>
          <w:color w:val="000000"/>
        </w:rPr>
        <w:t xml:space="preserve"> </w:t>
      </w:r>
      <w:r w:rsidR="00D218C8" w:rsidRPr="004D6536">
        <w:rPr>
          <w:i/>
          <w:iCs/>
          <w:color w:val="000000"/>
        </w:rPr>
        <w:t>UWB First R&amp;O</w:t>
      </w:r>
      <w:r w:rsidR="00D218C8">
        <w:rPr>
          <w:iCs/>
          <w:color w:val="000000"/>
        </w:rPr>
        <w:t>,</w:t>
      </w:r>
      <w:r w:rsidR="00D218C8" w:rsidRPr="004D6536">
        <w:rPr>
          <w:i/>
          <w:iCs/>
          <w:color w:val="000000"/>
        </w:rPr>
        <w:t xml:space="preserve"> </w:t>
      </w:r>
      <w:r w:rsidR="006660AB" w:rsidRPr="004D6536">
        <w:rPr>
          <w:color w:val="000000"/>
        </w:rPr>
        <w:t>17 FCC Rcd 7435</w:t>
      </w:r>
      <w:r w:rsidR="009B2482" w:rsidRPr="004D6536">
        <w:rPr>
          <w:color w:val="000000"/>
        </w:rPr>
        <w:t>,</w:t>
      </w:r>
      <w:r w:rsidR="006660AB" w:rsidRPr="004D6536">
        <w:rPr>
          <w:color w:val="000000"/>
        </w:rPr>
        <w:t xml:space="preserve"> 7499 para. 185 (2002).  </w:t>
      </w:r>
      <w:r w:rsidRPr="004D6536">
        <w:rPr>
          <w:color w:val="000000"/>
          <w:szCs w:val="22"/>
        </w:rPr>
        <w:t xml:space="preserve">Agricultural </w:t>
      </w:r>
      <w:r w:rsidR="005564BB">
        <w:rPr>
          <w:color w:val="000000"/>
          <w:szCs w:val="22"/>
        </w:rPr>
        <w:t xml:space="preserve">interests did not request to be </w:t>
      </w:r>
      <w:r w:rsidRPr="004D6536">
        <w:rPr>
          <w:color w:val="000000"/>
          <w:szCs w:val="22"/>
        </w:rPr>
        <w:t xml:space="preserve">included in the original list of permissible uses during the rulemaking.  </w:t>
      </w:r>
    </w:p>
  </w:footnote>
  <w:footnote w:id="25">
    <w:p w:rsidR="006073A4" w:rsidRPr="004D6536" w:rsidRDefault="006073A4">
      <w:pPr>
        <w:pStyle w:val="FootnoteText"/>
        <w:rPr>
          <w:color w:val="000000"/>
        </w:rPr>
      </w:pPr>
      <w:r w:rsidRPr="004D6536">
        <w:rPr>
          <w:rStyle w:val="FootnoteReference"/>
          <w:color w:val="000000"/>
        </w:rPr>
        <w:footnoteRef/>
      </w:r>
      <w:r w:rsidRPr="004D6536">
        <w:rPr>
          <w:color w:val="000000"/>
        </w:rPr>
        <w:t xml:space="preserve"> </w:t>
      </w:r>
      <w:r w:rsidR="00C02C1C" w:rsidRPr="0038045D">
        <w:rPr>
          <w:i/>
          <w:color w:val="000000"/>
        </w:rPr>
        <w:t>See</w:t>
      </w:r>
      <w:r w:rsidR="00C02C1C">
        <w:rPr>
          <w:color w:val="000000"/>
        </w:rPr>
        <w:t xml:space="preserve"> </w:t>
      </w:r>
      <w:r w:rsidR="00417060">
        <w:rPr>
          <w:color w:val="000000"/>
        </w:rPr>
        <w:t>definition of “special industrial licensee</w:t>
      </w:r>
      <w:r w:rsidR="00417060" w:rsidRPr="0038045D">
        <w:rPr>
          <w:i/>
          <w:color w:val="000000"/>
        </w:rPr>
        <w:t xml:space="preserve">” </w:t>
      </w:r>
      <w:r w:rsidR="00C02C1C">
        <w:rPr>
          <w:color w:val="000000"/>
        </w:rPr>
        <w:t xml:space="preserve">in </w:t>
      </w:r>
      <w:r w:rsidR="00C02C1C" w:rsidRPr="004D6536">
        <w:rPr>
          <w:color w:val="000000"/>
        </w:rPr>
        <w:t>47 C.F.R. § 90.</w:t>
      </w:r>
      <w:r w:rsidR="00C02C1C">
        <w:rPr>
          <w:color w:val="000000"/>
        </w:rPr>
        <w:t xml:space="preserve">7; </w:t>
      </w:r>
      <w:r w:rsidR="00C02C1C" w:rsidRPr="0038045D">
        <w:rPr>
          <w:i/>
          <w:color w:val="000000"/>
        </w:rPr>
        <w:t>see also</w:t>
      </w:r>
      <w:r w:rsidR="00C02C1C">
        <w:rPr>
          <w:color w:val="000000"/>
        </w:rPr>
        <w:t xml:space="preserve"> </w:t>
      </w:r>
      <w:r w:rsidR="00417060" w:rsidRPr="0099574F">
        <w:rPr>
          <w:i/>
          <w:color w:val="000000"/>
        </w:rPr>
        <w:t>supra</w:t>
      </w:r>
      <w:r w:rsidR="00417060" w:rsidRPr="0038045D">
        <w:rPr>
          <w:color w:val="000000"/>
        </w:rPr>
        <w:t xml:space="preserve"> </w:t>
      </w:r>
      <w:r w:rsidR="00417060">
        <w:rPr>
          <w:color w:val="000000"/>
        </w:rPr>
        <w:t xml:space="preserve">note </w:t>
      </w:r>
      <w:r w:rsidR="00417060">
        <w:rPr>
          <w:color w:val="000000"/>
        </w:rPr>
        <w:fldChar w:fldCharType="begin"/>
      </w:r>
      <w:r w:rsidR="00417060">
        <w:rPr>
          <w:color w:val="000000"/>
        </w:rPr>
        <w:instrText xml:space="preserve"> NOTEREF _Ref468871277 \h </w:instrText>
      </w:r>
      <w:r w:rsidR="00417060">
        <w:rPr>
          <w:color w:val="000000"/>
        </w:rPr>
      </w:r>
      <w:r w:rsidR="00417060">
        <w:rPr>
          <w:color w:val="000000"/>
        </w:rPr>
        <w:fldChar w:fldCharType="separate"/>
      </w:r>
      <w:r w:rsidR="00417060">
        <w:rPr>
          <w:color w:val="000000"/>
        </w:rPr>
        <w:t>7</w:t>
      </w:r>
      <w:r w:rsidR="00417060">
        <w:rPr>
          <w:color w:val="000000"/>
        </w:rPr>
        <w:fldChar w:fldCharType="end"/>
      </w:r>
      <w:r w:rsidR="00417060">
        <w:rPr>
          <w:color w:val="000000"/>
        </w:rPr>
        <w:t>.</w:t>
      </w:r>
      <w:r w:rsidR="00046010">
        <w:rPr>
          <w:color w:val="000000"/>
        </w:rPr>
        <w:t xml:space="preserve">  This</w:t>
      </w:r>
      <w:r w:rsidR="00046010" w:rsidRPr="004D6536">
        <w:rPr>
          <w:color w:val="000000"/>
        </w:rPr>
        <w:t xml:space="preserve"> </w:t>
      </w:r>
      <w:r w:rsidR="00046010">
        <w:rPr>
          <w:color w:val="000000"/>
        </w:rPr>
        <w:t>definition encompasses the</w:t>
      </w:r>
      <w:r w:rsidR="00046010" w:rsidRPr="004D6536">
        <w:rPr>
          <w:color w:val="000000"/>
        </w:rPr>
        <w:t xml:space="preserve"> potential </w:t>
      </w:r>
      <w:r w:rsidR="00046010">
        <w:rPr>
          <w:color w:val="000000"/>
        </w:rPr>
        <w:t>users/</w:t>
      </w:r>
      <w:r w:rsidR="00046010" w:rsidRPr="004D6536">
        <w:rPr>
          <w:color w:val="000000"/>
        </w:rPr>
        <w:t xml:space="preserve">operators of the Terrahawk, </w:t>
      </w:r>
      <w:r w:rsidR="00046010" w:rsidRPr="004D6536">
        <w:rPr>
          <w:i/>
          <w:color w:val="000000"/>
        </w:rPr>
        <w:t>e.g.</w:t>
      </w:r>
      <w:r w:rsidR="00046010" w:rsidRPr="004D6536">
        <w:rPr>
          <w:color w:val="000000"/>
        </w:rPr>
        <w:t>, farmers, farmer co-operatives, agricultural conglomerates, industrial/agricultural equipment providers, etc.</w:t>
      </w:r>
      <w:r w:rsidR="00046010">
        <w:rPr>
          <w:color w:val="000000"/>
        </w:rPr>
        <w:t xml:space="preserve"> </w:t>
      </w:r>
      <w:r w:rsidR="00417060">
        <w:rPr>
          <w:color w:val="000000"/>
        </w:rPr>
        <w:t xml:space="preserve"> </w:t>
      </w:r>
      <w:r w:rsidR="006264F5" w:rsidRPr="0038045D">
        <w:rPr>
          <w:color w:val="000000"/>
          <w:u w:val="single"/>
        </w:rPr>
        <w:t xml:space="preserve"> </w:t>
      </w:r>
    </w:p>
  </w:footnote>
  <w:footnote w:id="26">
    <w:p w:rsidR="00F35A89" w:rsidRPr="004D6536" w:rsidRDefault="00F35A89">
      <w:pPr>
        <w:pStyle w:val="FootnoteText"/>
        <w:rPr>
          <w:color w:val="000000"/>
          <w:u w:val="single"/>
        </w:rPr>
      </w:pPr>
      <w:r w:rsidRPr="004D6536">
        <w:rPr>
          <w:rStyle w:val="FootnoteReference"/>
          <w:color w:val="000000"/>
        </w:rPr>
        <w:footnoteRef/>
      </w:r>
      <w:r w:rsidRPr="004D6536">
        <w:rPr>
          <w:color w:val="000000"/>
        </w:rPr>
        <w:t xml:space="preserve"> 47 C.F.R. § 15.525</w:t>
      </w:r>
      <w:r w:rsidR="00EC54E5">
        <w:rPr>
          <w:color w:val="000000"/>
        </w:rPr>
        <w:t xml:space="preserve">; </w:t>
      </w:r>
      <w:r w:rsidR="00EC54E5" w:rsidRPr="00EC54E5">
        <w:rPr>
          <w:i/>
          <w:color w:val="000000"/>
        </w:rPr>
        <w:t>s</w:t>
      </w:r>
      <w:r w:rsidR="00D7299C" w:rsidRPr="004D6536">
        <w:rPr>
          <w:i/>
          <w:color w:val="000000"/>
        </w:rPr>
        <w:t>ee also</w:t>
      </w:r>
      <w:r w:rsidR="001901D0" w:rsidRPr="004D6536">
        <w:rPr>
          <w:i/>
          <w:color w:val="000000"/>
        </w:rPr>
        <w:t xml:space="preserve"> supra </w:t>
      </w:r>
      <w:r w:rsidR="001901D0" w:rsidRPr="004D6536">
        <w:rPr>
          <w:color w:val="000000"/>
        </w:rPr>
        <w:t>note</w:t>
      </w:r>
      <w:r w:rsidR="00D7299C" w:rsidRPr="004D6536">
        <w:rPr>
          <w:color w:val="000000"/>
        </w:rPr>
        <w:t xml:space="preserve"> </w:t>
      </w:r>
      <w:r w:rsidR="00D7299C" w:rsidRPr="004D6536">
        <w:rPr>
          <w:color w:val="000000"/>
        </w:rPr>
        <w:fldChar w:fldCharType="begin"/>
      </w:r>
      <w:r w:rsidR="00D7299C" w:rsidRPr="004D6536">
        <w:rPr>
          <w:color w:val="000000"/>
        </w:rPr>
        <w:instrText xml:space="preserve"> NOTEREF _Ref461702827 </w:instrText>
      </w:r>
      <w:r w:rsidR="008B0BDF" w:rsidRPr="004D6536">
        <w:rPr>
          <w:color w:val="000000"/>
        </w:rPr>
        <w:instrText xml:space="preserve"> \* MERGEFORMAT </w:instrText>
      </w:r>
      <w:r w:rsidR="00D7299C" w:rsidRPr="004D6536">
        <w:rPr>
          <w:color w:val="000000"/>
        </w:rPr>
        <w:fldChar w:fldCharType="separate"/>
      </w:r>
      <w:r w:rsidR="000958A2">
        <w:rPr>
          <w:color w:val="000000"/>
        </w:rPr>
        <w:t>8</w:t>
      </w:r>
      <w:r w:rsidR="00D7299C" w:rsidRPr="004D6536">
        <w:rPr>
          <w:color w:val="000000"/>
        </w:rPr>
        <w:fldChar w:fldCharType="end"/>
      </w:r>
      <w:r w:rsidR="00D7299C" w:rsidRPr="004D6536">
        <w:rPr>
          <w:color w:val="000000"/>
        </w:rPr>
        <w:t>.</w:t>
      </w:r>
    </w:p>
  </w:footnote>
  <w:footnote w:id="27">
    <w:p w:rsidR="00FD178C" w:rsidRDefault="00FD178C">
      <w:pPr>
        <w:pStyle w:val="FootnoteText"/>
      </w:pPr>
      <w:r>
        <w:rPr>
          <w:rStyle w:val="FootnoteReference"/>
        </w:rPr>
        <w:footnoteRef/>
      </w:r>
      <w:r>
        <w:t xml:space="preserve"> Headsight Request at </w:t>
      </w:r>
      <w:r w:rsidR="007E4712">
        <w:t>1</w:t>
      </w:r>
      <w:r>
        <w:t>7.</w:t>
      </w:r>
    </w:p>
  </w:footnote>
  <w:footnote w:id="28">
    <w:p w:rsidR="00E278E0" w:rsidRPr="004D6536" w:rsidRDefault="00E278E0" w:rsidP="00E278E0">
      <w:pPr>
        <w:pStyle w:val="FootnoteText"/>
        <w:rPr>
          <w:color w:val="000000"/>
        </w:rPr>
      </w:pPr>
      <w:r w:rsidRPr="004D6536">
        <w:rPr>
          <w:rStyle w:val="FootnoteReference"/>
          <w:color w:val="000000"/>
        </w:rPr>
        <w:footnoteRef/>
      </w:r>
      <w:r w:rsidRPr="004D6536">
        <w:rPr>
          <w:color w:val="000000"/>
        </w:rPr>
        <w:t xml:space="preserve"> </w:t>
      </w:r>
      <w:r w:rsidR="006048B1" w:rsidRPr="004D6536">
        <w:rPr>
          <w:color w:val="000000"/>
        </w:rPr>
        <w:t xml:space="preserve">Headsight </w:t>
      </w:r>
      <w:r w:rsidRPr="004D6536">
        <w:rPr>
          <w:color w:val="000000"/>
        </w:rPr>
        <w:t>Re</w:t>
      </w:r>
      <w:r w:rsidR="00557983">
        <w:rPr>
          <w:color w:val="000000"/>
        </w:rPr>
        <w:t>ply at 4</w:t>
      </w:r>
      <w:r w:rsidRPr="004D6536">
        <w:rPr>
          <w:color w:val="000000"/>
        </w:rPr>
        <w:t>.</w:t>
      </w:r>
    </w:p>
  </w:footnote>
  <w:footnote w:id="29">
    <w:p w:rsidR="0039549B" w:rsidRPr="004D6536" w:rsidRDefault="0039549B" w:rsidP="0039549B">
      <w:pPr>
        <w:pStyle w:val="FootnoteText"/>
        <w:rPr>
          <w:color w:val="000000"/>
        </w:rPr>
      </w:pPr>
      <w:r w:rsidRPr="004D6536">
        <w:rPr>
          <w:rStyle w:val="FootnoteReference"/>
          <w:color w:val="000000"/>
        </w:rPr>
        <w:footnoteRef/>
      </w:r>
      <w:r w:rsidRPr="004D6536">
        <w:rPr>
          <w:color w:val="000000"/>
        </w:rPr>
        <w:t xml:space="preserve"> </w:t>
      </w:r>
      <w:r w:rsidR="00A02E75">
        <w:rPr>
          <w:i/>
          <w:color w:val="000000"/>
        </w:rPr>
        <w:t>Id.</w:t>
      </w:r>
      <w:r w:rsidRPr="004D6536">
        <w:rPr>
          <w:color w:val="000000"/>
        </w:rPr>
        <w:t xml:space="preserve"> at 3.</w:t>
      </w:r>
    </w:p>
  </w:footnote>
  <w:footnote w:id="30">
    <w:p w:rsidR="007C1386" w:rsidRPr="004D6536" w:rsidRDefault="007C1386" w:rsidP="007C1386">
      <w:pPr>
        <w:pStyle w:val="FootnoteText"/>
        <w:rPr>
          <w:color w:val="000000"/>
        </w:rPr>
      </w:pPr>
      <w:r w:rsidRPr="004D6536">
        <w:rPr>
          <w:rStyle w:val="FootnoteReference"/>
          <w:color w:val="000000"/>
        </w:rPr>
        <w:footnoteRef/>
      </w:r>
      <w:r w:rsidRPr="004D6536">
        <w:rPr>
          <w:color w:val="000000"/>
        </w:rPr>
        <w:t xml:space="preserve"> Trimble </w:t>
      </w:r>
      <w:r w:rsidR="00A02E75">
        <w:rPr>
          <w:color w:val="000000"/>
        </w:rPr>
        <w:t>C</w:t>
      </w:r>
      <w:r w:rsidRPr="004D6536">
        <w:rPr>
          <w:color w:val="000000"/>
        </w:rPr>
        <w:t>omments at 3.</w:t>
      </w:r>
    </w:p>
  </w:footnote>
  <w:footnote w:id="31">
    <w:p w:rsidR="001D107C" w:rsidRPr="004D6536" w:rsidRDefault="001D107C" w:rsidP="001D107C">
      <w:pPr>
        <w:pStyle w:val="FootnoteText"/>
        <w:rPr>
          <w:color w:val="000000"/>
        </w:rPr>
      </w:pPr>
      <w:r w:rsidRPr="004D6536">
        <w:rPr>
          <w:rStyle w:val="FootnoteReference"/>
          <w:color w:val="000000"/>
        </w:rPr>
        <w:footnoteRef/>
      </w:r>
      <w:r w:rsidRPr="004D6536">
        <w:rPr>
          <w:color w:val="000000"/>
        </w:rPr>
        <w:t xml:space="preserve"> </w:t>
      </w:r>
      <w:r w:rsidR="00A02E75">
        <w:rPr>
          <w:i/>
          <w:color w:val="000000"/>
        </w:rPr>
        <w:t xml:space="preserve">Id. </w:t>
      </w:r>
      <w:r w:rsidRPr="004D6536">
        <w:rPr>
          <w:color w:val="000000"/>
        </w:rPr>
        <w:t>at 4.</w:t>
      </w:r>
    </w:p>
  </w:footnote>
  <w:footnote w:id="32">
    <w:p w:rsidR="00F112A0" w:rsidRPr="004D6536" w:rsidRDefault="00F112A0" w:rsidP="00F112A0">
      <w:pPr>
        <w:pStyle w:val="FootnoteText"/>
        <w:rPr>
          <w:color w:val="000000"/>
        </w:rPr>
      </w:pPr>
      <w:r w:rsidRPr="004D6536">
        <w:rPr>
          <w:rStyle w:val="FootnoteReference"/>
          <w:color w:val="000000"/>
        </w:rPr>
        <w:footnoteRef/>
      </w:r>
      <w:r w:rsidRPr="004D6536">
        <w:rPr>
          <w:color w:val="000000"/>
        </w:rPr>
        <w:t xml:space="preserve"> Headsight </w:t>
      </w:r>
      <w:r w:rsidR="006548A9" w:rsidRPr="004D6536">
        <w:rPr>
          <w:color w:val="000000"/>
        </w:rPr>
        <w:t>R</w:t>
      </w:r>
      <w:r w:rsidRPr="004D6536">
        <w:rPr>
          <w:color w:val="000000"/>
        </w:rPr>
        <w:t>eply at 4</w:t>
      </w:r>
      <w:r w:rsidRPr="004D6536">
        <w:rPr>
          <w:color w:val="000000"/>
        </w:rPr>
        <w:noBreakHyphen/>
        <w:t>5.</w:t>
      </w:r>
    </w:p>
  </w:footnote>
  <w:footnote w:id="33">
    <w:p w:rsidR="008715D4" w:rsidRPr="004D6536" w:rsidRDefault="008715D4" w:rsidP="008715D4">
      <w:pPr>
        <w:pStyle w:val="FootnoteText"/>
        <w:rPr>
          <w:color w:val="000000"/>
        </w:rPr>
      </w:pPr>
      <w:r w:rsidRPr="004D6536">
        <w:rPr>
          <w:rStyle w:val="FootnoteReference"/>
          <w:color w:val="000000"/>
        </w:rPr>
        <w:footnoteRef/>
      </w:r>
      <w:r w:rsidRPr="004D6536">
        <w:rPr>
          <w:color w:val="000000"/>
        </w:rPr>
        <w:t xml:space="preserve"> </w:t>
      </w:r>
      <w:r w:rsidR="00A02E75">
        <w:rPr>
          <w:i/>
          <w:color w:val="000000"/>
        </w:rPr>
        <w:t xml:space="preserve">Id. </w:t>
      </w:r>
      <w:r w:rsidRPr="004D6536">
        <w:rPr>
          <w:color w:val="000000"/>
        </w:rPr>
        <w:t>at 8.</w:t>
      </w:r>
    </w:p>
  </w:footnote>
  <w:footnote w:id="34">
    <w:p w:rsidR="005C18BC" w:rsidRPr="004D6536" w:rsidRDefault="005C18BC" w:rsidP="000E490F">
      <w:pPr>
        <w:pStyle w:val="FootnoteText"/>
        <w:rPr>
          <w:color w:val="000000"/>
        </w:rPr>
      </w:pPr>
      <w:r w:rsidRPr="004D6536">
        <w:rPr>
          <w:rStyle w:val="FootnoteReference"/>
          <w:color w:val="000000"/>
        </w:rPr>
        <w:footnoteRef/>
      </w:r>
      <w:r w:rsidRPr="004D6536">
        <w:rPr>
          <w:color w:val="000000"/>
        </w:rPr>
        <w:t xml:space="preserve"> </w:t>
      </w:r>
      <w:r w:rsidR="00A02E75">
        <w:rPr>
          <w:i/>
          <w:color w:val="000000"/>
        </w:rPr>
        <w:t xml:space="preserve">Id. </w:t>
      </w:r>
      <w:r w:rsidRPr="004D6536">
        <w:rPr>
          <w:color w:val="000000"/>
        </w:rPr>
        <w:t xml:space="preserve">at 4. </w:t>
      </w:r>
    </w:p>
  </w:footnote>
  <w:footnote w:id="35">
    <w:p w:rsidR="005C18BC" w:rsidRPr="004D6536" w:rsidRDefault="005C18BC" w:rsidP="000E490F">
      <w:pPr>
        <w:pStyle w:val="FootnoteText"/>
        <w:rPr>
          <w:color w:val="000000"/>
        </w:rPr>
      </w:pPr>
      <w:r w:rsidRPr="004D6536">
        <w:rPr>
          <w:rStyle w:val="FootnoteReference"/>
          <w:color w:val="000000"/>
        </w:rPr>
        <w:footnoteRef/>
      </w:r>
      <w:r w:rsidRPr="004D6536">
        <w:rPr>
          <w:color w:val="000000"/>
        </w:rPr>
        <w:t xml:space="preserve"> </w:t>
      </w:r>
      <w:r w:rsidRPr="004D6536">
        <w:rPr>
          <w:i/>
          <w:iCs/>
          <w:color w:val="000000"/>
        </w:rPr>
        <w:t>UWB First R&amp;O</w:t>
      </w:r>
      <w:r w:rsidRPr="004D6536">
        <w:rPr>
          <w:iCs/>
          <w:color w:val="000000"/>
        </w:rPr>
        <w:t>,</w:t>
      </w:r>
      <w:r w:rsidRPr="004D6536">
        <w:rPr>
          <w:i/>
          <w:iCs/>
          <w:color w:val="000000"/>
        </w:rPr>
        <w:t xml:space="preserve"> </w:t>
      </w:r>
      <w:r w:rsidRPr="004D6536">
        <w:rPr>
          <w:color w:val="000000"/>
        </w:rPr>
        <w:t xml:space="preserve">17 FCC </w:t>
      </w:r>
      <w:r w:rsidR="00D44933" w:rsidRPr="004D6536">
        <w:rPr>
          <w:color w:val="000000"/>
        </w:rPr>
        <w:t>Rcd</w:t>
      </w:r>
      <w:r w:rsidRPr="004D6536">
        <w:rPr>
          <w:color w:val="000000"/>
        </w:rPr>
        <w:t xml:space="preserve"> </w:t>
      </w:r>
      <w:r w:rsidR="005842FD" w:rsidRPr="004D6536">
        <w:rPr>
          <w:color w:val="000000"/>
        </w:rPr>
        <w:t xml:space="preserve">7435, </w:t>
      </w:r>
      <w:r w:rsidRPr="004D6536">
        <w:rPr>
          <w:color w:val="000000"/>
        </w:rPr>
        <w:t xml:space="preserve">7499 </w:t>
      </w:r>
      <w:r w:rsidR="00B648AF" w:rsidRPr="004D6536">
        <w:rPr>
          <w:color w:val="000000"/>
        </w:rPr>
        <w:t>para. </w:t>
      </w:r>
      <w:r w:rsidRPr="004D6536">
        <w:rPr>
          <w:color w:val="000000"/>
        </w:rPr>
        <w:t>185.</w:t>
      </w:r>
    </w:p>
  </w:footnote>
  <w:footnote w:id="36">
    <w:p w:rsidR="00A14DD3" w:rsidRPr="00B846BC" w:rsidRDefault="00A14DD3">
      <w:pPr>
        <w:pStyle w:val="FootnoteText"/>
        <w:rPr>
          <w:u w:val="single"/>
        </w:rPr>
      </w:pPr>
      <w:r>
        <w:rPr>
          <w:rStyle w:val="FootnoteReference"/>
        </w:rPr>
        <w:footnoteRef/>
      </w:r>
      <w:r>
        <w:t xml:space="preserve"> </w:t>
      </w:r>
      <w:r>
        <w:rPr>
          <w:i/>
        </w:rPr>
        <w:t xml:space="preserve">See </w:t>
      </w:r>
      <w:r>
        <w:t>47 C.F.R. §</w:t>
      </w:r>
      <w:r w:rsidR="00A42BF8">
        <w:t xml:space="preserve"> 90.7</w:t>
      </w:r>
      <w:r w:rsidR="00B846BC">
        <w:t>,</w:t>
      </w:r>
      <w:r w:rsidR="00A42BF8">
        <w:t xml:space="preserve"> </w:t>
      </w:r>
      <w:r w:rsidR="00A42BF8" w:rsidRPr="00B846BC">
        <w:rPr>
          <w:i/>
        </w:rPr>
        <w:t>supra</w:t>
      </w:r>
      <w:r w:rsidR="00A42BF8" w:rsidRPr="00B846BC">
        <w:t xml:space="preserve"> note </w:t>
      </w:r>
      <w:r w:rsidR="00A42BF8" w:rsidRPr="00B846BC">
        <w:fldChar w:fldCharType="begin"/>
      </w:r>
      <w:r w:rsidR="00A42BF8" w:rsidRPr="00B846BC">
        <w:instrText xml:space="preserve"> NOTEREF _Ref468871277 \h </w:instrText>
      </w:r>
      <w:r w:rsidR="007A327E" w:rsidRPr="00B846BC">
        <w:instrText xml:space="preserve"> \* MERGEFORMAT </w:instrText>
      </w:r>
      <w:r w:rsidR="00A42BF8" w:rsidRPr="00B846BC">
        <w:fldChar w:fldCharType="separate"/>
      </w:r>
      <w:r w:rsidR="00A42BF8" w:rsidRPr="00B846BC">
        <w:t>7</w:t>
      </w:r>
      <w:r w:rsidR="00A42BF8" w:rsidRPr="00B846BC">
        <w:fldChar w:fldCharType="end"/>
      </w:r>
      <w:r w:rsidR="00A42BF8" w:rsidRPr="00B846BC">
        <w:t>.</w:t>
      </w:r>
    </w:p>
  </w:footnote>
  <w:footnote w:id="37">
    <w:p w:rsidR="00A0509D" w:rsidRPr="004D6536" w:rsidRDefault="00A0509D" w:rsidP="00A0509D">
      <w:pPr>
        <w:pStyle w:val="FootnoteText"/>
        <w:rPr>
          <w:color w:val="000000"/>
        </w:rPr>
      </w:pPr>
      <w:r w:rsidRPr="004D6536">
        <w:rPr>
          <w:rStyle w:val="FootnoteReference"/>
          <w:color w:val="000000"/>
        </w:rPr>
        <w:footnoteRef/>
      </w:r>
      <w:r w:rsidRPr="004D6536">
        <w:rPr>
          <w:color w:val="000000"/>
        </w:rPr>
        <w:t xml:space="preserve"> </w:t>
      </w:r>
      <w:r w:rsidR="0092127C">
        <w:rPr>
          <w:color w:val="000000"/>
        </w:rPr>
        <w:t xml:space="preserve">We also note that </w:t>
      </w:r>
      <w:r w:rsidR="0092127C">
        <w:rPr>
          <w:color w:val="000000"/>
          <w:szCs w:val="22"/>
        </w:rPr>
        <w:t xml:space="preserve">Headsight is not requesting waiver of these two additional rule sections, </w:t>
      </w:r>
      <w:r w:rsidR="0092127C" w:rsidRPr="00514711">
        <w:rPr>
          <w:color w:val="000000"/>
          <w:szCs w:val="22"/>
        </w:rPr>
        <w:t>as it confirms that the Terrahawk “will only be used for commercial activities” leading to “coordinated and controlled applications</w:t>
      </w:r>
      <w:r w:rsidR="0092127C">
        <w:rPr>
          <w:color w:val="000000"/>
          <w:szCs w:val="22"/>
        </w:rPr>
        <w:t>.</w:t>
      </w:r>
      <w:r w:rsidR="0092127C" w:rsidRPr="00514711">
        <w:rPr>
          <w:color w:val="000000"/>
          <w:szCs w:val="22"/>
        </w:rPr>
        <w:t>”</w:t>
      </w:r>
      <w:r w:rsidR="0092127C">
        <w:rPr>
          <w:color w:val="000000"/>
          <w:szCs w:val="22"/>
        </w:rPr>
        <w:t xml:space="preserve">  </w:t>
      </w:r>
      <w:r w:rsidRPr="004D6536">
        <w:rPr>
          <w:color w:val="000000"/>
        </w:rPr>
        <w:t>Headsight Request at 17.</w:t>
      </w:r>
    </w:p>
  </w:footnote>
  <w:footnote w:id="38">
    <w:p w:rsidR="00213436" w:rsidRDefault="00213436">
      <w:pPr>
        <w:pStyle w:val="FootnoteText"/>
      </w:pPr>
      <w:r>
        <w:rPr>
          <w:rStyle w:val="FootnoteReference"/>
        </w:rPr>
        <w:footnoteRef/>
      </w:r>
      <w:r>
        <w:t xml:space="preserve"> 47 C.F.R. § 15.509(d).</w:t>
      </w:r>
    </w:p>
  </w:footnote>
  <w:footnote w:id="39">
    <w:p w:rsidR="003818A0" w:rsidRPr="004D6536" w:rsidRDefault="003818A0">
      <w:pPr>
        <w:pStyle w:val="FootnoteText"/>
        <w:rPr>
          <w:color w:val="000000"/>
        </w:rPr>
      </w:pPr>
      <w:r w:rsidRPr="004D6536">
        <w:rPr>
          <w:rStyle w:val="FootnoteReference"/>
          <w:color w:val="000000"/>
        </w:rPr>
        <w:footnoteRef/>
      </w:r>
      <w:r w:rsidRPr="004D6536">
        <w:rPr>
          <w:color w:val="000000"/>
        </w:rPr>
        <w:t xml:space="preserve"> </w:t>
      </w:r>
      <w:r w:rsidR="00E72F81" w:rsidRPr="004D6536">
        <w:rPr>
          <w:i/>
          <w:iCs/>
          <w:color w:val="000000"/>
        </w:rPr>
        <w:t>UWB First R&amp;O</w:t>
      </w:r>
      <w:r w:rsidR="00E72F81" w:rsidRPr="004D6536">
        <w:rPr>
          <w:iCs/>
          <w:color w:val="000000"/>
        </w:rPr>
        <w:t>,</w:t>
      </w:r>
      <w:r w:rsidR="00E72F81" w:rsidRPr="004D6536">
        <w:rPr>
          <w:i/>
          <w:iCs/>
          <w:color w:val="000000"/>
        </w:rPr>
        <w:t xml:space="preserve"> </w:t>
      </w:r>
      <w:r w:rsidR="00E72F81" w:rsidRPr="004D6536">
        <w:rPr>
          <w:color w:val="000000"/>
        </w:rPr>
        <w:t>17 FCC Rcd 7435, 7437 para. </w:t>
      </w:r>
      <w:r w:rsidR="009D05C3" w:rsidRPr="004D6536">
        <w:rPr>
          <w:color w:val="000000"/>
        </w:rPr>
        <w:t>1 (stating that “we are concerned, however, that the standards we are adopting may be overprotective and could unnecessarily constrain the development of UWB technology”).</w:t>
      </w:r>
    </w:p>
  </w:footnote>
  <w:footnote w:id="40">
    <w:p w:rsidR="003E009F" w:rsidRPr="00BD57BA" w:rsidRDefault="003E009F">
      <w:pPr>
        <w:pStyle w:val="FootnoteText"/>
      </w:pPr>
      <w:r w:rsidRPr="004D6536">
        <w:rPr>
          <w:rStyle w:val="FootnoteReference"/>
          <w:color w:val="000000"/>
        </w:rPr>
        <w:footnoteRef/>
      </w:r>
      <w:r w:rsidRPr="004D6536">
        <w:rPr>
          <w:color w:val="000000"/>
        </w:rPr>
        <w:t xml:space="preserve"> Headsight Re</w:t>
      </w:r>
      <w:r w:rsidR="00D52760">
        <w:rPr>
          <w:color w:val="000000"/>
        </w:rPr>
        <w:t>ply</w:t>
      </w:r>
      <w:r w:rsidRPr="004D6536">
        <w:rPr>
          <w:color w:val="000000"/>
        </w:rPr>
        <w:t xml:space="preserve"> at 13 and Attach</w:t>
      </w:r>
      <w:r w:rsidR="00A02E75">
        <w:rPr>
          <w:color w:val="000000"/>
        </w:rPr>
        <w:t>.</w:t>
      </w:r>
      <w:r w:rsidRPr="004D6536">
        <w:rPr>
          <w:color w:val="000000"/>
        </w:rPr>
        <w:t xml:space="preserve"> 4.</w:t>
      </w:r>
      <w:r w:rsidR="002F053E">
        <w:rPr>
          <w:color w:val="000000"/>
        </w:rPr>
        <w:t xml:space="preserve">  </w:t>
      </w:r>
    </w:p>
  </w:footnote>
  <w:footnote w:id="41">
    <w:p w:rsidR="0028052C" w:rsidRPr="004D6536" w:rsidRDefault="0028052C" w:rsidP="0028052C">
      <w:pPr>
        <w:pStyle w:val="FootnoteText"/>
        <w:rPr>
          <w:color w:val="000000"/>
        </w:rPr>
      </w:pPr>
      <w:r w:rsidRPr="004D6536">
        <w:rPr>
          <w:rStyle w:val="FootnoteReference"/>
          <w:color w:val="000000"/>
        </w:rPr>
        <w:footnoteRef/>
      </w:r>
      <w:r w:rsidRPr="004D6536">
        <w:rPr>
          <w:color w:val="000000"/>
        </w:rPr>
        <w:t xml:space="preserve"> GPS-based applications in precision farming are being used for farm planning, field mapping, soil sampling, tractor guidance, crop scouting, variable rate applications, and yield mapping…[and allow] farmers to work during low visibility field conditions such as rain, dust, fog, and darkness.  </w:t>
      </w:r>
      <w:r w:rsidRPr="004D6536">
        <w:rPr>
          <w:i/>
          <w:color w:val="000000"/>
        </w:rPr>
        <w:t>See</w:t>
      </w:r>
      <w:r w:rsidRPr="004D6536">
        <w:rPr>
          <w:color w:val="000000"/>
        </w:rPr>
        <w:t xml:space="preserve"> </w:t>
      </w:r>
      <w:hyperlink r:id="rId7" w:history="1">
        <w:r w:rsidRPr="004D6536">
          <w:rPr>
            <w:rStyle w:val="Hyperlink"/>
            <w:color w:val="000000"/>
          </w:rPr>
          <w:t>http://www.gps.gov/applications/agriculture/</w:t>
        </w:r>
      </w:hyperlink>
      <w:r w:rsidR="00EC54E5">
        <w:rPr>
          <w:color w:val="000000"/>
        </w:rPr>
        <w:t xml:space="preserve">; </w:t>
      </w:r>
      <w:r w:rsidR="00EC54E5" w:rsidRPr="00EC54E5">
        <w:rPr>
          <w:i/>
          <w:color w:val="000000"/>
        </w:rPr>
        <w:t>s</w:t>
      </w:r>
      <w:r w:rsidRPr="004D6536">
        <w:rPr>
          <w:i/>
          <w:color w:val="000000"/>
        </w:rPr>
        <w:t>ee also</w:t>
      </w:r>
      <w:r w:rsidRPr="004D6536">
        <w:rPr>
          <w:color w:val="000000"/>
        </w:rPr>
        <w:t xml:space="preserve">, Trimble </w:t>
      </w:r>
      <w:r w:rsidR="00A02E75">
        <w:rPr>
          <w:color w:val="000000"/>
        </w:rPr>
        <w:t>C</w:t>
      </w:r>
      <w:r w:rsidRPr="004D6536">
        <w:rPr>
          <w:color w:val="000000"/>
        </w:rPr>
        <w:t>omments at 2.</w:t>
      </w:r>
    </w:p>
  </w:footnote>
  <w:footnote w:id="42">
    <w:p w:rsidR="005C18BC" w:rsidRPr="004D6536" w:rsidRDefault="005C18BC">
      <w:pPr>
        <w:pStyle w:val="FootnoteText"/>
        <w:rPr>
          <w:b/>
          <w:color w:val="000000"/>
        </w:rPr>
      </w:pPr>
      <w:r w:rsidRPr="004D6536">
        <w:rPr>
          <w:rStyle w:val="FootnoteReference"/>
          <w:color w:val="000000"/>
        </w:rPr>
        <w:footnoteRef/>
      </w:r>
      <w:r w:rsidRPr="004D6536">
        <w:rPr>
          <w:color w:val="000000"/>
        </w:rPr>
        <w:t xml:space="preserve"> </w:t>
      </w:r>
      <w:r w:rsidRPr="004D6536">
        <w:rPr>
          <w:i/>
          <w:iCs/>
          <w:color w:val="000000"/>
        </w:rPr>
        <w:t>UWB First R&amp;O</w:t>
      </w:r>
      <w:r w:rsidRPr="004D6536">
        <w:rPr>
          <w:iCs/>
          <w:color w:val="000000"/>
        </w:rPr>
        <w:t>,</w:t>
      </w:r>
      <w:r w:rsidRPr="004D6536">
        <w:rPr>
          <w:i/>
          <w:iCs/>
          <w:color w:val="000000"/>
        </w:rPr>
        <w:t xml:space="preserve"> </w:t>
      </w:r>
      <w:r w:rsidRPr="004D6536">
        <w:rPr>
          <w:color w:val="000000"/>
        </w:rPr>
        <w:t xml:space="preserve">17 FCC </w:t>
      </w:r>
      <w:r w:rsidR="00D44933" w:rsidRPr="004D6536">
        <w:rPr>
          <w:color w:val="000000"/>
        </w:rPr>
        <w:t>Rcd</w:t>
      </w:r>
      <w:r w:rsidRPr="004D6536">
        <w:rPr>
          <w:color w:val="000000"/>
        </w:rPr>
        <w:t xml:space="preserve"> </w:t>
      </w:r>
      <w:r w:rsidR="00F376FA" w:rsidRPr="004D6536">
        <w:rPr>
          <w:color w:val="000000"/>
        </w:rPr>
        <w:t xml:space="preserve">7435, </w:t>
      </w:r>
      <w:r w:rsidR="00BA0BA0" w:rsidRPr="004D6536">
        <w:rPr>
          <w:color w:val="000000"/>
        </w:rPr>
        <w:t xml:space="preserve">7444 </w:t>
      </w:r>
      <w:r w:rsidR="00B648AF" w:rsidRPr="004D6536">
        <w:rPr>
          <w:color w:val="000000"/>
        </w:rPr>
        <w:t>para. </w:t>
      </w:r>
      <w:r w:rsidR="00BA0BA0" w:rsidRPr="004D6536">
        <w:rPr>
          <w:color w:val="000000"/>
        </w:rPr>
        <w:t xml:space="preserve">20, </w:t>
      </w:r>
      <w:r w:rsidRPr="004D6536">
        <w:rPr>
          <w:color w:val="000000"/>
        </w:rPr>
        <w:t xml:space="preserve">7454 </w:t>
      </w:r>
      <w:r w:rsidR="00B648AF" w:rsidRPr="004D6536">
        <w:rPr>
          <w:color w:val="000000"/>
        </w:rPr>
        <w:t>para. </w:t>
      </w:r>
      <w:r w:rsidRPr="004D6536">
        <w:rPr>
          <w:color w:val="000000"/>
        </w:rPr>
        <w:t>47</w:t>
      </w:r>
      <w:r w:rsidR="00BA0BA0" w:rsidRPr="004D6536">
        <w:rPr>
          <w:color w:val="000000"/>
        </w:rPr>
        <w:t xml:space="preserve">, </w:t>
      </w:r>
      <w:r w:rsidR="00325AF5" w:rsidRPr="004D6536">
        <w:rPr>
          <w:color w:val="000000"/>
        </w:rPr>
        <w:t xml:space="preserve">and </w:t>
      </w:r>
      <w:r w:rsidR="00BA0BA0" w:rsidRPr="004D6536">
        <w:rPr>
          <w:color w:val="000000"/>
        </w:rPr>
        <w:t xml:space="preserve">7499 </w:t>
      </w:r>
      <w:r w:rsidR="00B648AF" w:rsidRPr="004D6536">
        <w:rPr>
          <w:color w:val="000000"/>
        </w:rPr>
        <w:t>para. </w:t>
      </w:r>
      <w:r w:rsidR="00BA0BA0" w:rsidRPr="004D6536">
        <w:rPr>
          <w:color w:val="000000"/>
        </w:rPr>
        <w:t>185</w:t>
      </w:r>
      <w:r w:rsidRPr="004D6536">
        <w:rPr>
          <w:color w:val="000000"/>
        </w:rPr>
        <w:t>.</w:t>
      </w:r>
    </w:p>
  </w:footnote>
  <w:footnote w:id="43">
    <w:p w:rsidR="00717D9F" w:rsidRPr="004D6536" w:rsidRDefault="00717D9F" w:rsidP="00717D9F">
      <w:pPr>
        <w:pStyle w:val="FootnoteText"/>
        <w:rPr>
          <w:color w:val="000000"/>
        </w:rPr>
      </w:pPr>
      <w:r w:rsidRPr="004D6536">
        <w:rPr>
          <w:rStyle w:val="FootnoteReference"/>
          <w:color w:val="000000"/>
        </w:rPr>
        <w:footnoteRef/>
      </w:r>
      <w:r w:rsidRPr="004D6536">
        <w:rPr>
          <w:color w:val="000000"/>
        </w:rPr>
        <w:t xml:space="preserve"> </w:t>
      </w:r>
      <w:r w:rsidR="006048B1" w:rsidRPr="004D6536">
        <w:rPr>
          <w:color w:val="000000"/>
        </w:rPr>
        <w:t xml:space="preserve">Headsight </w:t>
      </w:r>
      <w:r w:rsidRPr="004D6536">
        <w:rPr>
          <w:color w:val="000000"/>
        </w:rPr>
        <w:t xml:space="preserve">Request at 3. </w:t>
      </w:r>
    </w:p>
  </w:footnote>
  <w:footnote w:id="44">
    <w:p w:rsidR="00717D9F" w:rsidRPr="004D6536" w:rsidRDefault="00717D9F" w:rsidP="00717D9F">
      <w:pPr>
        <w:pStyle w:val="FootnoteText"/>
        <w:rPr>
          <w:color w:val="000000"/>
        </w:rPr>
      </w:pPr>
      <w:r w:rsidRPr="004D6536">
        <w:rPr>
          <w:rStyle w:val="FootnoteReference"/>
          <w:color w:val="000000"/>
        </w:rPr>
        <w:footnoteRef/>
      </w:r>
      <w:r w:rsidRPr="004D6536">
        <w:rPr>
          <w:color w:val="000000"/>
        </w:rPr>
        <w:t xml:space="preserve"> </w:t>
      </w:r>
      <w:r w:rsidRPr="004D6536">
        <w:rPr>
          <w:rStyle w:val="full-answer-content"/>
          <w:color w:val="000000"/>
        </w:rPr>
        <w:t>Milo or grain sorghum, is a cereal grass that does well in warm climates and grows upright to 2</w:t>
      </w:r>
      <w:r w:rsidRPr="004D6536">
        <w:rPr>
          <w:rStyle w:val="full-answer-content"/>
          <w:color w:val="000000"/>
        </w:rPr>
        <w:noBreakHyphen/>
        <w:t xml:space="preserve">4 feet (0.6 to 1.2 meters) in height. </w:t>
      </w:r>
    </w:p>
  </w:footnote>
  <w:footnote w:id="45">
    <w:p w:rsidR="00717D9F" w:rsidRPr="004D6536" w:rsidRDefault="00717D9F" w:rsidP="00717D9F">
      <w:pPr>
        <w:pStyle w:val="FootnoteText"/>
        <w:rPr>
          <w:color w:val="000000"/>
        </w:rPr>
      </w:pPr>
      <w:r w:rsidRPr="004D6536">
        <w:rPr>
          <w:rStyle w:val="FootnoteReference"/>
          <w:color w:val="000000"/>
        </w:rPr>
        <w:footnoteRef/>
      </w:r>
      <w:r w:rsidRPr="004D6536">
        <w:rPr>
          <w:color w:val="000000"/>
        </w:rPr>
        <w:t xml:space="preserve"> </w:t>
      </w:r>
      <w:r w:rsidR="006048B1" w:rsidRPr="004D6536">
        <w:rPr>
          <w:color w:val="000000"/>
        </w:rPr>
        <w:t xml:space="preserve">Headsight </w:t>
      </w:r>
      <w:r w:rsidRPr="004D6536">
        <w:rPr>
          <w:color w:val="000000"/>
        </w:rPr>
        <w:t>Request at 7.</w:t>
      </w:r>
    </w:p>
  </w:footnote>
  <w:footnote w:id="46">
    <w:p w:rsidR="00B7182E" w:rsidRPr="004D6536" w:rsidRDefault="00B7182E" w:rsidP="00B7182E">
      <w:pPr>
        <w:pStyle w:val="FootnoteText"/>
        <w:rPr>
          <w:color w:val="000000"/>
        </w:rPr>
      </w:pPr>
      <w:r w:rsidRPr="004D6536">
        <w:rPr>
          <w:rStyle w:val="FootnoteReference"/>
          <w:color w:val="000000"/>
        </w:rPr>
        <w:footnoteRef/>
      </w:r>
      <w:r w:rsidRPr="004D6536">
        <w:rPr>
          <w:color w:val="000000"/>
        </w:rPr>
        <w:t xml:space="preserve"> Headsight </w:t>
      </w:r>
      <w:r w:rsidRPr="004D6536">
        <w:rPr>
          <w:i/>
          <w:color w:val="000000"/>
        </w:rPr>
        <w:t xml:space="preserve">Ex </w:t>
      </w:r>
      <w:r w:rsidR="005B417E" w:rsidRPr="004D6536">
        <w:rPr>
          <w:i/>
          <w:color w:val="000000"/>
        </w:rPr>
        <w:t>P</w:t>
      </w:r>
      <w:r w:rsidRPr="004D6536">
        <w:rPr>
          <w:i/>
          <w:color w:val="000000"/>
        </w:rPr>
        <w:t>arte</w:t>
      </w:r>
      <w:r w:rsidRPr="004D6536">
        <w:rPr>
          <w:color w:val="000000"/>
        </w:rPr>
        <w:t xml:space="preserve"> at 2.</w:t>
      </w:r>
    </w:p>
  </w:footnote>
  <w:footnote w:id="47">
    <w:p w:rsidR="006112BE" w:rsidRPr="004D6536" w:rsidRDefault="006112BE" w:rsidP="006112BE">
      <w:pPr>
        <w:pStyle w:val="FootnoteText"/>
        <w:rPr>
          <w:color w:val="000000"/>
        </w:rPr>
      </w:pPr>
      <w:r w:rsidRPr="004D6536">
        <w:rPr>
          <w:rStyle w:val="FootnoteReference"/>
          <w:color w:val="000000"/>
        </w:rPr>
        <w:footnoteRef/>
      </w:r>
      <w:r w:rsidRPr="004D6536">
        <w:rPr>
          <w:color w:val="000000"/>
        </w:rPr>
        <w:t xml:space="preserve"> Trimble </w:t>
      </w:r>
      <w:r w:rsidR="00A02E75">
        <w:rPr>
          <w:color w:val="000000"/>
        </w:rPr>
        <w:t>C</w:t>
      </w:r>
      <w:r w:rsidRPr="004D6536">
        <w:rPr>
          <w:color w:val="000000"/>
        </w:rPr>
        <w:t>omments at 4.</w:t>
      </w:r>
    </w:p>
  </w:footnote>
  <w:footnote w:id="48">
    <w:p w:rsidR="006112BE" w:rsidRPr="004D6536" w:rsidRDefault="006112BE" w:rsidP="006112BE">
      <w:pPr>
        <w:pStyle w:val="FootnoteText"/>
        <w:rPr>
          <w:color w:val="000000"/>
        </w:rPr>
      </w:pPr>
      <w:r w:rsidRPr="004D6536">
        <w:rPr>
          <w:rStyle w:val="FootnoteReference"/>
          <w:color w:val="000000"/>
        </w:rPr>
        <w:footnoteRef/>
      </w:r>
      <w:r w:rsidRPr="004D6536">
        <w:rPr>
          <w:color w:val="000000"/>
        </w:rPr>
        <w:t xml:space="preserve"> </w:t>
      </w:r>
      <w:r w:rsidR="00A02E75">
        <w:rPr>
          <w:i/>
          <w:color w:val="000000"/>
        </w:rPr>
        <w:t xml:space="preserve">Id. </w:t>
      </w:r>
      <w:r w:rsidRPr="004D6536">
        <w:rPr>
          <w:color w:val="000000"/>
        </w:rPr>
        <w:t>at 3.</w:t>
      </w:r>
    </w:p>
  </w:footnote>
  <w:footnote w:id="49">
    <w:p w:rsidR="006112BE" w:rsidRPr="004D6536" w:rsidRDefault="006112BE" w:rsidP="006112BE">
      <w:pPr>
        <w:pStyle w:val="FootnoteText"/>
        <w:rPr>
          <w:color w:val="000000"/>
        </w:rPr>
      </w:pPr>
      <w:r w:rsidRPr="004D6536">
        <w:rPr>
          <w:rStyle w:val="FootnoteReference"/>
          <w:color w:val="000000"/>
        </w:rPr>
        <w:footnoteRef/>
      </w:r>
      <w:r w:rsidRPr="004D6536">
        <w:rPr>
          <w:color w:val="000000"/>
        </w:rPr>
        <w:t xml:space="preserve"> Headsight </w:t>
      </w:r>
      <w:r w:rsidR="006548A9" w:rsidRPr="004D6536">
        <w:rPr>
          <w:color w:val="000000"/>
        </w:rPr>
        <w:t>R</w:t>
      </w:r>
      <w:r w:rsidRPr="004D6536">
        <w:rPr>
          <w:color w:val="000000"/>
        </w:rPr>
        <w:t>eply at 7.</w:t>
      </w:r>
    </w:p>
  </w:footnote>
  <w:footnote w:id="50">
    <w:p w:rsidR="007259E6" w:rsidRPr="004D6536" w:rsidRDefault="007259E6" w:rsidP="007259E6">
      <w:pPr>
        <w:pStyle w:val="FootnoteText"/>
        <w:rPr>
          <w:color w:val="000000"/>
        </w:rPr>
      </w:pPr>
      <w:r w:rsidRPr="004D6536">
        <w:rPr>
          <w:rStyle w:val="FootnoteReference"/>
          <w:color w:val="000000"/>
        </w:rPr>
        <w:footnoteRef/>
      </w:r>
      <w:r w:rsidRPr="004D6536">
        <w:rPr>
          <w:color w:val="000000"/>
        </w:rPr>
        <w:t xml:space="preserve"> </w:t>
      </w:r>
      <w:r w:rsidR="00A02E75">
        <w:rPr>
          <w:i/>
          <w:color w:val="000000"/>
        </w:rPr>
        <w:t xml:space="preserve">Id. </w:t>
      </w:r>
      <w:r w:rsidRPr="004D6536">
        <w:rPr>
          <w:color w:val="000000"/>
        </w:rPr>
        <w:t>at 3.</w:t>
      </w:r>
    </w:p>
  </w:footnote>
  <w:footnote w:id="51">
    <w:p w:rsidR="007259E6" w:rsidRPr="004D6536" w:rsidRDefault="007259E6" w:rsidP="007259E6">
      <w:pPr>
        <w:pStyle w:val="FootnoteText"/>
        <w:rPr>
          <w:color w:val="000000"/>
        </w:rPr>
      </w:pPr>
      <w:r w:rsidRPr="004D6536">
        <w:rPr>
          <w:rStyle w:val="FootnoteReference"/>
          <w:color w:val="000000"/>
        </w:rPr>
        <w:footnoteRef/>
      </w:r>
      <w:r w:rsidRPr="004D6536">
        <w:rPr>
          <w:color w:val="000000"/>
        </w:rPr>
        <w:t xml:space="preserve"> </w:t>
      </w:r>
      <w:r w:rsidR="00A02E75">
        <w:rPr>
          <w:i/>
          <w:color w:val="000000"/>
        </w:rPr>
        <w:t xml:space="preserve">Id. </w:t>
      </w:r>
      <w:r w:rsidRPr="004D6536">
        <w:rPr>
          <w:color w:val="000000"/>
        </w:rPr>
        <w:t>at 6, fn. 13.</w:t>
      </w:r>
    </w:p>
  </w:footnote>
  <w:footnote w:id="52">
    <w:p w:rsidR="00D11CC1" w:rsidRPr="007616EA" w:rsidRDefault="00D11CC1">
      <w:pPr>
        <w:pStyle w:val="FootnoteText"/>
      </w:pPr>
      <w:r>
        <w:rPr>
          <w:rStyle w:val="FootnoteReference"/>
        </w:rPr>
        <w:footnoteRef/>
      </w:r>
      <w:r>
        <w:t xml:space="preserve"> For purposes of this analysis, we will not consider arguments that the top of crop canopy could itself be considered the “ground</w:t>
      </w:r>
      <w:r w:rsidR="000662BF">
        <w:t>.</w:t>
      </w:r>
      <w:r>
        <w:t>”</w:t>
      </w:r>
      <w:r w:rsidR="000662BF">
        <w:t xml:space="preserve"> </w:t>
      </w:r>
      <w:r>
        <w:t xml:space="preserve"> </w:t>
      </w:r>
      <w:r w:rsidR="000662BF">
        <w:rPr>
          <w:i/>
          <w:color w:val="000000"/>
        </w:rPr>
        <w:t xml:space="preserve">See </w:t>
      </w:r>
      <w:r w:rsidR="00A02E75">
        <w:rPr>
          <w:i/>
          <w:color w:val="000000"/>
        </w:rPr>
        <w:t xml:space="preserve">id. </w:t>
      </w:r>
      <w:r w:rsidR="000662BF">
        <w:rPr>
          <w:color w:val="000000"/>
        </w:rPr>
        <w:t xml:space="preserve">at 6.  Under such an interpretation, </w:t>
      </w:r>
      <w:r w:rsidR="000662BF">
        <w:t xml:space="preserve">a waiver of </w:t>
      </w:r>
      <w:r w:rsidR="000662BF">
        <w:rPr>
          <w:color w:val="000000"/>
        </w:rPr>
        <w:t>Section</w:t>
      </w:r>
      <w:r w:rsidR="000662BF" w:rsidRPr="00514711">
        <w:rPr>
          <w:color w:val="000000"/>
        </w:rPr>
        <w:t xml:space="preserve"> 15.503(f)</w:t>
      </w:r>
      <w:r w:rsidR="000662BF">
        <w:rPr>
          <w:color w:val="000000"/>
        </w:rPr>
        <w:t xml:space="preserve"> would presumably no longer be necessary.</w:t>
      </w:r>
    </w:p>
  </w:footnote>
  <w:footnote w:id="53">
    <w:p w:rsidR="0062230A" w:rsidRDefault="0062230A">
      <w:pPr>
        <w:pStyle w:val="FootnoteText"/>
      </w:pPr>
      <w:r>
        <w:rPr>
          <w:rStyle w:val="FootnoteReference"/>
        </w:rPr>
        <w:footnoteRef/>
      </w:r>
      <w:r>
        <w:t xml:space="preserve"> A radar’s main function is to measure or calculate the time delay between the transmitted signal and the return echo reflected off the surface of the material</w:t>
      </w:r>
      <w:r w:rsidR="00DB4128">
        <w:t>/object</w:t>
      </w:r>
      <w:r>
        <w:t xml:space="preserve"> being measured to determine </w:t>
      </w:r>
      <w:r w:rsidR="00DB4128">
        <w:t>the material’s or object’s</w:t>
      </w:r>
      <w:r>
        <w:t xml:space="preserve"> properties.  To avoid </w:t>
      </w:r>
      <w:r w:rsidR="00DB4128">
        <w:t xml:space="preserve">false or inaccurate </w:t>
      </w:r>
      <w:r w:rsidR="001E7D47">
        <w:t>echoes</w:t>
      </w:r>
      <w:r w:rsidR="00DB4128">
        <w:t xml:space="preserve">, radar antennas are typically directional in order to </w:t>
      </w:r>
      <w:r w:rsidR="001E7D47">
        <w:t xml:space="preserve">better </w:t>
      </w:r>
      <w:r w:rsidR="00DB4128">
        <w:t>focus on the object being targeted.</w:t>
      </w:r>
      <w:r w:rsidR="00B80191">
        <w:t xml:space="preserve">  Headsight indicates that the Terrahawk’s antenna’s gain is 4 to 6 dBi</w:t>
      </w:r>
      <w:r w:rsidR="003C69FF">
        <w:t>, which would</w:t>
      </w:r>
      <w:r w:rsidR="00860325">
        <w:t xml:space="preserve"> direct more of the energy into the ground</w:t>
      </w:r>
      <w:r w:rsidR="00B80191">
        <w:t>.  Headsight Request at 4.</w:t>
      </w:r>
      <w:r w:rsidR="00860325">
        <w:t xml:space="preserve"> </w:t>
      </w:r>
    </w:p>
  </w:footnote>
  <w:footnote w:id="54">
    <w:p w:rsidR="004E2195" w:rsidRPr="004D6536" w:rsidRDefault="004E2195">
      <w:pPr>
        <w:pStyle w:val="FootnoteText"/>
        <w:rPr>
          <w:color w:val="000000"/>
        </w:rPr>
      </w:pPr>
      <w:r w:rsidRPr="004D6536">
        <w:rPr>
          <w:rStyle w:val="FootnoteReference"/>
          <w:color w:val="000000"/>
        </w:rPr>
        <w:footnoteRef/>
      </w:r>
      <w:r w:rsidRPr="004D6536">
        <w:rPr>
          <w:color w:val="000000"/>
        </w:rPr>
        <w:t xml:space="preserve"> Headsight Request at 5.</w:t>
      </w:r>
    </w:p>
  </w:footnote>
  <w:footnote w:id="55">
    <w:p w:rsidR="006D573B" w:rsidRDefault="006D573B">
      <w:pPr>
        <w:pStyle w:val="FootnoteText"/>
      </w:pPr>
      <w:r>
        <w:rPr>
          <w:rStyle w:val="FootnoteReference"/>
        </w:rPr>
        <w:footnoteRef/>
      </w:r>
      <w:r>
        <w:t xml:space="preserve"> Trimble </w:t>
      </w:r>
      <w:r w:rsidR="00A02E75">
        <w:t>C</w:t>
      </w:r>
      <w:r>
        <w:t>omments at 4.</w:t>
      </w:r>
    </w:p>
  </w:footnote>
  <w:footnote w:id="56">
    <w:p w:rsidR="003D6C7F" w:rsidRDefault="003D6C7F">
      <w:pPr>
        <w:pStyle w:val="FootnoteText"/>
      </w:pPr>
      <w:r>
        <w:rPr>
          <w:rStyle w:val="FootnoteReference"/>
        </w:rPr>
        <w:footnoteRef/>
      </w:r>
      <w:r>
        <w:t xml:space="preserve"> While the waiver will allow for the use of the Terrahawk in many settings, </w:t>
      </w:r>
      <w:r w:rsidR="003A53F9">
        <w:t xml:space="preserve">we recognize that </w:t>
      </w:r>
      <w:r>
        <w:t xml:space="preserve">there are some situations where it will not be available.  In addition to </w:t>
      </w:r>
      <w:r w:rsidR="003A53F9">
        <w:t xml:space="preserve">the use in </w:t>
      </w:r>
      <w:r>
        <w:t>city gardens or</w:t>
      </w:r>
      <w:r w:rsidR="003A53F9">
        <w:t xml:space="preserve"> on</w:t>
      </w:r>
      <w:r>
        <w:t xml:space="preserve"> </w:t>
      </w:r>
      <w:r w:rsidR="003A53F9">
        <w:t>trees (which we are explicitly excluding), activities such as the top</w:t>
      </w:r>
      <w:r w:rsidR="00A13EFB">
        <w:t>-</w:t>
      </w:r>
      <w:r w:rsidR="003A53F9">
        <w:t>cutting of hops vines would typically exceed the absolute 12-foot height limit.</w:t>
      </w:r>
    </w:p>
  </w:footnote>
  <w:footnote w:id="57">
    <w:p w:rsidR="005C18BC" w:rsidRPr="004D6536" w:rsidRDefault="005C18BC">
      <w:pPr>
        <w:pStyle w:val="FootnoteText"/>
        <w:rPr>
          <w:color w:val="000000"/>
        </w:rPr>
      </w:pPr>
      <w:r w:rsidRPr="004D6536">
        <w:rPr>
          <w:rStyle w:val="FootnoteReference"/>
          <w:color w:val="000000"/>
        </w:rPr>
        <w:footnoteRef/>
      </w:r>
      <w:r w:rsidRPr="004D6536">
        <w:rPr>
          <w:color w:val="000000"/>
        </w:rPr>
        <w:t xml:space="preserve"> </w:t>
      </w:r>
      <w:r w:rsidR="008B0BDF">
        <w:rPr>
          <w:i/>
        </w:rPr>
        <w:t xml:space="preserve">See </w:t>
      </w:r>
      <w:r w:rsidR="008B0BDF">
        <w:t xml:space="preserve">Knowledge Data Base (KDB) No. 393764, </w:t>
      </w:r>
      <w:r w:rsidR="008B0BDF" w:rsidRPr="0091701E">
        <w:rPr>
          <w:bCs/>
          <w:i/>
        </w:rPr>
        <w:t>Ultra-Wide</w:t>
      </w:r>
      <w:r w:rsidR="008B0BDF">
        <w:rPr>
          <w:bCs/>
        </w:rPr>
        <w:t xml:space="preserve"> </w:t>
      </w:r>
      <w:r w:rsidR="008B0BDF">
        <w:rPr>
          <w:bCs/>
          <w:i/>
        </w:rPr>
        <w:t>Band Device Frequently Asked Questions</w:t>
      </w:r>
      <w:r w:rsidR="008B0BDF">
        <w:rPr>
          <w:bCs/>
        </w:rPr>
        <w:t xml:space="preserve">, available at </w:t>
      </w:r>
      <w:hyperlink r:id="rId8" w:history="1">
        <w:r w:rsidR="008B0BDF" w:rsidRPr="003B155C">
          <w:rPr>
            <w:rStyle w:val="Hyperlink"/>
          </w:rPr>
          <w:t>https://apps.fcc.gov/oetcf/kdb/forms/FTSSearchResultPage.cfm?id=20253&amp;switch=P</w:t>
        </w:r>
      </w:hyperlink>
      <w:r w:rsidR="008B0BDF">
        <w:t>.</w:t>
      </w:r>
    </w:p>
  </w:footnote>
  <w:footnote w:id="58">
    <w:p w:rsidR="00034817" w:rsidRDefault="00034817">
      <w:pPr>
        <w:pStyle w:val="FootnoteText"/>
      </w:pPr>
      <w:r>
        <w:rPr>
          <w:rStyle w:val="FootnoteReference"/>
        </w:rPr>
        <w:footnoteRef/>
      </w:r>
      <w:r>
        <w:t xml:space="preserve"> </w:t>
      </w:r>
      <w:r w:rsidRPr="0007603D">
        <w:t xml:space="preserve">Compliance testing of UWB transmitters is found in </w:t>
      </w:r>
      <w:r w:rsidR="00D83544">
        <w:t xml:space="preserve">Standard </w:t>
      </w:r>
      <w:r w:rsidRPr="0007603D">
        <w:t>C63.10</w:t>
      </w:r>
      <w:r w:rsidRPr="0007603D">
        <w:noBreakHyphen/>
        <w:t xml:space="preserve">2013, </w:t>
      </w:r>
      <w:r w:rsidRPr="0007603D">
        <w:rPr>
          <w:i/>
        </w:rPr>
        <w:t>American National Standard of Procedures for Compliance Testing of Unlicensed Wireless Devices</w:t>
      </w:r>
      <w:r w:rsidRPr="0007603D">
        <w:t xml:space="preserve">, Clause 10, available at </w:t>
      </w:r>
      <w:hyperlink r:id="rId9" w:history="1">
        <w:r w:rsidRPr="0007603D">
          <w:rPr>
            <w:rStyle w:val="Hyperlink"/>
          </w:rPr>
          <w:t>https://standards.ieee.org/findstds/standard/C63.10-2013.html</w:t>
        </w:r>
      </w:hyperlink>
      <w:r w:rsidRPr="0007603D">
        <w:rPr>
          <w:rStyle w:val="Hyperlink"/>
        </w:rPr>
        <w:t>.</w:t>
      </w:r>
    </w:p>
  </w:footnote>
  <w:footnote w:id="59">
    <w:p w:rsidR="00AD4B2F" w:rsidRDefault="00AD4B2F">
      <w:pPr>
        <w:pStyle w:val="FootnoteText"/>
      </w:pPr>
      <w:r>
        <w:rPr>
          <w:rStyle w:val="FootnoteReference"/>
        </w:rPr>
        <w:footnoteRef/>
      </w:r>
      <w:r>
        <w:t xml:space="preserve"> Test procedures for compliance testing </w:t>
      </w:r>
      <w:r w:rsidR="00975D69">
        <w:t xml:space="preserve">of multiple Terrahawk transmitters </w:t>
      </w:r>
      <w:r>
        <w:t>(</w:t>
      </w:r>
      <w:r w:rsidR="00975D69">
        <w:t>that</w:t>
      </w:r>
      <w:r>
        <w:t xml:space="preserve"> are not found in Standard C63.10</w:t>
      </w:r>
      <w:r w:rsidR="00583273">
        <w:t xml:space="preserve">, </w:t>
      </w:r>
      <w:r w:rsidR="00583273">
        <w:rPr>
          <w:i/>
        </w:rPr>
        <w:t xml:space="preserve">see supra </w:t>
      </w:r>
      <w:r w:rsidR="00583273">
        <w:t>n.</w:t>
      </w:r>
      <w:r w:rsidR="00583273">
        <w:fldChar w:fldCharType="begin"/>
      </w:r>
      <w:r w:rsidR="00583273">
        <w:instrText xml:space="preserve"> NOTEREF _Ref474173962 \h </w:instrText>
      </w:r>
      <w:r w:rsidR="00583273">
        <w:fldChar w:fldCharType="separate"/>
      </w:r>
      <w:r w:rsidR="00583273">
        <w:t>57</w:t>
      </w:r>
      <w:r w:rsidR="00583273">
        <w:fldChar w:fldCharType="end"/>
      </w:r>
      <w:r>
        <w:t>) must be reviewed and approved by the Commission Laboratory staff.</w:t>
      </w:r>
    </w:p>
  </w:footnote>
  <w:footnote w:id="60">
    <w:p w:rsidR="001409D6" w:rsidRDefault="006747E7">
      <w:pPr>
        <w:pStyle w:val="FootnoteText"/>
      </w:pPr>
      <w:r>
        <w:rPr>
          <w:rStyle w:val="FootnoteReference"/>
        </w:rPr>
        <w:footnoteRef/>
      </w:r>
      <w:r>
        <w:t xml:space="preserve"> </w:t>
      </w:r>
      <w:r w:rsidR="00391D65">
        <w:t xml:space="preserve">NLCD Classifications 81 and 82 cover all </w:t>
      </w:r>
      <w:r w:rsidR="005325FB">
        <w:t>land areas classified as “</w:t>
      </w:r>
      <w:r w:rsidR="00391D65">
        <w:t>Planted/Cultivated</w:t>
      </w:r>
      <w:r w:rsidR="005325FB">
        <w:t>”</w:t>
      </w:r>
      <w:r w:rsidR="00391D65">
        <w:t xml:space="preserve"> in the United States.  </w:t>
      </w:r>
      <w:r w:rsidR="00391D65">
        <w:rPr>
          <w:i/>
        </w:rPr>
        <w:t xml:space="preserve">See </w:t>
      </w:r>
      <w:hyperlink r:id="rId10" w:history="1">
        <w:r w:rsidR="00391D65" w:rsidRPr="00D311F6">
          <w:rPr>
            <w:rStyle w:val="Hyperlink"/>
          </w:rPr>
          <w:t>https://www.mrlc.gov/nlcd11_leg.php</w:t>
        </w:r>
      </w:hyperlink>
      <w:r w:rsidR="00391D6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DF" w:rsidRDefault="00032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BC" w:rsidRDefault="005C18BC">
    <w:pPr>
      <w:pStyle w:val="Header"/>
      <w:rPr>
        <w:b w:val="0"/>
      </w:rPr>
    </w:pPr>
    <w:r>
      <w:tab/>
      <w:t>Federal Communications Commission</w:t>
    </w:r>
    <w:r>
      <w:tab/>
      <w:t>DA 1</w:t>
    </w:r>
    <w:r w:rsidR="00D54C53">
      <w:t>7</w:t>
    </w:r>
    <w:r>
      <w:t>-</w:t>
    </w:r>
    <w:r w:rsidR="00D54C53">
      <w:t>207</w:t>
    </w:r>
  </w:p>
  <w:p w:rsidR="005C18BC" w:rsidRDefault="003D760A">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CC9BAE5" wp14:editId="4213D42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8BC" w:rsidRDefault="005C1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C9BAE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Ft86g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eBRbfOoCAAA9BgAADgAAAAAAAAAA&#10;AAAAAAAuAgAAZHJzL2Uyb0RvYy54bWxQSwECLQAUAAYACAAAACEAIjzu0dcAAAADAQAADwAAAAAA&#10;AAAAAAAAAABEBQAAZHJzL2Rvd25yZXYueG1sUEsFBgAAAAAEAAQA8wAAAEgGAAAAAA==&#10;" o:allowincell="f" fillcolor="black" stroked="f" strokeweight=".05pt">
              <v:textbox>
                <w:txbxContent>
                  <w:p w:rsidR="005C18BC" w:rsidRDefault="005C18BC"/>
                </w:txbxContent>
              </v:textbox>
              <w10:wrap anchorx="margin"/>
            </v:rect>
          </w:pict>
        </mc:Fallback>
      </mc:AlternateContent>
    </w:r>
  </w:p>
  <w:p w:rsidR="005C18BC" w:rsidRDefault="005C18B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BC" w:rsidRDefault="003D760A">
    <w:pPr>
      <w:pStyle w:val="Header"/>
      <w:rPr>
        <w:b w:val="0"/>
      </w:rPr>
    </w:pPr>
    <w:r>
      <w:rPr>
        <w:noProof/>
      </w:rPr>
      <mc:AlternateContent>
        <mc:Choice Requires="wps">
          <w:drawing>
            <wp:anchor distT="0" distB="0" distL="114300" distR="114300" simplePos="0" relativeHeight="251658240" behindDoc="1" locked="0" layoutInCell="0" allowOverlap="1" wp14:anchorId="0DBFE59F" wp14:editId="15D8B05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8BC" w:rsidRDefault="005C1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BFE59F" id="Rectangle 3" o:spid="_x0000_s1027"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XT8A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" o:allowincell="f" fillcolor="black" stroked="f" strokeweight=".05pt">
              <v:textbox>
                <w:txbxContent>
                  <w:p w:rsidR="005C18BC" w:rsidRDefault="005C18BC"/>
                </w:txbxContent>
              </v:textbox>
              <w10:wrap anchorx="margin"/>
            </v:rect>
          </w:pict>
        </mc:Fallback>
      </mc:AlternateContent>
    </w:r>
    <w:r w:rsidR="005C18BC">
      <w:tab/>
      <w:t>Federal Communications Commission</w:t>
    </w:r>
    <w:r w:rsidR="005C18BC">
      <w:tab/>
    </w:r>
    <w:r w:rsidR="00D54C53">
      <w:rPr>
        <w:spacing w:val="-2"/>
      </w:rPr>
      <w:t>DA 17</w:t>
    </w:r>
    <w:r w:rsidR="005C18BC">
      <w:rPr>
        <w:spacing w:val="-2"/>
      </w:rPr>
      <w:t>-</w:t>
    </w:r>
    <w:r w:rsidR="00D54C53">
      <w:rPr>
        <w:spacing w:val="-2"/>
      </w:rPr>
      <w:t>207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pStyle w:val="StyleParaNumLeft"/>
      <w:lvlText w:val="%1."/>
      <w:lvlJc w:val="left"/>
      <w:pPr>
        <w:tabs>
          <w:tab w:val="num" w:pos="1080"/>
        </w:tabs>
        <w:ind w:left="0" w:firstLine="720"/>
      </w:pPr>
    </w:lvl>
  </w:abstractNum>
  <w:abstractNum w:abstractNumId="3">
    <w:nsid w:val="27E06CBB"/>
    <w:multiLevelType w:val="multilevel"/>
    <w:tmpl w:val="35240DB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0524297"/>
    <w:multiLevelType w:val="hybridMultilevel"/>
    <w:tmpl w:val="BA0C034E"/>
    <w:lvl w:ilvl="0" w:tplc="312A6380">
      <w:numFmt w:val="bullet"/>
      <w:lvlText w:val="-"/>
      <w:lvlJc w:val="left"/>
      <w:pPr>
        <w:tabs>
          <w:tab w:val="num" w:pos="1800"/>
        </w:tabs>
        <w:ind w:left="1800" w:hanging="360"/>
      </w:pPr>
      <w:rPr>
        <w:rFonts w:ascii="Times New Roman" w:eastAsia="Times New Roman" w:hAnsi="Times New Roman" w:cs="Times New Roman"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B665F28"/>
    <w:multiLevelType w:val="hybridMultilevel"/>
    <w:tmpl w:val="99BC37CC"/>
    <w:lvl w:ilvl="0" w:tplc="490CAB2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284F00"/>
    <w:multiLevelType w:val="hybridMultilevel"/>
    <w:tmpl w:val="0BF877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41675E"/>
    <w:multiLevelType w:val="hybridMultilevel"/>
    <w:tmpl w:val="6A76B00A"/>
    <w:lvl w:ilvl="0" w:tplc="490CAB22">
      <w:start w:val="1"/>
      <w:numFmt w:val="decimal"/>
      <w:lvlText w:val="%1)."/>
      <w:lvlJc w:val="left"/>
      <w:pPr>
        <w:tabs>
          <w:tab w:val="num" w:pos="2160"/>
        </w:tabs>
        <w:ind w:left="2160" w:hanging="360"/>
      </w:pPr>
      <w:rPr>
        <w:rFonts w:hint="default"/>
        <w:color w:val="auto"/>
      </w:rPr>
    </w:lvl>
    <w:lvl w:ilvl="1" w:tplc="490CAB22">
      <w:start w:val="1"/>
      <w:numFmt w:val="decimal"/>
      <w:lvlText w:val="%2)."/>
      <w:lvlJc w:val="left"/>
      <w:pPr>
        <w:tabs>
          <w:tab w:val="num" w:pos="360"/>
        </w:tabs>
        <w:ind w:left="360" w:hanging="360"/>
      </w:pPr>
      <w:rPr>
        <w:rFonts w:hint="default"/>
        <w:color w:val="auto"/>
      </w:rPr>
    </w:lvl>
    <w:lvl w:ilvl="2" w:tplc="0409001B">
      <w:start w:val="1"/>
      <w:numFmt w:val="lowerRoman"/>
      <w:lvlText w:val="%3."/>
      <w:lvlJc w:val="right"/>
      <w:pPr>
        <w:tabs>
          <w:tab w:val="num" w:pos="2160"/>
        </w:tabs>
        <w:ind w:left="2160" w:hanging="180"/>
      </w:pPr>
    </w:lvl>
    <w:lvl w:ilvl="3" w:tplc="0E4A6E1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182925"/>
    <w:multiLevelType w:val="singleLevel"/>
    <w:tmpl w:val="E46A7C14"/>
    <w:lvl w:ilvl="0">
      <w:start w:val="1"/>
      <w:numFmt w:val="decimal"/>
      <w:pStyle w:val="ParaNum"/>
      <w:lvlText w:val="%1."/>
      <w:lvlJc w:val="left"/>
      <w:pPr>
        <w:tabs>
          <w:tab w:val="num" w:pos="1080"/>
        </w:tabs>
        <w:ind w:left="0" w:firstLine="720"/>
      </w:pPr>
    </w:lvl>
  </w:abstractNum>
  <w:abstractNum w:abstractNumId="11">
    <w:nsid w:val="6AAD3F4E"/>
    <w:multiLevelType w:val="hybridMultilevel"/>
    <w:tmpl w:val="8BBE5DF0"/>
    <w:lvl w:ilvl="0" w:tplc="490CAB22">
      <w:start w:val="1"/>
      <w:numFmt w:val="decimal"/>
      <w:lvlText w:val="%1)."/>
      <w:lvlJc w:val="left"/>
      <w:pPr>
        <w:tabs>
          <w:tab w:val="num" w:pos="2160"/>
        </w:tabs>
        <w:ind w:left="2160" w:hanging="360"/>
      </w:pPr>
      <w:rPr>
        <w:rFonts w:hint="default"/>
        <w:color w:val="auto"/>
      </w:rPr>
    </w:lvl>
    <w:lvl w:ilvl="1" w:tplc="04090017">
      <w:start w:val="1"/>
      <w:numFmt w:val="lowerLetter"/>
      <w:lvlText w:val="%2)"/>
      <w:lvlJc w:val="left"/>
      <w:pPr>
        <w:tabs>
          <w:tab w:val="num" w:pos="360"/>
        </w:tabs>
        <w:ind w:left="360" w:hanging="360"/>
      </w:pPr>
      <w:rPr>
        <w:rFonts w:hint="default"/>
        <w:color w:val="auto"/>
      </w:rPr>
    </w:lvl>
    <w:lvl w:ilvl="2" w:tplc="0409001B">
      <w:start w:val="1"/>
      <w:numFmt w:val="lowerRoman"/>
      <w:lvlText w:val="%3."/>
      <w:lvlJc w:val="right"/>
      <w:pPr>
        <w:tabs>
          <w:tab w:val="num" w:pos="2160"/>
        </w:tabs>
        <w:ind w:left="2160" w:hanging="180"/>
      </w:pPr>
    </w:lvl>
    <w:lvl w:ilvl="3" w:tplc="0E4A6E1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ED4AF7"/>
    <w:multiLevelType w:val="hybridMultilevel"/>
    <w:tmpl w:val="5D98E5A0"/>
    <w:lvl w:ilvl="0" w:tplc="490CAB22">
      <w:start w:val="1"/>
      <w:numFmt w:val="decimal"/>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7"/>
  </w:num>
  <w:num w:numId="5">
    <w:abstractNumId w:val="2"/>
  </w:num>
  <w:num w:numId="6">
    <w:abstractNumId w:val="0"/>
  </w:num>
  <w:num w:numId="7">
    <w:abstractNumId w:val="10"/>
    <w:lvlOverride w:ilvl="0">
      <w:startOverride w:val="1"/>
    </w:lvlOverride>
  </w:num>
  <w:num w:numId="8">
    <w:abstractNumId w:val="4"/>
  </w:num>
  <w:num w:numId="9">
    <w:abstractNumId w:val="5"/>
  </w:num>
  <w:num w:numId="10">
    <w:abstractNumId w:val="9"/>
  </w:num>
  <w:num w:numId="11">
    <w:abstractNumId w:val="10"/>
    <w:lvlOverride w:ilvl="0">
      <w:startOverride w:val="1"/>
    </w:lvlOverride>
  </w:num>
  <w:num w:numId="12">
    <w:abstractNumId w:val="10"/>
    <w:lvlOverride w:ilvl="0">
      <w:startOverride w:val="1"/>
    </w:lvlOverride>
  </w:num>
  <w:num w:numId="13">
    <w:abstractNumId w:val="6"/>
  </w:num>
  <w:num w:numId="14">
    <w:abstractNumId w:val="12"/>
  </w:num>
  <w:num w:numId="15">
    <w:abstractNumId w:val="11"/>
  </w:num>
  <w:num w:numId="16">
    <w:abstractNumId w:val="2"/>
  </w:num>
  <w:num w:numId="17">
    <w:abstractNumId w:val="8"/>
  </w:num>
  <w:num w:numId="18">
    <w:abstractNumId w:val="10"/>
  </w:num>
  <w:num w:numId="19">
    <w:abstractNumId w:val="10"/>
  </w:num>
  <w:num w:numId="20">
    <w:abstractNumId w:val="10"/>
    <w:lvlOverride w:ilvl="0">
      <w:startOverride w:val="1"/>
    </w:lvlOverride>
  </w:num>
  <w:num w:numId="21">
    <w:abstractNumId w:val="10"/>
    <w:lvlOverride w:ilvl="0">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16"/>
    <w:rsid w:val="000015E4"/>
    <w:rsid w:val="000036F7"/>
    <w:rsid w:val="00011B6F"/>
    <w:rsid w:val="00012221"/>
    <w:rsid w:val="0001284B"/>
    <w:rsid w:val="00012E92"/>
    <w:rsid w:val="00013158"/>
    <w:rsid w:val="00022CE8"/>
    <w:rsid w:val="00026151"/>
    <w:rsid w:val="00026585"/>
    <w:rsid w:val="00027F09"/>
    <w:rsid w:val="000320DF"/>
    <w:rsid w:val="00032710"/>
    <w:rsid w:val="000346BA"/>
    <w:rsid w:val="00034817"/>
    <w:rsid w:val="00035817"/>
    <w:rsid w:val="00044471"/>
    <w:rsid w:val="00046010"/>
    <w:rsid w:val="000460A3"/>
    <w:rsid w:val="000464A2"/>
    <w:rsid w:val="00047A45"/>
    <w:rsid w:val="00063855"/>
    <w:rsid w:val="00065DED"/>
    <w:rsid w:val="000662BF"/>
    <w:rsid w:val="000667EF"/>
    <w:rsid w:val="00072611"/>
    <w:rsid w:val="00075B81"/>
    <w:rsid w:val="000772A4"/>
    <w:rsid w:val="000807A1"/>
    <w:rsid w:val="00080CE1"/>
    <w:rsid w:val="000812D2"/>
    <w:rsid w:val="000849FA"/>
    <w:rsid w:val="00084D09"/>
    <w:rsid w:val="00086A06"/>
    <w:rsid w:val="0008715E"/>
    <w:rsid w:val="00087DA2"/>
    <w:rsid w:val="000933DC"/>
    <w:rsid w:val="00093AA0"/>
    <w:rsid w:val="00093B82"/>
    <w:rsid w:val="000952EF"/>
    <w:rsid w:val="000958A2"/>
    <w:rsid w:val="0009597B"/>
    <w:rsid w:val="000A12AC"/>
    <w:rsid w:val="000A4232"/>
    <w:rsid w:val="000A42D7"/>
    <w:rsid w:val="000A4616"/>
    <w:rsid w:val="000A4EE0"/>
    <w:rsid w:val="000B0A07"/>
    <w:rsid w:val="000B10AD"/>
    <w:rsid w:val="000C0E3B"/>
    <w:rsid w:val="000C1E3E"/>
    <w:rsid w:val="000C338F"/>
    <w:rsid w:val="000C435C"/>
    <w:rsid w:val="000C61D3"/>
    <w:rsid w:val="000C6873"/>
    <w:rsid w:val="000C6A73"/>
    <w:rsid w:val="000C70EA"/>
    <w:rsid w:val="000C78B1"/>
    <w:rsid w:val="000D1C60"/>
    <w:rsid w:val="000D3E2B"/>
    <w:rsid w:val="000D4969"/>
    <w:rsid w:val="000E03A5"/>
    <w:rsid w:val="000E0FE7"/>
    <w:rsid w:val="000E204A"/>
    <w:rsid w:val="000E490F"/>
    <w:rsid w:val="000E65DC"/>
    <w:rsid w:val="000E79CB"/>
    <w:rsid w:val="000F1168"/>
    <w:rsid w:val="000F32CF"/>
    <w:rsid w:val="000F6D70"/>
    <w:rsid w:val="00103943"/>
    <w:rsid w:val="00104626"/>
    <w:rsid w:val="001056D3"/>
    <w:rsid w:val="00105BFF"/>
    <w:rsid w:val="0010633A"/>
    <w:rsid w:val="001065FE"/>
    <w:rsid w:val="00107818"/>
    <w:rsid w:val="00107C11"/>
    <w:rsid w:val="00110966"/>
    <w:rsid w:val="001121E3"/>
    <w:rsid w:val="001123E7"/>
    <w:rsid w:val="00112CDA"/>
    <w:rsid w:val="00115197"/>
    <w:rsid w:val="0011737C"/>
    <w:rsid w:val="00117681"/>
    <w:rsid w:val="00117E0F"/>
    <w:rsid w:val="00120279"/>
    <w:rsid w:val="0012107C"/>
    <w:rsid w:val="00122041"/>
    <w:rsid w:val="00122800"/>
    <w:rsid w:val="001275FD"/>
    <w:rsid w:val="001278AE"/>
    <w:rsid w:val="00127E68"/>
    <w:rsid w:val="00131D54"/>
    <w:rsid w:val="001332EF"/>
    <w:rsid w:val="001341BF"/>
    <w:rsid w:val="001347C7"/>
    <w:rsid w:val="001356EB"/>
    <w:rsid w:val="00136278"/>
    <w:rsid w:val="00136AE9"/>
    <w:rsid w:val="001370D8"/>
    <w:rsid w:val="001409D6"/>
    <w:rsid w:val="00143C6E"/>
    <w:rsid w:val="00144133"/>
    <w:rsid w:val="0015253C"/>
    <w:rsid w:val="001526CA"/>
    <w:rsid w:val="00154820"/>
    <w:rsid w:val="00157D8B"/>
    <w:rsid w:val="00160227"/>
    <w:rsid w:val="001656F5"/>
    <w:rsid w:val="00166BE0"/>
    <w:rsid w:val="00167831"/>
    <w:rsid w:val="00171107"/>
    <w:rsid w:val="0017254A"/>
    <w:rsid w:val="00174719"/>
    <w:rsid w:val="00175C6E"/>
    <w:rsid w:val="00176FCA"/>
    <w:rsid w:val="00176FEE"/>
    <w:rsid w:val="00177E98"/>
    <w:rsid w:val="00180147"/>
    <w:rsid w:val="0018166D"/>
    <w:rsid w:val="0018191B"/>
    <w:rsid w:val="00181F38"/>
    <w:rsid w:val="001875BD"/>
    <w:rsid w:val="001901D0"/>
    <w:rsid w:val="00193ABD"/>
    <w:rsid w:val="00194817"/>
    <w:rsid w:val="00195449"/>
    <w:rsid w:val="001959BD"/>
    <w:rsid w:val="001968F7"/>
    <w:rsid w:val="00196A01"/>
    <w:rsid w:val="00197A71"/>
    <w:rsid w:val="00197B58"/>
    <w:rsid w:val="001A0BC1"/>
    <w:rsid w:val="001A5B57"/>
    <w:rsid w:val="001A7B9F"/>
    <w:rsid w:val="001B1643"/>
    <w:rsid w:val="001B1DC5"/>
    <w:rsid w:val="001B26BA"/>
    <w:rsid w:val="001B31F5"/>
    <w:rsid w:val="001B562F"/>
    <w:rsid w:val="001B6106"/>
    <w:rsid w:val="001B7483"/>
    <w:rsid w:val="001B77D7"/>
    <w:rsid w:val="001C3C2B"/>
    <w:rsid w:val="001C533F"/>
    <w:rsid w:val="001C5C69"/>
    <w:rsid w:val="001C5E1D"/>
    <w:rsid w:val="001C6731"/>
    <w:rsid w:val="001C6BF2"/>
    <w:rsid w:val="001C7552"/>
    <w:rsid w:val="001D0D77"/>
    <w:rsid w:val="001D107C"/>
    <w:rsid w:val="001D2031"/>
    <w:rsid w:val="001D3ABD"/>
    <w:rsid w:val="001D3CA6"/>
    <w:rsid w:val="001D5E63"/>
    <w:rsid w:val="001D6073"/>
    <w:rsid w:val="001D6C98"/>
    <w:rsid w:val="001D6E71"/>
    <w:rsid w:val="001D78BF"/>
    <w:rsid w:val="001E64BA"/>
    <w:rsid w:val="001E7AE7"/>
    <w:rsid w:val="001E7D47"/>
    <w:rsid w:val="001F1354"/>
    <w:rsid w:val="001F3401"/>
    <w:rsid w:val="00200048"/>
    <w:rsid w:val="00202648"/>
    <w:rsid w:val="00202A34"/>
    <w:rsid w:val="00205991"/>
    <w:rsid w:val="00205C50"/>
    <w:rsid w:val="00211824"/>
    <w:rsid w:val="002132AE"/>
    <w:rsid w:val="00213436"/>
    <w:rsid w:val="002141D9"/>
    <w:rsid w:val="00214313"/>
    <w:rsid w:val="002159A4"/>
    <w:rsid w:val="00217731"/>
    <w:rsid w:val="00217BEE"/>
    <w:rsid w:val="00217EE3"/>
    <w:rsid w:val="002216AD"/>
    <w:rsid w:val="00222313"/>
    <w:rsid w:val="00230251"/>
    <w:rsid w:val="00232415"/>
    <w:rsid w:val="0023573C"/>
    <w:rsid w:val="002363DB"/>
    <w:rsid w:val="00241064"/>
    <w:rsid w:val="00241906"/>
    <w:rsid w:val="00241FA2"/>
    <w:rsid w:val="0025061D"/>
    <w:rsid w:val="00251C52"/>
    <w:rsid w:val="002564BA"/>
    <w:rsid w:val="00257166"/>
    <w:rsid w:val="00261106"/>
    <w:rsid w:val="002643C0"/>
    <w:rsid w:val="0026457B"/>
    <w:rsid w:val="0026558E"/>
    <w:rsid w:val="002663A0"/>
    <w:rsid w:val="0026695B"/>
    <w:rsid w:val="002702C6"/>
    <w:rsid w:val="00272D4E"/>
    <w:rsid w:val="002731A6"/>
    <w:rsid w:val="0027493F"/>
    <w:rsid w:val="00277C3C"/>
    <w:rsid w:val="00277DC0"/>
    <w:rsid w:val="00277EDE"/>
    <w:rsid w:val="0028052C"/>
    <w:rsid w:val="0028068F"/>
    <w:rsid w:val="002834C4"/>
    <w:rsid w:val="002859E6"/>
    <w:rsid w:val="00287533"/>
    <w:rsid w:val="0029026B"/>
    <w:rsid w:val="00293B33"/>
    <w:rsid w:val="00294C07"/>
    <w:rsid w:val="0029529D"/>
    <w:rsid w:val="00296A7E"/>
    <w:rsid w:val="002979AB"/>
    <w:rsid w:val="002A1583"/>
    <w:rsid w:val="002A17D0"/>
    <w:rsid w:val="002A2008"/>
    <w:rsid w:val="002A252D"/>
    <w:rsid w:val="002A2705"/>
    <w:rsid w:val="002A2DB2"/>
    <w:rsid w:val="002A79E2"/>
    <w:rsid w:val="002A7B2F"/>
    <w:rsid w:val="002B0616"/>
    <w:rsid w:val="002B077E"/>
    <w:rsid w:val="002B33F3"/>
    <w:rsid w:val="002B473B"/>
    <w:rsid w:val="002B5D12"/>
    <w:rsid w:val="002B6EF6"/>
    <w:rsid w:val="002C0397"/>
    <w:rsid w:val="002C11CA"/>
    <w:rsid w:val="002C271D"/>
    <w:rsid w:val="002C2D2F"/>
    <w:rsid w:val="002C5DB2"/>
    <w:rsid w:val="002C7B1D"/>
    <w:rsid w:val="002D0B24"/>
    <w:rsid w:val="002D0DF8"/>
    <w:rsid w:val="002D6B34"/>
    <w:rsid w:val="002D745C"/>
    <w:rsid w:val="002E28BB"/>
    <w:rsid w:val="002E7C57"/>
    <w:rsid w:val="002F053E"/>
    <w:rsid w:val="002F17E4"/>
    <w:rsid w:val="002F2572"/>
    <w:rsid w:val="002F4253"/>
    <w:rsid w:val="002F4969"/>
    <w:rsid w:val="002F4F70"/>
    <w:rsid w:val="002F5678"/>
    <w:rsid w:val="002F5CCC"/>
    <w:rsid w:val="002F63B3"/>
    <w:rsid w:val="00300F7A"/>
    <w:rsid w:val="00301883"/>
    <w:rsid w:val="00302338"/>
    <w:rsid w:val="003028AD"/>
    <w:rsid w:val="003029B2"/>
    <w:rsid w:val="00306A52"/>
    <w:rsid w:val="00307151"/>
    <w:rsid w:val="003071DD"/>
    <w:rsid w:val="0031109E"/>
    <w:rsid w:val="003117E3"/>
    <w:rsid w:val="00311EEB"/>
    <w:rsid w:val="003135FF"/>
    <w:rsid w:val="003205FB"/>
    <w:rsid w:val="003209CD"/>
    <w:rsid w:val="0032156F"/>
    <w:rsid w:val="00324A8A"/>
    <w:rsid w:val="00325AF5"/>
    <w:rsid w:val="00326AF0"/>
    <w:rsid w:val="00327620"/>
    <w:rsid w:val="00327FAB"/>
    <w:rsid w:val="00336CA9"/>
    <w:rsid w:val="00337507"/>
    <w:rsid w:val="0034521C"/>
    <w:rsid w:val="00352993"/>
    <w:rsid w:val="00353DD4"/>
    <w:rsid w:val="00355494"/>
    <w:rsid w:val="003576FB"/>
    <w:rsid w:val="0036093B"/>
    <w:rsid w:val="00360E2E"/>
    <w:rsid w:val="00360F49"/>
    <w:rsid w:val="00365B19"/>
    <w:rsid w:val="003674E1"/>
    <w:rsid w:val="00367CB0"/>
    <w:rsid w:val="003714B6"/>
    <w:rsid w:val="00372AD3"/>
    <w:rsid w:val="00372DDF"/>
    <w:rsid w:val="003734A2"/>
    <w:rsid w:val="00373B1F"/>
    <w:rsid w:val="003754A2"/>
    <w:rsid w:val="003768A5"/>
    <w:rsid w:val="00377576"/>
    <w:rsid w:val="00377C82"/>
    <w:rsid w:val="0038045D"/>
    <w:rsid w:val="0038106B"/>
    <w:rsid w:val="003818A0"/>
    <w:rsid w:val="0038256E"/>
    <w:rsid w:val="0038379E"/>
    <w:rsid w:val="003850B8"/>
    <w:rsid w:val="00385569"/>
    <w:rsid w:val="00386B98"/>
    <w:rsid w:val="00387E3D"/>
    <w:rsid w:val="00390279"/>
    <w:rsid w:val="00391D65"/>
    <w:rsid w:val="00391EAA"/>
    <w:rsid w:val="00394EA4"/>
    <w:rsid w:val="0039549B"/>
    <w:rsid w:val="00395BB1"/>
    <w:rsid w:val="00395C7E"/>
    <w:rsid w:val="0039653B"/>
    <w:rsid w:val="00397383"/>
    <w:rsid w:val="003A0346"/>
    <w:rsid w:val="003A16CB"/>
    <w:rsid w:val="003A255B"/>
    <w:rsid w:val="003A2BBA"/>
    <w:rsid w:val="003A421A"/>
    <w:rsid w:val="003A468C"/>
    <w:rsid w:val="003A53F9"/>
    <w:rsid w:val="003A7E84"/>
    <w:rsid w:val="003B0BDD"/>
    <w:rsid w:val="003B1506"/>
    <w:rsid w:val="003B53CA"/>
    <w:rsid w:val="003C4AFA"/>
    <w:rsid w:val="003C69FF"/>
    <w:rsid w:val="003C7C6E"/>
    <w:rsid w:val="003D1585"/>
    <w:rsid w:val="003D1E74"/>
    <w:rsid w:val="003D37F0"/>
    <w:rsid w:val="003D4140"/>
    <w:rsid w:val="003D6C7F"/>
    <w:rsid w:val="003D7100"/>
    <w:rsid w:val="003D760A"/>
    <w:rsid w:val="003E009F"/>
    <w:rsid w:val="003E24C4"/>
    <w:rsid w:val="003E25EC"/>
    <w:rsid w:val="003E4F3B"/>
    <w:rsid w:val="003E6124"/>
    <w:rsid w:val="0040326F"/>
    <w:rsid w:val="00404EA6"/>
    <w:rsid w:val="00405F57"/>
    <w:rsid w:val="00406C8F"/>
    <w:rsid w:val="00411B73"/>
    <w:rsid w:val="0041523E"/>
    <w:rsid w:val="0041660E"/>
    <w:rsid w:val="00416DEC"/>
    <w:rsid w:val="00416FBB"/>
    <w:rsid w:val="00417060"/>
    <w:rsid w:val="00420647"/>
    <w:rsid w:val="00420D56"/>
    <w:rsid w:val="00423D07"/>
    <w:rsid w:val="00424B89"/>
    <w:rsid w:val="00424DA8"/>
    <w:rsid w:val="004266EB"/>
    <w:rsid w:val="00426CEF"/>
    <w:rsid w:val="00430627"/>
    <w:rsid w:val="00432472"/>
    <w:rsid w:val="00432F32"/>
    <w:rsid w:val="0043482D"/>
    <w:rsid w:val="00434A12"/>
    <w:rsid w:val="004354E0"/>
    <w:rsid w:val="00440904"/>
    <w:rsid w:val="004434B6"/>
    <w:rsid w:val="00443E4A"/>
    <w:rsid w:val="00451411"/>
    <w:rsid w:val="004517C6"/>
    <w:rsid w:val="00453275"/>
    <w:rsid w:val="004546FF"/>
    <w:rsid w:val="00454CDB"/>
    <w:rsid w:val="004557C4"/>
    <w:rsid w:val="0045583D"/>
    <w:rsid w:val="00455937"/>
    <w:rsid w:val="00456BC9"/>
    <w:rsid w:val="00457F53"/>
    <w:rsid w:val="0046217F"/>
    <w:rsid w:val="00463778"/>
    <w:rsid w:val="004669EE"/>
    <w:rsid w:val="00466D20"/>
    <w:rsid w:val="0047533F"/>
    <w:rsid w:val="00476937"/>
    <w:rsid w:val="00477726"/>
    <w:rsid w:val="00481205"/>
    <w:rsid w:val="00483551"/>
    <w:rsid w:val="00483B1D"/>
    <w:rsid w:val="0048490C"/>
    <w:rsid w:val="00484C94"/>
    <w:rsid w:val="00485C60"/>
    <w:rsid w:val="0048633E"/>
    <w:rsid w:val="00490EB1"/>
    <w:rsid w:val="00492ABE"/>
    <w:rsid w:val="00494947"/>
    <w:rsid w:val="004A0E3A"/>
    <w:rsid w:val="004A1CEE"/>
    <w:rsid w:val="004A2163"/>
    <w:rsid w:val="004A58F3"/>
    <w:rsid w:val="004B2331"/>
    <w:rsid w:val="004C2D11"/>
    <w:rsid w:val="004C6812"/>
    <w:rsid w:val="004D6536"/>
    <w:rsid w:val="004D6570"/>
    <w:rsid w:val="004D70C0"/>
    <w:rsid w:val="004D7819"/>
    <w:rsid w:val="004D7EFE"/>
    <w:rsid w:val="004E013B"/>
    <w:rsid w:val="004E059B"/>
    <w:rsid w:val="004E1522"/>
    <w:rsid w:val="004E2195"/>
    <w:rsid w:val="004E3F04"/>
    <w:rsid w:val="004E4E7B"/>
    <w:rsid w:val="004E5130"/>
    <w:rsid w:val="004E7335"/>
    <w:rsid w:val="004F1993"/>
    <w:rsid w:val="004F1F94"/>
    <w:rsid w:val="004F29D2"/>
    <w:rsid w:val="004F4062"/>
    <w:rsid w:val="004F42C9"/>
    <w:rsid w:val="004F4ECD"/>
    <w:rsid w:val="005006AA"/>
    <w:rsid w:val="00501BF4"/>
    <w:rsid w:val="005024C2"/>
    <w:rsid w:val="00502A19"/>
    <w:rsid w:val="00502E43"/>
    <w:rsid w:val="00505D5D"/>
    <w:rsid w:val="005067C8"/>
    <w:rsid w:val="00506C8E"/>
    <w:rsid w:val="00506F22"/>
    <w:rsid w:val="005107B0"/>
    <w:rsid w:val="005140CB"/>
    <w:rsid w:val="00514711"/>
    <w:rsid w:val="00521B48"/>
    <w:rsid w:val="00521F9E"/>
    <w:rsid w:val="00522774"/>
    <w:rsid w:val="00522E91"/>
    <w:rsid w:val="00524FA2"/>
    <w:rsid w:val="005255F7"/>
    <w:rsid w:val="0052582D"/>
    <w:rsid w:val="00530E95"/>
    <w:rsid w:val="00530F30"/>
    <w:rsid w:val="00532088"/>
    <w:rsid w:val="005325FB"/>
    <w:rsid w:val="005328C8"/>
    <w:rsid w:val="005352FD"/>
    <w:rsid w:val="00544225"/>
    <w:rsid w:val="005442B0"/>
    <w:rsid w:val="00545516"/>
    <w:rsid w:val="005467EB"/>
    <w:rsid w:val="00547A60"/>
    <w:rsid w:val="0055254F"/>
    <w:rsid w:val="005539AA"/>
    <w:rsid w:val="00554470"/>
    <w:rsid w:val="005564BB"/>
    <w:rsid w:val="00557726"/>
    <w:rsid w:val="00557983"/>
    <w:rsid w:val="00560508"/>
    <w:rsid w:val="005605AD"/>
    <w:rsid w:val="00560E29"/>
    <w:rsid w:val="00562F51"/>
    <w:rsid w:val="00567405"/>
    <w:rsid w:val="00571E8F"/>
    <w:rsid w:val="00572721"/>
    <w:rsid w:val="0057343F"/>
    <w:rsid w:val="005737DA"/>
    <w:rsid w:val="00573CFF"/>
    <w:rsid w:val="005744B8"/>
    <w:rsid w:val="005748DB"/>
    <w:rsid w:val="00575561"/>
    <w:rsid w:val="005813B2"/>
    <w:rsid w:val="00581FED"/>
    <w:rsid w:val="00582B96"/>
    <w:rsid w:val="00583273"/>
    <w:rsid w:val="005842FD"/>
    <w:rsid w:val="00586D58"/>
    <w:rsid w:val="005910BD"/>
    <w:rsid w:val="005918ED"/>
    <w:rsid w:val="0059194C"/>
    <w:rsid w:val="00594158"/>
    <w:rsid w:val="005941EF"/>
    <w:rsid w:val="005947BC"/>
    <w:rsid w:val="005965EF"/>
    <w:rsid w:val="005A240B"/>
    <w:rsid w:val="005A4064"/>
    <w:rsid w:val="005B0E5C"/>
    <w:rsid w:val="005B24F1"/>
    <w:rsid w:val="005B417E"/>
    <w:rsid w:val="005B5DAC"/>
    <w:rsid w:val="005B63B4"/>
    <w:rsid w:val="005B6957"/>
    <w:rsid w:val="005C18BC"/>
    <w:rsid w:val="005C6398"/>
    <w:rsid w:val="005D1A0D"/>
    <w:rsid w:val="005D317B"/>
    <w:rsid w:val="005D41FD"/>
    <w:rsid w:val="005D4AC2"/>
    <w:rsid w:val="005D4BF8"/>
    <w:rsid w:val="005D5723"/>
    <w:rsid w:val="005D76E1"/>
    <w:rsid w:val="005D7800"/>
    <w:rsid w:val="005D7AC2"/>
    <w:rsid w:val="005E1757"/>
    <w:rsid w:val="005E258D"/>
    <w:rsid w:val="005E3966"/>
    <w:rsid w:val="005E3BBF"/>
    <w:rsid w:val="005E5978"/>
    <w:rsid w:val="005E6FBD"/>
    <w:rsid w:val="005F0144"/>
    <w:rsid w:val="005F1909"/>
    <w:rsid w:val="005F5940"/>
    <w:rsid w:val="00603221"/>
    <w:rsid w:val="00604148"/>
    <w:rsid w:val="006048B1"/>
    <w:rsid w:val="00604AE6"/>
    <w:rsid w:val="00604ED3"/>
    <w:rsid w:val="00605C85"/>
    <w:rsid w:val="00606253"/>
    <w:rsid w:val="006073A4"/>
    <w:rsid w:val="0061012A"/>
    <w:rsid w:val="00610509"/>
    <w:rsid w:val="00610627"/>
    <w:rsid w:val="006112BE"/>
    <w:rsid w:val="006115C4"/>
    <w:rsid w:val="00611C11"/>
    <w:rsid w:val="00613BB5"/>
    <w:rsid w:val="00615ED3"/>
    <w:rsid w:val="0062230A"/>
    <w:rsid w:val="00622686"/>
    <w:rsid w:val="00623F13"/>
    <w:rsid w:val="006256C6"/>
    <w:rsid w:val="00626232"/>
    <w:rsid w:val="006264F5"/>
    <w:rsid w:val="0062799E"/>
    <w:rsid w:val="006300A5"/>
    <w:rsid w:val="006316D6"/>
    <w:rsid w:val="00632F8B"/>
    <w:rsid w:val="00633BC5"/>
    <w:rsid w:val="006341FE"/>
    <w:rsid w:val="00636FEB"/>
    <w:rsid w:val="006441B1"/>
    <w:rsid w:val="0064670A"/>
    <w:rsid w:val="006474F6"/>
    <w:rsid w:val="0064765E"/>
    <w:rsid w:val="0065220B"/>
    <w:rsid w:val="006524BE"/>
    <w:rsid w:val="006529B7"/>
    <w:rsid w:val="006548A9"/>
    <w:rsid w:val="00654C57"/>
    <w:rsid w:val="00655DBB"/>
    <w:rsid w:val="00660067"/>
    <w:rsid w:val="0066164C"/>
    <w:rsid w:val="006619CD"/>
    <w:rsid w:val="00661A8B"/>
    <w:rsid w:val="0066235F"/>
    <w:rsid w:val="006660AB"/>
    <w:rsid w:val="00667850"/>
    <w:rsid w:val="0066789C"/>
    <w:rsid w:val="00671C12"/>
    <w:rsid w:val="006747E7"/>
    <w:rsid w:val="00674BCE"/>
    <w:rsid w:val="00675996"/>
    <w:rsid w:val="006762A9"/>
    <w:rsid w:val="006769A4"/>
    <w:rsid w:val="00684843"/>
    <w:rsid w:val="00687390"/>
    <w:rsid w:val="00687BDF"/>
    <w:rsid w:val="006919CD"/>
    <w:rsid w:val="00693272"/>
    <w:rsid w:val="00693998"/>
    <w:rsid w:val="00694912"/>
    <w:rsid w:val="00694D93"/>
    <w:rsid w:val="00695A29"/>
    <w:rsid w:val="00697A72"/>
    <w:rsid w:val="00697F4A"/>
    <w:rsid w:val="006A2A0C"/>
    <w:rsid w:val="006A2AB4"/>
    <w:rsid w:val="006A2D3A"/>
    <w:rsid w:val="006A32D6"/>
    <w:rsid w:val="006A3A32"/>
    <w:rsid w:val="006B4CFC"/>
    <w:rsid w:val="006B6E39"/>
    <w:rsid w:val="006C0518"/>
    <w:rsid w:val="006C0ECA"/>
    <w:rsid w:val="006C2DB3"/>
    <w:rsid w:val="006C2F18"/>
    <w:rsid w:val="006C3CEA"/>
    <w:rsid w:val="006C692B"/>
    <w:rsid w:val="006C6D7F"/>
    <w:rsid w:val="006C75FA"/>
    <w:rsid w:val="006D0C4A"/>
    <w:rsid w:val="006D17EA"/>
    <w:rsid w:val="006D1DCE"/>
    <w:rsid w:val="006D2559"/>
    <w:rsid w:val="006D45EC"/>
    <w:rsid w:val="006D4B68"/>
    <w:rsid w:val="006D567C"/>
    <w:rsid w:val="006D573B"/>
    <w:rsid w:val="006D64F7"/>
    <w:rsid w:val="006E0C02"/>
    <w:rsid w:val="006E3126"/>
    <w:rsid w:val="006E4889"/>
    <w:rsid w:val="006E7712"/>
    <w:rsid w:val="006F3C74"/>
    <w:rsid w:val="006F4DF8"/>
    <w:rsid w:val="007005F4"/>
    <w:rsid w:val="00700B9A"/>
    <w:rsid w:val="00705760"/>
    <w:rsid w:val="007069F7"/>
    <w:rsid w:val="007115DF"/>
    <w:rsid w:val="007118ED"/>
    <w:rsid w:val="0071672C"/>
    <w:rsid w:val="00717037"/>
    <w:rsid w:val="00717D2B"/>
    <w:rsid w:val="00717D9F"/>
    <w:rsid w:val="0072154E"/>
    <w:rsid w:val="007235ED"/>
    <w:rsid w:val="0072439F"/>
    <w:rsid w:val="00724EA0"/>
    <w:rsid w:val="00725085"/>
    <w:rsid w:val="007259E6"/>
    <w:rsid w:val="00726DE7"/>
    <w:rsid w:val="007279E9"/>
    <w:rsid w:val="00732947"/>
    <w:rsid w:val="00732A9A"/>
    <w:rsid w:val="00735208"/>
    <w:rsid w:val="007366A5"/>
    <w:rsid w:val="00736EB8"/>
    <w:rsid w:val="007374F7"/>
    <w:rsid w:val="007414A0"/>
    <w:rsid w:val="00741919"/>
    <w:rsid w:val="007449F8"/>
    <w:rsid w:val="0074668B"/>
    <w:rsid w:val="00746BFF"/>
    <w:rsid w:val="00752884"/>
    <w:rsid w:val="00753F91"/>
    <w:rsid w:val="00754BA0"/>
    <w:rsid w:val="00754BAA"/>
    <w:rsid w:val="007574CA"/>
    <w:rsid w:val="007616EA"/>
    <w:rsid w:val="00761895"/>
    <w:rsid w:val="007634A4"/>
    <w:rsid w:val="0076368A"/>
    <w:rsid w:val="00765ADF"/>
    <w:rsid w:val="007666B8"/>
    <w:rsid w:val="007705D4"/>
    <w:rsid w:val="00770798"/>
    <w:rsid w:val="0077158A"/>
    <w:rsid w:val="00771F81"/>
    <w:rsid w:val="007721C6"/>
    <w:rsid w:val="007767C4"/>
    <w:rsid w:val="00781154"/>
    <w:rsid w:val="007840A7"/>
    <w:rsid w:val="007874A7"/>
    <w:rsid w:val="007906B8"/>
    <w:rsid w:val="00790BBC"/>
    <w:rsid w:val="00791738"/>
    <w:rsid w:val="00794A23"/>
    <w:rsid w:val="007964D6"/>
    <w:rsid w:val="007A0ADB"/>
    <w:rsid w:val="007A327E"/>
    <w:rsid w:val="007A3751"/>
    <w:rsid w:val="007A4274"/>
    <w:rsid w:val="007A5626"/>
    <w:rsid w:val="007A67FB"/>
    <w:rsid w:val="007A6E5A"/>
    <w:rsid w:val="007A7155"/>
    <w:rsid w:val="007B0A94"/>
    <w:rsid w:val="007B1FFC"/>
    <w:rsid w:val="007B263B"/>
    <w:rsid w:val="007B31BE"/>
    <w:rsid w:val="007B3BCD"/>
    <w:rsid w:val="007B53EC"/>
    <w:rsid w:val="007B57B7"/>
    <w:rsid w:val="007B74B6"/>
    <w:rsid w:val="007B76A6"/>
    <w:rsid w:val="007C1386"/>
    <w:rsid w:val="007C15A6"/>
    <w:rsid w:val="007C33B8"/>
    <w:rsid w:val="007C499E"/>
    <w:rsid w:val="007C5DE6"/>
    <w:rsid w:val="007D1A56"/>
    <w:rsid w:val="007D2AE6"/>
    <w:rsid w:val="007D2DF8"/>
    <w:rsid w:val="007D2FEF"/>
    <w:rsid w:val="007D36DD"/>
    <w:rsid w:val="007D4450"/>
    <w:rsid w:val="007D5562"/>
    <w:rsid w:val="007D6482"/>
    <w:rsid w:val="007E02D6"/>
    <w:rsid w:val="007E4598"/>
    <w:rsid w:val="007E45BD"/>
    <w:rsid w:val="007E4712"/>
    <w:rsid w:val="007F37AB"/>
    <w:rsid w:val="007F3F45"/>
    <w:rsid w:val="007F62CC"/>
    <w:rsid w:val="007F62F5"/>
    <w:rsid w:val="007F72C0"/>
    <w:rsid w:val="007F7394"/>
    <w:rsid w:val="007F7D4E"/>
    <w:rsid w:val="008003B9"/>
    <w:rsid w:val="00801D35"/>
    <w:rsid w:val="00804B19"/>
    <w:rsid w:val="0080711B"/>
    <w:rsid w:val="0080779E"/>
    <w:rsid w:val="008108F9"/>
    <w:rsid w:val="00810C9E"/>
    <w:rsid w:val="00813249"/>
    <w:rsid w:val="00814D38"/>
    <w:rsid w:val="008238D7"/>
    <w:rsid w:val="0082516D"/>
    <w:rsid w:val="00826387"/>
    <w:rsid w:val="00827A77"/>
    <w:rsid w:val="008310BE"/>
    <w:rsid w:val="00831858"/>
    <w:rsid w:val="008335C2"/>
    <w:rsid w:val="00835BBD"/>
    <w:rsid w:val="00835D15"/>
    <w:rsid w:val="00836DFA"/>
    <w:rsid w:val="00840F59"/>
    <w:rsid w:val="008422FA"/>
    <w:rsid w:val="00843404"/>
    <w:rsid w:val="0084489C"/>
    <w:rsid w:val="00844C19"/>
    <w:rsid w:val="00846CE7"/>
    <w:rsid w:val="00850F11"/>
    <w:rsid w:val="0085220A"/>
    <w:rsid w:val="0085350A"/>
    <w:rsid w:val="008536B0"/>
    <w:rsid w:val="00854652"/>
    <w:rsid w:val="00854A16"/>
    <w:rsid w:val="008569E4"/>
    <w:rsid w:val="008575ED"/>
    <w:rsid w:val="0085798A"/>
    <w:rsid w:val="00860325"/>
    <w:rsid w:val="008645A3"/>
    <w:rsid w:val="008715D4"/>
    <w:rsid w:val="00872322"/>
    <w:rsid w:val="008765AA"/>
    <w:rsid w:val="00880957"/>
    <w:rsid w:val="00882E31"/>
    <w:rsid w:val="008839B0"/>
    <w:rsid w:val="00885492"/>
    <w:rsid w:val="00886291"/>
    <w:rsid w:val="00886A13"/>
    <w:rsid w:val="008911E1"/>
    <w:rsid w:val="00891C9E"/>
    <w:rsid w:val="00891EFA"/>
    <w:rsid w:val="00892802"/>
    <w:rsid w:val="008929A3"/>
    <w:rsid w:val="00892F6C"/>
    <w:rsid w:val="00893812"/>
    <w:rsid w:val="008976EC"/>
    <w:rsid w:val="00897CD2"/>
    <w:rsid w:val="008A09CC"/>
    <w:rsid w:val="008A518F"/>
    <w:rsid w:val="008A691C"/>
    <w:rsid w:val="008A7270"/>
    <w:rsid w:val="008B0BDF"/>
    <w:rsid w:val="008B0C8F"/>
    <w:rsid w:val="008B1596"/>
    <w:rsid w:val="008B19C1"/>
    <w:rsid w:val="008B2ADE"/>
    <w:rsid w:val="008C2749"/>
    <w:rsid w:val="008C3A94"/>
    <w:rsid w:val="008C4CE4"/>
    <w:rsid w:val="008C6058"/>
    <w:rsid w:val="008C78BC"/>
    <w:rsid w:val="008C7990"/>
    <w:rsid w:val="008C7D62"/>
    <w:rsid w:val="008D2301"/>
    <w:rsid w:val="008D324A"/>
    <w:rsid w:val="008D3A8F"/>
    <w:rsid w:val="008D4166"/>
    <w:rsid w:val="008E12FA"/>
    <w:rsid w:val="008E2629"/>
    <w:rsid w:val="008E610B"/>
    <w:rsid w:val="008F1B50"/>
    <w:rsid w:val="008F2003"/>
    <w:rsid w:val="008F3876"/>
    <w:rsid w:val="008F5ED8"/>
    <w:rsid w:val="00900893"/>
    <w:rsid w:val="00900B56"/>
    <w:rsid w:val="009017A7"/>
    <w:rsid w:val="00904996"/>
    <w:rsid w:val="00906F8F"/>
    <w:rsid w:val="00907F49"/>
    <w:rsid w:val="00916A89"/>
    <w:rsid w:val="0091701E"/>
    <w:rsid w:val="0092127C"/>
    <w:rsid w:val="00922D97"/>
    <w:rsid w:val="00925B16"/>
    <w:rsid w:val="00930842"/>
    <w:rsid w:val="009318A3"/>
    <w:rsid w:val="00933E52"/>
    <w:rsid w:val="00940AE5"/>
    <w:rsid w:val="0094251C"/>
    <w:rsid w:val="00944020"/>
    <w:rsid w:val="00944C71"/>
    <w:rsid w:val="009469C3"/>
    <w:rsid w:val="00951011"/>
    <w:rsid w:val="0095231C"/>
    <w:rsid w:val="009524CA"/>
    <w:rsid w:val="00952EDD"/>
    <w:rsid w:val="009538AD"/>
    <w:rsid w:val="009615F9"/>
    <w:rsid w:val="00964953"/>
    <w:rsid w:val="00966239"/>
    <w:rsid w:val="0096688B"/>
    <w:rsid w:val="00971473"/>
    <w:rsid w:val="009714AE"/>
    <w:rsid w:val="00973F8F"/>
    <w:rsid w:val="00974704"/>
    <w:rsid w:val="00975D69"/>
    <w:rsid w:val="009826E0"/>
    <w:rsid w:val="0098344C"/>
    <w:rsid w:val="00983A92"/>
    <w:rsid w:val="00983D0D"/>
    <w:rsid w:val="009874CC"/>
    <w:rsid w:val="00987A6C"/>
    <w:rsid w:val="00992B5E"/>
    <w:rsid w:val="0099574F"/>
    <w:rsid w:val="009962F3"/>
    <w:rsid w:val="00996E5A"/>
    <w:rsid w:val="00997E61"/>
    <w:rsid w:val="009A16CC"/>
    <w:rsid w:val="009A1B35"/>
    <w:rsid w:val="009A5E10"/>
    <w:rsid w:val="009B2482"/>
    <w:rsid w:val="009B3245"/>
    <w:rsid w:val="009B336E"/>
    <w:rsid w:val="009B4B3B"/>
    <w:rsid w:val="009B5AD1"/>
    <w:rsid w:val="009B6270"/>
    <w:rsid w:val="009B7888"/>
    <w:rsid w:val="009C1B40"/>
    <w:rsid w:val="009C3DD7"/>
    <w:rsid w:val="009C41C7"/>
    <w:rsid w:val="009C7608"/>
    <w:rsid w:val="009D05C3"/>
    <w:rsid w:val="009D159A"/>
    <w:rsid w:val="009D1DA2"/>
    <w:rsid w:val="009D4F5F"/>
    <w:rsid w:val="009D7069"/>
    <w:rsid w:val="009D7F9B"/>
    <w:rsid w:val="009E2C8C"/>
    <w:rsid w:val="009E3DE4"/>
    <w:rsid w:val="009E49CF"/>
    <w:rsid w:val="009E6CC5"/>
    <w:rsid w:val="009F4999"/>
    <w:rsid w:val="009F667F"/>
    <w:rsid w:val="009F719B"/>
    <w:rsid w:val="009F77B2"/>
    <w:rsid w:val="00A00882"/>
    <w:rsid w:val="00A02E75"/>
    <w:rsid w:val="00A03F1C"/>
    <w:rsid w:val="00A0509D"/>
    <w:rsid w:val="00A06771"/>
    <w:rsid w:val="00A13EFB"/>
    <w:rsid w:val="00A14DD3"/>
    <w:rsid w:val="00A1656A"/>
    <w:rsid w:val="00A16590"/>
    <w:rsid w:val="00A175B7"/>
    <w:rsid w:val="00A20516"/>
    <w:rsid w:val="00A21912"/>
    <w:rsid w:val="00A22CC4"/>
    <w:rsid w:val="00A24CE5"/>
    <w:rsid w:val="00A267D4"/>
    <w:rsid w:val="00A27BFF"/>
    <w:rsid w:val="00A306F9"/>
    <w:rsid w:val="00A31F63"/>
    <w:rsid w:val="00A320EA"/>
    <w:rsid w:val="00A37D91"/>
    <w:rsid w:val="00A41C62"/>
    <w:rsid w:val="00A42BF8"/>
    <w:rsid w:val="00A42D52"/>
    <w:rsid w:val="00A454EE"/>
    <w:rsid w:val="00A45841"/>
    <w:rsid w:val="00A50C48"/>
    <w:rsid w:val="00A5370A"/>
    <w:rsid w:val="00A549DA"/>
    <w:rsid w:val="00A54DF8"/>
    <w:rsid w:val="00A70B70"/>
    <w:rsid w:val="00A722CB"/>
    <w:rsid w:val="00A74310"/>
    <w:rsid w:val="00A80DBB"/>
    <w:rsid w:val="00A81627"/>
    <w:rsid w:val="00A82820"/>
    <w:rsid w:val="00A82C22"/>
    <w:rsid w:val="00A82D3F"/>
    <w:rsid w:val="00A849C3"/>
    <w:rsid w:val="00A9223D"/>
    <w:rsid w:val="00A944EE"/>
    <w:rsid w:val="00A950B5"/>
    <w:rsid w:val="00A95D70"/>
    <w:rsid w:val="00A9700D"/>
    <w:rsid w:val="00A97AFD"/>
    <w:rsid w:val="00A97E36"/>
    <w:rsid w:val="00A97F35"/>
    <w:rsid w:val="00AA572B"/>
    <w:rsid w:val="00AB07D3"/>
    <w:rsid w:val="00AB0998"/>
    <w:rsid w:val="00AB0A87"/>
    <w:rsid w:val="00AB1346"/>
    <w:rsid w:val="00AB41CE"/>
    <w:rsid w:val="00AB7046"/>
    <w:rsid w:val="00AB7530"/>
    <w:rsid w:val="00AB7724"/>
    <w:rsid w:val="00AC0951"/>
    <w:rsid w:val="00AC1E73"/>
    <w:rsid w:val="00AC339C"/>
    <w:rsid w:val="00AC4298"/>
    <w:rsid w:val="00AC4F32"/>
    <w:rsid w:val="00AC6D04"/>
    <w:rsid w:val="00AC6D93"/>
    <w:rsid w:val="00AC7D04"/>
    <w:rsid w:val="00AD073D"/>
    <w:rsid w:val="00AD0CAB"/>
    <w:rsid w:val="00AD1E1E"/>
    <w:rsid w:val="00AD247C"/>
    <w:rsid w:val="00AD2F75"/>
    <w:rsid w:val="00AD3FE1"/>
    <w:rsid w:val="00AD4AA9"/>
    <w:rsid w:val="00AD4B2F"/>
    <w:rsid w:val="00AD6819"/>
    <w:rsid w:val="00AD72EB"/>
    <w:rsid w:val="00AE0FB8"/>
    <w:rsid w:val="00AE241E"/>
    <w:rsid w:val="00AE2E0E"/>
    <w:rsid w:val="00AE4969"/>
    <w:rsid w:val="00AE6E7A"/>
    <w:rsid w:val="00AE71DA"/>
    <w:rsid w:val="00AF490D"/>
    <w:rsid w:val="00AF5AD4"/>
    <w:rsid w:val="00B03258"/>
    <w:rsid w:val="00B038B0"/>
    <w:rsid w:val="00B04DF8"/>
    <w:rsid w:val="00B059F0"/>
    <w:rsid w:val="00B1237C"/>
    <w:rsid w:val="00B14620"/>
    <w:rsid w:val="00B154DC"/>
    <w:rsid w:val="00B24688"/>
    <w:rsid w:val="00B2743B"/>
    <w:rsid w:val="00B27B23"/>
    <w:rsid w:val="00B27FA5"/>
    <w:rsid w:val="00B3163F"/>
    <w:rsid w:val="00B32980"/>
    <w:rsid w:val="00B33ED2"/>
    <w:rsid w:val="00B3463A"/>
    <w:rsid w:val="00B3678C"/>
    <w:rsid w:val="00B418FD"/>
    <w:rsid w:val="00B42951"/>
    <w:rsid w:val="00B44B8F"/>
    <w:rsid w:val="00B460A6"/>
    <w:rsid w:val="00B50064"/>
    <w:rsid w:val="00B52624"/>
    <w:rsid w:val="00B52F80"/>
    <w:rsid w:val="00B5403D"/>
    <w:rsid w:val="00B54CEA"/>
    <w:rsid w:val="00B55E67"/>
    <w:rsid w:val="00B6242A"/>
    <w:rsid w:val="00B63EA7"/>
    <w:rsid w:val="00B6437D"/>
    <w:rsid w:val="00B644C0"/>
    <w:rsid w:val="00B64533"/>
    <w:rsid w:val="00B648AF"/>
    <w:rsid w:val="00B67A3D"/>
    <w:rsid w:val="00B701A8"/>
    <w:rsid w:val="00B70E20"/>
    <w:rsid w:val="00B7182E"/>
    <w:rsid w:val="00B738E3"/>
    <w:rsid w:val="00B75103"/>
    <w:rsid w:val="00B751E4"/>
    <w:rsid w:val="00B75423"/>
    <w:rsid w:val="00B765D1"/>
    <w:rsid w:val="00B7664F"/>
    <w:rsid w:val="00B7678C"/>
    <w:rsid w:val="00B77849"/>
    <w:rsid w:val="00B80191"/>
    <w:rsid w:val="00B82366"/>
    <w:rsid w:val="00B82B30"/>
    <w:rsid w:val="00B833C0"/>
    <w:rsid w:val="00B8366C"/>
    <w:rsid w:val="00B846BC"/>
    <w:rsid w:val="00B86260"/>
    <w:rsid w:val="00B873AC"/>
    <w:rsid w:val="00BA0BA0"/>
    <w:rsid w:val="00BA371E"/>
    <w:rsid w:val="00BA63FC"/>
    <w:rsid w:val="00BA75EF"/>
    <w:rsid w:val="00BB74AD"/>
    <w:rsid w:val="00BB7AFF"/>
    <w:rsid w:val="00BB7BCD"/>
    <w:rsid w:val="00BC146F"/>
    <w:rsid w:val="00BC3B83"/>
    <w:rsid w:val="00BC5394"/>
    <w:rsid w:val="00BC711F"/>
    <w:rsid w:val="00BD1626"/>
    <w:rsid w:val="00BD16CD"/>
    <w:rsid w:val="00BD20FD"/>
    <w:rsid w:val="00BD2323"/>
    <w:rsid w:val="00BD39BB"/>
    <w:rsid w:val="00BD57BA"/>
    <w:rsid w:val="00BD5A6A"/>
    <w:rsid w:val="00BE0839"/>
    <w:rsid w:val="00BE374C"/>
    <w:rsid w:val="00BE404B"/>
    <w:rsid w:val="00BE5069"/>
    <w:rsid w:val="00BE567F"/>
    <w:rsid w:val="00BE6658"/>
    <w:rsid w:val="00BF058B"/>
    <w:rsid w:val="00BF7A69"/>
    <w:rsid w:val="00C00538"/>
    <w:rsid w:val="00C00845"/>
    <w:rsid w:val="00C01141"/>
    <w:rsid w:val="00C012B6"/>
    <w:rsid w:val="00C01CD3"/>
    <w:rsid w:val="00C01E56"/>
    <w:rsid w:val="00C027A1"/>
    <w:rsid w:val="00C02C1C"/>
    <w:rsid w:val="00C04385"/>
    <w:rsid w:val="00C05F35"/>
    <w:rsid w:val="00C10537"/>
    <w:rsid w:val="00C14B17"/>
    <w:rsid w:val="00C15B43"/>
    <w:rsid w:val="00C1788A"/>
    <w:rsid w:val="00C20B25"/>
    <w:rsid w:val="00C20EC0"/>
    <w:rsid w:val="00C21779"/>
    <w:rsid w:val="00C27BCB"/>
    <w:rsid w:val="00C31308"/>
    <w:rsid w:val="00C31E21"/>
    <w:rsid w:val="00C3248D"/>
    <w:rsid w:val="00C34333"/>
    <w:rsid w:val="00C352A9"/>
    <w:rsid w:val="00C40ACC"/>
    <w:rsid w:val="00C41EA4"/>
    <w:rsid w:val="00C47C0C"/>
    <w:rsid w:val="00C525DF"/>
    <w:rsid w:val="00C5313B"/>
    <w:rsid w:val="00C5553A"/>
    <w:rsid w:val="00C62A19"/>
    <w:rsid w:val="00C63E3F"/>
    <w:rsid w:val="00C64385"/>
    <w:rsid w:val="00C643B8"/>
    <w:rsid w:val="00C64F09"/>
    <w:rsid w:val="00C66745"/>
    <w:rsid w:val="00C719B1"/>
    <w:rsid w:val="00C73E96"/>
    <w:rsid w:val="00C76FAA"/>
    <w:rsid w:val="00C812A2"/>
    <w:rsid w:val="00C814D5"/>
    <w:rsid w:val="00C82AE4"/>
    <w:rsid w:val="00C84D3C"/>
    <w:rsid w:val="00C86766"/>
    <w:rsid w:val="00C867D9"/>
    <w:rsid w:val="00C911D8"/>
    <w:rsid w:val="00C91847"/>
    <w:rsid w:val="00C944AD"/>
    <w:rsid w:val="00C958CB"/>
    <w:rsid w:val="00C97071"/>
    <w:rsid w:val="00CA15EB"/>
    <w:rsid w:val="00CA1F16"/>
    <w:rsid w:val="00CA2E14"/>
    <w:rsid w:val="00CA5268"/>
    <w:rsid w:val="00CA646D"/>
    <w:rsid w:val="00CA64DF"/>
    <w:rsid w:val="00CA6BAD"/>
    <w:rsid w:val="00CA6C2B"/>
    <w:rsid w:val="00CA7930"/>
    <w:rsid w:val="00CA7BD1"/>
    <w:rsid w:val="00CB1814"/>
    <w:rsid w:val="00CB1C67"/>
    <w:rsid w:val="00CB6181"/>
    <w:rsid w:val="00CB68D2"/>
    <w:rsid w:val="00CB6E1A"/>
    <w:rsid w:val="00CB6EE0"/>
    <w:rsid w:val="00CC0C1C"/>
    <w:rsid w:val="00CC2FA0"/>
    <w:rsid w:val="00CC3478"/>
    <w:rsid w:val="00CC66C5"/>
    <w:rsid w:val="00CC6D08"/>
    <w:rsid w:val="00CC733B"/>
    <w:rsid w:val="00CD1262"/>
    <w:rsid w:val="00CD12CA"/>
    <w:rsid w:val="00CD1604"/>
    <w:rsid w:val="00CD42B6"/>
    <w:rsid w:val="00CD668B"/>
    <w:rsid w:val="00CD720B"/>
    <w:rsid w:val="00CD7680"/>
    <w:rsid w:val="00CE2677"/>
    <w:rsid w:val="00CF05F6"/>
    <w:rsid w:val="00CF1AF6"/>
    <w:rsid w:val="00CF3603"/>
    <w:rsid w:val="00CF43F6"/>
    <w:rsid w:val="00CF49D9"/>
    <w:rsid w:val="00CF7EA0"/>
    <w:rsid w:val="00D0222A"/>
    <w:rsid w:val="00D037A4"/>
    <w:rsid w:val="00D06BF6"/>
    <w:rsid w:val="00D07E41"/>
    <w:rsid w:val="00D11BB5"/>
    <w:rsid w:val="00D11CC1"/>
    <w:rsid w:val="00D125E8"/>
    <w:rsid w:val="00D13C74"/>
    <w:rsid w:val="00D13CFB"/>
    <w:rsid w:val="00D17A56"/>
    <w:rsid w:val="00D20526"/>
    <w:rsid w:val="00D2101B"/>
    <w:rsid w:val="00D218C8"/>
    <w:rsid w:val="00D23D3E"/>
    <w:rsid w:val="00D27FF4"/>
    <w:rsid w:val="00D3081D"/>
    <w:rsid w:val="00D31488"/>
    <w:rsid w:val="00D31A75"/>
    <w:rsid w:val="00D31B47"/>
    <w:rsid w:val="00D33BF7"/>
    <w:rsid w:val="00D42B31"/>
    <w:rsid w:val="00D44933"/>
    <w:rsid w:val="00D44E32"/>
    <w:rsid w:val="00D4535E"/>
    <w:rsid w:val="00D47319"/>
    <w:rsid w:val="00D50F2F"/>
    <w:rsid w:val="00D52631"/>
    <w:rsid w:val="00D52760"/>
    <w:rsid w:val="00D53078"/>
    <w:rsid w:val="00D54C53"/>
    <w:rsid w:val="00D55D7C"/>
    <w:rsid w:val="00D56556"/>
    <w:rsid w:val="00D56ADA"/>
    <w:rsid w:val="00D5778A"/>
    <w:rsid w:val="00D64B0D"/>
    <w:rsid w:val="00D652FA"/>
    <w:rsid w:val="00D6551F"/>
    <w:rsid w:val="00D673AE"/>
    <w:rsid w:val="00D67B36"/>
    <w:rsid w:val="00D7032A"/>
    <w:rsid w:val="00D71D31"/>
    <w:rsid w:val="00D7299C"/>
    <w:rsid w:val="00D72AD5"/>
    <w:rsid w:val="00D73F7F"/>
    <w:rsid w:val="00D775AA"/>
    <w:rsid w:val="00D83544"/>
    <w:rsid w:val="00D83AC1"/>
    <w:rsid w:val="00D83CEC"/>
    <w:rsid w:val="00D84817"/>
    <w:rsid w:val="00D8660C"/>
    <w:rsid w:val="00D915EA"/>
    <w:rsid w:val="00D91D54"/>
    <w:rsid w:val="00D95113"/>
    <w:rsid w:val="00D96824"/>
    <w:rsid w:val="00D97CEB"/>
    <w:rsid w:val="00D97CF6"/>
    <w:rsid w:val="00D97D98"/>
    <w:rsid w:val="00DA19FE"/>
    <w:rsid w:val="00DA26E8"/>
    <w:rsid w:val="00DA3AEE"/>
    <w:rsid w:val="00DA3D82"/>
    <w:rsid w:val="00DA4608"/>
    <w:rsid w:val="00DA518F"/>
    <w:rsid w:val="00DB1EF0"/>
    <w:rsid w:val="00DB4128"/>
    <w:rsid w:val="00DB4B34"/>
    <w:rsid w:val="00DB4D22"/>
    <w:rsid w:val="00DB4E39"/>
    <w:rsid w:val="00DB620A"/>
    <w:rsid w:val="00DB6414"/>
    <w:rsid w:val="00DC1967"/>
    <w:rsid w:val="00DD01D2"/>
    <w:rsid w:val="00DD05F7"/>
    <w:rsid w:val="00DD2415"/>
    <w:rsid w:val="00DD2598"/>
    <w:rsid w:val="00DD471F"/>
    <w:rsid w:val="00DD492B"/>
    <w:rsid w:val="00DD6BA6"/>
    <w:rsid w:val="00DD78EE"/>
    <w:rsid w:val="00DE019F"/>
    <w:rsid w:val="00DE1F9C"/>
    <w:rsid w:val="00DE282D"/>
    <w:rsid w:val="00DE42CB"/>
    <w:rsid w:val="00DE49E5"/>
    <w:rsid w:val="00DE4C5B"/>
    <w:rsid w:val="00DE574A"/>
    <w:rsid w:val="00DF3A1D"/>
    <w:rsid w:val="00DF3DE4"/>
    <w:rsid w:val="00DF6927"/>
    <w:rsid w:val="00DF7CEA"/>
    <w:rsid w:val="00E01EEF"/>
    <w:rsid w:val="00E026F5"/>
    <w:rsid w:val="00E03184"/>
    <w:rsid w:val="00E03233"/>
    <w:rsid w:val="00E0355B"/>
    <w:rsid w:val="00E03B60"/>
    <w:rsid w:val="00E075FF"/>
    <w:rsid w:val="00E113CF"/>
    <w:rsid w:val="00E1201F"/>
    <w:rsid w:val="00E1353D"/>
    <w:rsid w:val="00E13610"/>
    <w:rsid w:val="00E15ADD"/>
    <w:rsid w:val="00E15B90"/>
    <w:rsid w:val="00E15F0B"/>
    <w:rsid w:val="00E1692D"/>
    <w:rsid w:val="00E172CE"/>
    <w:rsid w:val="00E218C7"/>
    <w:rsid w:val="00E23237"/>
    <w:rsid w:val="00E238C8"/>
    <w:rsid w:val="00E23CCB"/>
    <w:rsid w:val="00E24016"/>
    <w:rsid w:val="00E26D2D"/>
    <w:rsid w:val="00E278E0"/>
    <w:rsid w:val="00E32AEB"/>
    <w:rsid w:val="00E3356F"/>
    <w:rsid w:val="00E36323"/>
    <w:rsid w:val="00E36798"/>
    <w:rsid w:val="00E408A0"/>
    <w:rsid w:val="00E40BCB"/>
    <w:rsid w:val="00E413D8"/>
    <w:rsid w:val="00E4531B"/>
    <w:rsid w:val="00E45D82"/>
    <w:rsid w:val="00E52C22"/>
    <w:rsid w:val="00E5313B"/>
    <w:rsid w:val="00E56306"/>
    <w:rsid w:val="00E63A04"/>
    <w:rsid w:val="00E640B6"/>
    <w:rsid w:val="00E6430C"/>
    <w:rsid w:val="00E64797"/>
    <w:rsid w:val="00E7176A"/>
    <w:rsid w:val="00E71A7F"/>
    <w:rsid w:val="00E72F81"/>
    <w:rsid w:val="00E74223"/>
    <w:rsid w:val="00E76BD0"/>
    <w:rsid w:val="00E81C2D"/>
    <w:rsid w:val="00E81DCF"/>
    <w:rsid w:val="00E82BBC"/>
    <w:rsid w:val="00E851B1"/>
    <w:rsid w:val="00E86C66"/>
    <w:rsid w:val="00E91EDD"/>
    <w:rsid w:val="00E9499A"/>
    <w:rsid w:val="00E94A7C"/>
    <w:rsid w:val="00E94E5E"/>
    <w:rsid w:val="00E95B81"/>
    <w:rsid w:val="00EA08DB"/>
    <w:rsid w:val="00EA08FF"/>
    <w:rsid w:val="00EA2651"/>
    <w:rsid w:val="00EA34E6"/>
    <w:rsid w:val="00EA7A51"/>
    <w:rsid w:val="00EB013F"/>
    <w:rsid w:val="00EB0159"/>
    <w:rsid w:val="00EB08A8"/>
    <w:rsid w:val="00EB21BE"/>
    <w:rsid w:val="00EB74BD"/>
    <w:rsid w:val="00EB7D93"/>
    <w:rsid w:val="00EC1975"/>
    <w:rsid w:val="00EC280A"/>
    <w:rsid w:val="00EC36F1"/>
    <w:rsid w:val="00EC54E5"/>
    <w:rsid w:val="00EC5EA3"/>
    <w:rsid w:val="00EC6834"/>
    <w:rsid w:val="00EC7DF9"/>
    <w:rsid w:val="00ED1494"/>
    <w:rsid w:val="00ED150F"/>
    <w:rsid w:val="00ED1BBC"/>
    <w:rsid w:val="00ED302C"/>
    <w:rsid w:val="00ED7086"/>
    <w:rsid w:val="00EE0542"/>
    <w:rsid w:val="00EE2BDF"/>
    <w:rsid w:val="00EE3FE2"/>
    <w:rsid w:val="00EE5DBA"/>
    <w:rsid w:val="00EE677E"/>
    <w:rsid w:val="00EE7FA2"/>
    <w:rsid w:val="00EF37B1"/>
    <w:rsid w:val="00EF5994"/>
    <w:rsid w:val="00F00193"/>
    <w:rsid w:val="00F00DBB"/>
    <w:rsid w:val="00F0413A"/>
    <w:rsid w:val="00F04819"/>
    <w:rsid w:val="00F04CA7"/>
    <w:rsid w:val="00F057B5"/>
    <w:rsid w:val="00F07E3B"/>
    <w:rsid w:val="00F112A0"/>
    <w:rsid w:val="00F124E1"/>
    <w:rsid w:val="00F12F6F"/>
    <w:rsid w:val="00F14385"/>
    <w:rsid w:val="00F14AE1"/>
    <w:rsid w:val="00F14D70"/>
    <w:rsid w:val="00F2025E"/>
    <w:rsid w:val="00F20EA9"/>
    <w:rsid w:val="00F210D2"/>
    <w:rsid w:val="00F225F8"/>
    <w:rsid w:val="00F254EF"/>
    <w:rsid w:val="00F31B6C"/>
    <w:rsid w:val="00F33ADB"/>
    <w:rsid w:val="00F33CD7"/>
    <w:rsid w:val="00F35903"/>
    <w:rsid w:val="00F35A89"/>
    <w:rsid w:val="00F376FA"/>
    <w:rsid w:val="00F42211"/>
    <w:rsid w:val="00F43312"/>
    <w:rsid w:val="00F44A0E"/>
    <w:rsid w:val="00F452AB"/>
    <w:rsid w:val="00F5046D"/>
    <w:rsid w:val="00F5050C"/>
    <w:rsid w:val="00F50FC2"/>
    <w:rsid w:val="00F53913"/>
    <w:rsid w:val="00F56B39"/>
    <w:rsid w:val="00F57299"/>
    <w:rsid w:val="00F64665"/>
    <w:rsid w:val="00F64B53"/>
    <w:rsid w:val="00F66F2E"/>
    <w:rsid w:val="00F67932"/>
    <w:rsid w:val="00F73985"/>
    <w:rsid w:val="00F73E76"/>
    <w:rsid w:val="00F75FA5"/>
    <w:rsid w:val="00F8218F"/>
    <w:rsid w:val="00F83E33"/>
    <w:rsid w:val="00F846E9"/>
    <w:rsid w:val="00F85DB7"/>
    <w:rsid w:val="00F92753"/>
    <w:rsid w:val="00F9393D"/>
    <w:rsid w:val="00F93EB8"/>
    <w:rsid w:val="00F9514A"/>
    <w:rsid w:val="00F95B64"/>
    <w:rsid w:val="00FA01B9"/>
    <w:rsid w:val="00FA364F"/>
    <w:rsid w:val="00FB5E4F"/>
    <w:rsid w:val="00FC5647"/>
    <w:rsid w:val="00FC5F4E"/>
    <w:rsid w:val="00FD0FBB"/>
    <w:rsid w:val="00FD13CE"/>
    <w:rsid w:val="00FD178C"/>
    <w:rsid w:val="00FD23C1"/>
    <w:rsid w:val="00FD2C38"/>
    <w:rsid w:val="00FD2DEA"/>
    <w:rsid w:val="00FD39E5"/>
    <w:rsid w:val="00FD40E3"/>
    <w:rsid w:val="00FD73BC"/>
    <w:rsid w:val="00FD7FC1"/>
    <w:rsid w:val="00FE09AA"/>
    <w:rsid w:val="00FE0F5C"/>
    <w:rsid w:val="00FE315C"/>
    <w:rsid w:val="00FE3410"/>
    <w:rsid w:val="00FE523D"/>
    <w:rsid w:val="00FE7679"/>
    <w:rsid w:val="00FF034D"/>
    <w:rsid w:val="00FF13B2"/>
    <w:rsid w:val="00FF1D85"/>
    <w:rsid w:val="00FF3FCC"/>
    <w:rsid w:val="00FF5216"/>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C7"/>
    <w:pPr>
      <w:widowControl w:val="0"/>
    </w:pPr>
    <w:rPr>
      <w:snapToGrid w:val="0"/>
      <w:kern w:val="28"/>
      <w:sz w:val="22"/>
    </w:rPr>
  </w:style>
  <w:style w:type="paragraph" w:styleId="Heading1">
    <w:name w:val="heading 1"/>
    <w:basedOn w:val="Normal"/>
    <w:next w:val="ParaNum"/>
    <w:qFormat/>
    <w:rsid w:val="00E218C7"/>
    <w:pPr>
      <w:keepNext/>
      <w:numPr>
        <w:numId w:val="30"/>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218C7"/>
    <w:pPr>
      <w:keepNext/>
      <w:numPr>
        <w:ilvl w:val="1"/>
        <w:numId w:val="30"/>
      </w:numPr>
      <w:spacing w:after="120"/>
      <w:outlineLvl w:val="1"/>
    </w:pPr>
    <w:rPr>
      <w:b/>
    </w:rPr>
  </w:style>
  <w:style w:type="paragraph" w:styleId="Heading3">
    <w:name w:val="heading 3"/>
    <w:basedOn w:val="Normal"/>
    <w:next w:val="ParaNum"/>
    <w:qFormat/>
    <w:rsid w:val="00E218C7"/>
    <w:pPr>
      <w:keepNext/>
      <w:numPr>
        <w:ilvl w:val="2"/>
        <w:numId w:val="30"/>
      </w:numPr>
      <w:tabs>
        <w:tab w:val="left" w:pos="2160"/>
      </w:tabs>
      <w:spacing w:after="120"/>
      <w:outlineLvl w:val="2"/>
    </w:pPr>
    <w:rPr>
      <w:b/>
    </w:rPr>
  </w:style>
  <w:style w:type="paragraph" w:styleId="Heading4">
    <w:name w:val="heading 4"/>
    <w:basedOn w:val="Normal"/>
    <w:next w:val="ParaNum"/>
    <w:qFormat/>
    <w:rsid w:val="00E218C7"/>
    <w:pPr>
      <w:keepNext/>
      <w:numPr>
        <w:ilvl w:val="3"/>
        <w:numId w:val="30"/>
      </w:numPr>
      <w:tabs>
        <w:tab w:val="left" w:pos="2880"/>
      </w:tabs>
      <w:spacing w:after="120"/>
      <w:outlineLvl w:val="3"/>
    </w:pPr>
    <w:rPr>
      <w:b/>
    </w:rPr>
  </w:style>
  <w:style w:type="paragraph" w:styleId="Heading5">
    <w:name w:val="heading 5"/>
    <w:basedOn w:val="Normal"/>
    <w:next w:val="ParaNum"/>
    <w:qFormat/>
    <w:rsid w:val="00E218C7"/>
    <w:pPr>
      <w:keepNext/>
      <w:numPr>
        <w:ilvl w:val="4"/>
        <w:numId w:val="30"/>
      </w:numPr>
      <w:tabs>
        <w:tab w:val="left" w:pos="3600"/>
      </w:tabs>
      <w:suppressAutoHyphens/>
      <w:spacing w:after="120"/>
      <w:outlineLvl w:val="4"/>
    </w:pPr>
    <w:rPr>
      <w:b/>
    </w:rPr>
  </w:style>
  <w:style w:type="paragraph" w:styleId="Heading6">
    <w:name w:val="heading 6"/>
    <w:basedOn w:val="Normal"/>
    <w:next w:val="ParaNum"/>
    <w:qFormat/>
    <w:rsid w:val="00E218C7"/>
    <w:pPr>
      <w:numPr>
        <w:ilvl w:val="5"/>
        <w:numId w:val="30"/>
      </w:numPr>
      <w:tabs>
        <w:tab w:val="left" w:pos="4320"/>
      </w:tabs>
      <w:spacing w:after="120"/>
      <w:outlineLvl w:val="5"/>
    </w:pPr>
    <w:rPr>
      <w:b/>
    </w:rPr>
  </w:style>
  <w:style w:type="paragraph" w:styleId="Heading7">
    <w:name w:val="heading 7"/>
    <w:basedOn w:val="Normal"/>
    <w:next w:val="ParaNum"/>
    <w:qFormat/>
    <w:rsid w:val="00E218C7"/>
    <w:pPr>
      <w:numPr>
        <w:ilvl w:val="6"/>
        <w:numId w:val="30"/>
      </w:numPr>
      <w:tabs>
        <w:tab w:val="left" w:pos="5040"/>
      </w:tabs>
      <w:spacing w:after="120"/>
      <w:outlineLvl w:val="6"/>
    </w:pPr>
    <w:rPr>
      <w:b/>
    </w:rPr>
  </w:style>
  <w:style w:type="paragraph" w:styleId="Heading8">
    <w:name w:val="heading 8"/>
    <w:basedOn w:val="Normal"/>
    <w:next w:val="ParaNum"/>
    <w:qFormat/>
    <w:rsid w:val="00E218C7"/>
    <w:pPr>
      <w:numPr>
        <w:ilvl w:val="7"/>
        <w:numId w:val="30"/>
      </w:numPr>
      <w:tabs>
        <w:tab w:val="left" w:pos="5760"/>
      </w:tabs>
      <w:spacing w:after="120"/>
      <w:outlineLvl w:val="7"/>
    </w:pPr>
    <w:rPr>
      <w:b/>
    </w:rPr>
  </w:style>
  <w:style w:type="paragraph" w:styleId="Heading9">
    <w:name w:val="heading 9"/>
    <w:basedOn w:val="Normal"/>
    <w:next w:val="ParaNum"/>
    <w:qFormat/>
    <w:rsid w:val="00E218C7"/>
    <w:pPr>
      <w:numPr>
        <w:ilvl w:val="8"/>
        <w:numId w:val="30"/>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218C7"/>
    <w:pPr>
      <w:numPr>
        <w:numId w:val="31"/>
      </w:numPr>
      <w:tabs>
        <w:tab w:val="clear" w:pos="1080"/>
        <w:tab w:val="num" w:pos="1440"/>
      </w:tabs>
      <w:spacing w:after="120"/>
    </w:pPr>
  </w:style>
  <w:style w:type="paragraph" w:styleId="EndnoteText">
    <w:name w:val="endnote text"/>
    <w:basedOn w:val="Normal"/>
    <w:link w:val="EndnoteTextChar"/>
    <w:semiHidden/>
    <w:rsid w:val="00E218C7"/>
    <w:rPr>
      <w:sz w:val="20"/>
    </w:rPr>
  </w:style>
  <w:style w:type="character" w:styleId="EndnoteReference">
    <w:name w:val="endnote reference"/>
    <w:semiHidden/>
    <w:rsid w:val="00E218C7"/>
    <w:rPr>
      <w:vertAlign w:val="superscript"/>
    </w:rPr>
  </w:style>
  <w:style w:type="paragraph" w:styleId="FootnoteText">
    <w:name w:val="footnote text"/>
    <w:link w:val="FootnoteTextChar"/>
    <w:rsid w:val="00E218C7"/>
    <w:pPr>
      <w:spacing w:after="120"/>
    </w:pPr>
  </w:style>
  <w:style w:type="character" w:styleId="FootnoteReference">
    <w:name w:val="footnote reference"/>
    <w:rsid w:val="00E218C7"/>
    <w:rPr>
      <w:rFonts w:ascii="Times New Roman" w:hAnsi="Times New Roman"/>
      <w:dstrike w:val="0"/>
      <w:color w:val="auto"/>
      <w:sz w:val="20"/>
      <w:vertAlign w:val="superscript"/>
    </w:rPr>
  </w:style>
  <w:style w:type="paragraph" w:styleId="TOC1">
    <w:name w:val="toc 1"/>
    <w:basedOn w:val="Normal"/>
    <w:next w:val="Normal"/>
    <w:semiHidden/>
    <w:rsid w:val="00E218C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218C7"/>
    <w:pPr>
      <w:tabs>
        <w:tab w:val="left" w:pos="720"/>
        <w:tab w:val="right" w:leader="dot" w:pos="9360"/>
      </w:tabs>
      <w:suppressAutoHyphens/>
      <w:ind w:left="720" w:right="720" w:hanging="360"/>
    </w:pPr>
    <w:rPr>
      <w:noProof/>
    </w:rPr>
  </w:style>
  <w:style w:type="paragraph" w:styleId="TOC3">
    <w:name w:val="toc 3"/>
    <w:basedOn w:val="Normal"/>
    <w:next w:val="Normal"/>
    <w:semiHidden/>
    <w:rsid w:val="00E218C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18C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18C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18C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18C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18C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18C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218C7"/>
    <w:pPr>
      <w:tabs>
        <w:tab w:val="right" w:pos="9360"/>
      </w:tabs>
      <w:suppressAutoHyphens/>
    </w:pPr>
  </w:style>
  <w:style w:type="character" w:customStyle="1" w:styleId="EquationCaption">
    <w:name w:val="_Equation Caption"/>
    <w:rsid w:val="00E218C7"/>
  </w:style>
  <w:style w:type="paragraph" w:styleId="Header">
    <w:name w:val="header"/>
    <w:basedOn w:val="Normal"/>
    <w:autoRedefine/>
    <w:rsid w:val="00E218C7"/>
    <w:pPr>
      <w:tabs>
        <w:tab w:val="center" w:pos="4680"/>
        <w:tab w:val="right" w:pos="9360"/>
      </w:tabs>
    </w:pPr>
    <w:rPr>
      <w:b/>
    </w:rPr>
  </w:style>
  <w:style w:type="paragraph" w:styleId="Footer">
    <w:name w:val="footer"/>
    <w:basedOn w:val="Normal"/>
    <w:rsid w:val="00E218C7"/>
    <w:pPr>
      <w:tabs>
        <w:tab w:val="center" w:pos="4320"/>
        <w:tab w:val="right" w:pos="8640"/>
      </w:tabs>
    </w:pPr>
  </w:style>
  <w:style w:type="character" w:styleId="PageNumber">
    <w:name w:val="page number"/>
    <w:rsid w:val="00E218C7"/>
  </w:style>
  <w:style w:type="paragraph" w:styleId="BlockText">
    <w:name w:val="Block Text"/>
    <w:basedOn w:val="Normal"/>
    <w:rsid w:val="00E218C7"/>
    <w:pPr>
      <w:spacing w:after="240"/>
      <w:ind w:left="1440" w:right="1440"/>
    </w:pPr>
  </w:style>
  <w:style w:type="paragraph" w:customStyle="1" w:styleId="Paratitle">
    <w:name w:val="Para title"/>
    <w:basedOn w:val="Normal"/>
    <w:rsid w:val="00E218C7"/>
    <w:pPr>
      <w:tabs>
        <w:tab w:val="center" w:pos="9270"/>
      </w:tabs>
      <w:spacing w:after="240"/>
    </w:pPr>
    <w:rPr>
      <w:spacing w:val="-2"/>
    </w:rPr>
  </w:style>
  <w:style w:type="paragraph" w:customStyle="1" w:styleId="Bullet">
    <w:name w:val="Bullet"/>
    <w:basedOn w:val="Normal"/>
    <w:rsid w:val="00E218C7"/>
    <w:pPr>
      <w:tabs>
        <w:tab w:val="left" w:pos="2160"/>
      </w:tabs>
      <w:spacing w:after="220"/>
      <w:ind w:left="2160" w:hanging="720"/>
    </w:pPr>
  </w:style>
  <w:style w:type="paragraph" w:customStyle="1" w:styleId="TableFormat">
    <w:name w:val="TableFormat"/>
    <w:basedOn w:val="Bullet"/>
    <w:rsid w:val="00E218C7"/>
    <w:pPr>
      <w:tabs>
        <w:tab w:val="clear" w:pos="2160"/>
        <w:tab w:val="left" w:pos="5040"/>
      </w:tabs>
      <w:ind w:left="5040" w:hanging="3600"/>
    </w:pPr>
  </w:style>
  <w:style w:type="paragraph" w:customStyle="1" w:styleId="TOCTitle">
    <w:name w:val="TOC Title"/>
    <w:basedOn w:val="Normal"/>
    <w:rsid w:val="00E218C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18C7"/>
    <w:pPr>
      <w:jc w:val="center"/>
    </w:pPr>
    <w:rPr>
      <w:rFonts w:ascii="Times New Roman Bold" w:hAnsi="Times New Roman Bold"/>
      <w:b/>
      <w:bCs/>
      <w:caps/>
      <w:szCs w:val="22"/>
    </w:rPr>
  </w:style>
  <w:style w:type="character" w:styleId="Hyperlink">
    <w:name w:val="Hyperlink"/>
    <w:rsid w:val="00E218C7"/>
    <w:rPr>
      <w:color w:val="0000FF"/>
      <w:u w:val="single"/>
    </w:rPr>
  </w:style>
  <w:style w:type="character" w:customStyle="1" w:styleId="FootnoteTextChar">
    <w:name w:val="Footnote Text Char"/>
    <w:link w:val="FootnoteText"/>
  </w:style>
  <w:style w:type="paragraph" w:customStyle="1" w:styleId="StyleParaNumLeft">
    <w:name w:val="Style ParaNum + Left"/>
    <w:basedOn w:val="ParaNum"/>
    <w:pPr>
      <w:numPr>
        <w:numId w:val="5"/>
      </w:numPr>
      <w:tabs>
        <w:tab w:val="left" w:pos="720"/>
        <w:tab w:val="left" w:pos="1440"/>
        <w:tab w:val="left" w:pos="1800"/>
      </w:tabs>
      <w:spacing w:after="220"/>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character" w:customStyle="1" w:styleId="apple-converted-space">
    <w:name w:val="apple-converted-space"/>
  </w:style>
  <w:style w:type="character" w:customStyle="1" w:styleId="full-answer-content">
    <w:name w:val="full-answer-content"/>
    <w:rsid w:val="006D0C4A"/>
  </w:style>
  <w:style w:type="character" w:customStyle="1" w:styleId="EndnoteTextChar">
    <w:name w:val="Endnote Text Char"/>
    <w:link w:val="EndnoteText"/>
    <w:semiHidden/>
    <w:rsid w:val="007A67FB"/>
    <w:rPr>
      <w:snapToGrid w:val="0"/>
      <w:kern w:val="28"/>
    </w:rPr>
  </w:style>
  <w:style w:type="character" w:styleId="FollowedHyperlink">
    <w:name w:val="FollowedHyperlink"/>
    <w:rsid w:val="00476937"/>
    <w:rPr>
      <w:color w:val="954F72"/>
      <w:u w:val="single"/>
    </w:rPr>
  </w:style>
  <w:style w:type="paragraph" w:styleId="Revision">
    <w:name w:val="Revision"/>
    <w:hidden/>
    <w:uiPriority w:val="99"/>
    <w:semiHidden/>
    <w:rsid w:val="00952ED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C7"/>
    <w:pPr>
      <w:widowControl w:val="0"/>
    </w:pPr>
    <w:rPr>
      <w:snapToGrid w:val="0"/>
      <w:kern w:val="28"/>
      <w:sz w:val="22"/>
    </w:rPr>
  </w:style>
  <w:style w:type="paragraph" w:styleId="Heading1">
    <w:name w:val="heading 1"/>
    <w:basedOn w:val="Normal"/>
    <w:next w:val="ParaNum"/>
    <w:qFormat/>
    <w:rsid w:val="00E218C7"/>
    <w:pPr>
      <w:keepNext/>
      <w:numPr>
        <w:numId w:val="30"/>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218C7"/>
    <w:pPr>
      <w:keepNext/>
      <w:numPr>
        <w:ilvl w:val="1"/>
        <w:numId w:val="30"/>
      </w:numPr>
      <w:spacing w:after="120"/>
      <w:outlineLvl w:val="1"/>
    </w:pPr>
    <w:rPr>
      <w:b/>
    </w:rPr>
  </w:style>
  <w:style w:type="paragraph" w:styleId="Heading3">
    <w:name w:val="heading 3"/>
    <w:basedOn w:val="Normal"/>
    <w:next w:val="ParaNum"/>
    <w:qFormat/>
    <w:rsid w:val="00E218C7"/>
    <w:pPr>
      <w:keepNext/>
      <w:numPr>
        <w:ilvl w:val="2"/>
        <w:numId w:val="30"/>
      </w:numPr>
      <w:tabs>
        <w:tab w:val="left" w:pos="2160"/>
      </w:tabs>
      <w:spacing w:after="120"/>
      <w:outlineLvl w:val="2"/>
    </w:pPr>
    <w:rPr>
      <w:b/>
    </w:rPr>
  </w:style>
  <w:style w:type="paragraph" w:styleId="Heading4">
    <w:name w:val="heading 4"/>
    <w:basedOn w:val="Normal"/>
    <w:next w:val="ParaNum"/>
    <w:qFormat/>
    <w:rsid w:val="00E218C7"/>
    <w:pPr>
      <w:keepNext/>
      <w:numPr>
        <w:ilvl w:val="3"/>
        <w:numId w:val="30"/>
      </w:numPr>
      <w:tabs>
        <w:tab w:val="left" w:pos="2880"/>
      </w:tabs>
      <w:spacing w:after="120"/>
      <w:outlineLvl w:val="3"/>
    </w:pPr>
    <w:rPr>
      <w:b/>
    </w:rPr>
  </w:style>
  <w:style w:type="paragraph" w:styleId="Heading5">
    <w:name w:val="heading 5"/>
    <w:basedOn w:val="Normal"/>
    <w:next w:val="ParaNum"/>
    <w:qFormat/>
    <w:rsid w:val="00E218C7"/>
    <w:pPr>
      <w:keepNext/>
      <w:numPr>
        <w:ilvl w:val="4"/>
        <w:numId w:val="30"/>
      </w:numPr>
      <w:tabs>
        <w:tab w:val="left" w:pos="3600"/>
      </w:tabs>
      <w:suppressAutoHyphens/>
      <w:spacing w:after="120"/>
      <w:outlineLvl w:val="4"/>
    </w:pPr>
    <w:rPr>
      <w:b/>
    </w:rPr>
  </w:style>
  <w:style w:type="paragraph" w:styleId="Heading6">
    <w:name w:val="heading 6"/>
    <w:basedOn w:val="Normal"/>
    <w:next w:val="ParaNum"/>
    <w:qFormat/>
    <w:rsid w:val="00E218C7"/>
    <w:pPr>
      <w:numPr>
        <w:ilvl w:val="5"/>
        <w:numId w:val="30"/>
      </w:numPr>
      <w:tabs>
        <w:tab w:val="left" w:pos="4320"/>
      </w:tabs>
      <w:spacing w:after="120"/>
      <w:outlineLvl w:val="5"/>
    </w:pPr>
    <w:rPr>
      <w:b/>
    </w:rPr>
  </w:style>
  <w:style w:type="paragraph" w:styleId="Heading7">
    <w:name w:val="heading 7"/>
    <w:basedOn w:val="Normal"/>
    <w:next w:val="ParaNum"/>
    <w:qFormat/>
    <w:rsid w:val="00E218C7"/>
    <w:pPr>
      <w:numPr>
        <w:ilvl w:val="6"/>
        <w:numId w:val="30"/>
      </w:numPr>
      <w:tabs>
        <w:tab w:val="left" w:pos="5040"/>
      </w:tabs>
      <w:spacing w:after="120"/>
      <w:outlineLvl w:val="6"/>
    </w:pPr>
    <w:rPr>
      <w:b/>
    </w:rPr>
  </w:style>
  <w:style w:type="paragraph" w:styleId="Heading8">
    <w:name w:val="heading 8"/>
    <w:basedOn w:val="Normal"/>
    <w:next w:val="ParaNum"/>
    <w:qFormat/>
    <w:rsid w:val="00E218C7"/>
    <w:pPr>
      <w:numPr>
        <w:ilvl w:val="7"/>
        <w:numId w:val="30"/>
      </w:numPr>
      <w:tabs>
        <w:tab w:val="left" w:pos="5760"/>
      </w:tabs>
      <w:spacing w:after="120"/>
      <w:outlineLvl w:val="7"/>
    </w:pPr>
    <w:rPr>
      <w:b/>
    </w:rPr>
  </w:style>
  <w:style w:type="paragraph" w:styleId="Heading9">
    <w:name w:val="heading 9"/>
    <w:basedOn w:val="Normal"/>
    <w:next w:val="ParaNum"/>
    <w:qFormat/>
    <w:rsid w:val="00E218C7"/>
    <w:pPr>
      <w:numPr>
        <w:ilvl w:val="8"/>
        <w:numId w:val="30"/>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218C7"/>
    <w:pPr>
      <w:numPr>
        <w:numId w:val="31"/>
      </w:numPr>
      <w:tabs>
        <w:tab w:val="clear" w:pos="1080"/>
        <w:tab w:val="num" w:pos="1440"/>
      </w:tabs>
      <w:spacing w:after="120"/>
    </w:pPr>
  </w:style>
  <w:style w:type="paragraph" w:styleId="EndnoteText">
    <w:name w:val="endnote text"/>
    <w:basedOn w:val="Normal"/>
    <w:link w:val="EndnoteTextChar"/>
    <w:semiHidden/>
    <w:rsid w:val="00E218C7"/>
    <w:rPr>
      <w:sz w:val="20"/>
    </w:rPr>
  </w:style>
  <w:style w:type="character" w:styleId="EndnoteReference">
    <w:name w:val="endnote reference"/>
    <w:semiHidden/>
    <w:rsid w:val="00E218C7"/>
    <w:rPr>
      <w:vertAlign w:val="superscript"/>
    </w:rPr>
  </w:style>
  <w:style w:type="paragraph" w:styleId="FootnoteText">
    <w:name w:val="footnote text"/>
    <w:link w:val="FootnoteTextChar"/>
    <w:rsid w:val="00E218C7"/>
    <w:pPr>
      <w:spacing w:after="120"/>
    </w:pPr>
  </w:style>
  <w:style w:type="character" w:styleId="FootnoteReference">
    <w:name w:val="footnote reference"/>
    <w:rsid w:val="00E218C7"/>
    <w:rPr>
      <w:rFonts w:ascii="Times New Roman" w:hAnsi="Times New Roman"/>
      <w:dstrike w:val="0"/>
      <w:color w:val="auto"/>
      <w:sz w:val="20"/>
      <w:vertAlign w:val="superscript"/>
    </w:rPr>
  </w:style>
  <w:style w:type="paragraph" w:styleId="TOC1">
    <w:name w:val="toc 1"/>
    <w:basedOn w:val="Normal"/>
    <w:next w:val="Normal"/>
    <w:semiHidden/>
    <w:rsid w:val="00E218C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218C7"/>
    <w:pPr>
      <w:tabs>
        <w:tab w:val="left" w:pos="720"/>
        <w:tab w:val="right" w:leader="dot" w:pos="9360"/>
      </w:tabs>
      <w:suppressAutoHyphens/>
      <w:ind w:left="720" w:right="720" w:hanging="360"/>
    </w:pPr>
    <w:rPr>
      <w:noProof/>
    </w:rPr>
  </w:style>
  <w:style w:type="paragraph" w:styleId="TOC3">
    <w:name w:val="toc 3"/>
    <w:basedOn w:val="Normal"/>
    <w:next w:val="Normal"/>
    <w:semiHidden/>
    <w:rsid w:val="00E218C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18C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18C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18C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18C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18C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18C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218C7"/>
    <w:pPr>
      <w:tabs>
        <w:tab w:val="right" w:pos="9360"/>
      </w:tabs>
      <w:suppressAutoHyphens/>
    </w:pPr>
  </w:style>
  <w:style w:type="character" w:customStyle="1" w:styleId="EquationCaption">
    <w:name w:val="_Equation Caption"/>
    <w:rsid w:val="00E218C7"/>
  </w:style>
  <w:style w:type="paragraph" w:styleId="Header">
    <w:name w:val="header"/>
    <w:basedOn w:val="Normal"/>
    <w:autoRedefine/>
    <w:rsid w:val="00E218C7"/>
    <w:pPr>
      <w:tabs>
        <w:tab w:val="center" w:pos="4680"/>
        <w:tab w:val="right" w:pos="9360"/>
      </w:tabs>
    </w:pPr>
    <w:rPr>
      <w:b/>
    </w:rPr>
  </w:style>
  <w:style w:type="paragraph" w:styleId="Footer">
    <w:name w:val="footer"/>
    <w:basedOn w:val="Normal"/>
    <w:rsid w:val="00E218C7"/>
    <w:pPr>
      <w:tabs>
        <w:tab w:val="center" w:pos="4320"/>
        <w:tab w:val="right" w:pos="8640"/>
      </w:tabs>
    </w:pPr>
  </w:style>
  <w:style w:type="character" w:styleId="PageNumber">
    <w:name w:val="page number"/>
    <w:rsid w:val="00E218C7"/>
  </w:style>
  <w:style w:type="paragraph" w:styleId="BlockText">
    <w:name w:val="Block Text"/>
    <w:basedOn w:val="Normal"/>
    <w:rsid w:val="00E218C7"/>
    <w:pPr>
      <w:spacing w:after="240"/>
      <w:ind w:left="1440" w:right="1440"/>
    </w:pPr>
  </w:style>
  <w:style w:type="paragraph" w:customStyle="1" w:styleId="Paratitle">
    <w:name w:val="Para title"/>
    <w:basedOn w:val="Normal"/>
    <w:rsid w:val="00E218C7"/>
    <w:pPr>
      <w:tabs>
        <w:tab w:val="center" w:pos="9270"/>
      </w:tabs>
      <w:spacing w:after="240"/>
    </w:pPr>
    <w:rPr>
      <w:spacing w:val="-2"/>
    </w:rPr>
  </w:style>
  <w:style w:type="paragraph" w:customStyle="1" w:styleId="Bullet">
    <w:name w:val="Bullet"/>
    <w:basedOn w:val="Normal"/>
    <w:rsid w:val="00E218C7"/>
    <w:pPr>
      <w:tabs>
        <w:tab w:val="left" w:pos="2160"/>
      </w:tabs>
      <w:spacing w:after="220"/>
      <w:ind w:left="2160" w:hanging="720"/>
    </w:pPr>
  </w:style>
  <w:style w:type="paragraph" w:customStyle="1" w:styleId="TableFormat">
    <w:name w:val="TableFormat"/>
    <w:basedOn w:val="Bullet"/>
    <w:rsid w:val="00E218C7"/>
    <w:pPr>
      <w:tabs>
        <w:tab w:val="clear" w:pos="2160"/>
        <w:tab w:val="left" w:pos="5040"/>
      </w:tabs>
      <w:ind w:left="5040" w:hanging="3600"/>
    </w:pPr>
  </w:style>
  <w:style w:type="paragraph" w:customStyle="1" w:styleId="TOCTitle">
    <w:name w:val="TOC Title"/>
    <w:basedOn w:val="Normal"/>
    <w:rsid w:val="00E218C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18C7"/>
    <w:pPr>
      <w:jc w:val="center"/>
    </w:pPr>
    <w:rPr>
      <w:rFonts w:ascii="Times New Roman Bold" w:hAnsi="Times New Roman Bold"/>
      <w:b/>
      <w:bCs/>
      <w:caps/>
      <w:szCs w:val="22"/>
    </w:rPr>
  </w:style>
  <w:style w:type="character" w:styleId="Hyperlink">
    <w:name w:val="Hyperlink"/>
    <w:rsid w:val="00E218C7"/>
    <w:rPr>
      <w:color w:val="0000FF"/>
      <w:u w:val="single"/>
    </w:rPr>
  </w:style>
  <w:style w:type="character" w:customStyle="1" w:styleId="FootnoteTextChar">
    <w:name w:val="Footnote Text Char"/>
    <w:link w:val="FootnoteText"/>
  </w:style>
  <w:style w:type="paragraph" w:customStyle="1" w:styleId="StyleParaNumLeft">
    <w:name w:val="Style ParaNum + Left"/>
    <w:basedOn w:val="ParaNum"/>
    <w:pPr>
      <w:numPr>
        <w:numId w:val="5"/>
      </w:numPr>
      <w:tabs>
        <w:tab w:val="left" w:pos="720"/>
        <w:tab w:val="left" w:pos="1440"/>
        <w:tab w:val="left" w:pos="1800"/>
      </w:tabs>
      <w:spacing w:after="220"/>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character" w:customStyle="1" w:styleId="apple-converted-space">
    <w:name w:val="apple-converted-space"/>
  </w:style>
  <w:style w:type="character" w:customStyle="1" w:styleId="full-answer-content">
    <w:name w:val="full-answer-content"/>
    <w:rsid w:val="006D0C4A"/>
  </w:style>
  <w:style w:type="character" w:customStyle="1" w:styleId="EndnoteTextChar">
    <w:name w:val="Endnote Text Char"/>
    <w:link w:val="EndnoteText"/>
    <w:semiHidden/>
    <w:rsid w:val="007A67FB"/>
    <w:rPr>
      <w:snapToGrid w:val="0"/>
      <w:kern w:val="28"/>
    </w:rPr>
  </w:style>
  <w:style w:type="character" w:styleId="FollowedHyperlink">
    <w:name w:val="FollowedHyperlink"/>
    <w:rsid w:val="00476937"/>
    <w:rPr>
      <w:color w:val="954F72"/>
      <w:u w:val="single"/>
    </w:rPr>
  </w:style>
  <w:style w:type="paragraph" w:styleId="Revision">
    <w:name w:val="Revision"/>
    <w:hidden/>
    <w:uiPriority w:val="99"/>
    <w:semiHidden/>
    <w:rsid w:val="00952ED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75892">
      <w:bodyDiv w:val="1"/>
      <w:marLeft w:val="0"/>
      <w:marRight w:val="0"/>
      <w:marTop w:val="0"/>
      <w:marBottom w:val="0"/>
      <w:divBdr>
        <w:top w:val="none" w:sz="0" w:space="0" w:color="auto"/>
        <w:left w:val="none" w:sz="0" w:space="0" w:color="auto"/>
        <w:bottom w:val="none" w:sz="0" w:space="0" w:color="auto"/>
        <w:right w:val="none" w:sz="0" w:space="0" w:color="auto"/>
      </w:divBdr>
    </w:div>
    <w:div w:id="1063529972">
      <w:bodyDiv w:val="1"/>
      <w:marLeft w:val="0"/>
      <w:marRight w:val="0"/>
      <w:marTop w:val="0"/>
      <w:marBottom w:val="0"/>
      <w:divBdr>
        <w:top w:val="none" w:sz="0" w:space="0" w:color="auto"/>
        <w:left w:val="none" w:sz="0" w:space="0" w:color="auto"/>
        <w:bottom w:val="none" w:sz="0" w:space="0" w:color="auto"/>
        <w:right w:val="none" w:sz="0" w:space="0" w:color="auto"/>
      </w:divBdr>
    </w:div>
    <w:div w:id="1221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pps.fcc.gov/oetcf/kdb/forms/FTSSearchResultPage.cfm?id=20253&amp;switch=P" TargetMode="External"/><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Relationship Id="rId7" Type="http://schemas.openxmlformats.org/officeDocument/2006/relationships/hyperlink" Target="http://www.gps.gov/applications/agriculture/" TargetMode="External"/><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Relationship Id="rId10" Type="http://schemas.openxmlformats.org/officeDocument/2006/relationships/hyperlink" Target="https://www.mrlc.gov/nlcd11_leg.php" TargetMode="External"/><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Relationship Id="rId9" Type="http://schemas.openxmlformats.org/officeDocument/2006/relationships/hyperlink" Target="https://standards.ieee.org/findstds/standard/C63.10-2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4041</Words>
  <Characters>22018</Characters>
  <Application>Microsoft Office Word</Application>
  <DocSecurity>0</DocSecurity>
  <Lines>311</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26124</CharactersWithSpaces>
  <SharedDoc>false</SharedDoc>
  <HyperlinkBase> </HyperlinkBase>
  <HLinks>
    <vt:vector size="48" baseType="variant">
      <vt:variant>
        <vt:i4>8192038</vt:i4>
      </vt:variant>
      <vt:variant>
        <vt:i4>24</vt:i4>
      </vt:variant>
      <vt:variant>
        <vt:i4>0</vt:i4>
      </vt:variant>
      <vt:variant>
        <vt:i4>5</vt:i4>
      </vt:variant>
      <vt:variant>
        <vt:lpwstr>https://apps.fcc.gov/oetcf/kdb/forms/FTSSearchResultPage.cfm?id=20253&amp;switch=P</vt:lpwstr>
      </vt:variant>
      <vt:variant>
        <vt:lpwstr/>
      </vt:variant>
      <vt:variant>
        <vt:i4>5046357</vt:i4>
      </vt:variant>
      <vt:variant>
        <vt:i4>21</vt:i4>
      </vt:variant>
      <vt:variant>
        <vt:i4>0</vt:i4>
      </vt:variant>
      <vt:variant>
        <vt:i4>5</vt:i4>
      </vt:variant>
      <vt:variant>
        <vt:lpwstr>http://www.gps.gov/applications/agriculture/</vt:lpwstr>
      </vt:variant>
      <vt:variant>
        <vt:lpwstr/>
      </vt:variant>
      <vt:variant>
        <vt:i4>6094975</vt:i4>
      </vt:variant>
      <vt:variant>
        <vt:i4>15</vt:i4>
      </vt:variant>
      <vt:variant>
        <vt:i4>0</vt:i4>
      </vt:variant>
      <vt:variant>
        <vt:i4>5</vt:i4>
      </vt:variant>
      <vt:variant>
        <vt:lpwstr>https://web2.westlaw.com/find/default.wl?tf=-1&amp;rs=WLW8.08&amp;referencepositiontype=S&amp;serialnum=1969121124&amp;fn=_top&amp;sv=Split&amp;referenceposition=1157&amp;findtype=Y&amp;tc=-1&amp;ordoc=2011591254&amp;db=350&amp;vr=2.0&amp;rp=%2ffind%2fdefault.wl&amp;mt=Westlaw</vt:lpwstr>
      </vt:variant>
      <vt:variant>
        <vt:lpwstr/>
      </vt:variant>
      <vt:variant>
        <vt:i4>5439536</vt:i4>
      </vt:variant>
      <vt:variant>
        <vt:i4>12</vt:i4>
      </vt:variant>
      <vt:variant>
        <vt:i4>0</vt:i4>
      </vt:variant>
      <vt:variant>
        <vt:i4>5</vt:i4>
      </vt:variant>
      <vt:variant>
        <vt:lpwstr>https://web2.westlaw.com/find/default.wl?tf=-1&amp;rs=WLW8.08&amp;referencepositiontype=S&amp;serialnum=2007579635&amp;fn=_top&amp;sv=Split&amp;referenceposition=269&amp;findtype=Y&amp;tc=-1&amp;ordoc=2011591254&amp;db=506&amp;vr=2.0&amp;rp=%2ffind%2fdefault.wl&amp;mt=Westlaw</vt:lpwstr>
      </vt:variant>
      <vt:variant>
        <vt:lpwstr/>
      </vt:variant>
      <vt:variant>
        <vt:i4>7667785</vt:i4>
      </vt:variant>
      <vt:variant>
        <vt:i4>9</vt:i4>
      </vt:variant>
      <vt:variant>
        <vt:i4>0</vt:i4>
      </vt:variant>
      <vt:variant>
        <vt:i4>5</vt:i4>
      </vt:variant>
      <vt:variant>
        <vt:lpwstr>https://web2.westlaw.com/find/default.wl?tf=-1&amp;rs=WLW8.08&amp;serialnum=1969121124&amp;fn=_top&amp;sv=Split&amp;tc=-1&amp;findtype=Y&amp;ordoc=2011591254&amp;db=350&amp;vr=2.0&amp;rp=%2ffind%2fdefault.wl&amp;mt=Westlaw</vt:lpwstr>
      </vt:variant>
      <vt:variant>
        <vt:lpwstr/>
      </vt:variant>
      <vt:variant>
        <vt:i4>7995463</vt:i4>
      </vt:variant>
      <vt:variant>
        <vt:i4>6</vt:i4>
      </vt:variant>
      <vt:variant>
        <vt:i4>0</vt:i4>
      </vt:variant>
      <vt:variant>
        <vt:i4>5</vt:i4>
      </vt:variant>
      <vt:variant>
        <vt:lpwstr>https://web2.westlaw.com/find/default.wl?tf=-1&amp;rs=WLW8.08&amp;serialnum=1990047144&amp;fn=_top&amp;sv=Split&amp;tc=-1&amp;findtype=Y&amp;ordoc=2011591254&amp;db=350&amp;vr=2.0&amp;rp=%2ffind%2fdefault.wl&amp;mt=Westlaw</vt:lpwstr>
      </vt:variant>
      <vt:variant>
        <vt:lpwstr/>
      </vt:variant>
      <vt:variant>
        <vt:i4>7405636</vt:i4>
      </vt:variant>
      <vt:variant>
        <vt:i4>3</vt:i4>
      </vt:variant>
      <vt:variant>
        <vt:i4>0</vt:i4>
      </vt:variant>
      <vt:variant>
        <vt:i4>5</vt:i4>
      </vt:variant>
      <vt:variant>
        <vt:lpwstr>https://web2.westlaw.com/find/default.wl?tf=-1&amp;rs=WLW8.08&amp;serialnum=2007579635&amp;fn=_top&amp;sv=Split&amp;tc=-1&amp;findtype=Y&amp;ordoc=2011591254&amp;db=506&amp;vr=2.0&amp;rp=%2ffind%2fdefault.wl&amp;mt=Westlaw</vt:lpwstr>
      </vt:variant>
      <vt:variant>
        <vt:lpwstr/>
      </vt:variant>
      <vt:variant>
        <vt:i4>1048703</vt:i4>
      </vt:variant>
      <vt:variant>
        <vt:i4>0</vt:i4>
      </vt:variant>
      <vt:variant>
        <vt:i4>0</vt:i4>
      </vt:variant>
      <vt:variant>
        <vt:i4>5</vt:i4>
      </vt:variant>
      <vt:variant>
        <vt:lpwstr>https://web2.westlaw.com/find/default.wl?tf=-1&amp;rs=WLW8.08&amp;fn=_top&amp;sv=Split&amp;tc=-1&amp;docname=47CFRS1.3&amp;ordoc=2011591254&amp;findtype=L&amp;db=1000547&amp;vr=2.0&amp;rp=%2ffind%2fdefault.wl&amp;mt=Westlaw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2016-03-23T22:06:00Z</cp:lastPrinted>
  <dcterms:created xsi:type="dcterms:W3CDTF">2017-03-01T15:42:00Z</dcterms:created>
  <dcterms:modified xsi:type="dcterms:W3CDTF">2017-03-01T15:42:00Z</dcterms:modified>
  <cp:category> </cp:category>
  <cp:contentStatus> </cp:contentStatus>
</cp:coreProperties>
</file>