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C843FB">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C843FB">
      <w:pPr>
        <w:pStyle w:val="StyleBoldCentered"/>
        <w:widowControl/>
      </w:pPr>
      <w:r>
        <w:t>F</w:t>
      </w:r>
      <w:r>
        <w:rPr>
          <w:caps w:val="0"/>
        </w:rPr>
        <w:t>ederal Communications Commission</w:t>
      </w:r>
    </w:p>
    <w:p w:rsidR="004C2EE3" w:rsidRDefault="00810B6F" w:rsidP="00C843FB">
      <w:pPr>
        <w:pStyle w:val="StyleBoldCentered"/>
        <w:widowControl/>
      </w:pPr>
      <w:r>
        <w:rPr>
          <w:caps w:val="0"/>
        </w:rPr>
        <w:t>Washington, D.C. 20554</w:t>
      </w:r>
    </w:p>
    <w:p w:rsidR="004C2EE3" w:rsidRDefault="004C2EE3" w:rsidP="00C843FB">
      <w:pPr>
        <w:widowControl/>
      </w:pPr>
    </w:p>
    <w:p w:rsidR="004C2EE3" w:rsidRDefault="004C2EE3" w:rsidP="00C843FB">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C843FB">
            <w:pPr>
              <w:widowControl/>
              <w:tabs>
                <w:tab w:val="center" w:pos="4680"/>
              </w:tabs>
              <w:suppressAutoHyphens/>
              <w:rPr>
                <w:spacing w:val="-2"/>
              </w:rPr>
            </w:pPr>
            <w:r>
              <w:rPr>
                <w:spacing w:val="-2"/>
              </w:rPr>
              <w:t>In the Matter of</w:t>
            </w:r>
          </w:p>
          <w:p w:rsidR="004C2EE3" w:rsidRDefault="004C2EE3" w:rsidP="00C843FB">
            <w:pPr>
              <w:widowControl/>
              <w:tabs>
                <w:tab w:val="center" w:pos="4680"/>
              </w:tabs>
              <w:suppressAutoHyphens/>
              <w:rPr>
                <w:spacing w:val="-2"/>
              </w:rPr>
            </w:pPr>
          </w:p>
          <w:p w:rsidR="002E27B5" w:rsidRPr="002E27B5" w:rsidRDefault="00B34D71" w:rsidP="00C843FB">
            <w:pPr>
              <w:widowControl/>
              <w:tabs>
                <w:tab w:val="center" w:pos="4680"/>
              </w:tabs>
              <w:suppressAutoHyphens/>
              <w:rPr>
                <w:spacing w:val="-2"/>
              </w:rPr>
            </w:pPr>
            <w:r>
              <w:rPr>
                <w:spacing w:val="-2"/>
              </w:rPr>
              <w:t>NORTH CAROLINA STATE HIGHWAY PATROL</w:t>
            </w:r>
            <w:r w:rsidR="002E27B5" w:rsidRPr="002E27B5">
              <w:rPr>
                <w:spacing w:val="-2"/>
              </w:rPr>
              <w:t xml:space="preserve"> </w:t>
            </w:r>
          </w:p>
          <w:p w:rsidR="002E27B5" w:rsidRPr="002E27B5" w:rsidRDefault="002E27B5" w:rsidP="00C843FB">
            <w:pPr>
              <w:widowControl/>
              <w:tabs>
                <w:tab w:val="center" w:pos="4680"/>
              </w:tabs>
              <w:suppressAutoHyphens/>
              <w:rPr>
                <w:spacing w:val="-2"/>
              </w:rPr>
            </w:pPr>
          </w:p>
          <w:p w:rsidR="004C2EE3" w:rsidRPr="007115F7" w:rsidRDefault="002E27B5" w:rsidP="00C843FB">
            <w:pPr>
              <w:widowControl/>
              <w:tabs>
                <w:tab w:val="center" w:pos="4680"/>
              </w:tabs>
              <w:suppressAutoHyphens/>
              <w:rPr>
                <w:spacing w:val="-2"/>
              </w:rPr>
            </w:pPr>
            <w:r w:rsidRPr="002E27B5">
              <w:rPr>
                <w:spacing w:val="-2"/>
              </w:rPr>
              <w:t xml:space="preserve">Request for Waiver of </w:t>
            </w:r>
            <w:r w:rsidR="00D73AC5">
              <w:rPr>
                <w:spacing w:val="-2"/>
              </w:rPr>
              <w:t>Freeze on Inter-Category Sharing</w:t>
            </w:r>
          </w:p>
        </w:tc>
        <w:tc>
          <w:tcPr>
            <w:tcW w:w="630" w:type="dxa"/>
          </w:tcPr>
          <w:p w:rsidR="004C2EE3" w:rsidRDefault="004C2EE3" w:rsidP="00C843FB">
            <w:pPr>
              <w:widowControl/>
              <w:tabs>
                <w:tab w:val="center" w:pos="4680"/>
              </w:tabs>
              <w:suppressAutoHyphens/>
              <w:rPr>
                <w:b/>
                <w:spacing w:val="-2"/>
              </w:rPr>
            </w:pPr>
            <w:r>
              <w:rPr>
                <w:b/>
                <w:spacing w:val="-2"/>
              </w:rPr>
              <w:t>)</w:t>
            </w:r>
          </w:p>
          <w:p w:rsidR="004C2EE3" w:rsidRDefault="004C2EE3" w:rsidP="00C843FB">
            <w:pPr>
              <w:widowControl/>
              <w:tabs>
                <w:tab w:val="center" w:pos="4680"/>
              </w:tabs>
              <w:suppressAutoHyphens/>
              <w:rPr>
                <w:b/>
                <w:spacing w:val="-2"/>
              </w:rPr>
            </w:pPr>
            <w:r>
              <w:rPr>
                <w:b/>
                <w:spacing w:val="-2"/>
              </w:rPr>
              <w:t>)</w:t>
            </w:r>
          </w:p>
          <w:p w:rsidR="004C2EE3" w:rsidRDefault="004C2EE3" w:rsidP="00C843FB">
            <w:pPr>
              <w:widowControl/>
              <w:tabs>
                <w:tab w:val="center" w:pos="4680"/>
              </w:tabs>
              <w:suppressAutoHyphens/>
              <w:rPr>
                <w:b/>
                <w:spacing w:val="-2"/>
              </w:rPr>
            </w:pPr>
            <w:r>
              <w:rPr>
                <w:b/>
                <w:spacing w:val="-2"/>
              </w:rPr>
              <w:t>)</w:t>
            </w:r>
          </w:p>
          <w:p w:rsidR="004C2EE3" w:rsidRDefault="004C2EE3" w:rsidP="00C843FB">
            <w:pPr>
              <w:widowControl/>
              <w:tabs>
                <w:tab w:val="center" w:pos="4680"/>
              </w:tabs>
              <w:suppressAutoHyphens/>
              <w:rPr>
                <w:b/>
                <w:spacing w:val="-2"/>
              </w:rPr>
            </w:pPr>
            <w:r>
              <w:rPr>
                <w:b/>
                <w:spacing w:val="-2"/>
              </w:rPr>
              <w:t>)</w:t>
            </w:r>
          </w:p>
          <w:p w:rsidR="004C2EE3" w:rsidRDefault="004C2EE3" w:rsidP="00C843FB">
            <w:pPr>
              <w:widowControl/>
              <w:tabs>
                <w:tab w:val="center" w:pos="4680"/>
              </w:tabs>
              <w:suppressAutoHyphens/>
              <w:rPr>
                <w:b/>
                <w:spacing w:val="-2"/>
              </w:rPr>
            </w:pPr>
            <w:r>
              <w:rPr>
                <w:b/>
                <w:spacing w:val="-2"/>
              </w:rPr>
              <w:t>)</w:t>
            </w:r>
          </w:p>
          <w:p w:rsidR="004C2EE3" w:rsidRDefault="004C2EE3" w:rsidP="00C843FB">
            <w:pPr>
              <w:widowControl/>
              <w:tabs>
                <w:tab w:val="center" w:pos="4680"/>
              </w:tabs>
              <w:suppressAutoHyphens/>
              <w:rPr>
                <w:b/>
                <w:spacing w:val="-2"/>
              </w:rPr>
            </w:pPr>
            <w:r>
              <w:rPr>
                <w:b/>
                <w:spacing w:val="-2"/>
              </w:rPr>
              <w:t>)</w:t>
            </w:r>
          </w:p>
          <w:p w:rsidR="004C2EE3" w:rsidRPr="002E0B5A" w:rsidRDefault="004C2EE3" w:rsidP="00C843FB">
            <w:pPr>
              <w:widowControl/>
              <w:tabs>
                <w:tab w:val="center" w:pos="4680"/>
              </w:tabs>
              <w:suppressAutoHyphens/>
              <w:rPr>
                <w:b/>
                <w:spacing w:val="-2"/>
              </w:rPr>
            </w:pPr>
            <w:r>
              <w:rPr>
                <w:b/>
                <w:spacing w:val="-2"/>
              </w:rPr>
              <w:t>)</w:t>
            </w:r>
          </w:p>
        </w:tc>
        <w:tc>
          <w:tcPr>
            <w:tcW w:w="4248" w:type="dxa"/>
          </w:tcPr>
          <w:p w:rsidR="004C2EE3" w:rsidRDefault="004C2EE3" w:rsidP="00C843FB">
            <w:pPr>
              <w:widowControl/>
              <w:tabs>
                <w:tab w:val="center" w:pos="4680"/>
              </w:tabs>
              <w:suppressAutoHyphens/>
              <w:rPr>
                <w:spacing w:val="-2"/>
              </w:rPr>
            </w:pPr>
          </w:p>
          <w:p w:rsidR="004C2EE3" w:rsidRDefault="004C2EE3" w:rsidP="00C843FB">
            <w:pPr>
              <w:pStyle w:val="TOAHeading"/>
              <w:widowControl/>
              <w:tabs>
                <w:tab w:val="clear" w:pos="9360"/>
                <w:tab w:val="center" w:pos="4680"/>
              </w:tabs>
              <w:rPr>
                <w:spacing w:val="-2"/>
              </w:rPr>
            </w:pPr>
          </w:p>
          <w:p w:rsidR="004C2EE3" w:rsidRDefault="002E27B5" w:rsidP="00C843FB">
            <w:pPr>
              <w:widowControl/>
              <w:tabs>
                <w:tab w:val="center" w:pos="4680"/>
              </w:tabs>
              <w:suppressAutoHyphens/>
              <w:rPr>
                <w:spacing w:val="-2"/>
              </w:rPr>
            </w:pPr>
            <w:r w:rsidRPr="002E27B5">
              <w:rPr>
                <w:spacing w:val="-2"/>
              </w:rPr>
              <w:t>File No.</w:t>
            </w:r>
            <w:r w:rsidR="002D025A">
              <w:rPr>
                <w:spacing w:val="-2"/>
              </w:rPr>
              <w:t xml:space="preserve"> </w:t>
            </w:r>
            <w:r w:rsidR="00721BA5" w:rsidRPr="00721BA5">
              <w:rPr>
                <w:spacing w:val="-2"/>
              </w:rPr>
              <w:t>0006965513</w:t>
            </w:r>
          </w:p>
        </w:tc>
      </w:tr>
    </w:tbl>
    <w:p w:rsidR="004C2EE3" w:rsidRDefault="004C2EE3" w:rsidP="00C843FB">
      <w:pPr>
        <w:widowControl/>
      </w:pPr>
    </w:p>
    <w:p w:rsidR="00841AB1" w:rsidRDefault="002E27B5" w:rsidP="00C843FB">
      <w:pPr>
        <w:pStyle w:val="StyleBoldCentered"/>
        <w:widowControl/>
      </w:pPr>
      <w:r w:rsidRPr="002E27B5">
        <w:t>ORDER</w:t>
      </w:r>
    </w:p>
    <w:p w:rsidR="004C2EE3" w:rsidRDefault="004C2EE3" w:rsidP="00C843FB">
      <w:pPr>
        <w:widowControl/>
        <w:tabs>
          <w:tab w:val="left" w:pos="-720"/>
        </w:tabs>
        <w:suppressAutoHyphens/>
        <w:spacing w:line="227" w:lineRule="auto"/>
        <w:rPr>
          <w:spacing w:val="-2"/>
        </w:rPr>
      </w:pPr>
    </w:p>
    <w:p w:rsidR="004C2EE3" w:rsidRDefault="004C2EE3" w:rsidP="00C843FB">
      <w:pPr>
        <w:widowControl/>
        <w:tabs>
          <w:tab w:val="left" w:pos="720"/>
          <w:tab w:val="right" w:pos="9360"/>
        </w:tabs>
        <w:suppressAutoHyphens/>
        <w:spacing w:line="227" w:lineRule="auto"/>
        <w:rPr>
          <w:spacing w:val="-2"/>
        </w:rPr>
      </w:pPr>
      <w:r>
        <w:rPr>
          <w:b/>
          <w:spacing w:val="-2"/>
        </w:rPr>
        <w:t xml:space="preserve">Adopted:  </w:t>
      </w:r>
      <w:r w:rsidR="002B724A">
        <w:rPr>
          <w:b/>
          <w:spacing w:val="-2"/>
        </w:rPr>
        <w:t>March 8</w:t>
      </w:r>
      <w:r w:rsidR="00721BA5">
        <w:rPr>
          <w:b/>
          <w:spacing w:val="-2"/>
        </w:rPr>
        <w:t xml:space="preserve">, </w:t>
      </w:r>
      <w:r w:rsidR="002E0B5A">
        <w:rPr>
          <w:b/>
          <w:spacing w:val="-2"/>
        </w:rPr>
        <w:t>201</w:t>
      </w:r>
      <w:r w:rsidR="00721BA5">
        <w:rPr>
          <w:b/>
          <w:spacing w:val="-2"/>
        </w:rPr>
        <w:t>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B724A">
        <w:rPr>
          <w:b/>
          <w:spacing w:val="-2"/>
        </w:rPr>
        <w:t>March 8</w:t>
      </w:r>
      <w:r w:rsidR="002E0B5A">
        <w:rPr>
          <w:b/>
          <w:spacing w:val="-2"/>
        </w:rPr>
        <w:t>, 201</w:t>
      </w:r>
      <w:r w:rsidR="00721BA5">
        <w:rPr>
          <w:b/>
          <w:spacing w:val="-2"/>
        </w:rPr>
        <w:t>7</w:t>
      </w:r>
    </w:p>
    <w:p w:rsidR="00822CE0" w:rsidRDefault="00822CE0" w:rsidP="00C843FB">
      <w:pPr>
        <w:widowControl/>
      </w:pPr>
    </w:p>
    <w:p w:rsidR="00822CE0" w:rsidRDefault="002E27B5" w:rsidP="00C843FB">
      <w:pPr>
        <w:widowControl/>
        <w:rPr>
          <w:spacing w:val="-2"/>
        </w:rPr>
      </w:pPr>
      <w:r w:rsidRPr="002E27B5">
        <w:t xml:space="preserve">By the </w:t>
      </w:r>
      <w:r w:rsidR="00687309">
        <w:t xml:space="preserve">Acting </w:t>
      </w:r>
      <w:r w:rsidRPr="002E27B5">
        <w:t>Chief, Policy and Licensing Division, Public Safe</w:t>
      </w:r>
      <w:r>
        <w:t>ty and Homeland Security Bureau</w:t>
      </w:r>
      <w:r w:rsidR="004C2EE3">
        <w:rPr>
          <w:spacing w:val="-2"/>
        </w:rPr>
        <w:t>:</w:t>
      </w:r>
    </w:p>
    <w:p w:rsidR="00412FC5" w:rsidRDefault="00412FC5" w:rsidP="00C843FB">
      <w:pPr>
        <w:widowControl/>
      </w:pPr>
    </w:p>
    <w:p w:rsidR="002C00E8" w:rsidRDefault="002E27B5" w:rsidP="00C843FB">
      <w:pPr>
        <w:pStyle w:val="Heading1"/>
        <w:widowControl/>
      </w:pPr>
      <w:r>
        <w:t>introduction</w:t>
      </w:r>
    </w:p>
    <w:p w:rsidR="002E27B5" w:rsidRPr="002E27B5" w:rsidRDefault="002E27B5" w:rsidP="00C843FB">
      <w:pPr>
        <w:pStyle w:val="ParaNum"/>
        <w:widowControl/>
      </w:pPr>
      <w:r w:rsidRPr="002E27B5">
        <w:t xml:space="preserve">In this </w:t>
      </w:r>
      <w:r w:rsidRPr="00115BC0">
        <w:rPr>
          <w:i/>
        </w:rPr>
        <w:t>Order</w:t>
      </w:r>
      <w:r w:rsidRPr="002E27B5">
        <w:t xml:space="preserve"> we grant a request by the </w:t>
      </w:r>
      <w:r w:rsidR="00D66A84">
        <w:t>North Carolina State Highway Patrol (N</w:t>
      </w:r>
      <w:r w:rsidR="00D87268">
        <w:t>C</w:t>
      </w:r>
      <w:r w:rsidR="00FE76C1">
        <w:t xml:space="preserve"> </w:t>
      </w:r>
      <w:r w:rsidR="00D87268">
        <w:t>H</w:t>
      </w:r>
      <w:r w:rsidR="00FE76C1">
        <w:t>ighwa</w:t>
      </w:r>
      <w:r w:rsidR="00D87268">
        <w:t>y Patrol</w:t>
      </w:r>
      <w:r w:rsidR="00D66A84">
        <w:t xml:space="preserve">) </w:t>
      </w:r>
      <w:r w:rsidRPr="002E27B5">
        <w:t>for a waiver of the freeze on 800 MHz inter</w:t>
      </w:r>
      <w:r w:rsidR="00B873E7">
        <w:t>-</w:t>
      </w:r>
      <w:r w:rsidRPr="002E27B5">
        <w:t xml:space="preserve">category sharing to </w:t>
      </w:r>
      <w:r w:rsidR="00B56806">
        <w:t xml:space="preserve">allow it to license </w:t>
      </w:r>
      <w:r w:rsidR="00D66A84">
        <w:t xml:space="preserve">a </w:t>
      </w:r>
      <w:r w:rsidRPr="002E27B5">
        <w:t>Business/Industrial/Land Transportation (B/ILT) channel for public safety communications.</w:t>
      </w:r>
      <w:r>
        <w:rPr>
          <w:rStyle w:val="FootnoteReference"/>
        </w:rPr>
        <w:footnoteReference w:id="2"/>
      </w:r>
      <w:r>
        <w:t xml:space="preserve"> </w:t>
      </w:r>
      <w:r w:rsidRPr="002E27B5">
        <w:t xml:space="preserve">   </w:t>
      </w:r>
    </w:p>
    <w:p w:rsidR="002E27B5" w:rsidRDefault="002E27B5" w:rsidP="00C843FB">
      <w:pPr>
        <w:pStyle w:val="Heading1"/>
        <w:widowControl/>
      </w:pPr>
      <w:r>
        <w:t>background</w:t>
      </w:r>
    </w:p>
    <w:p w:rsidR="00771316" w:rsidRDefault="00D87268" w:rsidP="00C843FB">
      <w:pPr>
        <w:pStyle w:val="ParaNum"/>
        <w:widowControl/>
      </w:pPr>
      <w:r>
        <w:t xml:space="preserve">NC </w:t>
      </w:r>
      <w:r w:rsidR="00FE76C1">
        <w:t>Highway</w:t>
      </w:r>
      <w:r>
        <w:t xml:space="preserve"> Patrol</w:t>
      </w:r>
      <w:r w:rsidR="0016158F">
        <w:t xml:space="preserve"> operates a trunked radio system </w:t>
      </w:r>
      <w:r w:rsidR="00A360EC">
        <w:t xml:space="preserve">throughout the state </w:t>
      </w:r>
      <w:r w:rsidR="0016158F">
        <w:t xml:space="preserve">serving its highway patrol operations on numerous </w:t>
      </w:r>
      <w:r w:rsidR="00C2683C" w:rsidRPr="002D025A">
        <w:t xml:space="preserve">Private Land Mobile Radio (PLMR) frequencies </w:t>
      </w:r>
      <w:r w:rsidR="0020000B" w:rsidRPr="002D025A">
        <w:t>in the 806-821/851-866 MHz band (the 800 MHz band)</w:t>
      </w:r>
      <w:r w:rsidR="0016158F">
        <w:t>.</w:t>
      </w:r>
      <w:r w:rsidR="00C2683C">
        <w:rPr>
          <w:rStyle w:val="FootnoteReference"/>
          <w:spacing w:val="-2"/>
        </w:rPr>
        <w:footnoteReference w:id="3"/>
      </w:r>
      <w:r w:rsidR="00C2683C" w:rsidRPr="00C2683C">
        <w:rPr>
          <w:spacing w:val="-2"/>
        </w:rPr>
        <w:t xml:space="preserve"> </w:t>
      </w:r>
      <w:r w:rsidR="00C2683C" w:rsidRPr="00E80A38">
        <w:t xml:space="preserve"> </w:t>
      </w:r>
      <w:r w:rsidR="00B272BF">
        <w:t xml:space="preserve">It </w:t>
      </w:r>
      <w:r>
        <w:t xml:space="preserve">states that its </w:t>
      </w:r>
      <w:r w:rsidRPr="009F4D95">
        <w:t>Hibriten</w:t>
      </w:r>
      <w:r>
        <w:t xml:space="preserve"> Mountain base station, licensed under call sign </w:t>
      </w:r>
      <w:r w:rsidRPr="00D87268">
        <w:t>WQTA652</w:t>
      </w:r>
      <w:r>
        <w:t>, serves a number of public safety agencies throughout the state but has recently been unable to handle the volume of radio traffic assigned to it.</w:t>
      </w:r>
      <w:r>
        <w:rPr>
          <w:rStyle w:val="FootnoteReference"/>
        </w:rPr>
        <w:t xml:space="preserve"> </w:t>
      </w:r>
      <w:r w:rsidR="00B76097">
        <w:rPr>
          <w:rStyle w:val="FootnoteReference"/>
        </w:rPr>
        <w:footnoteReference w:id="4"/>
      </w:r>
      <w:r w:rsidR="000E0181">
        <w:t xml:space="preserve">  </w:t>
      </w:r>
      <w:r w:rsidR="009E7868">
        <w:t xml:space="preserve">In fact, NC </w:t>
      </w:r>
      <w:r w:rsidR="00FE76C1">
        <w:t>Highway</w:t>
      </w:r>
      <w:r w:rsidR="009E7868">
        <w:t xml:space="preserve"> Patrol states that users from nearby Catawaba County were recently denied use of the site due to its inability to handle additional traffic.</w:t>
      </w:r>
      <w:r w:rsidR="009E7868">
        <w:rPr>
          <w:rStyle w:val="FootnoteReference"/>
        </w:rPr>
        <w:footnoteReference w:id="5"/>
      </w:r>
    </w:p>
    <w:p w:rsidR="002F762C" w:rsidRDefault="009E7868" w:rsidP="00C843FB">
      <w:pPr>
        <w:pStyle w:val="ParaNum"/>
        <w:widowControl/>
      </w:pPr>
      <w:r>
        <w:t xml:space="preserve">Consequently, NC </w:t>
      </w:r>
      <w:r w:rsidR="00FE76C1">
        <w:t>Highway</w:t>
      </w:r>
      <w:r>
        <w:t xml:space="preserve"> Patrol seeks to license an additional channel at the </w:t>
      </w:r>
      <w:r w:rsidRPr="009F4D95">
        <w:t>Hibriten</w:t>
      </w:r>
      <w:r>
        <w:t xml:space="preserve"> Mountain site so it can return the site to “normal operations” and provide “more efficient dispatching” services to the agencies throughout the state which use its PLMR network to support their public safety </w:t>
      </w:r>
      <w:r>
        <w:lastRenderedPageBreak/>
        <w:t>radio communications.</w:t>
      </w:r>
      <w:r>
        <w:rPr>
          <w:rStyle w:val="FootnoteReference"/>
        </w:rPr>
        <w:footnoteReference w:id="6"/>
      </w:r>
      <w:r>
        <w:t xml:space="preserve">  It states, however, that it was unable to identify an available channel from the Public Safety Pool for use at the site.</w:t>
      </w:r>
      <w:r>
        <w:rPr>
          <w:rStyle w:val="FootnoteReference"/>
        </w:rPr>
        <w:footnoteReference w:id="7"/>
      </w:r>
      <w:r w:rsidRPr="009E7868">
        <w:t xml:space="preserve"> </w:t>
      </w:r>
      <w:r w:rsidR="003E4404">
        <w:t xml:space="preserve"> </w:t>
      </w:r>
    </w:p>
    <w:p w:rsidR="002F762C" w:rsidRDefault="002F762C" w:rsidP="00C843FB">
      <w:pPr>
        <w:pStyle w:val="ParaNum"/>
        <w:widowControl/>
      </w:pPr>
      <w:r>
        <w:t xml:space="preserve">Therefore, NC </w:t>
      </w:r>
      <w:r w:rsidR="00FE76C1">
        <w:t>Highway</w:t>
      </w:r>
      <w:r>
        <w:t xml:space="preserve"> Patrol seeks instead to license a channel from the B/ILT Pool to increase the capacity of its base station.</w:t>
      </w:r>
      <w:r>
        <w:rPr>
          <w:rStyle w:val="FootnoteReference"/>
        </w:rPr>
        <w:footnoteReference w:id="8"/>
      </w:r>
      <w:r>
        <w:t xml:space="preserve">  In particular, NC </w:t>
      </w:r>
      <w:r w:rsidR="00FE76C1">
        <w:t>Highway</w:t>
      </w:r>
      <w:r>
        <w:t xml:space="preserve"> Patrol seeks to license base transmit frequency 856.8125 </w:t>
      </w:r>
      <w:r w:rsidR="00B1723F">
        <w:t xml:space="preserve">MHz </w:t>
      </w:r>
      <w:r>
        <w:t xml:space="preserve">at its </w:t>
      </w:r>
      <w:r w:rsidRPr="009F4D95">
        <w:t>Hibriten</w:t>
      </w:r>
      <w:r>
        <w:t xml:space="preserve"> Mountain site.</w:t>
      </w:r>
      <w:r>
        <w:rPr>
          <w:rStyle w:val="FootnoteReference"/>
        </w:rPr>
        <w:footnoteReference w:id="9"/>
      </w:r>
      <w:r>
        <w:t xml:space="preserve">  It also seeks to license paired mobile transmit frequency 811.8125 MHz for use by associated mobile units operating within forty kilometers of the </w:t>
      </w:r>
      <w:r w:rsidRPr="009F4D95">
        <w:t>Hibriten</w:t>
      </w:r>
      <w:r>
        <w:t xml:space="preserve"> Mountain site.</w:t>
      </w:r>
      <w:r>
        <w:rPr>
          <w:rStyle w:val="FootnoteReference"/>
        </w:rPr>
        <w:footnoteReference w:id="10"/>
      </w:r>
      <w:r>
        <w:t xml:space="preserve">  </w:t>
      </w:r>
    </w:p>
    <w:p w:rsidR="002F762C" w:rsidRDefault="002F762C" w:rsidP="00C843FB">
      <w:pPr>
        <w:pStyle w:val="ParaNum"/>
        <w:widowControl/>
      </w:pPr>
      <w:r>
        <w:t>Under Section 90.617(b) of the Commission’s rules, channels from the B/ILT Pool are reserved for use by entities performing business related activities.</w:t>
      </w:r>
      <w:r>
        <w:rPr>
          <w:rStyle w:val="FootnoteReference"/>
        </w:rPr>
        <w:footnoteReference w:id="11"/>
      </w:r>
      <w:r>
        <w:t xml:space="preserve">  NC </w:t>
      </w:r>
      <w:r w:rsidR="00FE76C1">
        <w:t>Highway</w:t>
      </w:r>
      <w:r>
        <w:t xml:space="preserve"> Patrol is not eligible to license a channel from the B/ILT Pool since it intends to use the channel for public safety dispatch communications rather than business related communications</w:t>
      </w:r>
      <w:r w:rsidDel="002A2716">
        <w:rPr>
          <w:rStyle w:val="FootnoteReference"/>
        </w:rPr>
        <w:t xml:space="preserve"> </w:t>
      </w:r>
      <w:r>
        <w:t xml:space="preserve">  Channels from the Public Safety Pool are reserved for agencies like NC </w:t>
      </w:r>
      <w:r w:rsidR="00FE76C1">
        <w:t>Highway</w:t>
      </w:r>
      <w:r>
        <w:t xml:space="preserve"> Patrol which perform public safety related communications.</w:t>
      </w:r>
      <w:r>
        <w:rPr>
          <w:rStyle w:val="FootnoteReference"/>
        </w:rPr>
        <w:footnoteReference w:id="12"/>
      </w:r>
    </w:p>
    <w:p w:rsidR="002F762C" w:rsidRDefault="002F762C" w:rsidP="00C843FB">
      <w:pPr>
        <w:pStyle w:val="ParaNum"/>
        <w:widowControl/>
      </w:pPr>
      <w:r>
        <w:t>Nonetheless, Commission rules permit an entity to license a channel outside its pool category through inter-category sharing if the entity demonstrates that no channels in its pool category are available for use.</w:t>
      </w:r>
      <w:r>
        <w:rPr>
          <w:rStyle w:val="FootnoteReference"/>
        </w:rPr>
        <w:footnoteReference w:id="13"/>
      </w:r>
      <w:r>
        <w:t xml:space="preserve">  The Commission placed a freeze, however, on inter-category sharing in 1995.</w:t>
      </w:r>
      <w:r>
        <w:rPr>
          <w:rStyle w:val="FootnoteReference"/>
        </w:rPr>
        <w:footnoteReference w:id="14"/>
      </w:r>
      <w:r>
        <w:t xml:space="preserve">  NC </w:t>
      </w:r>
      <w:r w:rsidR="00FE76C1">
        <w:t>Highway</w:t>
      </w:r>
      <w:r>
        <w:t xml:space="preserve"> Patrol therefore needs a waiver of the Commission’s freeze in order to license the B/ILT Pool channel specified in its application through inter-category sharing.</w:t>
      </w:r>
    </w:p>
    <w:p w:rsidR="00203B89" w:rsidRDefault="001F1D7F" w:rsidP="00C843FB">
      <w:pPr>
        <w:pStyle w:val="ParaNum"/>
        <w:widowControl/>
      </w:pPr>
      <w:r w:rsidRPr="006D640C">
        <w:t xml:space="preserve">In support of its waiver request, </w:t>
      </w:r>
      <w:r>
        <w:t xml:space="preserve">NC </w:t>
      </w:r>
      <w:r w:rsidR="00FE76C1">
        <w:t>Highway</w:t>
      </w:r>
      <w:r>
        <w:t xml:space="preserve"> Patrol</w:t>
      </w:r>
      <w:r w:rsidRPr="006D640C">
        <w:t xml:space="preserve"> provides </w:t>
      </w:r>
      <w:r>
        <w:t xml:space="preserve">a letter from the </w:t>
      </w:r>
      <w:r w:rsidRPr="00A530F7">
        <w:t>Association of Public-Safety Communications Officials</w:t>
      </w:r>
      <w:r w:rsidR="00B1723F">
        <w:t>, International</w:t>
      </w:r>
      <w:r w:rsidRPr="00A530F7">
        <w:t xml:space="preserve"> (APCO)</w:t>
      </w:r>
      <w:r>
        <w:t>, an FCC-certified coordinator of Public Safety Pool channels,</w:t>
      </w:r>
      <w:r w:rsidRPr="00A530F7">
        <w:t xml:space="preserve"> </w:t>
      </w:r>
      <w:r>
        <w:t xml:space="preserve">stating its search for available channels for the </w:t>
      </w:r>
      <w:r w:rsidRPr="009F4D95">
        <w:t>Hibriten</w:t>
      </w:r>
      <w:r>
        <w:t xml:space="preserve"> Mountain site revealed “there are no public safety or vacated spectrum frequencies that can be assigned due to incumbents being less than 88 km away and/or short spacing issues.”</w:t>
      </w:r>
      <w:r>
        <w:rPr>
          <w:rStyle w:val="FootnoteReference"/>
        </w:rPr>
        <w:footnoteReference w:id="15"/>
      </w:r>
      <w:r>
        <w:t xml:space="preserve">  NC </w:t>
      </w:r>
      <w:r w:rsidR="00FE76C1">
        <w:t>Highway</w:t>
      </w:r>
      <w:r>
        <w:t xml:space="preserve"> Patrol also includes a letter from the </w:t>
      </w:r>
      <w:r w:rsidRPr="00E21CA9">
        <w:t>Utilities Technology Council</w:t>
      </w:r>
      <w:r>
        <w:t xml:space="preserve"> (UTC), an FCC-certified coordinator of B/ILT Pool channels, stating it concurs with coordination of the B/ILT channel at the </w:t>
      </w:r>
      <w:r w:rsidRPr="00E21CA9">
        <w:t>Hibriten Mountain site</w:t>
      </w:r>
      <w:r>
        <w:t>.</w:t>
      </w:r>
      <w:r>
        <w:rPr>
          <w:rStyle w:val="FootnoteReference"/>
        </w:rPr>
        <w:footnoteReference w:id="16"/>
      </w:r>
      <w:r w:rsidR="002F762C">
        <w:t xml:space="preserve"> </w:t>
      </w:r>
      <w:r w:rsidR="0023616F">
        <w:t xml:space="preserve">  </w:t>
      </w:r>
    </w:p>
    <w:p w:rsidR="00320119" w:rsidRDefault="00BD6791" w:rsidP="00C843FB">
      <w:pPr>
        <w:pStyle w:val="ParaNum"/>
        <w:widowControl/>
      </w:pPr>
      <w:r>
        <w:t xml:space="preserve">On </w:t>
      </w:r>
      <w:r w:rsidR="001F1D7F">
        <w:t xml:space="preserve">December 16, 2016, </w:t>
      </w:r>
      <w:r>
        <w:t>t</w:t>
      </w:r>
      <w:r w:rsidRPr="00BD6791">
        <w:t xml:space="preserve">he </w:t>
      </w:r>
      <w:r>
        <w:t xml:space="preserve">Public Safety and Homeland Security Bureau (Bureau) </w:t>
      </w:r>
      <w:r w:rsidR="005F661E">
        <w:t>released</w:t>
      </w:r>
      <w:r w:rsidR="00CA2186">
        <w:t xml:space="preserve"> a</w:t>
      </w:r>
      <w:r w:rsidR="005F661E">
        <w:t xml:space="preserve"> </w:t>
      </w:r>
      <w:r w:rsidRPr="000D7A67">
        <w:t>public notice</w:t>
      </w:r>
      <w:r w:rsidRPr="00BD6791">
        <w:t xml:space="preserve"> </w:t>
      </w:r>
      <w:r>
        <w:t xml:space="preserve">seeking comment on </w:t>
      </w:r>
      <w:r w:rsidR="00214EC7">
        <w:t xml:space="preserve">NC </w:t>
      </w:r>
      <w:r w:rsidR="00FE76C1">
        <w:t>Highway</w:t>
      </w:r>
      <w:r w:rsidR="00214EC7">
        <w:t xml:space="preserve"> Patrol</w:t>
      </w:r>
      <w:r w:rsidR="00255584">
        <w:t>’s</w:t>
      </w:r>
      <w:r>
        <w:t xml:space="preserve"> application and waiver request.</w:t>
      </w:r>
      <w:r w:rsidR="00A03229">
        <w:rPr>
          <w:rStyle w:val="FootnoteReference"/>
        </w:rPr>
        <w:footnoteReference w:id="17"/>
      </w:r>
      <w:r>
        <w:t xml:space="preserve">  </w:t>
      </w:r>
      <w:r w:rsidR="006D579C">
        <w:t xml:space="preserve">In the </w:t>
      </w:r>
      <w:r w:rsidR="006D579C" w:rsidRPr="000D7A67">
        <w:t>public notice</w:t>
      </w:r>
      <w:r w:rsidR="006D579C">
        <w:t>, t</w:t>
      </w:r>
      <w:r>
        <w:t xml:space="preserve">he Bureau </w:t>
      </w:r>
      <w:r w:rsidR="00162444">
        <w:t xml:space="preserve">requested </w:t>
      </w:r>
      <w:r w:rsidR="006D579C" w:rsidRPr="006D579C">
        <w:t xml:space="preserve">comment from any party </w:t>
      </w:r>
      <w:r w:rsidR="00830B73">
        <w:t xml:space="preserve">that </w:t>
      </w:r>
      <w:r w:rsidR="006D579C" w:rsidRPr="006D579C">
        <w:t xml:space="preserve">would be affected by </w:t>
      </w:r>
      <w:r w:rsidR="00214EC7">
        <w:t xml:space="preserve">NC </w:t>
      </w:r>
      <w:r w:rsidR="00FE76C1">
        <w:t>Highway</w:t>
      </w:r>
      <w:r w:rsidR="00214EC7">
        <w:t xml:space="preserve"> Patrol</w:t>
      </w:r>
      <w:r w:rsidR="006D579C" w:rsidRPr="006D579C">
        <w:t>’s use of th</w:t>
      </w:r>
      <w:r w:rsidR="006D579C">
        <w:t xml:space="preserve">e B/ILT </w:t>
      </w:r>
      <w:r w:rsidR="006D579C" w:rsidRPr="006D579C">
        <w:t xml:space="preserve">frequency at its </w:t>
      </w:r>
      <w:r w:rsidR="001F1D7F" w:rsidRPr="00E21CA9">
        <w:t xml:space="preserve">Hibriten Mountain </w:t>
      </w:r>
      <w:r w:rsidR="006D579C" w:rsidRPr="006D579C">
        <w:t>site.</w:t>
      </w:r>
      <w:r w:rsidR="006D579C">
        <w:rPr>
          <w:rStyle w:val="FootnoteReference"/>
        </w:rPr>
        <w:footnoteReference w:id="18"/>
      </w:r>
      <w:r w:rsidR="006D579C">
        <w:t xml:space="preserve">  The Bureau </w:t>
      </w:r>
      <w:r>
        <w:t xml:space="preserve">received </w:t>
      </w:r>
      <w:r w:rsidR="006D579C">
        <w:t xml:space="preserve">no </w:t>
      </w:r>
      <w:r>
        <w:t>comment</w:t>
      </w:r>
      <w:r w:rsidR="006D579C">
        <w:t>s.</w:t>
      </w:r>
      <w:r w:rsidR="002164BA">
        <w:t xml:space="preserve">  </w:t>
      </w:r>
    </w:p>
    <w:p w:rsidR="00320119" w:rsidRDefault="003622DA" w:rsidP="00C843FB">
      <w:pPr>
        <w:pStyle w:val="Heading1"/>
        <w:widowControl/>
      </w:pPr>
      <w:r>
        <w:t>Discussion</w:t>
      </w:r>
    </w:p>
    <w:p w:rsidR="003622DA" w:rsidRPr="005B4569" w:rsidRDefault="003622DA" w:rsidP="00C843FB">
      <w:pPr>
        <w:pStyle w:val="ParaNum"/>
        <w:widowControl/>
      </w:pPr>
      <w:r w:rsidRPr="00351121">
        <w:rPr>
          <w:spacing w:val="-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sidRPr="00351121">
        <w:rPr>
          <w:spacing w:val="-2"/>
          <w:vertAlign w:val="superscript"/>
        </w:rPr>
        <w:footnoteReference w:id="19"/>
      </w:r>
      <w:r w:rsidRPr="00351121">
        <w:rPr>
          <w:spacing w:val="-2"/>
        </w:rPr>
        <w:t xml:space="preserve"> or (ii) in view of unique or unusual factual circumstances of the instant case, application of the rule(s) would be inequitable, unduly burdensome, or contrary to the public interest, or the applicant has no reasonable alternative.</w:t>
      </w:r>
      <w:r w:rsidRPr="00351121">
        <w:rPr>
          <w:spacing w:val="-2"/>
          <w:vertAlign w:val="superscript"/>
        </w:rPr>
        <w:footnoteReference w:id="20"/>
      </w:r>
      <w:r>
        <w:rPr>
          <w:spacing w:val="-2"/>
        </w:rPr>
        <w:t xml:space="preserve">  We conclude that </w:t>
      </w:r>
      <w:r w:rsidR="00126105">
        <w:rPr>
          <w:spacing w:val="-2"/>
        </w:rPr>
        <w:t xml:space="preserve">NC </w:t>
      </w:r>
      <w:r w:rsidR="00FE76C1">
        <w:rPr>
          <w:spacing w:val="-2"/>
        </w:rPr>
        <w:t>Highway</w:t>
      </w:r>
      <w:r w:rsidR="00126105">
        <w:rPr>
          <w:spacing w:val="-2"/>
        </w:rPr>
        <w:t xml:space="preserve"> Patrol </w:t>
      </w:r>
      <w:r w:rsidRPr="00351121">
        <w:rPr>
          <w:spacing w:val="-2"/>
        </w:rPr>
        <w:t xml:space="preserve">has demonstrated that its request should be granted under the </w:t>
      </w:r>
      <w:r>
        <w:rPr>
          <w:spacing w:val="-2"/>
        </w:rPr>
        <w:t xml:space="preserve">first prong of the waiver standard.  </w:t>
      </w:r>
    </w:p>
    <w:p w:rsidR="005B4569" w:rsidRPr="003622DA" w:rsidRDefault="005B4569" w:rsidP="00C843FB">
      <w:pPr>
        <w:pStyle w:val="ParaNum"/>
        <w:widowControl/>
      </w:pPr>
      <w:r>
        <w:rPr>
          <w:spacing w:val="-2"/>
        </w:rPr>
        <w:t xml:space="preserve">Section 90.621(e) of the Commission’s rules governing inter-category sharing </w:t>
      </w:r>
      <w:r w:rsidR="00214EC7">
        <w:rPr>
          <w:spacing w:val="-2"/>
        </w:rPr>
        <w:t>state</w:t>
      </w:r>
      <w:r w:rsidR="008F34DF">
        <w:rPr>
          <w:spacing w:val="-2"/>
        </w:rPr>
        <w:t>s in pertinent part</w:t>
      </w:r>
      <w:r w:rsidR="00214EC7">
        <w:rPr>
          <w:spacing w:val="-2"/>
        </w:rPr>
        <w:t xml:space="preserve"> that B/ILT Pool channels </w:t>
      </w:r>
      <w:r w:rsidR="008F34DF">
        <w:rPr>
          <w:spacing w:val="-2"/>
        </w:rPr>
        <w:t xml:space="preserve">will be </w:t>
      </w:r>
      <w:r>
        <w:t xml:space="preserve">available for inter-category sharing </w:t>
      </w:r>
      <w:r w:rsidR="00214EC7">
        <w:t xml:space="preserve">if </w:t>
      </w:r>
      <w:r>
        <w:t xml:space="preserve">no frequencies </w:t>
      </w:r>
      <w:r w:rsidR="00214EC7">
        <w:t xml:space="preserve">are available for licensing </w:t>
      </w:r>
      <w:r w:rsidR="00F857CB">
        <w:t xml:space="preserve">to </w:t>
      </w:r>
      <w:r w:rsidR="00214EC7">
        <w:t>an applicant</w:t>
      </w:r>
      <w:r w:rsidR="00F857CB">
        <w:t xml:space="preserve"> in it</w:t>
      </w:r>
      <w:r w:rsidR="00214EC7">
        <w:t xml:space="preserve">s </w:t>
      </w:r>
      <w:r>
        <w:t xml:space="preserve">own </w:t>
      </w:r>
      <w:r w:rsidR="00D92575">
        <w:t xml:space="preserve">pool </w:t>
      </w:r>
      <w:r>
        <w:t>category</w:t>
      </w:r>
      <w:r w:rsidR="00F857CB">
        <w:t>.</w:t>
      </w:r>
      <w:r w:rsidR="00FE370B">
        <w:rPr>
          <w:rStyle w:val="FootnoteReference"/>
        </w:rPr>
        <w:footnoteReference w:id="21"/>
      </w:r>
      <w:r w:rsidR="00F857CB">
        <w:t xml:space="preserve">  To that end, an applicant </w:t>
      </w:r>
      <w:r w:rsidR="00EA6D0E">
        <w:t xml:space="preserve">must </w:t>
      </w:r>
      <w:r w:rsidR="00F857CB">
        <w:t>include with its application a statement from its frequency coordinator certifying to the lack of available in-pool channels.</w:t>
      </w:r>
      <w:r w:rsidR="00FE370B">
        <w:rPr>
          <w:rStyle w:val="FootnoteReference"/>
        </w:rPr>
        <w:footnoteReference w:id="22"/>
      </w:r>
      <w:r w:rsidR="00F857CB">
        <w:t xml:space="preserve">  Furthermore, applicants seeking to license B/ILT Pool channels through inter-category sharing are required to </w:t>
      </w:r>
      <w:r w:rsidR="008F34DF">
        <w:t>obtain coordination from a frequency coordinator eligible to coordinate channels from the B/ILT Pool</w:t>
      </w:r>
      <w:r>
        <w:t>.</w:t>
      </w:r>
      <w:r w:rsidR="00214EC7" w:rsidRPr="00214EC7">
        <w:rPr>
          <w:rStyle w:val="FootnoteReference"/>
          <w:spacing w:val="-2"/>
        </w:rPr>
        <w:t xml:space="preserve"> </w:t>
      </w:r>
      <w:r w:rsidR="00214EC7">
        <w:rPr>
          <w:rStyle w:val="FootnoteReference"/>
          <w:spacing w:val="-2"/>
        </w:rPr>
        <w:footnoteReference w:id="23"/>
      </w:r>
    </w:p>
    <w:p w:rsidR="000E596C" w:rsidRDefault="005B4569" w:rsidP="00C843FB">
      <w:pPr>
        <w:pStyle w:val="ParaNum"/>
        <w:widowControl/>
      </w:pPr>
      <w:r>
        <w:t xml:space="preserve">We find </w:t>
      </w:r>
      <w:r w:rsidR="00D92575">
        <w:t xml:space="preserve">NC </w:t>
      </w:r>
      <w:r w:rsidR="00FE76C1">
        <w:t>Highway</w:t>
      </w:r>
      <w:r w:rsidR="00D92575">
        <w:t xml:space="preserve"> Patrol </w:t>
      </w:r>
      <w:r>
        <w:t>satisfie</w:t>
      </w:r>
      <w:r w:rsidR="00EA6D0E">
        <w:t xml:space="preserve">s </w:t>
      </w:r>
      <w:r>
        <w:t xml:space="preserve">the provisions of Section 90.621(e).  Its frequency coordinator, APCO, </w:t>
      </w:r>
      <w:r w:rsidR="000E596C">
        <w:t xml:space="preserve">states “there are no </w:t>
      </w:r>
      <w:r w:rsidR="000E596C" w:rsidRPr="00F32C3F">
        <w:rPr>
          <w:spacing w:val="-2"/>
        </w:rPr>
        <w:t xml:space="preserve">public safety or vacated spectrum frequencies that can be assigned” at NC </w:t>
      </w:r>
      <w:r w:rsidR="00FE76C1">
        <w:rPr>
          <w:spacing w:val="-2"/>
        </w:rPr>
        <w:t>Highway</w:t>
      </w:r>
      <w:r w:rsidR="00571145">
        <w:rPr>
          <w:spacing w:val="-2"/>
        </w:rPr>
        <w:t xml:space="preserve"> Patrol</w:t>
      </w:r>
      <w:r w:rsidR="000E596C" w:rsidRPr="00F32C3F">
        <w:rPr>
          <w:spacing w:val="-2"/>
        </w:rPr>
        <w:t>’s Hibr</w:t>
      </w:r>
      <w:r w:rsidR="004B49B2">
        <w:rPr>
          <w:spacing w:val="-2"/>
        </w:rPr>
        <w:t>i</w:t>
      </w:r>
      <w:r w:rsidR="000E596C" w:rsidRPr="00F32C3F">
        <w:rPr>
          <w:spacing w:val="-2"/>
        </w:rPr>
        <w:t>ten Mountain site due to “short spacing issues.</w:t>
      </w:r>
      <w:r>
        <w:t>”</w:t>
      </w:r>
      <w:r w:rsidR="00F32C3F">
        <w:rPr>
          <w:rStyle w:val="FootnoteReference"/>
        </w:rPr>
        <w:footnoteReference w:id="24"/>
      </w:r>
      <w:r w:rsidR="000E596C">
        <w:t xml:space="preserve">  </w:t>
      </w:r>
      <w:r w:rsidR="00A72635">
        <w:t xml:space="preserve">APCO </w:t>
      </w:r>
      <w:r w:rsidR="00571145">
        <w:t xml:space="preserve">attached a </w:t>
      </w:r>
      <w:r w:rsidR="00A72635">
        <w:t xml:space="preserve">frequency search </w:t>
      </w:r>
      <w:r w:rsidR="00571145">
        <w:t xml:space="preserve">to </w:t>
      </w:r>
      <w:r w:rsidR="00430292">
        <w:t xml:space="preserve">the </w:t>
      </w:r>
      <w:r w:rsidR="00571145">
        <w:t xml:space="preserve">application </w:t>
      </w:r>
      <w:r w:rsidR="00A72635">
        <w:t>to support its statement regarding the lack of available in-pool channels.</w:t>
      </w:r>
      <w:r w:rsidR="00571145">
        <w:rPr>
          <w:rStyle w:val="FootnoteReference"/>
        </w:rPr>
        <w:footnoteReference w:id="25"/>
      </w:r>
      <w:r w:rsidR="00A72635">
        <w:t xml:space="preserve">  </w:t>
      </w:r>
      <w:r w:rsidR="005A2511">
        <w:t xml:space="preserve">NC </w:t>
      </w:r>
      <w:r w:rsidR="00FE76C1">
        <w:t>Highway</w:t>
      </w:r>
      <w:r w:rsidR="005A2511">
        <w:t xml:space="preserve"> Patrol also includes with its application a letter from UTC, a</w:t>
      </w:r>
      <w:r w:rsidR="00F32C3F">
        <w:t xml:space="preserve"> frequency</w:t>
      </w:r>
      <w:r w:rsidR="005A2511">
        <w:t xml:space="preserve"> coordinator eligible to coordinate B/ILT Pool channels, </w:t>
      </w:r>
      <w:r w:rsidR="008B3BA4">
        <w:t xml:space="preserve">certifying </w:t>
      </w:r>
      <w:r w:rsidR="00F32C3F">
        <w:t xml:space="preserve">that NC </w:t>
      </w:r>
      <w:r w:rsidR="00FE76C1">
        <w:t>Highway</w:t>
      </w:r>
      <w:r w:rsidR="00F32C3F">
        <w:t xml:space="preserve"> Patrol’s proposed operation on the B/ILT Pool channel would comply with </w:t>
      </w:r>
      <w:r w:rsidR="00B37DDC">
        <w:t xml:space="preserve">Commission rules </w:t>
      </w:r>
      <w:r w:rsidR="00F32C3F">
        <w:t>“with regard to distance separation.”</w:t>
      </w:r>
      <w:r w:rsidR="00041C3E">
        <w:rPr>
          <w:rStyle w:val="FootnoteReference"/>
          <w:spacing w:val="-2"/>
        </w:rPr>
        <w:footnoteReference w:id="26"/>
      </w:r>
      <w:r w:rsidR="00DC70BC">
        <w:t xml:space="preserve">  </w:t>
      </w:r>
    </w:p>
    <w:p w:rsidR="007A2AA7" w:rsidRPr="007A2AA7" w:rsidRDefault="00A474BA" w:rsidP="00C843FB">
      <w:pPr>
        <w:pStyle w:val="ParaNum"/>
        <w:widowControl/>
      </w:pPr>
      <w:r>
        <w:t xml:space="preserve">Hence, NC </w:t>
      </w:r>
      <w:r w:rsidR="00FE76C1">
        <w:t>Highway</w:t>
      </w:r>
      <w:r>
        <w:t xml:space="preserve"> Patrol satisfies the requirements of Section 90.621(e) of the Commission’s rules as it pertains to licensing of </w:t>
      </w:r>
      <w:r w:rsidR="00CB48BE">
        <w:t xml:space="preserve">a </w:t>
      </w:r>
      <w:r>
        <w:t>B/ILT Pool channel through</w:t>
      </w:r>
      <w:r w:rsidR="00DC70BC">
        <w:t xml:space="preserve"> inter</w:t>
      </w:r>
      <w:r w:rsidR="00A0253D">
        <w:t>-</w:t>
      </w:r>
      <w:r w:rsidR="00DC70BC">
        <w:t xml:space="preserve">category sharing. </w:t>
      </w:r>
      <w:r w:rsidR="005811F6">
        <w:t xml:space="preserve"> </w:t>
      </w:r>
      <w:r>
        <w:t>In order to grant N</w:t>
      </w:r>
      <w:r w:rsidR="00CB48BE">
        <w:t xml:space="preserve">C </w:t>
      </w:r>
      <w:r w:rsidR="00FE76C1">
        <w:t>Highway</w:t>
      </w:r>
      <w:r w:rsidR="00CB48BE">
        <w:t xml:space="preserve"> Patrol’s</w:t>
      </w:r>
      <w:r>
        <w:t xml:space="preserve"> application, h</w:t>
      </w:r>
      <w:r w:rsidR="005811F6">
        <w:t xml:space="preserve">owever, we must determine whether </w:t>
      </w:r>
      <w:r w:rsidR="00A0253D">
        <w:t xml:space="preserve">or not </w:t>
      </w:r>
      <w:r w:rsidR="00CB48BE">
        <w:t xml:space="preserve">it </w:t>
      </w:r>
      <w:r w:rsidR="00B15273">
        <w:t xml:space="preserve">merits </w:t>
      </w:r>
      <w:r w:rsidR="005811F6">
        <w:t xml:space="preserve">a waiver of the </w:t>
      </w:r>
      <w:r w:rsidR="007A2AA7">
        <w:t xml:space="preserve">1995 freeze on the acceptance of </w:t>
      </w:r>
      <w:r>
        <w:t xml:space="preserve">applications for </w:t>
      </w:r>
      <w:r w:rsidR="007A2AA7">
        <w:t>inter</w:t>
      </w:r>
      <w:r w:rsidR="00A0253D">
        <w:t>-</w:t>
      </w:r>
      <w:r w:rsidR="007A2AA7">
        <w:t>category sharing.</w:t>
      </w:r>
    </w:p>
    <w:p w:rsidR="007A2AA7" w:rsidRPr="007A2AA7" w:rsidRDefault="007A2AA7" w:rsidP="00C843FB">
      <w:pPr>
        <w:pStyle w:val="ParaNum"/>
        <w:widowControl/>
      </w:pPr>
      <w:r>
        <w:rPr>
          <w:spacing w:val="-2"/>
        </w:rPr>
        <w:t xml:space="preserve">The inter-category sharing application freeze was put into place because Specialized Mobile Radio </w:t>
      </w:r>
      <w:r w:rsidR="00796A0B">
        <w:rPr>
          <w:spacing w:val="-2"/>
        </w:rPr>
        <w:t xml:space="preserve">(SMR) </w:t>
      </w:r>
      <w:r>
        <w:rPr>
          <w:spacing w:val="-2"/>
        </w:rPr>
        <w:t xml:space="preserve">applicants </w:t>
      </w:r>
      <w:r w:rsidR="00B1723F">
        <w:rPr>
          <w:spacing w:val="-2"/>
        </w:rPr>
        <w:t xml:space="preserve">had </w:t>
      </w:r>
      <w:r>
        <w:rPr>
          <w:spacing w:val="-2"/>
        </w:rPr>
        <w:t xml:space="preserve">obtained numerous </w:t>
      </w:r>
      <w:r w:rsidR="00BF5A35">
        <w:rPr>
          <w:spacing w:val="-2"/>
        </w:rPr>
        <w:t xml:space="preserve">authorizations through </w:t>
      </w:r>
      <w:r>
        <w:rPr>
          <w:spacing w:val="-2"/>
        </w:rPr>
        <w:t>inter</w:t>
      </w:r>
      <w:r w:rsidR="00BF5A35">
        <w:rPr>
          <w:spacing w:val="-2"/>
        </w:rPr>
        <w:t>-</w:t>
      </w:r>
      <w:r>
        <w:rPr>
          <w:spacing w:val="-2"/>
        </w:rPr>
        <w:t>category sharing primarily for channels in the B/ILT Pool, leading to a shortage of B/ILT Pool channels</w:t>
      </w:r>
      <w:r w:rsidR="00796A0B">
        <w:rPr>
          <w:spacing w:val="-2"/>
        </w:rPr>
        <w:t>.</w:t>
      </w:r>
      <w:r w:rsidR="002F7B7E">
        <w:rPr>
          <w:rStyle w:val="FootnoteReference"/>
          <w:spacing w:val="-2"/>
        </w:rPr>
        <w:footnoteReference w:id="27"/>
      </w:r>
      <w:r w:rsidR="00796A0B">
        <w:rPr>
          <w:spacing w:val="-2"/>
        </w:rPr>
        <w:t xml:space="preserve"> </w:t>
      </w:r>
      <w:r w:rsidR="00EF79C6">
        <w:rPr>
          <w:spacing w:val="-2"/>
        </w:rPr>
        <w:t xml:space="preserve"> </w:t>
      </w:r>
      <w:r w:rsidR="00796A0B">
        <w:rPr>
          <w:spacing w:val="-2"/>
        </w:rPr>
        <w:t>This, in turn, led to “</w:t>
      </w:r>
      <w:r w:rsidR="00796A0B" w:rsidRPr="00796A0B">
        <w:rPr>
          <w:spacing w:val="-2"/>
        </w:rPr>
        <w:t>a dramatic increase</w:t>
      </w:r>
      <w:r w:rsidR="00BF5A35">
        <w:rPr>
          <w:spacing w:val="-2"/>
        </w:rPr>
        <w:t>”</w:t>
      </w:r>
      <w:r w:rsidR="00796A0B" w:rsidRPr="00796A0B">
        <w:rPr>
          <w:spacing w:val="-2"/>
        </w:rPr>
        <w:t xml:space="preserve"> in the number of B</w:t>
      </w:r>
      <w:r w:rsidR="00BF5A35">
        <w:rPr>
          <w:spacing w:val="-2"/>
        </w:rPr>
        <w:t xml:space="preserve">/ILT </w:t>
      </w:r>
      <w:r w:rsidR="00796A0B" w:rsidRPr="00796A0B">
        <w:rPr>
          <w:spacing w:val="-2"/>
        </w:rPr>
        <w:t xml:space="preserve">entities </w:t>
      </w:r>
      <w:r w:rsidR="00BF5A35">
        <w:rPr>
          <w:spacing w:val="-2"/>
        </w:rPr>
        <w:t xml:space="preserve">seeking to license Public Safety Pool channels through </w:t>
      </w:r>
      <w:r w:rsidR="00796A0B" w:rsidRPr="00796A0B">
        <w:rPr>
          <w:spacing w:val="-2"/>
        </w:rPr>
        <w:t>inter-category sharing</w:t>
      </w:r>
      <w:r w:rsidR="00EF79C6">
        <w:rPr>
          <w:spacing w:val="-2"/>
        </w:rPr>
        <w:t>.</w:t>
      </w:r>
      <w:r w:rsidR="002F7B7E">
        <w:rPr>
          <w:rStyle w:val="FootnoteReference"/>
          <w:spacing w:val="-2"/>
        </w:rPr>
        <w:footnoteReference w:id="28"/>
      </w:r>
      <w:r w:rsidR="00796A0B">
        <w:rPr>
          <w:spacing w:val="-2"/>
        </w:rPr>
        <w:t xml:space="preserve"> </w:t>
      </w:r>
      <w:r w:rsidR="002047DF">
        <w:rPr>
          <w:spacing w:val="-2"/>
        </w:rPr>
        <w:t xml:space="preserve"> </w:t>
      </w:r>
      <w:r w:rsidR="00BF5A35">
        <w:rPr>
          <w:spacing w:val="-2"/>
        </w:rPr>
        <w:t>Thus, t</w:t>
      </w:r>
      <w:r w:rsidR="002047DF">
        <w:rPr>
          <w:spacing w:val="-2"/>
        </w:rPr>
        <w:t>o “</w:t>
      </w:r>
      <w:r w:rsidR="002047DF" w:rsidRPr="002047DF">
        <w:rPr>
          <w:spacing w:val="-2"/>
        </w:rPr>
        <w:t>ensure that adequate frequencies are made available to public safety licensees</w:t>
      </w:r>
      <w:r w:rsidR="002047DF">
        <w:rPr>
          <w:spacing w:val="-2"/>
        </w:rPr>
        <w:t>”</w:t>
      </w:r>
      <w:r w:rsidR="002F7B7E">
        <w:rPr>
          <w:rStyle w:val="FootnoteReference"/>
          <w:spacing w:val="-2"/>
        </w:rPr>
        <w:footnoteReference w:id="29"/>
      </w:r>
      <w:r w:rsidR="002047DF">
        <w:rPr>
          <w:spacing w:val="-2"/>
        </w:rPr>
        <w:t xml:space="preserve"> and in recognition that the “</w:t>
      </w:r>
      <w:r w:rsidR="002047DF" w:rsidRPr="002047DF">
        <w:rPr>
          <w:spacing w:val="-2"/>
        </w:rPr>
        <w:t>Congress also is concerned with the adequacy of spectrum to meet the communications needs of public service agencies</w:t>
      </w:r>
      <w:r w:rsidR="002047DF">
        <w:rPr>
          <w:spacing w:val="-2"/>
        </w:rPr>
        <w:t xml:space="preserve">,” the Wireless Telecommunications Bureau stemmed the encroachment of </w:t>
      </w:r>
      <w:r w:rsidR="009D78A8">
        <w:rPr>
          <w:spacing w:val="-2"/>
        </w:rPr>
        <w:t xml:space="preserve">B/ILT </w:t>
      </w:r>
      <w:r w:rsidR="002047DF">
        <w:rPr>
          <w:spacing w:val="-2"/>
        </w:rPr>
        <w:t>licensees into Public Safety Pool spectrum by imposing the freeze.</w:t>
      </w:r>
      <w:r w:rsidR="006B779E" w:rsidRPr="006B779E">
        <w:rPr>
          <w:rStyle w:val="FootnoteReference"/>
          <w:spacing w:val="-2"/>
        </w:rPr>
        <w:t xml:space="preserve"> </w:t>
      </w:r>
      <w:r w:rsidR="006B779E">
        <w:rPr>
          <w:rStyle w:val="FootnoteReference"/>
          <w:spacing w:val="-2"/>
        </w:rPr>
        <w:footnoteReference w:id="30"/>
      </w:r>
      <w:r w:rsidR="002047DF">
        <w:rPr>
          <w:spacing w:val="-2"/>
        </w:rPr>
        <w:t xml:space="preserve">  </w:t>
      </w:r>
      <w:r w:rsidR="002047DF" w:rsidRPr="002047DF">
        <w:rPr>
          <w:spacing w:val="-2"/>
        </w:rPr>
        <w:t xml:space="preserve"> </w:t>
      </w:r>
      <w:r w:rsidR="00AF11B0">
        <w:rPr>
          <w:noProof/>
          <w:vanish/>
          <w:spacing w:val="-2"/>
        </w:rPr>
        <w:drawing>
          <wp:inline distT="0" distB="0" distL="0" distR="0">
            <wp:extent cx="914400" cy="228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6F66B2" w:rsidRDefault="002047DF" w:rsidP="00C843FB">
      <w:pPr>
        <w:pStyle w:val="ParaNum"/>
        <w:widowControl/>
      </w:pPr>
      <w:r>
        <w:t>To grant N</w:t>
      </w:r>
      <w:r w:rsidR="006F66D0">
        <w:t xml:space="preserve">C </w:t>
      </w:r>
      <w:r w:rsidR="00FE76C1">
        <w:t>Highway</w:t>
      </w:r>
      <w:r w:rsidR="006F66D0">
        <w:t xml:space="preserve"> Patrol </w:t>
      </w:r>
      <w:r>
        <w:t>a waiver of the inter-category sharing freeze under the first prong of the waiver standard, we must determine whether “</w:t>
      </w:r>
      <w:r w:rsidRPr="002047DF">
        <w:t xml:space="preserve">the underlying purpose of the </w:t>
      </w:r>
      <w:r>
        <w:t>[freeze]</w:t>
      </w:r>
      <w:r w:rsidRPr="002047DF">
        <w:t xml:space="preserve"> would not be served or would be frustrated by application to the present case, and that a grant of the waiver would be in the public interes</w:t>
      </w:r>
      <w:r>
        <w:t>t.”</w:t>
      </w:r>
      <w:r w:rsidR="006F66D0" w:rsidRPr="006F66D0">
        <w:rPr>
          <w:spacing w:val="-2"/>
          <w:vertAlign w:val="superscript"/>
        </w:rPr>
        <w:t xml:space="preserve"> </w:t>
      </w:r>
      <w:r w:rsidR="006F66D0" w:rsidRPr="00351121">
        <w:rPr>
          <w:spacing w:val="-2"/>
          <w:vertAlign w:val="superscript"/>
        </w:rPr>
        <w:footnoteReference w:id="31"/>
      </w:r>
      <w:r w:rsidR="006F66D0" w:rsidRPr="00351121">
        <w:rPr>
          <w:spacing w:val="-2"/>
        </w:rPr>
        <w:t xml:space="preserve"> </w:t>
      </w:r>
      <w:r>
        <w:t xml:space="preserve"> Because the underlying purpose of the freeze was to protect </w:t>
      </w:r>
      <w:r w:rsidR="009D78A8">
        <w:t xml:space="preserve">the Public Safety Pool channels against inter-category sharing applications from </w:t>
      </w:r>
      <w:r w:rsidR="00C843FB">
        <w:t xml:space="preserve">SMR </w:t>
      </w:r>
      <w:r w:rsidR="009D78A8">
        <w:t>applicants</w:t>
      </w:r>
      <w:r w:rsidR="00C843FB">
        <w:t>,</w:t>
      </w:r>
      <w:r w:rsidR="002E0B5A">
        <w:t xml:space="preserve"> </w:t>
      </w:r>
      <w:r w:rsidR="009D78A8">
        <w:t>we find that applying the freeze to N</w:t>
      </w:r>
      <w:r w:rsidR="006F66D0">
        <w:t xml:space="preserve">C </w:t>
      </w:r>
      <w:r w:rsidR="00FE76C1">
        <w:t>Highway</w:t>
      </w:r>
      <w:r w:rsidR="006F66D0">
        <w:t xml:space="preserve"> Patrol’s</w:t>
      </w:r>
      <w:r w:rsidR="009D78A8">
        <w:t xml:space="preserve"> application would not serve the purpose of the freeze</w:t>
      </w:r>
      <w:r w:rsidR="00037F0F">
        <w:t>.</w:t>
      </w:r>
      <w:r w:rsidR="009D78A8">
        <w:t xml:space="preserve">  We also find that granting N</w:t>
      </w:r>
      <w:r w:rsidR="006F66D0">
        <w:t xml:space="preserve">C </w:t>
      </w:r>
      <w:r w:rsidR="00FE76C1">
        <w:t>Highway</w:t>
      </w:r>
      <w:r w:rsidR="006F66D0">
        <w:t xml:space="preserve"> Patrol’s </w:t>
      </w:r>
      <w:r w:rsidR="009D78A8">
        <w:t xml:space="preserve">application would further the public interest by </w:t>
      </w:r>
      <w:r w:rsidR="006F66D0">
        <w:t xml:space="preserve">allowing NC </w:t>
      </w:r>
      <w:r w:rsidR="00FE76C1">
        <w:t>Highway</w:t>
      </w:r>
      <w:r w:rsidR="006F66D0">
        <w:t xml:space="preserve"> Patrol to return its </w:t>
      </w:r>
      <w:r w:rsidR="006F66D0" w:rsidRPr="00F32C3F">
        <w:rPr>
          <w:spacing w:val="-2"/>
        </w:rPr>
        <w:t>Hibr</w:t>
      </w:r>
      <w:r w:rsidR="001D0DA2">
        <w:rPr>
          <w:spacing w:val="-2"/>
        </w:rPr>
        <w:t>i</w:t>
      </w:r>
      <w:r w:rsidR="006F66D0" w:rsidRPr="00F32C3F">
        <w:rPr>
          <w:spacing w:val="-2"/>
        </w:rPr>
        <w:t xml:space="preserve">ten Mountain site </w:t>
      </w:r>
      <w:r w:rsidR="006F66D0">
        <w:rPr>
          <w:spacing w:val="-2"/>
        </w:rPr>
        <w:t xml:space="preserve">to </w:t>
      </w:r>
      <w:r w:rsidR="006F66D0">
        <w:t xml:space="preserve">“normal operations” in order to provide “more efficient dispatching” </w:t>
      </w:r>
      <w:r w:rsidR="009F2878">
        <w:t>to the public safety agencies which use its site for their radio communications.</w:t>
      </w:r>
      <w:r w:rsidR="009F2878">
        <w:rPr>
          <w:rStyle w:val="FootnoteReference"/>
        </w:rPr>
        <w:footnoteReference w:id="32"/>
      </w:r>
      <w:r w:rsidR="009F2878">
        <w:t xml:space="preserve">  </w:t>
      </w:r>
      <w:r w:rsidR="00037F0F">
        <w:t>Therefore</w:t>
      </w:r>
      <w:r w:rsidR="00B15273">
        <w:t>, consistent with precedent,</w:t>
      </w:r>
      <w:r w:rsidR="00EF79C6">
        <w:rPr>
          <w:rStyle w:val="FootnoteReference"/>
        </w:rPr>
        <w:footnoteReference w:id="33"/>
      </w:r>
      <w:r w:rsidR="00B15273">
        <w:t xml:space="preserve"> we grant N</w:t>
      </w:r>
      <w:r w:rsidR="009F2878">
        <w:t xml:space="preserve">C </w:t>
      </w:r>
      <w:r w:rsidR="00FE76C1">
        <w:t>Highway</w:t>
      </w:r>
      <w:r w:rsidR="009F2878">
        <w:t xml:space="preserve"> Patrol </w:t>
      </w:r>
      <w:r w:rsidR="00B15273">
        <w:t xml:space="preserve">a waiver of the freeze on inter-category sharing and order that its application be processed </w:t>
      </w:r>
      <w:r w:rsidR="009F2878">
        <w:t>accordingly</w:t>
      </w:r>
      <w:r w:rsidR="00B15273">
        <w:t>.</w:t>
      </w:r>
    </w:p>
    <w:p w:rsidR="0074239C" w:rsidRDefault="0074239C" w:rsidP="00C843FB">
      <w:pPr>
        <w:pStyle w:val="Heading1"/>
        <w:widowControl/>
      </w:pPr>
      <w:r>
        <w:t>Ordering clauses</w:t>
      </w:r>
    </w:p>
    <w:p w:rsidR="00CD710B" w:rsidRDefault="00CD710B" w:rsidP="00FD5D4A">
      <w:pPr>
        <w:pStyle w:val="ParaNum"/>
      </w:pPr>
      <w:r>
        <w:t>Accordingly, IT IS ORDERED</w:t>
      </w:r>
      <w:r w:rsidR="00EE6631">
        <w:t>, pursuant to Section</w:t>
      </w:r>
      <w:r w:rsidR="003A1EEA">
        <w:t>s</w:t>
      </w:r>
      <w:r w:rsidR="00EE6631">
        <w:t xml:space="preserve"> 4(i) </w:t>
      </w:r>
      <w:r w:rsidR="003A1EEA">
        <w:t xml:space="preserve">and 303(c) </w:t>
      </w:r>
      <w:r w:rsidR="00EE6631">
        <w:t>of the Communications Act of 1934</w:t>
      </w:r>
      <w:r w:rsidR="001D6794">
        <w:t xml:space="preserve">, as amended, 47 U.S.C. </w:t>
      </w:r>
      <w:r w:rsidR="003A1EEA">
        <w:t xml:space="preserve">§§ </w:t>
      </w:r>
      <w:r w:rsidR="00EE6631">
        <w:t>154(i)</w:t>
      </w:r>
      <w:r w:rsidR="001D6794">
        <w:t xml:space="preserve">, 303(c), and Section 1.925 of the Commission’s rules, 47 CFR § 1.925, </w:t>
      </w:r>
      <w:r>
        <w:t xml:space="preserve">that the waiver request associated with ULS </w:t>
      </w:r>
      <w:r w:rsidRPr="00C6523A">
        <w:t xml:space="preserve">File No. </w:t>
      </w:r>
      <w:r w:rsidR="00FD5D4A" w:rsidRPr="00FD5D4A">
        <w:rPr>
          <w:spacing w:val="-2"/>
        </w:rPr>
        <w:t>0006965513</w:t>
      </w:r>
      <w:r>
        <w:t xml:space="preserve"> filed by </w:t>
      </w:r>
      <w:r w:rsidR="00612FF7">
        <w:t xml:space="preserve">the </w:t>
      </w:r>
      <w:r w:rsidR="00D73AC5" w:rsidRPr="00D73AC5">
        <w:t>North Carolina State Highway Patrol</w:t>
      </w:r>
      <w:r>
        <w:t xml:space="preserve">, </w:t>
      </w:r>
      <w:r w:rsidR="00AD0E56">
        <w:t>IS</w:t>
      </w:r>
      <w:r>
        <w:t xml:space="preserve"> GRANTED and the associated application SHALL BE PROCESSED accordingly</w:t>
      </w:r>
      <w:r w:rsidRPr="00367CC7">
        <w:rPr>
          <w:spacing w:val="-2"/>
        </w:rPr>
        <w:t>.</w:t>
      </w:r>
    </w:p>
    <w:p w:rsidR="00C843FB" w:rsidRDefault="00C843FB">
      <w:pPr>
        <w:widowControl/>
      </w:pPr>
      <w:r>
        <w:br w:type="page"/>
      </w:r>
    </w:p>
    <w:p w:rsidR="0074239C" w:rsidRDefault="00CD710B" w:rsidP="00C843FB">
      <w:pPr>
        <w:pStyle w:val="ParaNum"/>
        <w:widowControl/>
      </w:pPr>
      <w:r>
        <w:t xml:space="preserve">This action is taken under delegated authority pursuant </w:t>
      </w:r>
      <w:r w:rsidR="00EE6631">
        <w:t>to Section 155(c) of the Communications Act of 1934, as amended, 47 U.S.C. § 155(c)</w:t>
      </w:r>
      <w:r w:rsidR="00687309">
        <w:t xml:space="preserve"> and</w:t>
      </w:r>
      <w:r w:rsidR="00EE6631">
        <w:t xml:space="preserve"> Sections 0.191 and 0.392 of the Commission’s rules, 47 CFR §§ 0.191, 0.392. </w:t>
      </w:r>
    </w:p>
    <w:p w:rsidR="00DA2826" w:rsidRDefault="00DA2826" w:rsidP="00C843FB">
      <w:pPr>
        <w:pStyle w:val="ParaNum"/>
        <w:widowControl/>
        <w:numPr>
          <w:ilvl w:val="0"/>
          <w:numId w:val="0"/>
        </w:numPr>
        <w:ind w:firstLine="720"/>
      </w:pPr>
    </w:p>
    <w:p w:rsidR="00DA2826" w:rsidRDefault="00DA2826" w:rsidP="00C843FB">
      <w:pPr>
        <w:pStyle w:val="ParaNum"/>
        <w:widowControl/>
        <w:numPr>
          <w:ilvl w:val="0"/>
          <w:numId w:val="0"/>
        </w:numPr>
        <w:spacing w:after="0"/>
        <w:ind w:left="3600" w:firstLine="720"/>
      </w:pPr>
      <w:r>
        <w:t xml:space="preserve">FEDERAL COMMUNICATIONS COMMISSION </w:t>
      </w:r>
    </w:p>
    <w:p w:rsidR="00DA2826" w:rsidRDefault="00DA2826" w:rsidP="00C843FB">
      <w:pPr>
        <w:pStyle w:val="ParaNum"/>
        <w:widowControl/>
        <w:numPr>
          <w:ilvl w:val="0"/>
          <w:numId w:val="0"/>
        </w:numPr>
        <w:spacing w:after="0"/>
        <w:ind w:left="720"/>
      </w:pPr>
    </w:p>
    <w:p w:rsidR="00DA2826" w:rsidRDefault="00DA2826" w:rsidP="00C843FB">
      <w:pPr>
        <w:pStyle w:val="ParaNum"/>
        <w:widowControl/>
        <w:numPr>
          <w:ilvl w:val="0"/>
          <w:numId w:val="0"/>
        </w:numPr>
        <w:spacing w:after="0"/>
        <w:ind w:left="720"/>
      </w:pPr>
    </w:p>
    <w:p w:rsidR="00DA2826" w:rsidRDefault="00DA2826" w:rsidP="00C843FB">
      <w:pPr>
        <w:pStyle w:val="ParaNum"/>
        <w:widowControl/>
        <w:numPr>
          <w:ilvl w:val="0"/>
          <w:numId w:val="0"/>
        </w:numPr>
        <w:spacing w:after="0"/>
        <w:ind w:left="720"/>
      </w:pPr>
    </w:p>
    <w:p w:rsidR="00DA2826" w:rsidRDefault="00DA2826" w:rsidP="00C843FB">
      <w:pPr>
        <w:pStyle w:val="ParaNum"/>
        <w:widowControl/>
        <w:numPr>
          <w:ilvl w:val="0"/>
          <w:numId w:val="0"/>
        </w:numPr>
        <w:spacing w:after="0"/>
        <w:ind w:left="720"/>
      </w:pPr>
    </w:p>
    <w:p w:rsidR="00DA2826" w:rsidRDefault="00DA2826" w:rsidP="00C843FB">
      <w:pPr>
        <w:pStyle w:val="ParaNum"/>
        <w:widowControl/>
        <w:numPr>
          <w:ilvl w:val="0"/>
          <w:numId w:val="0"/>
        </w:numPr>
        <w:spacing w:after="0"/>
        <w:ind w:left="3600" w:firstLine="720"/>
      </w:pPr>
      <w:r>
        <w:t xml:space="preserve">Michael J. Wilhelm  </w:t>
      </w:r>
    </w:p>
    <w:p w:rsidR="00DA2826" w:rsidRDefault="00B1723F" w:rsidP="00C843FB">
      <w:pPr>
        <w:pStyle w:val="ParaNum"/>
        <w:widowControl/>
        <w:numPr>
          <w:ilvl w:val="0"/>
          <w:numId w:val="0"/>
        </w:numPr>
        <w:spacing w:after="0"/>
        <w:ind w:left="3600" w:firstLine="720"/>
      </w:pPr>
      <w:r>
        <w:t xml:space="preserve">Acting </w:t>
      </w:r>
      <w:r w:rsidR="00DA2826">
        <w:t xml:space="preserve">Chief, Policy and Licensing Division </w:t>
      </w:r>
    </w:p>
    <w:p w:rsidR="00DA2826" w:rsidRDefault="00DA2826" w:rsidP="00C843FB">
      <w:pPr>
        <w:pStyle w:val="ParaNum"/>
        <w:widowControl/>
        <w:numPr>
          <w:ilvl w:val="0"/>
          <w:numId w:val="0"/>
        </w:numPr>
        <w:spacing w:after="0"/>
        <w:ind w:left="3600" w:firstLine="720"/>
      </w:pPr>
      <w:r>
        <w:t>Public Safety and Homeland Security Bureau</w:t>
      </w:r>
    </w:p>
    <w:p w:rsidR="004E71C6" w:rsidRDefault="004E71C6" w:rsidP="00C843FB">
      <w:pPr>
        <w:pStyle w:val="ParaNum"/>
        <w:widowControl/>
        <w:numPr>
          <w:ilvl w:val="0"/>
          <w:numId w:val="0"/>
        </w:numPr>
        <w:spacing w:after="0"/>
        <w:ind w:left="3600" w:firstLine="720"/>
      </w:pPr>
    </w:p>
    <w:p w:rsidR="004E71C6" w:rsidRPr="0074239C" w:rsidRDefault="004E71C6" w:rsidP="00C843FB">
      <w:pPr>
        <w:pStyle w:val="ParaNum"/>
        <w:widowControl/>
        <w:numPr>
          <w:ilvl w:val="0"/>
          <w:numId w:val="0"/>
        </w:numPr>
        <w:spacing w:after="0"/>
        <w:ind w:firstLine="720"/>
        <w:jc w:val="both"/>
      </w:pPr>
    </w:p>
    <w:sectPr w:rsidR="004E71C6" w:rsidRPr="0074239C"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3B" w:rsidRDefault="00E65A3B">
      <w:pPr>
        <w:spacing w:line="20" w:lineRule="exact"/>
      </w:pPr>
    </w:p>
  </w:endnote>
  <w:endnote w:type="continuationSeparator" w:id="0">
    <w:p w:rsidR="00E65A3B" w:rsidRDefault="00E65A3B">
      <w:r>
        <w:t xml:space="preserve"> </w:t>
      </w:r>
    </w:p>
  </w:endnote>
  <w:endnote w:type="continuationNotice" w:id="1">
    <w:p w:rsidR="00E65A3B" w:rsidRDefault="00E65A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F" w:rsidRDefault="00037F0F" w:rsidP="0055614C">
    <w:pPr>
      <w:pStyle w:val="Footer"/>
      <w:framePr w:wrap="around" w:vAnchor="text" w:hAnchor="margin" w:xAlign="center" w:y="1"/>
    </w:pPr>
    <w:r>
      <w:fldChar w:fldCharType="begin"/>
    </w:r>
    <w:r>
      <w:instrText xml:space="preserve">PAGE  </w:instrText>
    </w:r>
    <w:r>
      <w:fldChar w:fldCharType="separate"/>
    </w:r>
    <w:r w:rsidR="00EC7084">
      <w:rPr>
        <w:noProof/>
      </w:rPr>
      <w:t>3</w:t>
    </w:r>
    <w:r>
      <w:fldChar w:fldCharType="end"/>
    </w:r>
  </w:p>
  <w:p w:rsidR="00037F0F" w:rsidRDefault="00037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F" w:rsidRDefault="00037F0F" w:rsidP="0055614C">
    <w:pPr>
      <w:pStyle w:val="Footer"/>
      <w:framePr w:wrap="around" w:vAnchor="text" w:hAnchor="margin" w:xAlign="center" w:y="1"/>
    </w:pPr>
    <w:r>
      <w:fldChar w:fldCharType="begin"/>
    </w:r>
    <w:r>
      <w:instrText xml:space="preserve">PAGE  </w:instrText>
    </w:r>
    <w:r>
      <w:fldChar w:fldCharType="separate"/>
    </w:r>
    <w:r w:rsidR="00B13F9B">
      <w:rPr>
        <w:noProof/>
      </w:rPr>
      <w:t>5</w:t>
    </w:r>
    <w:r>
      <w:fldChar w:fldCharType="end"/>
    </w:r>
  </w:p>
  <w:p w:rsidR="00037F0F" w:rsidRDefault="00037F0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F" w:rsidRDefault="00037F0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3B" w:rsidRDefault="00E65A3B">
      <w:r>
        <w:separator/>
      </w:r>
    </w:p>
  </w:footnote>
  <w:footnote w:type="continuationSeparator" w:id="0">
    <w:p w:rsidR="00E65A3B" w:rsidRDefault="00E65A3B" w:rsidP="00C721AC">
      <w:pPr>
        <w:spacing w:before="120"/>
        <w:rPr>
          <w:sz w:val="20"/>
        </w:rPr>
      </w:pPr>
      <w:r>
        <w:rPr>
          <w:sz w:val="20"/>
        </w:rPr>
        <w:t xml:space="preserve">(Continued from previous page)  </w:t>
      </w:r>
      <w:r>
        <w:rPr>
          <w:sz w:val="20"/>
        </w:rPr>
        <w:separator/>
      </w:r>
    </w:p>
  </w:footnote>
  <w:footnote w:type="continuationNotice" w:id="1">
    <w:p w:rsidR="00E65A3B" w:rsidRDefault="00E65A3B" w:rsidP="00C721AC">
      <w:pPr>
        <w:jc w:val="right"/>
        <w:rPr>
          <w:sz w:val="20"/>
        </w:rPr>
      </w:pPr>
      <w:r>
        <w:rPr>
          <w:sz w:val="20"/>
        </w:rPr>
        <w:t>(continued….)</w:t>
      </w:r>
    </w:p>
  </w:footnote>
  <w:footnote w:id="2">
    <w:p w:rsidR="00037F0F" w:rsidRPr="00D87268" w:rsidRDefault="00037F0F" w:rsidP="002E27B5">
      <w:pPr>
        <w:pStyle w:val="FootnoteText"/>
      </w:pPr>
      <w:r>
        <w:rPr>
          <w:rStyle w:val="FootnoteReference"/>
        </w:rPr>
        <w:footnoteRef/>
      </w:r>
      <w:r>
        <w:t xml:space="preserve"> </w:t>
      </w:r>
      <w:r w:rsidR="00F07342">
        <w:t xml:space="preserve">North Carolina State Highway Patrol Application, ULS File no. </w:t>
      </w:r>
      <w:r w:rsidR="00F07342" w:rsidRPr="002D76E0">
        <w:t>0006965513</w:t>
      </w:r>
      <w:r w:rsidR="00F07342">
        <w:t xml:space="preserve"> (dated Oct. 1, 2015) (NC </w:t>
      </w:r>
      <w:r w:rsidR="00FE76C1">
        <w:t>Highway</w:t>
      </w:r>
      <w:r w:rsidR="00F07342">
        <w:t xml:space="preserve"> Patrol Application).</w:t>
      </w:r>
      <w:r w:rsidR="00D87268">
        <w:t xml:space="preserve">  </w:t>
      </w:r>
      <w:r w:rsidR="00D87268">
        <w:rPr>
          <w:i/>
        </w:rPr>
        <w:t xml:space="preserve">See also </w:t>
      </w:r>
      <w:r w:rsidR="00D87268" w:rsidRPr="00D87268">
        <w:t>Letter from Wayne E. Eberhard, Spectrum Resources Manager, North Carolina Department of Public Safety to Federal Communications Commission (Sep</w:t>
      </w:r>
      <w:r w:rsidR="00E63127">
        <w:t>t</w:t>
      </w:r>
      <w:r w:rsidR="00D87268" w:rsidRPr="00D87268">
        <w:t xml:space="preserve">. 23, 2015) (attached to NC </w:t>
      </w:r>
      <w:r w:rsidR="00FE76C1">
        <w:t>Highway</w:t>
      </w:r>
      <w:r w:rsidR="00D87268" w:rsidRPr="00D87268">
        <w:t xml:space="preserve"> Patrol Application) (Waiver Request).  </w:t>
      </w:r>
    </w:p>
  </w:footnote>
  <w:footnote w:id="3">
    <w:p w:rsidR="00037F0F" w:rsidRPr="009379A3" w:rsidRDefault="00037F0F" w:rsidP="00C2683C">
      <w:pPr>
        <w:pStyle w:val="FootnoteText"/>
      </w:pPr>
      <w:r>
        <w:rPr>
          <w:rStyle w:val="FootnoteReference"/>
        </w:rPr>
        <w:footnoteRef/>
      </w:r>
      <w:r>
        <w:t xml:space="preserve"> N</w:t>
      </w:r>
      <w:r w:rsidR="00D87268">
        <w:t xml:space="preserve">C </w:t>
      </w:r>
      <w:r w:rsidR="00FE76C1">
        <w:t>Highway</w:t>
      </w:r>
      <w:r w:rsidR="00D87268">
        <w:t xml:space="preserve"> Patrol </w:t>
      </w:r>
      <w:r>
        <w:t xml:space="preserve">is licensed for over 200 PLMR call signs under FRN </w:t>
      </w:r>
      <w:r w:rsidRPr="0016158F">
        <w:t>0001913888</w:t>
      </w:r>
      <w:r>
        <w:t xml:space="preserve">.  </w:t>
      </w:r>
    </w:p>
  </w:footnote>
  <w:footnote w:id="4">
    <w:p w:rsidR="00037F0F" w:rsidRDefault="00037F0F" w:rsidP="00B76097">
      <w:pPr>
        <w:pStyle w:val="FootnoteText"/>
      </w:pPr>
      <w:r>
        <w:rPr>
          <w:rStyle w:val="FootnoteReference"/>
        </w:rPr>
        <w:footnoteRef/>
      </w:r>
      <w:r>
        <w:t xml:space="preserve"> </w:t>
      </w:r>
      <w:r w:rsidR="003A7DC8">
        <w:t>L</w:t>
      </w:r>
      <w:r w:rsidR="00D87268" w:rsidRPr="00D87268">
        <w:t xml:space="preserve">etter from Wayne E. Eberhard, Spectrum Resources Manager, North Carolina Department of Public Safety to Federal Communications Commission (Oct. 24, 2016) (attached to NC </w:t>
      </w:r>
      <w:r w:rsidR="00FE76C1">
        <w:t>Highway</w:t>
      </w:r>
      <w:r w:rsidR="00D87268" w:rsidRPr="00D87268">
        <w:t xml:space="preserve"> Patrol Application) </w:t>
      </w:r>
      <w:r w:rsidR="00D87268">
        <w:t xml:space="preserve">at 1 </w:t>
      </w:r>
      <w:r w:rsidR="00D87268" w:rsidRPr="00D87268">
        <w:t>(Supplemental Waiver Statement).</w:t>
      </w:r>
    </w:p>
  </w:footnote>
  <w:footnote w:id="5">
    <w:p w:rsidR="009E7868" w:rsidRDefault="009E7868" w:rsidP="009E7868">
      <w:pPr>
        <w:pStyle w:val="FootnoteText"/>
      </w:pPr>
      <w:r>
        <w:rPr>
          <w:rStyle w:val="FootnoteReference"/>
        </w:rPr>
        <w:footnoteRef/>
      </w:r>
      <w:r>
        <w:t xml:space="preserve"> </w:t>
      </w:r>
      <w:r w:rsidRPr="009D4BCF">
        <w:rPr>
          <w:i/>
        </w:rPr>
        <w:t>Id</w:t>
      </w:r>
      <w:r>
        <w:t>.</w:t>
      </w:r>
    </w:p>
  </w:footnote>
  <w:footnote w:id="6">
    <w:p w:rsidR="009E7868" w:rsidRDefault="009E7868" w:rsidP="009E7868">
      <w:pPr>
        <w:pStyle w:val="FootnoteText"/>
      </w:pPr>
      <w:r>
        <w:rPr>
          <w:rStyle w:val="FootnoteReference"/>
        </w:rPr>
        <w:footnoteRef/>
      </w:r>
      <w:r>
        <w:t xml:space="preserve"> </w:t>
      </w:r>
      <w:r w:rsidRPr="009D4BCF">
        <w:rPr>
          <w:i/>
        </w:rPr>
        <w:t>Id</w:t>
      </w:r>
      <w:r>
        <w:t xml:space="preserve">.  </w:t>
      </w:r>
    </w:p>
  </w:footnote>
  <w:footnote w:id="7">
    <w:p w:rsidR="009E7868" w:rsidRPr="00BB50B8" w:rsidRDefault="009E7868" w:rsidP="009E7868">
      <w:pPr>
        <w:pStyle w:val="FootnoteText"/>
      </w:pPr>
      <w:r>
        <w:rPr>
          <w:rStyle w:val="FootnoteReference"/>
        </w:rPr>
        <w:footnoteRef/>
      </w:r>
      <w:r>
        <w:t xml:space="preserve"> Waiver Request at 1.  </w:t>
      </w:r>
      <w:r w:rsidR="003E4404">
        <w:rPr>
          <w:i/>
        </w:rPr>
        <w:t xml:space="preserve">See also </w:t>
      </w:r>
      <w:r w:rsidR="003E4404">
        <w:t xml:space="preserve">attachment to NC </w:t>
      </w:r>
      <w:r w:rsidR="00FE76C1">
        <w:t>Highway</w:t>
      </w:r>
      <w:r w:rsidR="003E4404">
        <w:t xml:space="preserve"> Patrol Application labeled “Waiver – expanded” (Nov. 17, 2016) (Supplemental Justification)</w:t>
      </w:r>
      <w:r>
        <w:t xml:space="preserve">.    </w:t>
      </w:r>
    </w:p>
  </w:footnote>
  <w:footnote w:id="8">
    <w:p w:rsidR="002F762C" w:rsidRDefault="002F762C" w:rsidP="002F762C">
      <w:pPr>
        <w:pStyle w:val="FootnoteText"/>
      </w:pPr>
      <w:r>
        <w:rPr>
          <w:rStyle w:val="FootnoteReference"/>
        </w:rPr>
        <w:footnoteRef/>
      </w:r>
      <w:r>
        <w:t xml:space="preserve"> Waiver Request at 1.</w:t>
      </w:r>
    </w:p>
  </w:footnote>
  <w:footnote w:id="9">
    <w:p w:rsidR="002F762C" w:rsidRDefault="002F762C" w:rsidP="002F762C">
      <w:pPr>
        <w:pStyle w:val="FootnoteText"/>
      </w:pPr>
      <w:r>
        <w:rPr>
          <w:rStyle w:val="FootnoteReference"/>
        </w:rPr>
        <w:footnoteRef/>
      </w:r>
      <w:r>
        <w:t xml:space="preserve"> NC </w:t>
      </w:r>
      <w:r w:rsidR="00FE76C1">
        <w:t>Highway</w:t>
      </w:r>
      <w:r>
        <w:t xml:space="preserve"> Patrol Application.    </w:t>
      </w:r>
    </w:p>
  </w:footnote>
  <w:footnote w:id="10">
    <w:p w:rsidR="002F762C" w:rsidRPr="002A3E9A" w:rsidRDefault="002F762C" w:rsidP="002F762C">
      <w:pPr>
        <w:pStyle w:val="FootnoteText"/>
        <w:rPr>
          <w:i/>
        </w:rPr>
      </w:pPr>
      <w:r>
        <w:rPr>
          <w:rStyle w:val="FootnoteReference"/>
        </w:rPr>
        <w:footnoteRef/>
      </w:r>
      <w:r>
        <w:t xml:space="preserve"> </w:t>
      </w:r>
      <w:r>
        <w:rPr>
          <w:i/>
        </w:rPr>
        <w:t>Id.</w:t>
      </w:r>
    </w:p>
  </w:footnote>
  <w:footnote w:id="11">
    <w:p w:rsidR="002F762C" w:rsidRDefault="002F762C" w:rsidP="002F762C">
      <w:pPr>
        <w:pStyle w:val="FootnoteText"/>
      </w:pPr>
      <w:r>
        <w:rPr>
          <w:rStyle w:val="FootnoteReference"/>
        </w:rPr>
        <w:footnoteRef/>
      </w:r>
      <w:r>
        <w:t xml:space="preserve"> </w:t>
      </w:r>
      <w:r w:rsidRPr="000D7FA1">
        <w:t>47</w:t>
      </w:r>
      <w:r>
        <w:t xml:space="preserve"> CFR § 90.617(b)</w:t>
      </w:r>
      <w:r w:rsidR="00BB4136">
        <w:t xml:space="preserve"> – Table 2.  </w:t>
      </w:r>
      <w:r>
        <w:t>(</w:t>
      </w:r>
      <w:r w:rsidR="00BB4136">
        <w:t xml:space="preserve">Channels available to applicants in the Industrial Business Pool, in non-border areas and available for inter-category sharing, but not for SMR or ESMR systems.). </w:t>
      </w:r>
      <w:r>
        <w:t xml:space="preserve">  </w:t>
      </w:r>
      <w:r w:rsidRPr="003D4AB7">
        <w:rPr>
          <w:i/>
        </w:rPr>
        <w:t>See</w:t>
      </w:r>
      <w:r>
        <w:rPr>
          <w:i/>
        </w:rPr>
        <w:t xml:space="preserve"> also</w:t>
      </w:r>
      <w:r>
        <w:t xml:space="preserve"> 47 CFR </w:t>
      </w:r>
      <w:r w:rsidR="00BB4136">
        <w:t>§</w:t>
      </w:r>
      <w:r>
        <w:t xml:space="preserve"> 90.35 (listing eligibility requirements for entities seeking to license channels from the Industrial/Business Pool)</w:t>
      </w:r>
      <w:r w:rsidR="00BB4136">
        <w:t>; § 90.621(e) (inter-category sharing)</w:t>
      </w:r>
      <w:r>
        <w:t>.</w:t>
      </w:r>
      <w:r w:rsidR="00BB4136">
        <w:t xml:space="preserve">  </w:t>
      </w:r>
      <w:r w:rsidR="00BB4136" w:rsidRPr="00C843FB">
        <w:rPr>
          <w:i/>
        </w:rPr>
        <w:t>But see</w:t>
      </w:r>
      <w:r w:rsidR="00BB4136">
        <w:t xml:space="preserve"> </w:t>
      </w:r>
      <w:r w:rsidR="00BB4136" w:rsidRPr="00C843FB">
        <w:rPr>
          <w:i/>
        </w:rPr>
        <w:t>infra</w:t>
      </w:r>
      <w:r w:rsidR="00BB4136">
        <w:t xml:space="preserve"> n.13</w:t>
      </w:r>
      <w:r>
        <w:t xml:space="preserve"> </w:t>
      </w:r>
      <w:r w:rsidR="00BB4136">
        <w:t>(inter-category sharing freeze).</w:t>
      </w:r>
      <w:r>
        <w:t xml:space="preserve"> </w:t>
      </w:r>
    </w:p>
  </w:footnote>
  <w:footnote w:id="12">
    <w:p w:rsidR="002F762C" w:rsidRDefault="002F762C" w:rsidP="002F762C">
      <w:pPr>
        <w:pStyle w:val="FootnoteText"/>
      </w:pPr>
      <w:r>
        <w:rPr>
          <w:rStyle w:val="FootnoteReference"/>
        </w:rPr>
        <w:footnoteRef/>
      </w:r>
      <w:r>
        <w:t xml:space="preserve"> 47 CFR § 90.617(a).</w:t>
      </w:r>
    </w:p>
  </w:footnote>
  <w:footnote w:id="13">
    <w:p w:rsidR="002F762C" w:rsidRDefault="002F762C" w:rsidP="002F762C">
      <w:pPr>
        <w:pStyle w:val="FootnoteText"/>
      </w:pPr>
      <w:r>
        <w:rPr>
          <w:rStyle w:val="FootnoteReference"/>
        </w:rPr>
        <w:footnoteRef/>
      </w:r>
      <w:r>
        <w:t xml:space="preserve"> 47 CFR § 90.621(e).  Only channels from the Public Safety or B/ILT Pool are available for inter-category sharing.    </w:t>
      </w:r>
    </w:p>
  </w:footnote>
  <w:footnote w:id="14">
    <w:p w:rsidR="002F762C" w:rsidRDefault="002F762C" w:rsidP="002F762C">
      <w:pPr>
        <w:pStyle w:val="FootnoteText"/>
      </w:pPr>
      <w:r>
        <w:rPr>
          <w:rStyle w:val="FootnoteReference"/>
        </w:rPr>
        <w:footnoteRef/>
      </w:r>
      <w:r w:rsidR="006B779E" w:rsidRPr="006B779E">
        <w:t xml:space="preserve"> </w:t>
      </w:r>
      <w:r w:rsidR="006B779E" w:rsidRPr="006B779E">
        <w:rPr>
          <w:i/>
        </w:rPr>
        <w:t>Inter-Category Sharing of Private Mobile Frequencies in the 806-821/851-856 MHz Bands,</w:t>
      </w:r>
      <w:r w:rsidR="006B779E">
        <w:t xml:space="preserve"> </w:t>
      </w:r>
      <w:r w:rsidR="006B779E" w:rsidRPr="006B779E">
        <w:t>Order</w:t>
      </w:r>
      <w:r w:rsidR="006B779E">
        <w:t>, 10 FCC Rcd 7350 (WTB 1995) (</w:t>
      </w:r>
      <w:r w:rsidR="006B779E" w:rsidRPr="006B779E">
        <w:rPr>
          <w:i/>
        </w:rPr>
        <w:t>Freeze Order</w:t>
      </w:r>
      <w:r w:rsidR="006B779E">
        <w:t>).</w:t>
      </w:r>
    </w:p>
  </w:footnote>
  <w:footnote w:id="15">
    <w:p w:rsidR="001F1D7F" w:rsidRPr="00F9701B" w:rsidRDefault="001F1D7F" w:rsidP="001F1D7F">
      <w:pPr>
        <w:pStyle w:val="FootnoteText"/>
      </w:pPr>
      <w:r>
        <w:rPr>
          <w:rStyle w:val="FootnoteReference"/>
        </w:rPr>
        <w:footnoteRef/>
      </w:r>
      <w:r>
        <w:t xml:space="preserve"> Letter from Carol DiCaro, AFC Processor, AFC – APCO’s Spectrum Management Division, APCO International to FCC (Sep. 23, 2015) (attached to NC </w:t>
      </w:r>
      <w:r w:rsidR="00FE76C1">
        <w:t>Highway</w:t>
      </w:r>
      <w:r>
        <w:t xml:space="preserve"> Patrol Application)</w:t>
      </w:r>
      <w:r w:rsidR="00571145" w:rsidRPr="00571145">
        <w:t xml:space="preserve"> </w:t>
      </w:r>
      <w:r w:rsidR="00571145">
        <w:t>(APCO Letter)</w:t>
      </w:r>
      <w:r>
        <w:t xml:space="preserve">.  </w:t>
      </w:r>
      <w:r>
        <w:rPr>
          <w:i/>
        </w:rPr>
        <w:t>See also</w:t>
      </w:r>
      <w:r>
        <w:t xml:space="preserve"> letter from Carol DiCaro, AFC Processor, AFC – APCO’s Spectrum Management Division, APCO International to FCC (Oct. 26, 2016) (attached to NC </w:t>
      </w:r>
      <w:r w:rsidR="00FE76C1">
        <w:t>Highway</w:t>
      </w:r>
      <w:r>
        <w:t xml:space="preserve"> Patrol Application)</w:t>
      </w:r>
      <w:r w:rsidR="00571145">
        <w:t xml:space="preserve"> (APCO Clarification Letter)</w:t>
      </w:r>
      <w:r>
        <w:t>.</w:t>
      </w:r>
    </w:p>
  </w:footnote>
  <w:footnote w:id="16">
    <w:p w:rsidR="001F1D7F" w:rsidRDefault="001F1D7F" w:rsidP="001F1D7F">
      <w:pPr>
        <w:pStyle w:val="FootnoteText"/>
      </w:pPr>
      <w:r>
        <w:rPr>
          <w:rStyle w:val="FootnoteReference"/>
        </w:rPr>
        <w:footnoteRef/>
      </w:r>
      <w:r>
        <w:t xml:space="preserve"> Letter from Kathy Garrett, UTC Spectrum Services, to North Carolina State Highway Patrol (Sep. 28, 2015) (attached to NC </w:t>
      </w:r>
      <w:r w:rsidR="00FE76C1">
        <w:t>Highway</w:t>
      </w:r>
      <w:r>
        <w:t xml:space="preserve"> Patrol Application)</w:t>
      </w:r>
      <w:r w:rsidR="00F32C3F">
        <w:t xml:space="preserve"> (UTC Concurrence)</w:t>
      </w:r>
      <w:r>
        <w:t>.</w:t>
      </w:r>
    </w:p>
  </w:footnote>
  <w:footnote w:id="17">
    <w:p w:rsidR="00037F0F" w:rsidRDefault="00037F0F">
      <w:pPr>
        <w:pStyle w:val="FootnoteText"/>
      </w:pPr>
      <w:r>
        <w:rPr>
          <w:rStyle w:val="FootnoteReference"/>
        </w:rPr>
        <w:footnoteRef/>
      </w:r>
      <w:r>
        <w:t xml:space="preserve"> </w:t>
      </w:r>
      <w:r w:rsidR="001F1D7F" w:rsidRPr="001F1D7F">
        <w:rPr>
          <w:i/>
        </w:rPr>
        <w:t>Public Safety And Homeland</w:t>
      </w:r>
      <w:r w:rsidR="001F1D7F">
        <w:rPr>
          <w:i/>
        </w:rPr>
        <w:t xml:space="preserve"> Security Bureau Seeks Comment on Application and Waiver Request Filed b</w:t>
      </w:r>
      <w:r w:rsidR="001F1D7F" w:rsidRPr="001F1D7F">
        <w:rPr>
          <w:i/>
        </w:rPr>
        <w:t>y North Carolina State Highwa</w:t>
      </w:r>
      <w:r w:rsidR="001F1D7F">
        <w:rPr>
          <w:i/>
        </w:rPr>
        <w:t>y Patrol to License a</w:t>
      </w:r>
      <w:r w:rsidR="001F1D7F" w:rsidRPr="001F1D7F">
        <w:rPr>
          <w:i/>
        </w:rPr>
        <w:t>n 800 MHz B/ILT Pool Channel</w:t>
      </w:r>
      <w:r w:rsidRPr="00A03229">
        <w:t xml:space="preserve">, </w:t>
      </w:r>
      <w:r w:rsidRPr="001F1D7F">
        <w:t>Public Notice</w:t>
      </w:r>
      <w:r w:rsidRPr="00A03229">
        <w:t xml:space="preserve">, </w:t>
      </w:r>
      <w:r w:rsidR="001F1D7F" w:rsidRPr="001F1D7F">
        <w:t>31 FCC Rcd 13191</w:t>
      </w:r>
      <w:r w:rsidR="00DF75A3" w:rsidRPr="00A03229">
        <w:t xml:space="preserve"> </w:t>
      </w:r>
      <w:r w:rsidRPr="00A03229">
        <w:t xml:space="preserve">(PSHSB </w:t>
      </w:r>
      <w:r w:rsidRPr="000529BD">
        <w:t>201</w:t>
      </w:r>
      <w:r w:rsidR="001F1D7F">
        <w:t>6</w:t>
      </w:r>
      <w:r w:rsidRPr="00A03229">
        <w:t>).</w:t>
      </w:r>
    </w:p>
  </w:footnote>
  <w:footnote w:id="18">
    <w:p w:rsidR="00037F0F" w:rsidRPr="006D579C" w:rsidRDefault="00037F0F">
      <w:pPr>
        <w:pStyle w:val="FootnoteText"/>
      </w:pPr>
      <w:r>
        <w:rPr>
          <w:rStyle w:val="FootnoteReference"/>
        </w:rPr>
        <w:footnoteRef/>
      </w:r>
      <w:r>
        <w:t xml:space="preserve"> </w:t>
      </w:r>
      <w:r w:rsidRPr="000529BD">
        <w:rPr>
          <w:i/>
        </w:rPr>
        <w:t>Id.</w:t>
      </w:r>
      <w:r>
        <w:rPr>
          <w:i/>
        </w:rPr>
        <w:t xml:space="preserve"> </w:t>
      </w:r>
      <w:r>
        <w:t xml:space="preserve">at </w:t>
      </w:r>
      <w:r w:rsidR="00C655E6">
        <w:t>13193</w:t>
      </w:r>
      <w:r>
        <w:t>.</w:t>
      </w:r>
      <w:r w:rsidR="00E63127">
        <w:t xml:space="preserve"> </w:t>
      </w:r>
    </w:p>
  </w:footnote>
  <w:footnote w:id="19">
    <w:p w:rsidR="00037F0F" w:rsidRDefault="00037F0F" w:rsidP="003622DA">
      <w:pPr>
        <w:pStyle w:val="FootnoteText"/>
      </w:pPr>
      <w:r>
        <w:rPr>
          <w:rStyle w:val="FootnoteReference"/>
        </w:rPr>
        <w:footnoteRef/>
      </w:r>
      <w:r>
        <w:t xml:space="preserve"> 47 </w:t>
      </w:r>
      <w:r w:rsidR="00C843FB">
        <w:t>CFR</w:t>
      </w:r>
      <w:r>
        <w:t xml:space="preserve"> § 1.925(b)(3)(i).</w:t>
      </w:r>
    </w:p>
  </w:footnote>
  <w:footnote w:id="20">
    <w:p w:rsidR="00037F0F" w:rsidRPr="00284FC2" w:rsidRDefault="00037F0F" w:rsidP="003622DA">
      <w:pPr>
        <w:pStyle w:val="FootnoteText"/>
        <w:rPr>
          <w:sz w:val="22"/>
          <w:szCs w:val="22"/>
        </w:rPr>
      </w:pPr>
      <w:r>
        <w:rPr>
          <w:rStyle w:val="FootnoteReference"/>
        </w:rPr>
        <w:footnoteRef/>
      </w:r>
      <w:r w:rsidRPr="00284FC2">
        <w:t xml:space="preserve"> 47 </w:t>
      </w:r>
      <w:r w:rsidR="00C843FB" w:rsidRPr="00284FC2">
        <w:t>CFR</w:t>
      </w:r>
      <w:r w:rsidRPr="00284FC2">
        <w:t xml:space="preserve"> § 1.925(b)(3)(ii).</w:t>
      </w:r>
    </w:p>
  </w:footnote>
  <w:footnote w:id="21">
    <w:p w:rsidR="00FE370B" w:rsidRPr="00C655E6" w:rsidRDefault="00FE370B">
      <w:pPr>
        <w:pStyle w:val="FootnoteText"/>
        <w:rPr>
          <w:lang w:val="es-AR"/>
        </w:rPr>
      </w:pPr>
      <w:r>
        <w:rPr>
          <w:rStyle w:val="FootnoteReference"/>
        </w:rPr>
        <w:footnoteRef/>
      </w:r>
      <w:r w:rsidRPr="00C655E6">
        <w:rPr>
          <w:lang w:val="es-AR"/>
        </w:rPr>
        <w:t xml:space="preserve"> 47 </w:t>
      </w:r>
      <w:r w:rsidR="00C843FB">
        <w:rPr>
          <w:lang w:val="es-AR"/>
        </w:rPr>
        <w:t>CFR</w:t>
      </w:r>
      <w:r w:rsidRPr="00C655E6">
        <w:rPr>
          <w:lang w:val="es-AR"/>
        </w:rPr>
        <w:t xml:space="preserve"> § 90.621(e)(1).</w:t>
      </w:r>
    </w:p>
  </w:footnote>
  <w:footnote w:id="22">
    <w:p w:rsidR="00FE370B" w:rsidRPr="00284FC2" w:rsidRDefault="00FE370B">
      <w:pPr>
        <w:pStyle w:val="FootnoteText"/>
        <w:rPr>
          <w:lang w:val="es-AR"/>
        </w:rPr>
      </w:pPr>
      <w:r>
        <w:rPr>
          <w:rStyle w:val="FootnoteReference"/>
        </w:rPr>
        <w:footnoteRef/>
      </w:r>
      <w:r w:rsidRPr="00284FC2">
        <w:rPr>
          <w:lang w:val="es-AR"/>
        </w:rPr>
        <w:t xml:space="preserve"> 47 </w:t>
      </w:r>
      <w:r w:rsidR="00C843FB" w:rsidRPr="00284FC2">
        <w:rPr>
          <w:lang w:val="es-AR"/>
        </w:rPr>
        <w:t>CFR</w:t>
      </w:r>
      <w:r w:rsidRPr="00284FC2">
        <w:rPr>
          <w:lang w:val="es-AR"/>
        </w:rPr>
        <w:t xml:space="preserve"> § 90.621(e)(5).</w:t>
      </w:r>
    </w:p>
  </w:footnote>
  <w:footnote w:id="23">
    <w:p w:rsidR="00214EC7" w:rsidRPr="00284FC2" w:rsidRDefault="00214EC7" w:rsidP="00214EC7">
      <w:pPr>
        <w:pStyle w:val="FootnoteText"/>
        <w:rPr>
          <w:lang w:val="es-AR"/>
        </w:rPr>
      </w:pPr>
      <w:r>
        <w:rPr>
          <w:rStyle w:val="FootnoteReference"/>
        </w:rPr>
        <w:footnoteRef/>
      </w:r>
      <w:r w:rsidR="00FE370B" w:rsidRPr="00284FC2">
        <w:rPr>
          <w:lang w:val="es-AR"/>
        </w:rPr>
        <w:t xml:space="preserve"> </w:t>
      </w:r>
      <w:r w:rsidR="00FE370B" w:rsidRPr="00284FC2">
        <w:rPr>
          <w:i/>
          <w:lang w:val="es-AR"/>
        </w:rPr>
        <w:t>Id.</w:t>
      </w:r>
    </w:p>
  </w:footnote>
  <w:footnote w:id="24">
    <w:p w:rsidR="00F32C3F" w:rsidRDefault="00F32C3F">
      <w:pPr>
        <w:pStyle w:val="FootnoteText"/>
      </w:pPr>
      <w:r>
        <w:rPr>
          <w:rStyle w:val="FootnoteReference"/>
        </w:rPr>
        <w:footnoteRef/>
      </w:r>
      <w:r>
        <w:t xml:space="preserve"> APCO Letter at 1.  </w:t>
      </w:r>
    </w:p>
  </w:footnote>
  <w:footnote w:id="25">
    <w:p w:rsidR="00571145" w:rsidRPr="00571145" w:rsidRDefault="00571145">
      <w:pPr>
        <w:pStyle w:val="FootnoteText"/>
      </w:pPr>
      <w:r>
        <w:rPr>
          <w:rStyle w:val="FootnoteReference"/>
        </w:rPr>
        <w:footnoteRef/>
      </w:r>
      <w:r>
        <w:t xml:space="preserve"> </w:t>
      </w:r>
      <w:r w:rsidR="00E63127">
        <w:t>A</w:t>
      </w:r>
      <w:r>
        <w:t xml:space="preserve">ttachment to NC </w:t>
      </w:r>
      <w:r w:rsidR="00FE76C1">
        <w:t>Highway</w:t>
      </w:r>
      <w:r>
        <w:t xml:space="preserve"> Patrol Application labeled “Frequency search” (Sep. 23, 2015).  </w:t>
      </w:r>
      <w:r>
        <w:rPr>
          <w:i/>
        </w:rPr>
        <w:t xml:space="preserve">See also </w:t>
      </w:r>
      <w:r>
        <w:t xml:space="preserve">APCO Clarification Letter.  </w:t>
      </w:r>
    </w:p>
  </w:footnote>
  <w:footnote w:id="26">
    <w:p w:rsidR="00041C3E" w:rsidRDefault="00041C3E">
      <w:pPr>
        <w:pStyle w:val="FootnoteText"/>
      </w:pPr>
      <w:r>
        <w:rPr>
          <w:rStyle w:val="FootnoteReference"/>
        </w:rPr>
        <w:footnoteRef/>
      </w:r>
      <w:r>
        <w:t xml:space="preserve"> UTC Concurrence</w:t>
      </w:r>
      <w:r w:rsidR="00F32C3F">
        <w:t xml:space="preserve"> at 1</w:t>
      </w:r>
      <w:r>
        <w:t>.</w:t>
      </w:r>
    </w:p>
  </w:footnote>
  <w:footnote w:id="27">
    <w:p w:rsidR="002F7B7E" w:rsidRDefault="002F7B7E">
      <w:pPr>
        <w:pStyle w:val="FootnoteText"/>
      </w:pPr>
      <w:r>
        <w:rPr>
          <w:rStyle w:val="FootnoteReference"/>
        </w:rPr>
        <w:footnoteRef/>
      </w:r>
      <w:r>
        <w:t xml:space="preserve"> </w:t>
      </w:r>
      <w:r w:rsidR="006B779E" w:rsidRPr="006B779E">
        <w:rPr>
          <w:i/>
        </w:rPr>
        <w:t>Freeze Order</w:t>
      </w:r>
      <w:r w:rsidR="006B779E">
        <w:t>, 10 FCC Rcd at 7351.</w:t>
      </w:r>
    </w:p>
  </w:footnote>
  <w:footnote w:id="28">
    <w:p w:rsidR="002F7B7E" w:rsidRPr="002F7B7E" w:rsidRDefault="002F7B7E">
      <w:pPr>
        <w:pStyle w:val="FootnoteText"/>
      </w:pPr>
      <w:r>
        <w:rPr>
          <w:rStyle w:val="FootnoteReference"/>
        </w:rPr>
        <w:footnoteRef/>
      </w:r>
      <w:r>
        <w:t xml:space="preserve"> </w:t>
      </w:r>
      <w:r w:rsidRPr="00485C03">
        <w:rPr>
          <w:i/>
        </w:rPr>
        <w:t>Id</w:t>
      </w:r>
      <w:r w:rsidRPr="00EE038D">
        <w:rPr>
          <w:i/>
        </w:rPr>
        <w:t>.</w:t>
      </w:r>
      <w:r>
        <w:rPr>
          <w:i/>
        </w:rPr>
        <w:t xml:space="preserve"> </w:t>
      </w:r>
      <w:r>
        <w:t>at 7352.</w:t>
      </w:r>
    </w:p>
  </w:footnote>
  <w:footnote w:id="29">
    <w:p w:rsidR="002F7B7E" w:rsidRPr="002F7B7E" w:rsidRDefault="002F7B7E">
      <w:pPr>
        <w:pStyle w:val="FootnoteText"/>
      </w:pPr>
      <w:r>
        <w:rPr>
          <w:rStyle w:val="FootnoteReference"/>
        </w:rPr>
        <w:footnoteRef/>
      </w:r>
      <w:r>
        <w:t xml:space="preserve"> </w:t>
      </w:r>
      <w:r w:rsidRPr="00485C03">
        <w:rPr>
          <w:i/>
        </w:rPr>
        <w:t>Id</w:t>
      </w:r>
      <w:r w:rsidRPr="00EE038D">
        <w:rPr>
          <w:i/>
        </w:rPr>
        <w:t>.</w:t>
      </w:r>
      <w:r>
        <w:rPr>
          <w:i/>
        </w:rPr>
        <w:t xml:space="preserve"> </w:t>
      </w:r>
    </w:p>
  </w:footnote>
  <w:footnote w:id="30">
    <w:p w:rsidR="006B779E" w:rsidRPr="002F7B7E" w:rsidRDefault="006B779E" w:rsidP="006B779E">
      <w:pPr>
        <w:pStyle w:val="FootnoteText"/>
      </w:pPr>
      <w:r>
        <w:rPr>
          <w:rStyle w:val="FootnoteReference"/>
        </w:rPr>
        <w:footnoteRef/>
      </w:r>
      <w:r>
        <w:t xml:space="preserve"> </w:t>
      </w:r>
      <w:r w:rsidRPr="00485C03">
        <w:rPr>
          <w:i/>
        </w:rPr>
        <w:t>Id</w:t>
      </w:r>
      <w:r w:rsidRPr="00EE038D">
        <w:rPr>
          <w:i/>
        </w:rPr>
        <w:t>.</w:t>
      </w:r>
      <w:r>
        <w:rPr>
          <w:i/>
        </w:rPr>
        <w:t xml:space="preserve"> </w:t>
      </w:r>
      <w:r>
        <w:t>at 7351.</w:t>
      </w:r>
    </w:p>
  </w:footnote>
  <w:footnote w:id="31">
    <w:p w:rsidR="006F66D0" w:rsidRDefault="006F66D0" w:rsidP="006F66D0">
      <w:pPr>
        <w:pStyle w:val="FootnoteText"/>
      </w:pPr>
      <w:r>
        <w:rPr>
          <w:rStyle w:val="FootnoteReference"/>
        </w:rPr>
        <w:footnoteRef/>
      </w:r>
      <w:r>
        <w:t xml:space="preserve"> 47 </w:t>
      </w:r>
      <w:r w:rsidR="00C843FB">
        <w:t>CFR</w:t>
      </w:r>
      <w:r>
        <w:t xml:space="preserve"> § 1.925(b)(3)(i).</w:t>
      </w:r>
    </w:p>
  </w:footnote>
  <w:footnote w:id="32">
    <w:p w:rsidR="009F2878" w:rsidRDefault="009F2878">
      <w:pPr>
        <w:pStyle w:val="FootnoteText"/>
      </w:pPr>
      <w:r>
        <w:rPr>
          <w:rStyle w:val="FootnoteReference"/>
        </w:rPr>
        <w:footnoteRef/>
      </w:r>
      <w:r>
        <w:t xml:space="preserve"> </w:t>
      </w:r>
      <w:r w:rsidRPr="00D87268">
        <w:t>Supplemental Waiver Statement</w:t>
      </w:r>
      <w:r>
        <w:t>.</w:t>
      </w:r>
    </w:p>
  </w:footnote>
  <w:footnote w:id="33">
    <w:p w:rsidR="00EF79C6" w:rsidRPr="002E0B5A" w:rsidRDefault="00EF79C6">
      <w:pPr>
        <w:pStyle w:val="FootnoteText"/>
      </w:pPr>
      <w:r w:rsidRPr="002E0B5A">
        <w:rPr>
          <w:rStyle w:val="FootnoteReference"/>
        </w:rPr>
        <w:footnoteRef/>
      </w:r>
      <w:r w:rsidRPr="002E0B5A">
        <w:t xml:space="preserve"> </w:t>
      </w:r>
      <w:r w:rsidR="00A85ADD" w:rsidRPr="002E0B5A">
        <w:rPr>
          <w:i/>
        </w:rPr>
        <w:t xml:space="preserve">See, e.g., </w:t>
      </w:r>
      <w:r w:rsidR="00051BD6" w:rsidRPr="00051BD6">
        <w:rPr>
          <w:i/>
        </w:rPr>
        <w:t>Delaware, State of, Request for </w:t>
      </w:r>
      <w:r w:rsidR="00051BD6" w:rsidRPr="00051BD6">
        <w:rPr>
          <w:bCs/>
          <w:i/>
        </w:rPr>
        <w:t>Waiver</w:t>
      </w:r>
      <w:r w:rsidR="00051BD6" w:rsidRPr="00051BD6">
        <w:rPr>
          <w:i/>
        </w:rPr>
        <w:t> of </w:t>
      </w:r>
      <w:r w:rsidR="00051BD6" w:rsidRPr="00051BD6">
        <w:rPr>
          <w:bCs/>
          <w:i/>
        </w:rPr>
        <w:t>Intercategory</w:t>
      </w:r>
      <w:r w:rsidR="00051BD6" w:rsidRPr="00051BD6">
        <w:rPr>
          <w:i/>
        </w:rPr>
        <w:t> Sharing </w:t>
      </w:r>
      <w:r w:rsidR="00051BD6" w:rsidRPr="00051BD6">
        <w:rPr>
          <w:bCs/>
          <w:i/>
        </w:rPr>
        <w:t>Freeze</w:t>
      </w:r>
      <w:r w:rsidR="00051BD6" w:rsidRPr="00051BD6">
        <w:rPr>
          <w:i/>
        </w:rPr>
        <w:t> in the 800 MHz Frequency Band</w:t>
      </w:r>
      <w:r w:rsidR="00051BD6" w:rsidRPr="002E0B5A">
        <w:t xml:space="preserve">, </w:t>
      </w:r>
      <w:r w:rsidR="00051BD6" w:rsidRPr="00051BD6">
        <w:t>Order</w:t>
      </w:r>
      <w:r w:rsidR="00051BD6">
        <w:t xml:space="preserve">, </w:t>
      </w:r>
      <w:r w:rsidR="00051BD6" w:rsidRPr="002E0B5A">
        <w:t>21 FCC Rcd 6332 (WTB 2006)</w:t>
      </w:r>
      <w:r w:rsidR="00051BD6">
        <w:t xml:space="preserve">; </w:t>
      </w:r>
      <w:r w:rsidR="00051BD6" w:rsidRPr="00051BD6">
        <w:rPr>
          <w:i/>
        </w:rPr>
        <w:t>Cumberland, County of, Request for Waiver of Intercategory Sharing Freeze in the 800 MHz Frequency Band</w:t>
      </w:r>
      <w:r w:rsidR="00051BD6" w:rsidRPr="002E0B5A">
        <w:t xml:space="preserve">, </w:t>
      </w:r>
      <w:r w:rsidR="00051BD6" w:rsidRPr="00051BD6">
        <w:t>Order</w:t>
      </w:r>
      <w:r w:rsidR="00051BD6">
        <w:t>,</w:t>
      </w:r>
      <w:r w:rsidR="00051BD6" w:rsidRPr="002E0B5A">
        <w:rPr>
          <w:i/>
        </w:rPr>
        <w:t xml:space="preserve"> </w:t>
      </w:r>
      <w:r w:rsidR="00051BD6" w:rsidRPr="002E0B5A">
        <w:t>21 FCC Rcd 9089 (WTB 2006)</w:t>
      </w:r>
      <w:r w:rsidR="00051BD6">
        <w:t xml:space="preserve">; </w:t>
      </w:r>
      <w:r w:rsidR="00A85ADD" w:rsidRPr="00C86DE9">
        <w:rPr>
          <w:i/>
        </w:rPr>
        <w:t xml:space="preserve">Weld, County of, </w:t>
      </w:r>
      <w:r w:rsidR="00051BD6">
        <w:rPr>
          <w:i/>
        </w:rPr>
        <w:t xml:space="preserve">Request for </w:t>
      </w:r>
      <w:r w:rsidR="00A85ADD" w:rsidRPr="00C86DE9">
        <w:rPr>
          <w:i/>
        </w:rPr>
        <w:t>Waiver of Intercategory Sharing Freeze in the 800 MHz Frequency Band</w:t>
      </w:r>
      <w:r w:rsidR="00A85ADD" w:rsidRPr="002E0B5A">
        <w:rPr>
          <w:i/>
        </w:rPr>
        <w:t xml:space="preserve">, </w:t>
      </w:r>
      <w:r w:rsidR="00A85ADD" w:rsidRPr="00C86DE9">
        <w:t>Order</w:t>
      </w:r>
      <w:r w:rsidR="00A85ADD" w:rsidRPr="002E0B5A">
        <w:rPr>
          <w:i/>
        </w:rPr>
        <w:t xml:space="preserve">, </w:t>
      </w:r>
      <w:r w:rsidR="00A85ADD" w:rsidRPr="002E0B5A">
        <w:t>28 FCC Rcd 4369 (PSHSB 2013)</w:t>
      </w:r>
      <w:r w:rsidR="0075337B">
        <w:t>;</w:t>
      </w:r>
      <w:r w:rsidR="00821CE1" w:rsidRPr="002E0B5A">
        <w:t xml:space="preserve"> </w:t>
      </w:r>
      <w:r w:rsidR="00051BD6" w:rsidRPr="00C86DE9">
        <w:rPr>
          <w:i/>
        </w:rPr>
        <w:t>Weld, County of</w:t>
      </w:r>
      <w:r w:rsidR="00051BD6" w:rsidRPr="002E0B5A">
        <w:rPr>
          <w:i/>
        </w:rPr>
        <w:t xml:space="preserve"> </w:t>
      </w:r>
      <w:r w:rsidR="00051BD6">
        <w:rPr>
          <w:i/>
        </w:rPr>
        <w:t xml:space="preserve">, Request for Waiver of </w:t>
      </w:r>
      <w:r w:rsidR="00051BD6" w:rsidRPr="00C86DE9">
        <w:rPr>
          <w:i/>
        </w:rPr>
        <w:t>Intercategory Sharing Freeze in the 800 MHz Frequency Band</w:t>
      </w:r>
      <w:r w:rsidR="00821CE1" w:rsidRPr="002E0B5A">
        <w:t xml:space="preserve">, </w:t>
      </w:r>
      <w:r w:rsidR="005B07C4" w:rsidRPr="00051BD6">
        <w:t>Memorandum Opinion and Order</w:t>
      </w:r>
      <w:r w:rsidR="005B07C4" w:rsidRPr="002E0B5A">
        <w:t xml:space="preserve">, </w:t>
      </w:r>
      <w:r w:rsidR="00115BC0" w:rsidRPr="002E0B5A">
        <w:t>29 FCC Rcd 5748 (PSHSB 2014)</w:t>
      </w:r>
      <w:r w:rsidR="00A85ADD" w:rsidRPr="002E0B5A">
        <w:t xml:space="preserve">; </w:t>
      </w:r>
      <w:r w:rsidR="0075337B" w:rsidRPr="00C86DE9">
        <w:rPr>
          <w:bCs/>
          <w:i/>
        </w:rPr>
        <w:t>Denver, City and County of, Request for Waiver of Inter-Category Sharing Freeze in the 800 MHz Frequency Band</w:t>
      </w:r>
      <w:r w:rsidR="0075337B" w:rsidRPr="002E0B5A">
        <w:rPr>
          <w:bCs/>
        </w:rPr>
        <w:t xml:space="preserve">, </w:t>
      </w:r>
      <w:r w:rsidR="0075337B" w:rsidRPr="00C86DE9">
        <w:rPr>
          <w:bCs/>
        </w:rPr>
        <w:t>Order</w:t>
      </w:r>
      <w:r w:rsidR="0075337B" w:rsidRPr="002E0B5A">
        <w:rPr>
          <w:bCs/>
        </w:rPr>
        <w:t xml:space="preserve">, </w:t>
      </w:r>
      <w:r w:rsidR="0075337B" w:rsidRPr="00C86DE9">
        <w:rPr>
          <w:bCs/>
        </w:rPr>
        <w:t xml:space="preserve">30 FCC Rcd 10680 </w:t>
      </w:r>
      <w:r w:rsidR="0075337B" w:rsidRPr="002E0B5A">
        <w:rPr>
          <w:bCs/>
        </w:rPr>
        <w:t>(PSHSB 2015);</w:t>
      </w:r>
      <w:r w:rsidR="0075337B">
        <w:rPr>
          <w:bCs/>
        </w:rPr>
        <w:t xml:space="preserve"> </w:t>
      </w:r>
      <w:r w:rsidR="00431CF6" w:rsidRPr="00431CF6">
        <w:rPr>
          <w:bCs/>
          <w:i/>
        </w:rPr>
        <w:t>North Carolina State Highway Patrol, Request for Waiver of Freeze on Inter-Category Sharing</w:t>
      </w:r>
      <w:r w:rsidR="00431CF6">
        <w:rPr>
          <w:bCs/>
        </w:rPr>
        <w:t xml:space="preserve">, Order, </w:t>
      </w:r>
      <w:r w:rsidR="00431CF6" w:rsidRPr="00431CF6">
        <w:rPr>
          <w:bCs/>
        </w:rPr>
        <w:t>30 FCC Rcd 10969</w:t>
      </w:r>
      <w:r w:rsidR="00431CF6">
        <w:rPr>
          <w:bCs/>
        </w:rPr>
        <w:t xml:space="preserve"> (PSHSB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3E" w:rsidRDefault="00875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F" w:rsidRDefault="00037F0F" w:rsidP="00810B6F">
    <w:pPr>
      <w:pStyle w:val="Header"/>
      <w:rPr>
        <w:b w:val="0"/>
      </w:rPr>
    </w:pPr>
    <w:r>
      <w:tab/>
      <w:t>Federal Communications Commission</w:t>
    </w:r>
    <w:r>
      <w:tab/>
    </w:r>
    <w:r w:rsidR="002E0B5A">
      <w:t xml:space="preserve">DA </w:t>
    </w:r>
    <w:r w:rsidR="002B724A" w:rsidRPr="002B724A">
      <w:t>17-229</w:t>
    </w:r>
  </w:p>
  <w:p w:rsidR="00037F0F" w:rsidRDefault="00037F0F">
    <w:pPr>
      <w:tabs>
        <w:tab w:val="left" w:pos="-720"/>
      </w:tabs>
      <w:suppressAutoHyphens/>
      <w:spacing w:line="19" w:lineRule="exact"/>
      <w:rPr>
        <w:spacing w:val="-2"/>
      </w:rPr>
    </w:pPr>
    <w:r>
      <w:rPr>
        <w:noProof/>
      </w:rPr>
      <mc:AlternateContent>
        <mc:Choice Requires="wps">
          <w:drawing>
            <wp:anchor distT="0" distB="0" distL="114300" distR="114300" simplePos="0" relativeHeight="251659776" behindDoc="1" locked="0" layoutInCell="0" allowOverlap="1" wp14:anchorId="1170EF34" wp14:editId="0644C67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D69891"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037F0F" w:rsidRDefault="00037F0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F" w:rsidRDefault="00037F0F" w:rsidP="00810B6F">
    <w:pPr>
      <w:pStyle w:val="Header"/>
      <w:rPr>
        <w:b w:val="0"/>
      </w:rPr>
    </w:pPr>
    <w:r>
      <w:rPr>
        <w:noProof/>
      </w:rPr>
      <mc:AlternateContent>
        <mc:Choice Requires="wps">
          <w:drawing>
            <wp:anchor distT="0" distB="0" distL="114300" distR="114300" simplePos="0" relativeHeight="251658240" behindDoc="1" locked="0" layoutInCell="0" allowOverlap="1" wp14:anchorId="3495581C" wp14:editId="13A5E85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9CB24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485C03">
      <w:rPr>
        <w:spacing w:val="-2"/>
      </w:rPr>
      <w:t xml:space="preserve">DA </w:t>
    </w:r>
    <w:r w:rsidR="002B724A" w:rsidRPr="002B724A">
      <w:rPr>
        <w:spacing w:val="-2"/>
      </w:rPr>
      <w:t>17-229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color w:val="auto"/>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7"/>
    <w:lvlOverride w:ilvl="0">
      <w:startOverride w:val="1"/>
    </w:lvlOverride>
  </w:num>
  <w:num w:numId="8">
    <w:abstractNumId w:val="0"/>
  </w:num>
  <w:num w:numId="9">
    <w:abstractNumId w:val="7"/>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8F"/>
    <w:rsid w:val="0000376A"/>
    <w:rsid w:val="00003BE7"/>
    <w:rsid w:val="0001497E"/>
    <w:rsid w:val="00025314"/>
    <w:rsid w:val="00031273"/>
    <w:rsid w:val="00036039"/>
    <w:rsid w:val="00037F0F"/>
    <w:rsid w:val="00037F90"/>
    <w:rsid w:val="00041C3E"/>
    <w:rsid w:val="00044C0A"/>
    <w:rsid w:val="00051BD6"/>
    <w:rsid w:val="000529BD"/>
    <w:rsid w:val="00063935"/>
    <w:rsid w:val="000875BF"/>
    <w:rsid w:val="00096D8C"/>
    <w:rsid w:val="000A0167"/>
    <w:rsid w:val="000C0B65"/>
    <w:rsid w:val="000C2D1C"/>
    <w:rsid w:val="000D3C5E"/>
    <w:rsid w:val="000D7294"/>
    <w:rsid w:val="000D7A67"/>
    <w:rsid w:val="000E0181"/>
    <w:rsid w:val="000E05FE"/>
    <w:rsid w:val="000E3D42"/>
    <w:rsid w:val="000E596C"/>
    <w:rsid w:val="00114C27"/>
    <w:rsid w:val="00115BC0"/>
    <w:rsid w:val="00122BD5"/>
    <w:rsid w:val="00126105"/>
    <w:rsid w:val="00132492"/>
    <w:rsid w:val="00133F79"/>
    <w:rsid w:val="00137BE1"/>
    <w:rsid w:val="0016158F"/>
    <w:rsid w:val="00162444"/>
    <w:rsid w:val="00194A66"/>
    <w:rsid w:val="00196091"/>
    <w:rsid w:val="001B7111"/>
    <w:rsid w:val="001C45F4"/>
    <w:rsid w:val="001D0DA2"/>
    <w:rsid w:val="001D4A27"/>
    <w:rsid w:val="001D6794"/>
    <w:rsid w:val="001D6BCF"/>
    <w:rsid w:val="001E01CA"/>
    <w:rsid w:val="001E2E98"/>
    <w:rsid w:val="001E62E2"/>
    <w:rsid w:val="001F173C"/>
    <w:rsid w:val="001F1D7F"/>
    <w:rsid w:val="0020000B"/>
    <w:rsid w:val="00203B89"/>
    <w:rsid w:val="00203F05"/>
    <w:rsid w:val="002047DF"/>
    <w:rsid w:val="00214EC7"/>
    <w:rsid w:val="002164BA"/>
    <w:rsid w:val="002321A1"/>
    <w:rsid w:val="0023616F"/>
    <w:rsid w:val="0024169A"/>
    <w:rsid w:val="002506B1"/>
    <w:rsid w:val="00255584"/>
    <w:rsid w:val="002563D8"/>
    <w:rsid w:val="00275CF5"/>
    <w:rsid w:val="0028301F"/>
    <w:rsid w:val="00284FC2"/>
    <w:rsid w:val="00285017"/>
    <w:rsid w:val="00294D02"/>
    <w:rsid w:val="002A2D2E"/>
    <w:rsid w:val="002B724A"/>
    <w:rsid w:val="002C00E8"/>
    <w:rsid w:val="002D025A"/>
    <w:rsid w:val="002E0B5A"/>
    <w:rsid w:val="002E27B5"/>
    <w:rsid w:val="002F14CB"/>
    <w:rsid w:val="002F68C0"/>
    <w:rsid w:val="002F762C"/>
    <w:rsid w:val="002F7B7E"/>
    <w:rsid w:val="003066E8"/>
    <w:rsid w:val="00320119"/>
    <w:rsid w:val="00325773"/>
    <w:rsid w:val="00332062"/>
    <w:rsid w:val="003376EC"/>
    <w:rsid w:val="00343749"/>
    <w:rsid w:val="003622DA"/>
    <w:rsid w:val="003660ED"/>
    <w:rsid w:val="00367824"/>
    <w:rsid w:val="00370AC1"/>
    <w:rsid w:val="003861DD"/>
    <w:rsid w:val="003A1EEA"/>
    <w:rsid w:val="003A7DC8"/>
    <w:rsid w:val="003B0550"/>
    <w:rsid w:val="003B694F"/>
    <w:rsid w:val="003C3CA4"/>
    <w:rsid w:val="003D100A"/>
    <w:rsid w:val="003E17DE"/>
    <w:rsid w:val="003E185E"/>
    <w:rsid w:val="003E4404"/>
    <w:rsid w:val="003F171C"/>
    <w:rsid w:val="00402327"/>
    <w:rsid w:val="0040680E"/>
    <w:rsid w:val="00412FC5"/>
    <w:rsid w:val="00422276"/>
    <w:rsid w:val="004242F1"/>
    <w:rsid w:val="00430292"/>
    <w:rsid w:val="00431CF6"/>
    <w:rsid w:val="00445A00"/>
    <w:rsid w:val="00451B0F"/>
    <w:rsid w:val="00455192"/>
    <w:rsid w:val="004834AE"/>
    <w:rsid w:val="00485C03"/>
    <w:rsid w:val="00492079"/>
    <w:rsid w:val="004A4449"/>
    <w:rsid w:val="004A4A3E"/>
    <w:rsid w:val="004A6821"/>
    <w:rsid w:val="004B49B2"/>
    <w:rsid w:val="004C105A"/>
    <w:rsid w:val="004C2EE3"/>
    <w:rsid w:val="004E3737"/>
    <w:rsid w:val="004E4A22"/>
    <w:rsid w:val="004E71C6"/>
    <w:rsid w:val="004F0E8A"/>
    <w:rsid w:val="00500E70"/>
    <w:rsid w:val="00501736"/>
    <w:rsid w:val="00511968"/>
    <w:rsid w:val="005125B9"/>
    <w:rsid w:val="005140D7"/>
    <w:rsid w:val="00530681"/>
    <w:rsid w:val="00541EC8"/>
    <w:rsid w:val="00554340"/>
    <w:rsid w:val="0055614C"/>
    <w:rsid w:val="005709D0"/>
    <w:rsid w:val="00571145"/>
    <w:rsid w:val="00571B1C"/>
    <w:rsid w:val="00580A3A"/>
    <w:rsid w:val="005811F6"/>
    <w:rsid w:val="00597DA3"/>
    <w:rsid w:val="005A2511"/>
    <w:rsid w:val="005B07C4"/>
    <w:rsid w:val="005B4569"/>
    <w:rsid w:val="005C6F82"/>
    <w:rsid w:val="005E14C2"/>
    <w:rsid w:val="005F661E"/>
    <w:rsid w:val="00603D18"/>
    <w:rsid w:val="00607BA5"/>
    <w:rsid w:val="0061180A"/>
    <w:rsid w:val="00612FF7"/>
    <w:rsid w:val="006215F8"/>
    <w:rsid w:val="00626EB6"/>
    <w:rsid w:val="00635A50"/>
    <w:rsid w:val="00642BD0"/>
    <w:rsid w:val="006462D9"/>
    <w:rsid w:val="00655D03"/>
    <w:rsid w:val="00670713"/>
    <w:rsid w:val="00677744"/>
    <w:rsid w:val="00683388"/>
    <w:rsid w:val="00683F84"/>
    <w:rsid w:val="00687309"/>
    <w:rsid w:val="006A6A81"/>
    <w:rsid w:val="006B779E"/>
    <w:rsid w:val="006C4F6D"/>
    <w:rsid w:val="006C5234"/>
    <w:rsid w:val="006D579C"/>
    <w:rsid w:val="006D5E81"/>
    <w:rsid w:val="006F66B2"/>
    <w:rsid w:val="006F66D0"/>
    <w:rsid w:val="006F7393"/>
    <w:rsid w:val="0070224F"/>
    <w:rsid w:val="007115F7"/>
    <w:rsid w:val="00721BA5"/>
    <w:rsid w:val="00721C5D"/>
    <w:rsid w:val="0074239C"/>
    <w:rsid w:val="00744351"/>
    <w:rsid w:val="00751BBE"/>
    <w:rsid w:val="0075337B"/>
    <w:rsid w:val="00764FCD"/>
    <w:rsid w:val="00771316"/>
    <w:rsid w:val="00785689"/>
    <w:rsid w:val="00796A0B"/>
    <w:rsid w:val="0079754B"/>
    <w:rsid w:val="007A1E6D"/>
    <w:rsid w:val="007A2AA7"/>
    <w:rsid w:val="007B0EB2"/>
    <w:rsid w:val="007E1346"/>
    <w:rsid w:val="007E20CE"/>
    <w:rsid w:val="007F5B8C"/>
    <w:rsid w:val="008065FA"/>
    <w:rsid w:val="00810B6F"/>
    <w:rsid w:val="008200D0"/>
    <w:rsid w:val="00821CE1"/>
    <w:rsid w:val="00822CE0"/>
    <w:rsid w:val="008270AA"/>
    <w:rsid w:val="00830B73"/>
    <w:rsid w:val="00830CD5"/>
    <w:rsid w:val="008314FB"/>
    <w:rsid w:val="00841AB1"/>
    <w:rsid w:val="00845899"/>
    <w:rsid w:val="00846926"/>
    <w:rsid w:val="008554AF"/>
    <w:rsid w:val="00875E3E"/>
    <w:rsid w:val="00876907"/>
    <w:rsid w:val="00884563"/>
    <w:rsid w:val="008B3BA4"/>
    <w:rsid w:val="008B6C90"/>
    <w:rsid w:val="008B72CE"/>
    <w:rsid w:val="008C68F1"/>
    <w:rsid w:val="008D118C"/>
    <w:rsid w:val="008D6E58"/>
    <w:rsid w:val="008E2E3D"/>
    <w:rsid w:val="008F34DF"/>
    <w:rsid w:val="00904C18"/>
    <w:rsid w:val="00920224"/>
    <w:rsid w:val="00921803"/>
    <w:rsid w:val="00926503"/>
    <w:rsid w:val="009333AB"/>
    <w:rsid w:val="00933AED"/>
    <w:rsid w:val="00934154"/>
    <w:rsid w:val="00970007"/>
    <w:rsid w:val="009726D8"/>
    <w:rsid w:val="0097355C"/>
    <w:rsid w:val="009D57BB"/>
    <w:rsid w:val="009D78A8"/>
    <w:rsid w:val="009E7868"/>
    <w:rsid w:val="009F2878"/>
    <w:rsid w:val="009F76DB"/>
    <w:rsid w:val="00A0253D"/>
    <w:rsid w:val="00A03229"/>
    <w:rsid w:val="00A03850"/>
    <w:rsid w:val="00A0540E"/>
    <w:rsid w:val="00A251B3"/>
    <w:rsid w:val="00A32C3B"/>
    <w:rsid w:val="00A360EC"/>
    <w:rsid w:val="00A45F4F"/>
    <w:rsid w:val="00A474BA"/>
    <w:rsid w:val="00A600A9"/>
    <w:rsid w:val="00A62983"/>
    <w:rsid w:val="00A72635"/>
    <w:rsid w:val="00A85ADD"/>
    <w:rsid w:val="00AA55B7"/>
    <w:rsid w:val="00AA5B9E"/>
    <w:rsid w:val="00AB2407"/>
    <w:rsid w:val="00AB53DF"/>
    <w:rsid w:val="00AD0E56"/>
    <w:rsid w:val="00AD1EB3"/>
    <w:rsid w:val="00AE038E"/>
    <w:rsid w:val="00AE5F47"/>
    <w:rsid w:val="00AF0FF1"/>
    <w:rsid w:val="00AF11B0"/>
    <w:rsid w:val="00AF74FA"/>
    <w:rsid w:val="00B01A3E"/>
    <w:rsid w:val="00B07E5C"/>
    <w:rsid w:val="00B13F9B"/>
    <w:rsid w:val="00B15273"/>
    <w:rsid w:val="00B1723F"/>
    <w:rsid w:val="00B272BF"/>
    <w:rsid w:val="00B305D3"/>
    <w:rsid w:val="00B3264E"/>
    <w:rsid w:val="00B34D71"/>
    <w:rsid w:val="00B35E97"/>
    <w:rsid w:val="00B37DDC"/>
    <w:rsid w:val="00B42811"/>
    <w:rsid w:val="00B56806"/>
    <w:rsid w:val="00B71237"/>
    <w:rsid w:val="00B7333D"/>
    <w:rsid w:val="00B76097"/>
    <w:rsid w:val="00B811F7"/>
    <w:rsid w:val="00B873E7"/>
    <w:rsid w:val="00B923B0"/>
    <w:rsid w:val="00BA5DC6"/>
    <w:rsid w:val="00BA6196"/>
    <w:rsid w:val="00BB04D8"/>
    <w:rsid w:val="00BB4136"/>
    <w:rsid w:val="00BC3733"/>
    <w:rsid w:val="00BC6D8C"/>
    <w:rsid w:val="00BD6791"/>
    <w:rsid w:val="00BD6FF0"/>
    <w:rsid w:val="00BD7DE3"/>
    <w:rsid w:val="00BE072A"/>
    <w:rsid w:val="00BE6BC3"/>
    <w:rsid w:val="00BF5A35"/>
    <w:rsid w:val="00C2683C"/>
    <w:rsid w:val="00C34006"/>
    <w:rsid w:val="00C3636A"/>
    <w:rsid w:val="00C36CCB"/>
    <w:rsid w:val="00C426B1"/>
    <w:rsid w:val="00C527C8"/>
    <w:rsid w:val="00C5559F"/>
    <w:rsid w:val="00C6378F"/>
    <w:rsid w:val="00C655E6"/>
    <w:rsid w:val="00C66160"/>
    <w:rsid w:val="00C663FC"/>
    <w:rsid w:val="00C715C2"/>
    <w:rsid w:val="00C721AC"/>
    <w:rsid w:val="00C843FB"/>
    <w:rsid w:val="00C86DE9"/>
    <w:rsid w:val="00C90D6A"/>
    <w:rsid w:val="00C958EE"/>
    <w:rsid w:val="00CA1B55"/>
    <w:rsid w:val="00CA2186"/>
    <w:rsid w:val="00CA247E"/>
    <w:rsid w:val="00CA5E2F"/>
    <w:rsid w:val="00CA7EA6"/>
    <w:rsid w:val="00CB0777"/>
    <w:rsid w:val="00CB3E6F"/>
    <w:rsid w:val="00CB48BE"/>
    <w:rsid w:val="00CC72B6"/>
    <w:rsid w:val="00CD3F49"/>
    <w:rsid w:val="00CD710B"/>
    <w:rsid w:val="00D0218D"/>
    <w:rsid w:val="00D119E3"/>
    <w:rsid w:val="00D25FB5"/>
    <w:rsid w:val="00D37C74"/>
    <w:rsid w:val="00D44223"/>
    <w:rsid w:val="00D52B5F"/>
    <w:rsid w:val="00D66A84"/>
    <w:rsid w:val="00D71904"/>
    <w:rsid w:val="00D73AC5"/>
    <w:rsid w:val="00D87268"/>
    <w:rsid w:val="00D922A1"/>
    <w:rsid w:val="00D92575"/>
    <w:rsid w:val="00DA12CC"/>
    <w:rsid w:val="00DA21E0"/>
    <w:rsid w:val="00DA2529"/>
    <w:rsid w:val="00DA2826"/>
    <w:rsid w:val="00DB130A"/>
    <w:rsid w:val="00DB2EBB"/>
    <w:rsid w:val="00DC10A1"/>
    <w:rsid w:val="00DC5CE8"/>
    <w:rsid w:val="00DC655F"/>
    <w:rsid w:val="00DC70BC"/>
    <w:rsid w:val="00DD0B59"/>
    <w:rsid w:val="00DD5491"/>
    <w:rsid w:val="00DD555F"/>
    <w:rsid w:val="00DD7EBD"/>
    <w:rsid w:val="00DE61DA"/>
    <w:rsid w:val="00DF0E60"/>
    <w:rsid w:val="00DF62B6"/>
    <w:rsid w:val="00DF75A3"/>
    <w:rsid w:val="00E02EF6"/>
    <w:rsid w:val="00E07225"/>
    <w:rsid w:val="00E10990"/>
    <w:rsid w:val="00E26709"/>
    <w:rsid w:val="00E32CD6"/>
    <w:rsid w:val="00E50213"/>
    <w:rsid w:val="00E5409F"/>
    <w:rsid w:val="00E63127"/>
    <w:rsid w:val="00E65A3B"/>
    <w:rsid w:val="00E80A38"/>
    <w:rsid w:val="00EA6D0E"/>
    <w:rsid w:val="00EC7084"/>
    <w:rsid w:val="00EE6488"/>
    <w:rsid w:val="00EE6631"/>
    <w:rsid w:val="00EF17D9"/>
    <w:rsid w:val="00EF7173"/>
    <w:rsid w:val="00EF79C6"/>
    <w:rsid w:val="00F021FA"/>
    <w:rsid w:val="00F07342"/>
    <w:rsid w:val="00F147BA"/>
    <w:rsid w:val="00F32C3F"/>
    <w:rsid w:val="00F50772"/>
    <w:rsid w:val="00F62E97"/>
    <w:rsid w:val="00F64209"/>
    <w:rsid w:val="00F857CB"/>
    <w:rsid w:val="00F87D67"/>
    <w:rsid w:val="00F93BF5"/>
    <w:rsid w:val="00F95706"/>
    <w:rsid w:val="00F9612C"/>
    <w:rsid w:val="00FA0B0B"/>
    <w:rsid w:val="00FA3B59"/>
    <w:rsid w:val="00FA4C49"/>
    <w:rsid w:val="00FA5083"/>
    <w:rsid w:val="00FA5C67"/>
    <w:rsid w:val="00FB3A79"/>
    <w:rsid w:val="00FB7D59"/>
    <w:rsid w:val="00FD5D4A"/>
    <w:rsid w:val="00FE370B"/>
    <w:rsid w:val="00FE76C1"/>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B1"/>
    <w:pPr>
      <w:widowControl w:val="0"/>
    </w:pPr>
    <w:rPr>
      <w:snapToGrid w:val="0"/>
      <w:kern w:val="28"/>
      <w:sz w:val="22"/>
    </w:rPr>
  </w:style>
  <w:style w:type="paragraph" w:styleId="Heading1">
    <w:name w:val="heading 1"/>
    <w:basedOn w:val="Normal"/>
    <w:next w:val="ParaNum"/>
    <w:qFormat/>
    <w:rsid w:val="002506B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506B1"/>
    <w:pPr>
      <w:keepNext/>
      <w:numPr>
        <w:ilvl w:val="1"/>
        <w:numId w:val="3"/>
      </w:numPr>
      <w:spacing w:after="120"/>
      <w:outlineLvl w:val="1"/>
    </w:pPr>
    <w:rPr>
      <w:b/>
    </w:rPr>
  </w:style>
  <w:style w:type="paragraph" w:styleId="Heading3">
    <w:name w:val="heading 3"/>
    <w:basedOn w:val="Normal"/>
    <w:next w:val="ParaNum"/>
    <w:qFormat/>
    <w:rsid w:val="002506B1"/>
    <w:pPr>
      <w:keepNext/>
      <w:numPr>
        <w:ilvl w:val="2"/>
        <w:numId w:val="3"/>
      </w:numPr>
      <w:tabs>
        <w:tab w:val="left" w:pos="2160"/>
      </w:tabs>
      <w:spacing w:after="120"/>
      <w:outlineLvl w:val="2"/>
    </w:pPr>
    <w:rPr>
      <w:b/>
    </w:rPr>
  </w:style>
  <w:style w:type="paragraph" w:styleId="Heading4">
    <w:name w:val="heading 4"/>
    <w:basedOn w:val="Normal"/>
    <w:next w:val="ParaNum"/>
    <w:qFormat/>
    <w:rsid w:val="002506B1"/>
    <w:pPr>
      <w:keepNext/>
      <w:numPr>
        <w:ilvl w:val="3"/>
        <w:numId w:val="3"/>
      </w:numPr>
      <w:tabs>
        <w:tab w:val="left" w:pos="2880"/>
      </w:tabs>
      <w:spacing w:after="120"/>
      <w:outlineLvl w:val="3"/>
    </w:pPr>
    <w:rPr>
      <w:b/>
    </w:rPr>
  </w:style>
  <w:style w:type="paragraph" w:styleId="Heading5">
    <w:name w:val="heading 5"/>
    <w:basedOn w:val="Normal"/>
    <w:next w:val="ParaNum"/>
    <w:qFormat/>
    <w:rsid w:val="002506B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506B1"/>
    <w:pPr>
      <w:numPr>
        <w:ilvl w:val="5"/>
        <w:numId w:val="3"/>
      </w:numPr>
      <w:tabs>
        <w:tab w:val="left" w:pos="4320"/>
      </w:tabs>
      <w:spacing w:after="120"/>
      <w:outlineLvl w:val="5"/>
    </w:pPr>
    <w:rPr>
      <w:b/>
    </w:rPr>
  </w:style>
  <w:style w:type="paragraph" w:styleId="Heading7">
    <w:name w:val="heading 7"/>
    <w:basedOn w:val="Normal"/>
    <w:next w:val="ParaNum"/>
    <w:qFormat/>
    <w:rsid w:val="002506B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06B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506B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06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6B1"/>
  </w:style>
  <w:style w:type="paragraph" w:customStyle="1" w:styleId="ParaNum">
    <w:name w:val="ParaNum"/>
    <w:basedOn w:val="Normal"/>
    <w:rsid w:val="002506B1"/>
    <w:pPr>
      <w:numPr>
        <w:numId w:val="2"/>
      </w:numPr>
      <w:tabs>
        <w:tab w:val="clear" w:pos="1080"/>
        <w:tab w:val="num" w:pos="1440"/>
      </w:tabs>
      <w:spacing w:after="120"/>
    </w:pPr>
  </w:style>
  <w:style w:type="paragraph" w:styleId="EndnoteText">
    <w:name w:val="endnote text"/>
    <w:basedOn w:val="Normal"/>
    <w:semiHidden/>
    <w:rsid w:val="002506B1"/>
    <w:rPr>
      <w:sz w:val="20"/>
    </w:rPr>
  </w:style>
  <w:style w:type="character" w:styleId="EndnoteReference">
    <w:name w:val="endnote reference"/>
    <w:semiHidden/>
    <w:rsid w:val="002506B1"/>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link w:val="FootnoteTextChar"/>
    <w:rsid w:val="002506B1"/>
    <w:pPr>
      <w:spacing w:after="120"/>
    </w:pPr>
  </w:style>
  <w:style w:type="character" w:styleId="FootnoteReference">
    <w:name w:val="footnote reference"/>
    <w:aliases w:val="Appel note de bas de p,Style 12,(NECG) Footnote Reference,Style 124,Style 13,o,fr,Style 3,FR,Style 17,Footnote Reference/,Style 6,Style 7"/>
    <w:rsid w:val="002506B1"/>
    <w:rPr>
      <w:rFonts w:ascii="Times New Roman" w:hAnsi="Times New Roman"/>
      <w:dstrike w:val="0"/>
      <w:color w:val="auto"/>
      <w:sz w:val="20"/>
      <w:vertAlign w:val="superscript"/>
    </w:rPr>
  </w:style>
  <w:style w:type="paragraph" w:styleId="TOC1">
    <w:name w:val="toc 1"/>
    <w:basedOn w:val="Normal"/>
    <w:next w:val="Normal"/>
    <w:semiHidden/>
    <w:rsid w:val="002506B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06B1"/>
    <w:pPr>
      <w:tabs>
        <w:tab w:val="left" w:pos="720"/>
        <w:tab w:val="right" w:leader="dot" w:pos="9360"/>
      </w:tabs>
      <w:suppressAutoHyphens/>
      <w:ind w:left="720" w:right="720" w:hanging="360"/>
    </w:pPr>
    <w:rPr>
      <w:noProof/>
    </w:rPr>
  </w:style>
  <w:style w:type="paragraph" w:styleId="TOC3">
    <w:name w:val="toc 3"/>
    <w:basedOn w:val="Normal"/>
    <w:next w:val="Normal"/>
    <w:semiHidden/>
    <w:rsid w:val="002506B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06B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06B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06B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06B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06B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06B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06B1"/>
    <w:pPr>
      <w:tabs>
        <w:tab w:val="right" w:pos="9360"/>
      </w:tabs>
      <w:suppressAutoHyphens/>
    </w:pPr>
  </w:style>
  <w:style w:type="character" w:customStyle="1" w:styleId="EquationCaption">
    <w:name w:val="_Equation Caption"/>
    <w:rsid w:val="002506B1"/>
  </w:style>
  <w:style w:type="paragraph" w:styleId="Header">
    <w:name w:val="header"/>
    <w:basedOn w:val="Normal"/>
    <w:autoRedefine/>
    <w:rsid w:val="002506B1"/>
    <w:pPr>
      <w:tabs>
        <w:tab w:val="center" w:pos="4680"/>
        <w:tab w:val="right" w:pos="9360"/>
      </w:tabs>
    </w:pPr>
    <w:rPr>
      <w:b/>
    </w:rPr>
  </w:style>
  <w:style w:type="paragraph" w:styleId="Footer">
    <w:name w:val="footer"/>
    <w:basedOn w:val="Normal"/>
    <w:rsid w:val="002506B1"/>
    <w:pPr>
      <w:tabs>
        <w:tab w:val="center" w:pos="4320"/>
        <w:tab w:val="right" w:pos="8640"/>
      </w:tabs>
    </w:pPr>
  </w:style>
  <w:style w:type="character" w:styleId="PageNumber">
    <w:name w:val="page number"/>
    <w:basedOn w:val="DefaultParagraphFont"/>
    <w:rsid w:val="002506B1"/>
  </w:style>
  <w:style w:type="paragraph" w:styleId="BlockText">
    <w:name w:val="Block Text"/>
    <w:basedOn w:val="Normal"/>
    <w:rsid w:val="002506B1"/>
    <w:pPr>
      <w:spacing w:after="240"/>
      <w:ind w:left="1440" w:right="1440"/>
    </w:pPr>
  </w:style>
  <w:style w:type="paragraph" w:customStyle="1" w:styleId="Paratitle">
    <w:name w:val="Para title"/>
    <w:basedOn w:val="Normal"/>
    <w:rsid w:val="002506B1"/>
    <w:pPr>
      <w:tabs>
        <w:tab w:val="center" w:pos="9270"/>
      </w:tabs>
      <w:spacing w:after="240"/>
    </w:pPr>
    <w:rPr>
      <w:spacing w:val="-2"/>
    </w:rPr>
  </w:style>
  <w:style w:type="paragraph" w:customStyle="1" w:styleId="Bullet">
    <w:name w:val="Bullet"/>
    <w:basedOn w:val="Normal"/>
    <w:rsid w:val="002506B1"/>
    <w:pPr>
      <w:tabs>
        <w:tab w:val="left" w:pos="2160"/>
      </w:tabs>
      <w:spacing w:after="220"/>
      <w:ind w:left="2160" w:hanging="720"/>
    </w:pPr>
  </w:style>
  <w:style w:type="paragraph" w:customStyle="1" w:styleId="TableFormat">
    <w:name w:val="TableFormat"/>
    <w:basedOn w:val="Bullet"/>
    <w:rsid w:val="002506B1"/>
    <w:pPr>
      <w:tabs>
        <w:tab w:val="clear" w:pos="2160"/>
        <w:tab w:val="left" w:pos="5040"/>
      </w:tabs>
      <w:ind w:left="5040" w:hanging="3600"/>
    </w:pPr>
  </w:style>
  <w:style w:type="paragraph" w:customStyle="1" w:styleId="TOCTitle">
    <w:name w:val="TOC Title"/>
    <w:basedOn w:val="Normal"/>
    <w:rsid w:val="002506B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06B1"/>
    <w:pPr>
      <w:jc w:val="center"/>
    </w:pPr>
    <w:rPr>
      <w:rFonts w:ascii="Times New Roman Bold" w:hAnsi="Times New Roman Bold"/>
      <w:b/>
      <w:bCs/>
      <w:caps/>
      <w:szCs w:val="22"/>
    </w:rPr>
  </w:style>
  <w:style w:type="character" w:styleId="Hyperlink">
    <w:name w:val="Hyperlink"/>
    <w:rsid w:val="002506B1"/>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E63127"/>
    <w:rPr>
      <w:sz w:val="16"/>
      <w:szCs w:val="16"/>
    </w:rPr>
  </w:style>
  <w:style w:type="paragraph" w:styleId="CommentText">
    <w:name w:val="annotation text"/>
    <w:basedOn w:val="Normal"/>
    <w:link w:val="CommentTextChar"/>
    <w:semiHidden/>
    <w:unhideWhenUsed/>
    <w:rsid w:val="00E63127"/>
    <w:rPr>
      <w:sz w:val="20"/>
    </w:rPr>
  </w:style>
  <w:style w:type="character" w:customStyle="1" w:styleId="CommentTextChar">
    <w:name w:val="Comment Text Char"/>
    <w:basedOn w:val="DefaultParagraphFont"/>
    <w:link w:val="CommentText"/>
    <w:semiHidden/>
    <w:rsid w:val="00E63127"/>
    <w:rPr>
      <w:snapToGrid w:val="0"/>
      <w:kern w:val="28"/>
    </w:rPr>
  </w:style>
  <w:style w:type="paragraph" w:styleId="CommentSubject">
    <w:name w:val="annotation subject"/>
    <w:basedOn w:val="CommentText"/>
    <w:next w:val="CommentText"/>
    <w:link w:val="CommentSubjectChar"/>
    <w:semiHidden/>
    <w:unhideWhenUsed/>
    <w:rsid w:val="00E63127"/>
    <w:rPr>
      <w:b/>
      <w:bCs/>
    </w:rPr>
  </w:style>
  <w:style w:type="character" w:customStyle="1" w:styleId="CommentSubjectChar">
    <w:name w:val="Comment Subject Char"/>
    <w:basedOn w:val="CommentTextChar"/>
    <w:link w:val="CommentSubject"/>
    <w:semiHidden/>
    <w:rsid w:val="00E63127"/>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B1"/>
    <w:pPr>
      <w:widowControl w:val="0"/>
    </w:pPr>
    <w:rPr>
      <w:snapToGrid w:val="0"/>
      <w:kern w:val="28"/>
      <w:sz w:val="22"/>
    </w:rPr>
  </w:style>
  <w:style w:type="paragraph" w:styleId="Heading1">
    <w:name w:val="heading 1"/>
    <w:basedOn w:val="Normal"/>
    <w:next w:val="ParaNum"/>
    <w:qFormat/>
    <w:rsid w:val="002506B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506B1"/>
    <w:pPr>
      <w:keepNext/>
      <w:numPr>
        <w:ilvl w:val="1"/>
        <w:numId w:val="3"/>
      </w:numPr>
      <w:spacing w:after="120"/>
      <w:outlineLvl w:val="1"/>
    </w:pPr>
    <w:rPr>
      <w:b/>
    </w:rPr>
  </w:style>
  <w:style w:type="paragraph" w:styleId="Heading3">
    <w:name w:val="heading 3"/>
    <w:basedOn w:val="Normal"/>
    <w:next w:val="ParaNum"/>
    <w:qFormat/>
    <w:rsid w:val="002506B1"/>
    <w:pPr>
      <w:keepNext/>
      <w:numPr>
        <w:ilvl w:val="2"/>
        <w:numId w:val="3"/>
      </w:numPr>
      <w:tabs>
        <w:tab w:val="left" w:pos="2160"/>
      </w:tabs>
      <w:spacing w:after="120"/>
      <w:outlineLvl w:val="2"/>
    </w:pPr>
    <w:rPr>
      <w:b/>
    </w:rPr>
  </w:style>
  <w:style w:type="paragraph" w:styleId="Heading4">
    <w:name w:val="heading 4"/>
    <w:basedOn w:val="Normal"/>
    <w:next w:val="ParaNum"/>
    <w:qFormat/>
    <w:rsid w:val="002506B1"/>
    <w:pPr>
      <w:keepNext/>
      <w:numPr>
        <w:ilvl w:val="3"/>
        <w:numId w:val="3"/>
      </w:numPr>
      <w:tabs>
        <w:tab w:val="left" w:pos="2880"/>
      </w:tabs>
      <w:spacing w:after="120"/>
      <w:outlineLvl w:val="3"/>
    </w:pPr>
    <w:rPr>
      <w:b/>
    </w:rPr>
  </w:style>
  <w:style w:type="paragraph" w:styleId="Heading5">
    <w:name w:val="heading 5"/>
    <w:basedOn w:val="Normal"/>
    <w:next w:val="ParaNum"/>
    <w:qFormat/>
    <w:rsid w:val="002506B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506B1"/>
    <w:pPr>
      <w:numPr>
        <w:ilvl w:val="5"/>
        <w:numId w:val="3"/>
      </w:numPr>
      <w:tabs>
        <w:tab w:val="left" w:pos="4320"/>
      </w:tabs>
      <w:spacing w:after="120"/>
      <w:outlineLvl w:val="5"/>
    </w:pPr>
    <w:rPr>
      <w:b/>
    </w:rPr>
  </w:style>
  <w:style w:type="paragraph" w:styleId="Heading7">
    <w:name w:val="heading 7"/>
    <w:basedOn w:val="Normal"/>
    <w:next w:val="ParaNum"/>
    <w:qFormat/>
    <w:rsid w:val="002506B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06B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506B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06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6B1"/>
  </w:style>
  <w:style w:type="paragraph" w:customStyle="1" w:styleId="ParaNum">
    <w:name w:val="ParaNum"/>
    <w:basedOn w:val="Normal"/>
    <w:rsid w:val="002506B1"/>
    <w:pPr>
      <w:numPr>
        <w:numId w:val="2"/>
      </w:numPr>
      <w:tabs>
        <w:tab w:val="clear" w:pos="1080"/>
        <w:tab w:val="num" w:pos="1440"/>
      </w:tabs>
      <w:spacing w:after="120"/>
    </w:pPr>
  </w:style>
  <w:style w:type="paragraph" w:styleId="EndnoteText">
    <w:name w:val="endnote text"/>
    <w:basedOn w:val="Normal"/>
    <w:semiHidden/>
    <w:rsid w:val="002506B1"/>
    <w:rPr>
      <w:sz w:val="20"/>
    </w:rPr>
  </w:style>
  <w:style w:type="character" w:styleId="EndnoteReference">
    <w:name w:val="endnote reference"/>
    <w:semiHidden/>
    <w:rsid w:val="002506B1"/>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link w:val="FootnoteTextChar"/>
    <w:rsid w:val="002506B1"/>
    <w:pPr>
      <w:spacing w:after="120"/>
    </w:pPr>
  </w:style>
  <w:style w:type="character" w:styleId="FootnoteReference">
    <w:name w:val="footnote reference"/>
    <w:aliases w:val="Appel note de bas de p,Style 12,(NECG) Footnote Reference,Style 124,Style 13,o,fr,Style 3,FR,Style 17,Footnote Reference/,Style 6,Style 7"/>
    <w:rsid w:val="002506B1"/>
    <w:rPr>
      <w:rFonts w:ascii="Times New Roman" w:hAnsi="Times New Roman"/>
      <w:dstrike w:val="0"/>
      <w:color w:val="auto"/>
      <w:sz w:val="20"/>
      <w:vertAlign w:val="superscript"/>
    </w:rPr>
  </w:style>
  <w:style w:type="paragraph" w:styleId="TOC1">
    <w:name w:val="toc 1"/>
    <w:basedOn w:val="Normal"/>
    <w:next w:val="Normal"/>
    <w:semiHidden/>
    <w:rsid w:val="002506B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06B1"/>
    <w:pPr>
      <w:tabs>
        <w:tab w:val="left" w:pos="720"/>
        <w:tab w:val="right" w:leader="dot" w:pos="9360"/>
      </w:tabs>
      <w:suppressAutoHyphens/>
      <w:ind w:left="720" w:right="720" w:hanging="360"/>
    </w:pPr>
    <w:rPr>
      <w:noProof/>
    </w:rPr>
  </w:style>
  <w:style w:type="paragraph" w:styleId="TOC3">
    <w:name w:val="toc 3"/>
    <w:basedOn w:val="Normal"/>
    <w:next w:val="Normal"/>
    <w:semiHidden/>
    <w:rsid w:val="002506B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06B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06B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06B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06B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06B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06B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06B1"/>
    <w:pPr>
      <w:tabs>
        <w:tab w:val="right" w:pos="9360"/>
      </w:tabs>
      <w:suppressAutoHyphens/>
    </w:pPr>
  </w:style>
  <w:style w:type="character" w:customStyle="1" w:styleId="EquationCaption">
    <w:name w:val="_Equation Caption"/>
    <w:rsid w:val="002506B1"/>
  </w:style>
  <w:style w:type="paragraph" w:styleId="Header">
    <w:name w:val="header"/>
    <w:basedOn w:val="Normal"/>
    <w:autoRedefine/>
    <w:rsid w:val="002506B1"/>
    <w:pPr>
      <w:tabs>
        <w:tab w:val="center" w:pos="4680"/>
        <w:tab w:val="right" w:pos="9360"/>
      </w:tabs>
    </w:pPr>
    <w:rPr>
      <w:b/>
    </w:rPr>
  </w:style>
  <w:style w:type="paragraph" w:styleId="Footer">
    <w:name w:val="footer"/>
    <w:basedOn w:val="Normal"/>
    <w:rsid w:val="002506B1"/>
    <w:pPr>
      <w:tabs>
        <w:tab w:val="center" w:pos="4320"/>
        <w:tab w:val="right" w:pos="8640"/>
      </w:tabs>
    </w:pPr>
  </w:style>
  <w:style w:type="character" w:styleId="PageNumber">
    <w:name w:val="page number"/>
    <w:basedOn w:val="DefaultParagraphFont"/>
    <w:rsid w:val="002506B1"/>
  </w:style>
  <w:style w:type="paragraph" w:styleId="BlockText">
    <w:name w:val="Block Text"/>
    <w:basedOn w:val="Normal"/>
    <w:rsid w:val="002506B1"/>
    <w:pPr>
      <w:spacing w:after="240"/>
      <w:ind w:left="1440" w:right="1440"/>
    </w:pPr>
  </w:style>
  <w:style w:type="paragraph" w:customStyle="1" w:styleId="Paratitle">
    <w:name w:val="Para title"/>
    <w:basedOn w:val="Normal"/>
    <w:rsid w:val="002506B1"/>
    <w:pPr>
      <w:tabs>
        <w:tab w:val="center" w:pos="9270"/>
      </w:tabs>
      <w:spacing w:after="240"/>
    </w:pPr>
    <w:rPr>
      <w:spacing w:val="-2"/>
    </w:rPr>
  </w:style>
  <w:style w:type="paragraph" w:customStyle="1" w:styleId="Bullet">
    <w:name w:val="Bullet"/>
    <w:basedOn w:val="Normal"/>
    <w:rsid w:val="002506B1"/>
    <w:pPr>
      <w:tabs>
        <w:tab w:val="left" w:pos="2160"/>
      </w:tabs>
      <w:spacing w:after="220"/>
      <w:ind w:left="2160" w:hanging="720"/>
    </w:pPr>
  </w:style>
  <w:style w:type="paragraph" w:customStyle="1" w:styleId="TableFormat">
    <w:name w:val="TableFormat"/>
    <w:basedOn w:val="Bullet"/>
    <w:rsid w:val="002506B1"/>
    <w:pPr>
      <w:tabs>
        <w:tab w:val="clear" w:pos="2160"/>
        <w:tab w:val="left" w:pos="5040"/>
      </w:tabs>
      <w:ind w:left="5040" w:hanging="3600"/>
    </w:pPr>
  </w:style>
  <w:style w:type="paragraph" w:customStyle="1" w:styleId="TOCTitle">
    <w:name w:val="TOC Title"/>
    <w:basedOn w:val="Normal"/>
    <w:rsid w:val="002506B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06B1"/>
    <w:pPr>
      <w:jc w:val="center"/>
    </w:pPr>
    <w:rPr>
      <w:rFonts w:ascii="Times New Roman Bold" w:hAnsi="Times New Roman Bold"/>
      <w:b/>
      <w:bCs/>
      <w:caps/>
      <w:szCs w:val="22"/>
    </w:rPr>
  </w:style>
  <w:style w:type="character" w:styleId="Hyperlink">
    <w:name w:val="Hyperlink"/>
    <w:rsid w:val="002506B1"/>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E63127"/>
    <w:rPr>
      <w:sz w:val="16"/>
      <w:szCs w:val="16"/>
    </w:rPr>
  </w:style>
  <w:style w:type="paragraph" w:styleId="CommentText">
    <w:name w:val="annotation text"/>
    <w:basedOn w:val="Normal"/>
    <w:link w:val="CommentTextChar"/>
    <w:semiHidden/>
    <w:unhideWhenUsed/>
    <w:rsid w:val="00E63127"/>
    <w:rPr>
      <w:sz w:val="20"/>
    </w:rPr>
  </w:style>
  <w:style w:type="character" w:customStyle="1" w:styleId="CommentTextChar">
    <w:name w:val="Comment Text Char"/>
    <w:basedOn w:val="DefaultParagraphFont"/>
    <w:link w:val="CommentText"/>
    <w:semiHidden/>
    <w:rsid w:val="00E63127"/>
    <w:rPr>
      <w:snapToGrid w:val="0"/>
      <w:kern w:val="28"/>
    </w:rPr>
  </w:style>
  <w:style w:type="paragraph" w:styleId="CommentSubject">
    <w:name w:val="annotation subject"/>
    <w:basedOn w:val="CommentText"/>
    <w:next w:val="CommentText"/>
    <w:link w:val="CommentSubjectChar"/>
    <w:semiHidden/>
    <w:unhideWhenUsed/>
    <w:rsid w:val="00E63127"/>
    <w:rPr>
      <w:b/>
      <w:bCs/>
    </w:rPr>
  </w:style>
  <w:style w:type="character" w:customStyle="1" w:styleId="CommentSubjectChar">
    <w:name w:val="Comment Subject Char"/>
    <w:basedOn w:val="CommentTextChar"/>
    <w:link w:val="CommentSubject"/>
    <w:semiHidden/>
    <w:rsid w:val="00E631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1423</Words>
  <Characters>7812</Characters>
  <Application>Microsoft Office Word</Application>
  <DocSecurity>0</DocSecurity>
  <Lines>138</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2015-10-08T16:07:00Z</cp:lastPrinted>
  <dcterms:created xsi:type="dcterms:W3CDTF">2017-03-08T14:39:00Z</dcterms:created>
  <dcterms:modified xsi:type="dcterms:W3CDTF">2017-03-08T14:39:00Z</dcterms:modified>
  <cp:category> </cp:category>
  <cp:contentStatus> </cp:contentStatus>
</cp:coreProperties>
</file>