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405E" w14:textId="77777777" w:rsidR="00B945FF" w:rsidRDefault="00C9664F">
      <w:pPr>
        <w:jc w:val="center"/>
        <w:rPr>
          <w:b/>
        </w:rPr>
      </w:pPr>
      <w:bookmarkStart w:id="0" w:name="_GoBack"/>
      <w:bookmarkEnd w:id="0"/>
      <w:r>
        <w:rPr>
          <w:b/>
          <w:kern w:val="0"/>
          <w:szCs w:val="22"/>
        </w:rPr>
        <w:t xml:space="preserve"> </w:t>
      </w:r>
      <w:r w:rsidR="00AF72B8">
        <w:rPr>
          <w:b/>
          <w:kern w:val="0"/>
          <w:szCs w:val="22"/>
        </w:rPr>
        <w:t xml:space="preserve"> </w:t>
      </w:r>
      <w:r w:rsidR="00B945FF">
        <w:rPr>
          <w:b/>
          <w:kern w:val="0"/>
          <w:szCs w:val="22"/>
        </w:rPr>
        <w:t>Before</w:t>
      </w:r>
      <w:r w:rsidR="00B945FF">
        <w:rPr>
          <w:b/>
        </w:rPr>
        <w:t xml:space="preserve"> the</w:t>
      </w:r>
    </w:p>
    <w:p w14:paraId="149E365C" w14:textId="77777777" w:rsidR="00B945FF" w:rsidRDefault="00B945FF">
      <w:pPr>
        <w:pStyle w:val="StyleBoldCentered"/>
        <w:rPr>
          <w:rFonts w:ascii="Times New Roman" w:hAnsi="Times New Roman"/>
        </w:rPr>
      </w:pPr>
      <w:r>
        <w:rPr>
          <w:rFonts w:ascii="Times New Roman" w:hAnsi="Times New Roman"/>
        </w:rPr>
        <w:t>Federal Communications Commission</w:t>
      </w:r>
    </w:p>
    <w:p w14:paraId="14982398" w14:textId="77777777" w:rsidR="00B945FF" w:rsidRDefault="00B945FF">
      <w:pPr>
        <w:pStyle w:val="StyleBoldCentered"/>
        <w:rPr>
          <w:rFonts w:ascii="Times New Roman" w:hAnsi="Times New Roman"/>
        </w:rPr>
      </w:pPr>
      <w:r>
        <w:rPr>
          <w:rFonts w:ascii="Times New Roman" w:hAnsi="Times New Roman"/>
        </w:rPr>
        <w:t>Washington, D.C. 20554</w:t>
      </w:r>
    </w:p>
    <w:p w14:paraId="2B9A2C3A" w14:textId="77777777" w:rsidR="00B945FF" w:rsidRDefault="00B945FF"/>
    <w:p w14:paraId="549F74C7" w14:textId="77777777" w:rsidR="00B945FF" w:rsidRDefault="00B945FF"/>
    <w:tbl>
      <w:tblPr>
        <w:tblW w:w="0" w:type="auto"/>
        <w:tblLayout w:type="fixed"/>
        <w:tblLook w:val="0000" w:firstRow="0" w:lastRow="0" w:firstColumn="0" w:lastColumn="0" w:noHBand="0" w:noVBand="0"/>
      </w:tblPr>
      <w:tblGrid>
        <w:gridCol w:w="4698"/>
        <w:gridCol w:w="630"/>
        <w:gridCol w:w="4248"/>
      </w:tblGrid>
      <w:tr w:rsidR="00B945FF" w14:paraId="4200BEFD" w14:textId="77777777">
        <w:tc>
          <w:tcPr>
            <w:tcW w:w="4698" w:type="dxa"/>
          </w:tcPr>
          <w:p w14:paraId="044FC99E" w14:textId="77777777" w:rsidR="00B945FF" w:rsidRDefault="00B945FF">
            <w:pPr>
              <w:tabs>
                <w:tab w:val="center" w:pos="4680"/>
              </w:tabs>
              <w:suppressAutoHyphens/>
              <w:rPr>
                <w:spacing w:val="-2"/>
              </w:rPr>
            </w:pPr>
            <w:r>
              <w:rPr>
                <w:spacing w:val="-2"/>
              </w:rPr>
              <w:t>In the Matter of</w:t>
            </w:r>
          </w:p>
          <w:p w14:paraId="03F66547" w14:textId="77777777" w:rsidR="00B945FF" w:rsidRDefault="00B945FF">
            <w:pPr>
              <w:tabs>
                <w:tab w:val="center" w:pos="4680"/>
              </w:tabs>
              <w:suppressAutoHyphens/>
              <w:rPr>
                <w:spacing w:val="-2"/>
              </w:rPr>
            </w:pPr>
          </w:p>
          <w:p w14:paraId="1E981515" w14:textId="77777777" w:rsidR="00B945FF" w:rsidRDefault="007F4E38">
            <w:r>
              <w:t>State of North Dakota</w:t>
            </w:r>
          </w:p>
          <w:p w14:paraId="4B6D9AA0" w14:textId="77777777" w:rsidR="007F4E38" w:rsidRDefault="007F4E38"/>
          <w:p w14:paraId="46D1B75A" w14:textId="77777777" w:rsidR="007F4E38" w:rsidRDefault="007F4E38"/>
          <w:p w14:paraId="7673DF9E" w14:textId="77777777" w:rsidR="00B945FF" w:rsidRDefault="00B945FF">
            <w:pPr>
              <w:tabs>
                <w:tab w:val="center" w:pos="4680"/>
              </w:tabs>
              <w:suppressAutoHyphens/>
            </w:pPr>
            <w:r>
              <w:t>Request for Waiver of Section 90.20(d)(41)</w:t>
            </w:r>
          </w:p>
          <w:p w14:paraId="5656AE21" w14:textId="77777777" w:rsidR="00B945FF" w:rsidRDefault="00B945FF">
            <w:pPr>
              <w:tabs>
                <w:tab w:val="center" w:pos="4680"/>
              </w:tabs>
              <w:suppressAutoHyphens/>
              <w:rPr>
                <w:spacing w:val="-2"/>
              </w:rPr>
            </w:pPr>
            <w:r>
              <w:t>of the Commission’s Rules</w:t>
            </w:r>
          </w:p>
        </w:tc>
        <w:tc>
          <w:tcPr>
            <w:tcW w:w="630" w:type="dxa"/>
          </w:tcPr>
          <w:p w14:paraId="5662FA09" w14:textId="77777777" w:rsidR="00B945FF" w:rsidRDefault="00B945FF">
            <w:pPr>
              <w:tabs>
                <w:tab w:val="center" w:pos="4680"/>
              </w:tabs>
              <w:suppressAutoHyphens/>
              <w:rPr>
                <w:b/>
                <w:spacing w:val="-2"/>
              </w:rPr>
            </w:pPr>
            <w:r>
              <w:rPr>
                <w:b/>
                <w:spacing w:val="-2"/>
              </w:rPr>
              <w:t>)</w:t>
            </w:r>
          </w:p>
          <w:p w14:paraId="2E1F0124" w14:textId="77777777" w:rsidR="00B945FF" w:rsidRDefault="00B945FF">
            <w:pPr>
              <w:tabs>
                <w:tab w:val="center" w:pos="4680"/>
              </w:tabs>
              <w:suppressAutoHyphens/>
              <w:rPr>
                <w:b/>
                <w:spacing w:val="-2"/>
              </w:rPr>
            </w:pPr>
            <w:r>
              <w:rPr>
                <w:b/>
                <w:spacing w:val="-2"/>
              </w:rPr>
              <w:t>)</w:t>
            </w:r>
          </w:p>
          <w:p w14:paraId="767B7BB2" w14:textId="77777777" w:rsidR="00B945FF" w:rsidRDefault="00B945FF">
            <w:pPr>
              <w:tabs>
                <w:tab w:val="center" w:pos="4680"/>
              </w:tabs>
              <w:suppressAutoHyphens/>
              <w:rPr>
                <w:b/>
                <w:spacing w:val="-2"/>
              </w:rPr>
            </w:pPr>
            <w:r>
              <w:rPr>
                <w:b/>
                <w:spacing w:val="-2"/>
              </w:rPr>
              <w:t>)</w:t>
            </w:r>
          </w:p>
          <w:p w14:paraId="7A454FA6" w14:textId="77777777" w:rsidR="00B945FF" w:rsidRDefault="00B945FF">
            <w:pPr>
              <w:tabs>
                <w:tab w:val="center" w:pos="4680"/>
              </w:tabs>
              <w:suppressAutoHyphens/>
              <w:rPr>
                <w:b/>
                <w:spacing w:val="-2"/>
              </w:rPr>
            </w:pPr>
            <w:r>
              <w:rPr>
                <w:b/>
                <w:spacing w:val="-2"/>
              </w:rPr>
              <w:t>)</w:t>
            </w:r>
          </w:p>
          <w:p w14:paraId="500D9A66" w14:textId="77777777" w:rsidR="00B945FF" w:rsidRDefault="00B945FF">
            <w:pPr>
              <w:tabs>
                <w:tab w:val="center" w:pos="4680"/>
              </w:tabs>
              <w:suppressAutoHyphens/>
              <w:rPr>
                <w:b/>
                <w:spacing w:val="-2"/>
              </w:rPr>
            </w:pPr>
            <w:r>
              <w:rPr>
                <w:b/>
                <w:spacing w:val="-2"/>
              </w:rPr>
              <w:t>)</w:t>
            </w:r>
          </w:p>
          <w:p w14:paraId="34E92814" w14:textId="77777777" w:rsidR="00B945FF" w:rsidRDefault="00B945FF">
            <w:pPr>
              <w:tabs>
                <w:tab w:val="center" w:pos="4680"/>
              </w:tabs>
              <w:suppressAutoHyphens/>
              <w:rPr>
                <w:spacing w:val="-2"/>
              </w:rPr>
            </w:pPr>
            <w:r>
              <w:rPr>
                <w:b/>
                <w:spacing w:val="-2"/>
              </w:rPr>
              <w:t>)</w:t>
            </w:r>
          </w:p>
        </w:tc>
        <w:tc>
          <w:tcPr>
            <w:tcW w:w="4248" w:type="dxa"/>
          </w:tcPr>
          <w:p w14:paraId="6FB345C1" w14:textId="77777777" w:rsidR="00B945FF" w:rsidRDefault="00B945FF">
            <w:pPr>
              <w:tabs>
                <w:tab w:val="center" w:pos="4680"/>
              </w:tabs>
              <w:suppressAutoHyphens/>
              <w:rPr>
                <w:spacing w:val="-2"/>
              </w:rPr>
            </w:pPr>
          </w:p>
          <w:p w14:paraId="4B87E9AF" w14:textId="77777777" w:rsidR="00B945FF" w:rsidRDefault="00B945FF">
            <w:pPr>
              <w:pStyle w:val="TOAHeading"/>
              <w:tabs>
                <w:tab w:val="clear" w:pos="9360"/>
                <w:tab w:val="center" w:pos="4680"/>
              </w:tabs>
              <w:rPr>
                <w:spacing w:val="-2"/>
              </w:rPr>
            </w:pPr>
          </w:p>
          <w:p w14:paraId="381CC00F" w14:textId="77777777" w:rsidR="00B945FF" w:rsidRDefault="007D7409">
            <w:pPr>
              <w:tabs>
                <w:tab w:val="center" w:pos="4680"/>
              </w:tabs>
              <w:suppressAutoHyphens/>
              <w:rPr>
                <w:spacing w:val="-2"/>
              </w:rPr>
            </w:pPr>
            <w:r w:rsidRPr="002E27B5">
              <w:rPr>
                <w:spacing w:val="-2"/>
              </w:rPr>
              <w:t>File No.</w:t>
            </w:r>
            <w:r>
              <w:rPr>
                <w:spacing w:val="-2"/>
              </w:rPr>
              <w:t xml:space="preserve"> </w:t>
            </w:r>
            <w:r w:rsidRPr="007D7409">
              <w:rPr>
                <w:spacing w:val="-2"/>
              </w:rPr>
              <w:t>0007016716</w:t>
            </w:r>
          </w:p>
        </w:tc>
      </w:tr>
    </w:tbl>
    <w:p w14:paraId="31ABCAF3" w14:textId="77777777" w:rsidR="00B945FF" w:rsidRDefault="00B945FF"/>
    <w:p w14:paraId="26959A5B" w14:textId="77777777" w:rsidR="00B945FF" w:rsidRDefault="00B945FF">
      <w:pPr>
        <w:pStyle w:val="StyleBoldCentered"/>
        <w:rPr>
          <w:rFonts w:ascii="Times New Roman" w:hAnsi="Times New Roman"/>
        </w:rPr>
      </w:pPr>
      <w:r>
        <w:rPr>
          <w:rFonts w:ascii="Times New Roman" w:hAnsi="Times New Roman"/>
        </w:rPr>
        <w:t>Order</w:t>
      </w:r>
    </w:p>
    <w:p w14:paraId="544F52E0" w14:textId="77777777" w:rsidR="00B945FF" w:rsidRDefault="00B945FF">
      <w:pPr>
        <w:tabs>
          <w:tab w:val="left" w:pos="-720"/>
        </w:tabs>
        <w:suppressAutoHyphens/>
        <w:rPr>
          <w:spacing w:val="-2"/>
        </w:rPr>
      </w:pPr>
    </w:p>
    <w:p w14:paraId="022B2F99" w14:textId="33E013EC" w:rsidR="00B945FF" w:rsidRDefault="00B945FF">
      <w:pPr>
        <w:tabs>
          <w:tab w:val="left" w:pos="720"/>
          <w:tab w:val="left" w:pos="5760"/>
        </w:tabs>
        <w:suppressAutoHyphens/>
        <w:rPr>
          <w:spacing w:val="-2"/>
        </w:rPr>
      </w:pPr>
      <w:r>
        <w:rPr>
          <w:b/>
          <w:spacing w:val="-2"/>
        </w:rPr>
        <w:t xml:space="preserve">Adopted:  </w:t>
      </w:r>
      <w:r w:rsidR="006814C0">
        <w:rPr>
          <w:b/>
          <w:spacing w:val="-2"/>
        </w:rPr>
        <w:t xml:space="preserve">March </w:t>
      </w:r>
      <w:r w:rsidR="00EB159F">
        <w:rPr>
          <w:b/>
          <w:spacing w:val="-2"/>
        </w:rPr>
        <w:t>8</w:t>
      </w:r>
      <w:r>
        <w:rPr>
          <w:b/>
          <w:spacing w:val="-2"/>
        </w:rPr>
        <w:t>, 201</w:t>
      </w:r>
      <w:r w:rsidR="005D3F1F">
        <w:rPr>
          <w:b/>
          <w:spacing w:val="-2"/>
        </w:rPr>
        <w:t>7</w:t>
      </w:r>
      <w:r>
        <w:rPr>
          <w:b/>
          <w:spacing w:val="-2"/>
        </w:rPr>
        <w:tab/>
        <w:t xml:space="preserve">Released:  </w:t>
      </w:r>
      <w:r w:rsidR="006814C0">
        <w:rPr>
          <w:b/>
          <w:spacing w:val="-2"/>
        </w:rPr>
        <w:t xml:space="preserve">March </w:t>
      </w:r>
      <w:r w:rsidR="00EB159F">
        <w:rPr>
          <w:b/>
          <w:spacing w:val="-2"/>
        </w:rPr>
        <w:t>8</w:t>
      </w:r>
      <w:r>
        <w:rPr>
          <w:b/>
          <w:spacing w:val="-2"/>
        </w:rPr>
        <w:t>, 201</w:t>
      </w:r>
      <w:r w:rsidR="005D3F1F">
        <w:rPr>
          <w:b/>
          <w:spacing w:val="-2"/>
        </w:rPr>
        <w:t>7</w:t>
      </w:r>
    </w:p>
    <w:p w14:paraId="4DCDBA5A" w14:textId="77777777" w:rsidR="00B945FF" w:rsidRDefault="00B945FF"/>
    <w:p w14:paraId="6872EA42" w14:textId="656CE84F" w:rsidR="00B945FF" w:rsidRDefault="00B945FF">
      <w:pPr>
        <w:tabs>
          <w:tab w:val="left" w:pos="720"/>
        </w:tabs>
        <w:spacing w:after="120"/>
        <w:ind w:right="-720"/>
        <w:rPr>
          <w:spacing w:val="-2"/>
        </w:rPr>
      </w:pPr>
      <w:r>
        <w:t xml:space="preserve">By the </w:t>
      </w:r>
      <w:r w:rsidR="00555868">
        <w:t xml:space="preserve">Acting </w:t>
      </w:r>
      <w:r>
        <w:t xml:space="preserve">Chief, Policy and Licensing Division, Public Safety and Homeland Security </w:t>
      </w:r>
      <w:r>
        <w:rPr>
          <w:spacing w:val="-2"/>
        </w:rPr>
        <w:t>Bureau</w:t>
      </w:r>
    </w:p>
    <w:p w14:paraId="1B91D579" w14:textId="77777777" w:rsidR="00B945FF" w:rsidRDefault="00B945FF">
      <w:pPr>
        <w:pStyle w:val="Heading1"/>
        <w:rPr>
          <w:rFonts w:ascii="Times New Roman" w:hAnsi="Times New Roman"/>
        </w:rPr>
      </w:pPr>
      <w:r>
        <w:t>Introduction</w:t>
      </w:r>
    </w:p>
    <w:p w14:paraId="44B74139" w14:textId="1E191936" w:rsidR="00B945FF" w:rsidRDefault="00B945FF">
      <w:pPr>
        <w:pStyle w:val="ParaNum"/>
      </w:pPr>
      <w:r>
        <w:t xml:space="preserve">On </w:t>
      </w:r>
      <w:r w:rsidR="007F4E38">
        <w:t>November 5</w:t>
      </w:r>
      <w:r w:rsidR="005D3F1F">
        <w:t>,</w:t>
      </w:r>
      <w:r>
        <w:t xml:space="preserve"> 201</w:t>
      </w:r>
      <w:r w:rsidR="007F4E38">
        <w:t>5</w:t>
      </w:r>
      <w:r>
        <w:t xml:space="preserve">, the State of </w:t>
      </w:r>
      <w:r w:rsidR="007F4E38">
        <w:t xml:space="preserve">North Dakota </w:t>
      </w:r>
      <w:r>
        <w:t>(</w:t>
      </w:r>
      <w:r w:rsidR="007F4E38">
        <w:t>North Dakota</w:t>
      </w:r>
      <w:r>
        <w:t>) submitted a</w:t>
      </w:r>
      <w:r w:rsidR="007D7409">
        <w:t xml:space="preserve">n application whereby it seeks to expand the </w:t>
      </w:r>
      <w:r>
        <w:t xml:space="preserve">use </w:t>
      </w:r>
      <w:r w:rsidR="007D7409">
        <w:t xml:space="preserve">of </w:t>
      </w:r>
      <w:r>
        <w:t xml:space="preserve">frequency 155.4750 MHz </w:t>
      </w:r>
      <w:r w:rsidR="00554F76">
        <w:t>(VLAW31)</w:t>
      </w:r>
      <w:r w:rsidR="007D7409">
        <w:t xml:space="preserve"> licensed under call sign KO5210 </w:t>
      </w:r>
      <w:r>
        <w:t>for interagency coordination</w:t>
      </w:r>
      <w:r w:rsidR="00C7158A">
        <w:t xml:space="preserve"> along </w:t>
      </w:r>
      <w:r>
        <w:t>the U.S.-Canada border.</w:t>
      </w:r>
      <w:r w:rsidR="00D41C8B">
        <w:rPr>
          <w:rStyle w:val="FootnoteReference"/>
        </w:rPr>
        <w:footnoteReference w:id="2"/>
      </w:r>
      <w:r>
        <w:t xml:space="preserve">  Specifically, </w:t>
      </w:r>
      <w:r w:rsidR="00554F76">
        <w:t xml:space="preserve">North Dakota </w:t>
      </w:r>
      <w:r>
        <w:t>requests a waiver of Section 90.20(d)(41) of the Commission’s rules to</w:t>
      </w:r>
      <w:r w:rsidR="00C2764A">
        <w:t xml:space="preserve"> </w:t>
      </w:r>
      <w:r>
        <w:t xml:space="preserve">use </w:t>
      </w:r>
      <w:r w:rsidR="00C645B6">
        <w:t xml:space="preserve">VLAW31 </w:t>
      </w:r>
      <w:r>
        <w:t>for multi-discipline (</w:t>
      </w:r>
      <w:r>
        <w:rPr>
          <w:i/>
        </w:rPr>
        <w:t>e.g.</w:t>
      </w:r>
      <w:r>
        <w:t xml:space="preserve">, law enforcement, fire and emergency medical services, mutual aid) communication within </w:t>
      </w:r>
      <w:r w:rsidR="00C645B6">
        <w:t>25</w:t>
      </w:r>
      <w:r>
        <w:t xml:space="preserve"> km of the border.  By this </w:t>
      </w:r>
      <w:r>
        <w:rPr>
          <w:i/>
        </w:rPr>
        <w:t>Order</w:t>
      </w:r>
      <w:r>
        <w:t>, we grant the requested waiver subject to conditions.</w:t>
      </w:r>
    </w:p>
    <w:p w14:paraId="454DFF60" w14:textId="77777777" w:rsidR="00B945FF" w:rsidRDefault="00B945FF">
      <w:pPr>
        <w:pStyle w:val="Heading1"/>
        <w:rPr>
          <w:rFonts w:ascii="Times New Roman" w:hAnsi="Times New Roman"/>
        </w:rPr>
      </w:pPr>
      <w:r>
        <w:t>background</w:t>
      </w:r>
    </w:p>
    <w:p w14:paraId="5C4ACD48" w14:textId="3DCA5156" w:rsidR="00D3286E" w:rsidRDefault="00D3286E" w:rsidP="00AF2721">
      <w:pPr>
        <w:pStyle w:val="ParaNum"/>
        <w:rPr>
          <w:szCs w:val="22"/>
        </w:rPr>
      </w:pPr>
      <w:r>
        <w:rPr>
          <w:szCs w:val="22"/>
        </w:rPr>
        <w:t xml:space="preserve">North Dakota is licensed to operate on frequency 155.4750 MHz for transmissions from mobile or portable units throughout the entire state via Private Land Mobile Radio (PLMR) license call sign </w:t>
      </w:r>
      <w:r w:rsidRPr="00107C0B">
        <w:rPr>
          <w:szCs w:val="22"/>
        </w:rPr>
        <w:t>KO5210</w:t>
      </w:r>
      <w:r>
        <w:rPr>
          <w:szCs w:val="22"/>
        </w:rPr>
        <w:t>.</w:t>
      </w:r>
      <w:r>
        <w:rPr>
          <w:rStyle w:val="FootnoteReference"/>
          <w:szCs w:val="22"/>
        </w:rPr>
        <w:footnoteReference w:id="3"/>
      </w:r>
      <w:r>
        <w:rPr>
          <w:szCs w:val="22"/>
        </w:rPr>
        <w:t xml:space="preserve">  It also holds several additional PLMR licenses permitting it to operate numerous base stations throughout the state on frequency 155.4750 MHz.</w:t>
      </w:r>
      <w:r>
        <w:rPr>
          <w:rStyle w:val="FootnoteReference"/>
          <w:szCs w:val="22"/>
        </w:rPr>
        <w:footnoteReference w:id="4"/>
      </w:r>
      <w:r>
        <w:rPr>
          <w:szCs w:val="22"/>
        </w:rPr>
        <w:t xml:space="preserve"> </w:t>
      </w:r>
    </w:p>
    <w:p w14:paraId="3CB220F8" w14:textId="05B9B92D" w:rsidR="00D3286E" w:rsidRDefault="00D3286E" w:rsidP="00AF2721">
      <w:pPr>
        <w:pStyle w:val="ParaNum"/>
      </w:pPr>
      <w:r>
        <w:t xml:space="preserve">On November 5, 2015, </w:t>
      </w:r>
      <w:r w:rsidR="00DE6C94">
        <w:t xml:space="preserve">North Dakota </w:t>
      </w:r>
      <w:r>
        <w:t xml:space="preserve">filed an application seeking a waiver of Section 90.20(d)(41) so it can </w:t>
      </w:r>
      <w:r w:rsidR="005D3F1F">
        <w:t>use VLAW31</w:t>
      </w:r>
      <w:r w:rsidR="00B945FF">
        <w:t>for general interagency border communications during an emergency</w:t>
      </w:r>
      <w:r>
        <w:t xml:space="preserve"> under </w:t>
      </w:r>
      <w:r w:rsidR="00765578">
        <w:t xml:space="preserve">its </w:t>
      </w:r>
      <w:r>
        <w:t>call sign KO5210</w:t>
      </w:r>
      <w:r w:rsidR="00B945FF">
        <w:t>.</w:t>
      </w:r>
      <w:r w:rsidR="00B945FF">
        <w:rPr>
          <w:rStyle w:val="FootnoteReference"/>
          <w:szCs w:val="22"/>
        </w:rPr>
        <w:footnoteReference w:id="5"/>
      </w:r>
      <w:r w:rsidR="00B945FF">
        <w:t xml:space="preserve">  Specifically, </w:t>
      </w:r>
      <w:r w:rsidR="00DE6C94">
        <w:t xml:space="preserve">North Dakota </w:t>
      </w:r>
      <w:r w:rsidR="00B945FF">
        <w:t>would allow state, local, tribal</w:t>
      </w:r>
      <w:r w:rsidR="005D3F1F">
        <w:t>, provincial</w:t>
      </w:r>
      <w:r w:rsidR="00B945FF">
        <w:t xml:space="preserve"> and Canadian first responders to communicate on </w:t>
      </w:r>
      <w:r w:rsidR="00DE6C94">
        <w:t>VLAW31</w:t>
      </w:r>
      <w:r w:rsidR="00B945FF">
        <w:t xml:space="preserve"> for mutual U.S./Canadian operations at or within </w:t>
      </w:r>
      <w:r w:rsidR="00DE6C94">
        <w:t>25</w:t>
      </w:r>
      <w:r w:rsidR="00B945FF">
        <w:t xml:space="preserve"> km of the border.</w:t>
      </w:r>
      <w:r w:rsidR="00B945FF">
        <w:rPr>
          <w:rStyle w:val="FootnoteReference"/>
          <w:szCs w:val="22"/>
        </w:rPr>
        <w:footnoteReference w:id="6"/>
      </w:r>
      <w:r w:rsidR="00B945FF">
        <w:t xml:space="preserve"> </w:t>
      </w:r>
    </w:p>
    <w:p w14:paraId="18A78D75" w14:textId="4101A759" w:rsidR="00D3286E" w:rsidRPr="000D30DE" w:rsidRDefault="00D3286E" w:rsidP="00AF2721">
      <w:pPr>
        <w:pStyle w:val="ParaNum"/>
      </w:pPr>
      <w:r>
        <w:rPr>
          <w:szCs w:val="22"/>
        </w:rPr>
        <w:t xml:space="preserve">Pursuant to Section 90.20(d)(41) of the Commission’s rules, VLAW31 is </w:t>
      </w:r>
      <w:r>
        <w:rPr>
          <w:bCs/>
          <w:szCs w:val="22"/>
        </w:rPr>
        <w:t>reserved nationwide for use in police emergency communications networks operated under statewide law enforcement emergency communications plans</w:t>
      </w:r>
      <w:r>
        <w:rPr>
          <w:szCs w:val="22"/>
        </w:rPr>
        <w:t>.</w:t>
      </w:r>
      <w:r>
        <w:rPr>
          <w:rStyle w:val="FootnoteReference"/>
          <w:szCs w:val="22"/>
        </w:rPr>
        <w:footnoteReference w:id="7"/>
      </w:r>
      <w:r>
        <w:rPr>
          <w:szCs w:val="22"/>
        </w:rPr>
        <w:t xml:space="preserve">  Therefore, North Dakota needs a waiver to expand use of the channel </w:t>
      </w:r>
      <w:r>
        <w:rPr>
          <w:szCs w:val="22"/>
        </w:rPr>
        <w:lastRenderedPageBreak/>
        <w:t xml:space="preserve">to communications during all types of emergencies rather than just police emergencies.  </w:t>
      </w:r>
    </w:p>
    <w:p w14:paraId="6EEA804B" w14:textId="77777777" w:rsidR="00B945FF" w:rsidRDefault="0061052A">
      <w:pPr>
        <w:pStyle w:val="ParaNum"/>
      </w:pPr>
      <w:r>
        <w:t xml:space="preserve">In support of its waiver request, </w:t>
      </w:r>
      <w:r w:rsidR="008D15D9">
        <w:t xml:space="preserve">North Dakota </w:t>
      </w:r>
      <w:r w:rsidR="00B945FF">
        <w:t xml:space="preserve">submits that </w:t>
      </w:r>
      <w:r>
        <w:t xml:space="preserve">its </w:t>
      </w:r>
      <w:r w:rsidR="00B945FF">
        <w:t>plan would achieve the following objectives:</w:t>
      </w:r>
    </w:p>
    <w:p w14:paraId="35489F54" w14:textId="77777777" w:rsidR="00B945FF" w:rsidRDefault="00B945FF">
      <w:pPr>
        <w:spacing w:after="120"/>
        <w:ind w:left="990" w:right="720" w:hanging="270"/>
        <w:rPr>
          <w:bCs/>
          <w:szCs w:val="22"/>
        </w:rPr>
      </w:pPr>
      <w:r>
        <w:rPr>
          <w:bCs/>
          <w:szCs w:val="22"/>
        </w:rPr>
        <w:t xml:space="preserve">a) Improve day-to-day interoperable emergency communications among local, state, </w:t>
      </w:r>
      <w:r w:rsidR="008D15D9">
        <w:rPr>
          <w:bCs/>
          <w:szCs w:val="22"/>
        </w:rPr>
        <w:t xml:space="preserve">provincial, </w:t>
      </w:r>
      <w:r>
        <w:rPr>
          <w:bCs/>
          <w:szCs w:val="22"/>
        </w:rPr>
        <w:t xml:space="preserve">tribal, and federal entities </w:t>
      </w:r>
      <w:r w:rsidR="008D15D9">
        <w:rPr>
          <w:bCs/>
          <w:szCs w:val="22"/>
        </w:rPr>
        <w:t>along the Canada border</w:t>
      </w:r>
      <w:r>
        <w:rPr>
          <w:bCs/>
          <w:szCs w:val="22"/>
        </w:rPr>
        <w:t>;</w:t>
      </w:r>
    </w:p>
    <w:p w14:paraId="3E152A83" w14:textId="77777777" w:rsidR="00B945FF" w:rsidRDefault="00B945FF">
      <w:pPr>
        <w:spacing w:after="120"/>
        <w:ind w:left="994" w:right="720" w:hanging="274"/>
        <w:rPr>
          <w:bCs/>
          <w:szCs w:val="22"/>
        </w:rPr>
      </w:pPr>
      <w:r>
        <w:rPr>
          <w:bCs/>
          <w:szCs w:val="22"/>
        </w:rPr>
        <w:t xml:space="preserve">b) Improve </w:t>
      </w:r>
      <w:r w:rsidR="008D15D9">
        <w:rPr>
          <w:bCs/>
          <w:szCs w:val="22"/>
        </w:rPr>
        <w:t>communications interoperability</w:t>
      </w:r>
      <w:r>
        <w:rPr>
          <w:bCs/>
          <w:szCs w:val="22"/>
        </w:rPr>
        <w:t xml:space="preserve"> among emergency response providers responding to threats and natural disasters on</w:t>
      </w:r>
      <w:r w:rsidR="008D15D9">
        <w:rPr>
          <w:bCs/>
          <w:szCs w:val="22"/>
        </w:rPr>
        <w:t xml:space="preserve"> or near</w:t>
      </w:r>
      <w:r>
        <w:rPr>
          <w:bCs/>
          <w:szCs w:val="22"/>
        </w:rPr>
        <w:t xml:space="preserve"> the border; and </w:t>
      </w:r>
    </w:p>
    <w:p w14:paraId="4D0CCAFE" w14:textId="77777777" w:rsidR="00B945FF" w:rsidRDefault="00B945FF">
      <w:pPr>
        <w:spacing w:after="120"/>
        <w:ind w:left="990" w:right="720" w:hanging="270"/>
        <w:rPr>
          <w:bCs/>
          <w:szCs w:val="22"/>
        </w:rPr>
      </w:pPr>
      <w:r>
        <w:rPr>
          <w:bCs/>
          <w:szCs w:val="22"/>
        </w:rPr>
        <w:t xml:space="preserve">c) Facilitate </w:t>
      </w:r>
      <w:r w:rsidR="008D15D9">
        <w:rPr>
          <w:bCs/>
          <w:szCs w:val="22"/>
        </w:rPr>
        <w:t xml:space="preserve">communications </w:t>
      </w:r>
      <w:r w:rsidR="005D3F1F">
        <w:rPr>
          <w:bCs/>
          <w:szCs w:val="22"/>
        </w:rPr>
        <w:t>interoperability among</w:t>
      </w:r>
      <w:r>
        <w:rPr>
          <w:bCs/>
          <w:szCs w:val="22"/>
        </w:rPr>
        <w:t xml:space="preserve"> emergency response providers in border communities of varying population densities.</w:t>
      </w:r>
      <w:r>
        <w:rPr>
          <w:rStyle w:val="FootnoteReference"/>
          <w:bCs/>
          <w:szCs w:val="22"/>
        </w:rPr>
        <w:footnoteReference w:id="8"/>
      </w:r>
    </w:p>
    <w:p w14:paraId="7ED43F39" w14:textId="77777777" w:rsidR="00B945FF" w:rsidRDefault="00247A7F">
      <w:pPr>
        <w:pStyle w:val="ParaNum"/>
      </w:pPr>
      <w:r>
        <w:t xml:space="preserve">North Dakota </w:t>
      </w:r>
      <w:r w:rsidR="00B945FF">
        <w:t xml:space="preserve">also argues that expanded use of the </w:t>
      </w:r>
      <w:r>
        <w:t>VLAW31</w:t>
      </w:r>
      <w:r w:rsidR="00B945FF">
        <w:t xml:space="preserve"> serves the best interest of the public as well as law enforcement and other response organizations (including Canadian responders on the U.S. side of the border) by </w:t>
      </w:r>
      <w:r w:rsidR="00765578">
        <w:t>“</w:t>
      </w:r>
      <w:r>
        <w:t>expanding common use of the frequency for consistent communications interoperability in all-hazards incident management.”</w:t>
      </w:r>
      <w:r w:rsidR="00B945FF">
        <w:rPr>
          <w:rStyle w:val="FootnoteReference"/>
          <w:bCs/>
          <w:szCs w:val="22"/>
        </w:rPr>
        <w:footnoteReference w:id="9"/>
      </w:r>
      <w:r w:rsidR="00B945FF">
        <w:t xml:space="preserve">  </w:t>
      </w:r>
      <w:r w:rsidR="00AB3189">
        <w:t xml:space="preserve">North Dakota </w:t>
      </w:r>
      <w:r w:rsidR="00B945FF">
        <w:t xml:space="preserve">believes it would be </w:t>
      </w:r>
      <w:r w:rsidR="00AB3189">
        <w:t>“inequitable</w:t>
      </w:r>
      <w:r w:rsidR="00A72E18">
        <w:t>” to deny its waiver request</w:t>
      </w:r>
      <w:r w:rsidR="00AB3189">
        <w:t xml:space="preserve"> </w:t>
      </w:r>
      <w:r w:rsidR="00A72E18">
        <w:t>“</w:t>
      </w:r>
      <w:r w:rsidR="00AB3189">
        <w:t>given the limited use of the frequency anticipated, sparsely populated area affected, and interdependence of emergency response agencies in the area.”</w:t>
      </w:r>
      <w:r w:rsidR="00AB3189">
        <w:rPr>
          <w:rStyle w:val="FootnoteReference"/>
        </w:rPr>
        <w:footnoteReference w:id="10"/>
      </w:r>
      <w:r w:rsidR="00AB3189">
        <w:t xml:space="preserve">  </w:t>
      </w:r>
    </w:p>
    <w:p w14:paraId="2F8A5C74" w14:textId="77777777" w:rsidR="00D0026A" w:rsidRDefault="00B945FF">
      <w:pPr>
        <w:pStyle w:val="ParaNum"/>
      </w:pPr>
      <w:r>
        <w:t xml:space="preserve">On </w:t>
      </w:r>
      <w:r w:rsidR="00AB3189">
        <w:t xml:space="preserve">December </w:t>
      </w:r>
      <w:r>
        <w:t>2</w:t>
      </w:r>
      <w:r w:rsidR="00AB3189">
        <w:t>8</w:t>
      </w:r>
      <w:r>
        <w:t>, 201</w:t>
      </w:r>
      <w:r w:rsidR="00AB3189">
        <w:t>6</w:t>
      </w:r>
      <w:r>
        <w:t xml:space="preserve">, the Public Safety and Homeland Security Bureau </w:t>
      </w:r>
      <w:r w:rsidR="00D0026A">
        <w:t xml:space="preserve">(Bureau) </w:t>
      </w:r>
      <w:r>
        <w:t xml:space="preserve">issued a </w:t>
      </w:r>
      <w:r>
        <w:rPr>
          <w:i/>
        </w:rPr>
        <w:t xml:space="preserve">Public Notice </w:t>
      </w:r>
      <w:r>
        <w:t xml:space="preserve">seeking comment on </w:t>
      </w:r>
      <w:r w:rsidR="00AB3189">
        <w:t xml:space="preserve">North Dakota’s </w:t>
      </w:r>
      <w:r>
        <w:t>’s Waiver Request.</w:t>
      </w:r>
      <w:r>
        <w:rPr>
          <w:rStyle w:val="FootnoteReference"/>
        </w:rPr>
        <w:footnoteReference w:id="11"/>
      </w:r>
      <w:r>
        <w:t xml:space="preserve">  </w:t>
      </w:r>
    </w:p>
    <w:p w14:paraId="6A099399" w14:textId="77777777" w:rsidR="00B945FF" w:rsidRDefault="00D0026A">
      <w:pPr>
        <w:pStyle w:val="ParaNum"/>
      </w:pPr>
      <w:r>
        <w:t>In response to the Bureau’s public notice, t</w:t>
      </w:r>
      <w:r w:rsidR="00934E04">
        <w:t>he National Public Safety Telecommunications Council (NPSTC) note</w:t>
      </w:r>
      <w:r w:rsidR="005B79EF">
        <w:t xml:space="preserve">s </w:t>
      </w:r>
      <w:r w:rsidR="00934E04">
        <w:t xml:space="preserve">that </w:t>
      </w:r>
      <w:r>
        <w:t>“</w:t>
      </w:r>
      <w:r w:rsidR="00934E04">
        <w:t>the State of Montana</w:t>
      </w:r>
      <w:r w:rsidR="009D2309">
        <w:t xml:space="preserve"> requested and received a similar waiver grant from the Commission to allow multi-discipline public safety use of VLAW31 in proximity to the U.S.-Canada border.”</w:t>
      </w:r>
      <w:r w:rsidR="009D2309">
        <w:rPr>
          <w:rStyle w:val="FootnoteReference"/>
        </w:rPr>
        <w:footnoteReference w:id="12"/>
      </w:r>
      <w:r w:rsidR="00934E04">
        <w:t xml:space="preserve"> </w:t>
      </w:r>
      <w:r>
        <w:t xml:space="preserve"> </w:t>
      </w:r>
      <w:r w:rsidR="005B79EF">
        <w:t xml:space="preserve">It </w:t>
      </w:r>
      <w:r w:rsidR="00391077">
        <w:t xml:space="preserve">also </w:t>
      </w:r>
      <w:r w:rsidR="00934E04">
        <w:t>state</w:t>
      </w:r>
      <w:r w:rsidR="005B79EF">
        <w:t>s</w:t>
      </w:r>
      <w:r w:rsidR="00934E04">
        <w:t xml:space="preserve"> </w:t>
      </w:r>
      <w:r w:rsidR="005B79EF">
        <w:t>that it believes “</w:t>
      </w:r>
      <w:r w:rsidR="00934E04">
        <w:t>a grant of North Dakota’s waiver request will help spur additional actions that will extend similar benefits to a greater portion of the U.S.- Canada border.”</w:t>
      </w:r>
      <w:r w:rsidR="00934E04">
        <w:rPr>
          <w:rStyle w:val="FootnoteReference"/>
        </w:rPr>
        <w:footnoteReference w:id="13"/>
      </w:r>
      <w:r w:rsidR="005B79EF">
        <w:t xml:space="preserve"> </w:t>
      </w:r>
      <w:r w:rsidR="00934E04">
        <w:t xml:space="preserve"> </w:t>
      </w:r>
      <w:r w:rsidR="005B79EF">
        <w:t xml:space="preserve">For instance, </w:t>
      </w:r>
      <w:r w:rsidR="00934E04">
        <w:t>NPSTC state</w:t>
      </w:r>
      <w:r w:rsidR="005B79EF">
        <w:t xml:space="preserve">s </w:t>
      </w:r>
      <w:r w:rsidR="00934E04">
        <w:t>the “Province of Saskatchewan and the State of North Dakota already have held some preliminary discussions on options for extending the VLAW31 solution across their common border to support law enforcement, fire and EMS operations.</w:t>
      </w:r>
      <w:r w:rsidR="005B79EF">
        <w:t>”</w:t>
      </w:r>
      <w:r w:rsidR="005C7789">
        <w:rPr>
          <w:rStyle w:val="FootnoteReference"/>
        </w:rPr>
        <w:footnoteReference w:id="14"/>
      </w:r>
      <w:r w:rsidR="00391077">
        <w:t xml:space="preserve"> </w:t>
      </w:r>
      <w:r w:rsidR="005B79EF">
        <w:t xml:space="preserve"> </w:t>
      </w:r>
      <w:r w:rsidR="00A75BF4">
        <w:t xml:space="preserve">Consequently, NPSTC argues </w:t>
      </w:r>
      <w:r w:rsidR="00765578">
        <w:t xml:space="preserve">that </w:t>
      </w:r>
      <w:r w:rsidR="00A75BF4">
        <w:t xml:space="preserve">the Bureau granting </w:t>
      </w:r>
      <w:r w:rsidR="00B73A8A">
        <w:t xml:space="preserve">North Dakota </w:t>
      </w:r>
      <w:r w:rsidR="00A75BF4">
        <w:t xml:space="preserve">a waiver to expand </w:t>
      </w:r>
      <w:r w:rsidR="00765578">
        <w:t>operations</w:t>
      </w:r>
      <w:r w:rsidR="00A75BF4">
        <w:t xml:space="preserve"> on VLAW31 “</w:t>
      </w:r>
      <w:r w:rsidR="00B73A8A">
        <w:t>is a necessary step to implement those benefits.</w:t>
      </w:r>
      <w:r w:rsidR="00934E04">
        <w:t>”</w:t>
      </w:r>
      <w:r w:rsidR="00934E04">
        <w:rPr>
          <w:rStyle w:val="FootnoteReference"/>
        </w:rPr>
        <w:footnoteReference w:id="15"/>
      </w:r>
    </w:p>
    <w:p w14:paraId="0C703D09" w14:textId="77777777" w:rsidR="00B945FF" w:rsidRDefault="00B945FF">
      <w:pPr>
        <w:pStyle w:val="Heading1"/>
        <w:rPr>
          <w:rFonts w:ascii="Times New Roman" w:hAnsi="Times New Roman"/>
        </w:rPr>
      </w:pPr>
      <w:r>
        <w:t>discussion</w:t>
      </w:r>
    </w:p>
    <w:p w14:paraId="48E23DB0" w14:textId="77777777" w:rsidR="00B945FF" w:rsidRDefault="00B945FF">
      <w:pPr>
        <w:pStyle w:val="ParaNum"/>
        <w:rPr>
          <w:szCs w:val="22"/>
        </w:rPr>
      </w:pPr>
      <w:r>
        <w:t>The Commission will grant a waiver request if the waiver proponent shows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6"/>
      </w:r>
      <w:r>
        <w:rPr>
          <w:szCs w:val="22"/>
        </w:rPr>
        <w:t xml:space="preserve">  Here, we analyze </w:t>
      </w:r>
      <w:r w:rsidR="00B73A8A">
        <w:rPr>
          <w:szCs w:val="22"/>
        </w:rPr>
        <w:t xml:space="preserve">North Dakota’s </w:t>
      </w:r>
      <w:r>
        <w:rPr>
          <w:szCs w:val="22"/>
        </w:rPr>
        <w:t xml:space="preserve">waiver request with reference to the second prong of the waiver standard, </w:t>
      </w:r>
      <w:r>
        <w:rPr>
          <w:i/>
          <w:szCs w:val="22"/>
        </w:rPr>
        <w:t>i.e.,</w:t>
      </w:r>
      <w:r>
        <w:rPr>
          <w:szCs w:val="22"/>
        </w:rPr>
        <w:t xml:space="preserve"> we examine whether there are unique or unusual factual circumstances that would make strict application of Section 90.20(d)(41) inequitable, unduly burdensome or contrary to the public interest.</w:t>
      </w:r>
    </w:p>
    <w:p w14:paraId="2A65645A" w14:textId="77777777" w:rsidR="00D129F5" w:rsidRPr="00BB6495" w:rsidRDefault="00B945FF">
      <w:pPr>
        <w:pStyle w:val="ParaNum"/>
        <w:rPr>
          <w:szCs w:val="22"/>
        </w:rPr>
      </w:pPr>
      <w:r>
        <w:rPr>
          <w:snapToGrid/>
          <w:kern w:val="0"/>
          <w:szCs w:val="22"/>
        </w:rPr>
        <w:t xml:space="preserve">Given that </w:t>
      </w:r>
      <w:r w:rsidR="004B71E6">
        <w:rPr>
          <w:snapToGrid/>
          <w:kern w:val="0"/>
          <w:szCs w:val="22"/>
        </w:rPr>
        <w:t xml:space="preserve">North Dakota </w:t>
      </w:r>
      <w:r>
        <w:rPr>
          <w:snapToGrid/>
          <w:kern w:val="0"/>
          <w:szCs w:val="22"/>
        </w:rPr>
        <w:t xml:space="preserve">borders Canada, we find </w:t>
      </w:r>
      <w:r w:rsidR="00B85A8B">
        <w:rPr>
          <w:snapToGrid/>
          <w:kern w:val="0"/>
          <w:szCs w:val="22"/>
        </w:rPr>
        <w:t xml:space="preserve">it </w:t>
      </w:r>
      <w:r>
        <w:rPr>
          <w:snapToGrid/>
          <w:kern w:val="0"/>
          <w:szCs w:val="22"/>
        </w:rPr>
        <w:t xml:space="preserve">unusually situated for engaging in interoperable communications to coordinate cross-border incidents.  We believe expanding interoperability in </w:t>
      </w:r>
      <w:r w:rsidR="004B71E6">
        <w:rPr>
          <w:snapToGrid/>
          <w:kern w:val="0"/>
          <w:szCs w:val="22"/>
        </w:rPr>
        <w:t xml:space="preserve">North Dakota </w:t>
      </w:r>
      <w:r>
        <w:rPr>
          <w:snapToGrid/>
          <w:kern w:val="0"/>
          <w:szCs w:val="22"/>
        </w:rPr>
        <w:t>among state, local</w:t>
      </w:r>
      <w:r w:rsidR="004B71E6">
        <w:rPr>
          <w:snapToGrid/>
          <w:kern w:val="0"/>
          <w:szCs w:val="22"/>
        </w:rPr>
        <w:t>, provincial, federal</w:t>
      </w:r>
      <w:r w:rsidR="00B85A8B">
        <w:rPr>
          <w:snapToGrid/>
          <w:kern w:val="0"/>
          <w:szCs w:val="22"/>
        </w:rPr>
        <w:t xml:space="preserve">, </w:t>
      </w:r>
      <w:r>
        <w:rPr>
          <w:snapToGrid/>
          <w:kern w:val="0"/>
          <w:szCs w:val="22"/>
        </w:rPr>
        <w:t xml:space="preserve">tribal </w:t>
      </w:r>
      <w:r w:rsidR="00B85A8B">
        <w:rPr>
          <w:snapToGrid/>
          <w:kern w:val="0"/>
          <w:szCs w:val="22"/>
        </w:rPr>
        <w:t xml:space="preserve">and Canadian </w:t>
      </w:r>
      <w:r>
        <w:rPr>
          <w:snapToGrid/>
          <w:kern w:val="0"/>
          <w:szCs w:val="22"/>
        </w:rPr>
        <w:t>emergency responders in rural parts of the state serves the public interest.  Specifically, grant of this waiver would advance important homeland security goals.</w:t>
      </w:r>
      <w:r>
        <w:rPr>
          <w:rStyle w:val="FootnoteReference"/>
          <w:snapToGrid/>
          <w:kern w:val="0"/>
          <w:szCs w:val="22"/>
        </w:rPr>
        <w:footnoteReference w:id="17"/>
      </w:r>
      <w:r>
        <w:rPr>
          <w:snapToGrid/>
          <w:kern w:val="0"/>
          <w:szCs w:val="22"/>
        </w:rPr>
        <w:t xml:space="preserve">  </w:t>
      </w:r>
    </w:p>
    <w:p w14:paraId="0EC79B41" w14:textId="77777777" w:rsidR="00ED0D1A" w:rsidRPr="00450A0E" w:rsidRDefault="00B945FF" w:rsidP="00ED0D1A">
      <w:pPr>
        <w:pStyle w:val="ParaNum"/>
      </w:pPr>
      <w:r w:rsidRPr="009E6BF7">
        <w:rPr>
          <w:snapToGrid/>
          <w:kern w:val="0"/>
        </w:rPr>
        <w:t xml:space="preserve">For example, </w:t>
      </w:r>
      <w:r w:rsidR="00D129F5" w:rsidRPr="009E6BF7">
        <w:rPr>
          <w:snapToGrid/>
          <w:kern w:val="0"/>
        </w:rPr>
        <w:t xml:space="preserve">in 2007 </w:t>
      </w:r>
      <w:r>
        <w:t xml:space="preserve">Congress directed that the Department of Homeland Security </w:t>
      </w:r>
      <w:r w:rsidR="009E6BF7">
        <w:t xml:space="preserve">(DHS) </w:t>
      </w:r>
      <w:r w:rsidR="00B85A8B">
        <w:t xml:space="preserve">to </w:t>
      </w:r>
      <w:r w:rsidR="00D129F5">
        <w:t xml:space="preserve">establish demonstration projects in communities along the Canada and Mexico border with the express intent </w:t>
      </w:r>
      <w:r w:rsidR="009E6BF7">
        <w:t>of</w:t>
      </w:r>
      <w:r w:rsidR="00D129F5">
        <w:t xml:space="preserve"> </w:t>
      </w:r>
      <w:r w:rsidRPr="009E6BF7">
        <w:rPr>
          <w:snapToGrid/>
          <w:kern w:val="0"/>
        </w:rPr>
        <w:t>foster</w:t>
      </w:r>
      <w:r w:rsidR="009E6BF7" w:rsidRPr="009E6BF7">
        <w:rPr>
          <w:snapToGrid/>
          <w:kern w:val="0"/>
        </w:rPr>
        <w:t>ing</w:t>
      </w:r>
      <w:r w:rsidRPr="009E6BF7">
        <w:rPr>
          <w:snapToGrid/>
          <w:kern w:val="0"/>
        </w:rPr>
        <w:t xml:space="preserve"> </w:t>
      </w:r>
      <w:r w:rsidR="009E6BF7" w:rsidRPr="00ED0D1A">
        <w:rPr>
          <w:snapToGrid/>
          <w:kern w:val="0"/>
        </w:rPr>
        <w:t>“</w:t>
      </w:r>
      <w:r w:rsidRPr="00ED0D1A">
        <w:rPr>
          <w:snapToGrid/>
          <w:kern w:val="0"/>
        </w:rPr>
        <w:t>local, tribal, State, and Federal interoperable emergency communications, as well as interoperable emergency communications with appropriate Canadian and Mexican authorities.”</w:t>
      </w:r>
      <w:r>
        <w:rPr>
          <w:rStyle w:val="FootnoteReference"/>
          <w:snapToGrid/>
          <w:kern w:val="0"/>
          <w:szCs w:val="22"/>
        </w:rPr>
        <w:footnoteReference w:id="18"/>
      </w:r>
      <w:r w:rsidRPr="009E6BF7">
        <w:rPr>
          <w:snapToGrid/>
          <w:kern w:val="0"/>
          <w:sz w:val="20"/>
        </w:rPr>
        <w:t xml:space="preserve">  </w:t>
      </w:r>
      <w:r w:rsidR="00A97B1A" w:rsidRPr="00A97B1A">
        <w:rPr>
          <w:snapToGrid/>
          <w:kern w:val="0"/>
          <w:szCs w:val="22"/>
        </w:rPr>
        <w:t>Furthermore, Congress directed DHS to “establish  mechanisms to ensure  that  the  information  and knowledge  gained  by  participants  in  the  demonstration  project  are transferred  among  the  participants  and  to  other  interested  parties.”</w:t>
      </w:r>
      <w:r w:rsidR="00ED0D1A" w:rsidRPr="00ED0D1A">
        <w:rPr>
          <w:rStyle w:val="FootnoteReference"/>
          <w:snapToGrid/>
          <w:kern w:val="0"/>
          <w:szCs w:val="22"/>
        </w:rPr>
        <w:footnoteReference w:id="19"/>
      </w:r>
      <w:r w:rsidR="00A97B1A" w:rsidRPr="00A97B1A">
        <w:rPr>
          <w:snapToGrid/>
          <w:kern w:val="0"/>
          <w:szCs w:val="22"/>
        </w:rPr>
        <w:t xml:space="preserve">  In this regard, North Dakota’s request is a direct outgrowth of Montana’s participation in the demonstration project and </w:t>
      </w:r>
      <w:r w:rsidR="00ED0D1A">
        <w:rPr>
          <w:snapToGrid/>
          <w:kern w:val="0"/>
          <w:szCs w:val="22"/>
        </w:rPr>
        <w:t xml:space="preserve">its </w:t>
      </w:r>
      <w:r w:rsidR="00A97B1A" w:rsidRPr="00A97B1A">
        <w:rPr>
          <w:snapToGrid/>
          <w:kern w:val="0"/>
          <w:szCs w:val="22"/>
        </w:rPr>
        <w:t xml:space="preserve">use of VLAW31 </w:t>
      </w:r>
      <w:r w:rsidR="00ED0D1A">
        <w:rPr>
          <w:snapToGrid/>
          <w:kern w:val="0"/>
          <w:szCs w:val="22"/>
        </w:rPr>
        <w:t>to promote “</w:t>
      </w:r>
      <w:r w:rsidR="00ED0D1A" w:rsidRPr="00ED0D1A">
        <w:rPr>
          <w:snapToGrid/>
          <w:kern w:val="0"/>
          <w:szCs w:val="22"/>
        </w:rPr>
        <w:t>multi-discipline, mutual aid communications</w:t>
      </w:r>
      <w:r w:rsidR="00ED0D1A">
        <w:rPr>
          <w:snapToGrid/>
          <w:kern w:val="0"/>
          <w:szCs w:val="22"/>
        </w:rPr>
        <w:t xml:space="preserve">” along the </w:t>
      </w:r>
      <w:r w:rsidR="00450A0E">
        <w:rPr>
          <w:snapToGrid/>
          <w:kern w:val="0"/>
          <w:szCs w:val="22"/>
        </w:rPr>
        <w:t>Canada border within the State of Montana.</w:t>
      </w:r>
      <w:r w:rsidR="00450A0E">
        <w:rPr>
          <w:rStyle w:val="FootnoteReference"/>
          <w:snapToGrid/>
          <w:kern w:val="0"/>
          <w:szCs w:val="22"/>
        </w:rPr>
        <w:footnoteReference w:id="20"/>
      </w:r>
      <w:r w:rsidR="00450A0E">
        <w:rPr>
          <w:snapToGrid/>
          <w:kern w:val="0"/>
          <w:szCs w:val="22"/>
        </w:rPr>
        <w:t xml:space="preserve">  </w:t>
      </w:r>
    </w:p>
    <w:p w14:paraId="1A9BB5D4" w14:textId="77777777" w:rsidR="00B945FF" w:rsidRDefault="00B945FF" w:rsidP="009E6BF7">
      <w:pPr>
        <w:pStyle w:val="ParaNum"/>
      </w:pPr>
      <w:r w:rsidRPr="009E6BF7">
        <w:rPr>
          <w:snapToGrid/>
          <w:kern w:val="0"/>
        </w:rPr>
        <w:t>Additionally, grant of this waiver is consistent with our precedent promoting cross-border communications.</w:t>
      </w:r>
      <w:r>
        <w:rPr>
          <w:rStyle w:val="FootnoteReference"/>
          <w:snapToGrid/>
          <w:kern w:val="0"/>
          <w:szCs w:val="22"/>
        </w:rPr>
        <w:footnoteReference w:id="21"/>
      </w:r>
      <w:r w:rsidRPr="009E6BF7">
        <w:rPr>
          <w:snapToGrid/>
          <w:kern w:val="0"/>
        </w:rPr>
        <w:t xml:space="preserve">  Based on the record before us, we find that permitting </w:t>
      </w:r>
      <w:r w:rsidR="00450A0E">
        <w:rPr>
          <w:snapToGrid/>
          <w:kern w:val="0"/>
        </w:rPr>
        <w:t xml:space="preserve">North Dakota to expand operations on VLAW31 for </w:t>
      </w:r>
      <w:r w:rsidRPr="009E6BF7">
        <w:rPr>
          <w:snapToGrid/>
          <w:kern w:val="0"/>
        </w:rPr>
        <w:t>multi-discipline, mutual aid</w:t>
      </w:r>
      <w:r>
        <w:t xml:space="preserve"> communications will i</w:t>
      </w:r>
      <w:r w:rsidRPr="009E6BF7">
        <w:rPr>
          <w:bCs/>
        </w:rPr>
        <w:t xml:space="preserve">mprove interoperable communications among all first responders responding to threats and natural disasters along the border </w:t>
      </w:r>
      <w:r w:rsidR="00450A0E">
        <w:t xml:space="preserve">including </w:t>
      </w:r>
      <w:r>
        <w:t>Canadian first responder</w:t>
      </w:r>
      <w:r w:rsidR="00450A0E">
        <w:t>s</w:t>
      </w:r>
      <w:r>
        <w:t xml:space="preserve"> who need to communicate </w:t>
      </w:r>
      <w:r w:rsidR="00450A0E">
        <w:t xml:space="preserve">with first responders </w:t>
      </w:r>
      <w:r>
        <w:t>operating on the U.S. side of the border.</w:t>
      </w:r>
    </w:p>
    <w:p w14:paraId="629B35BE" w14:textId="77777777" w:rsidR="0064039B" w:rsidRDefault="0064039B" w:rsidP="009E6BF7">
      <w:pPr>
        <w:pStyle w:val="ParaNum"/>
      </w:pPr>
      <w:r>
        <w:t xml:space="preserve">Furthermore, we find it unduly burdensome to restrict North Dakota’s operations on VLAW31 to only police communications since the frequency is already licensed </w:t>
      </w:r>
      <w:r w:rsidR="00703811">
        <w:t xml:space="preserve">to it </w:t>
      </w:r>
      <w:r>
        <w:t>and available for use in the coordination zone with Canada.</w:t>
      </w:r>
      <w:r w:rsidR="00703811">
        <w:rPr>
          <w:rStyle w:val="FootnoteReference"/>
        </w:rPr>
        <w:footnoteReference w:id="22"/>
      </w:r>
      <w:r>
        <w:t xml:space="preserve">  Requiring North Dakota to find an alternative frequency in the 150 MHz band </w:t>
      </w:r>
      <w:r w:rsidR="008754F5">
        <w:rPr>
          <w:snapToGrid/>
          <w:kern w:val="0"/>
        </w:rPr>
        <w:t xml:space="preserve">for </w:t>
      </w:r>
      <w:r w:rsidR="008754F5" w:rsidRPr="009E6BF7">
        <w:rPr>
          <w:snapToGrid/>
          <w:kern w:val="0"/>
        </w:rPr>
        <w:t>multi-discipline, mutual aid</w:t>
      </w:r>
      <w:r w:rsidR="008754F5">
        <w:t xml:space="preserve"> communications </w:t>
      </w:r>
      <w:r w:rsidR="00703811">
        <w:t xml:space="preserve">along the border with Canada </w:t>
      </w:r>
      <w:r>
        <w:t xml:space="preserve">could be difficult since channels in this </w:t>
      </w:r>
      <w:r w:rsidR="00703811">
        <w:t xml:space="preserve">frequency </w:t>
      </w:r>
      <w:r>
        <w:t xml:space="preserve">band are available </w:t>
      </w:r>
      <w:r w:rsidR="00703811">
        <w:t xml:space="preserve">to U.S. licensees in the coordination zone only </w:t>
      </w:r>
      <w:r>
        <w:t>on a first-come, first-served basis.</w:t>
      </w:r>
      <w:r w:rsidR="008754F5">
        <w:rPr>
          <w:rStyle w:val="FootnoteReference"/>
        </w:rPr>
        <w:footnoteReference w:id="23"/>
      </w:r>
      <w:r>
        <w:t xml:space="preserve">  </w:t>
      </w:r>
    </w:p>
    <w:p w14:paraId="2E122100" w14:textId="610115B8" w:rsidR="00B945FF" w:rsidRDefault="00B945FF">
      <w:pPr>
        <w:pStyle w:val="ParaNum"/>
      </w:pPr>
      <w:r w:rsidRPr="00555868">
        <w:rPr>
          <w:snapToGrid/>
          <w:kern w:val="0"/>
          <w:szCs w:val="22"/>
        </w:rPr>
        <w:t xml:space="preserve">In granting the Waiver Request, we must ensure that our decision does not impede existing or future state police communications plans in </w:t>
      </w:r>
      <w:r w:rsidR="004B71E6" w:rsidRPr="00555868">
        <w:rPr>
          <w:snapToGrid/>
          <w:kern w:val="0"/>
          <w:szCs w:val="22"/>
        </w:rPr>
        <w:t xml:space="preserve">North Dakota </w:t>
      </w:r>
      <w:r w:rsidRPr="00555868">
        <w:rPr>
          <w:snapToGrid/>
          <w:kern w:val="0"/>
          <w:szCs w:val="22"/>
        </w:rPr>
        <w:t xml:space="preserve">and adjacent states.  Accordingly, we grant the Waiver Request, subject to the condition that </w:t>
      </w:r>
      <w:bookmarkStart w:id="1" w:name="FN[FN19]"/>
      <w:bookmarkEnd w:id="1"/>
      <w:r w:rsidR="004B71E6" w:rsidRPr="00555868">
        <w:rPr>
          <w:snapToGrid/>
          <w:kern w:val="0"/>
          <w:szCs w:val="22"/>
        </w:rPr>
        <w:t xml:space="preserve">North Dakota </w:t>
      </w:r>
      <w:r w:rsidRPr="00555868">
        <w:rPr>
          <w:snapToGrid/>
          <w:kern w:val="0"/>
          <w:szCs w:val="22"/>
        </w:rPr>
        <w:t xml:space="preserve">shall restrict the use of for multi-discipline, mutual aid communications </w:t>
      </w:r>
      <w:bookmarkStart w:id="2" w:name="SR;823"/>
      <w:bookmarkStart w:id="3" w:name="SR;824"/>
      <w:bookmarkStart w:id="4" w:name="SR;825"/>
      <w:bookmarkEnd w:id="2"/>
      <w:bookmarkEnd w:id="3"/>
      <w:bookmarkEnd w:id="4"/>
      <w:r w:rsidRPr="00555868">
        <w:rPr>
          <w:snapToGrid/>
          <w:kern w:val="0"/>
          <w:szCs w:val="22"/>
        </w:rPr>
        <w:t xml:space="preserve">among public safety personnel operating within </w:t>
      </w:r>
      <w:r w:rsidR="004B71E6" w:rsidRPr="00555868">
        <w:rPr>
          <w:snapToGrid/>
          <w:kern w:val="0"/>
          <w:szCs w:val="22"/>
        </w:rPr>
        <w:t>25</w:t>
      </w:r>
      <w:r w:rsidRPr="00555868">
        <w:rPr>
          <w:snapToGrid/>
          <w:kern w:val="0"/>
          <w:szCs w:val="22"/>
        </w:rPr>
        <w:t xml:space="preserve"> km (1</w:t>
      </w:r>
      <w:r w:rsidR="004B71E6" w:rsidRPr="00555868">
        <w:rPr>
          <w:snapToGrid/>
          <w:kern w:val="0"/>
          <w:szCs w:val="22"/>
        </w:rPr>
        <w:t>5</w:t>
      </w:r>
      <w:r w:rsidRPr="00555868">
        <w:rPr>
          <w:snapToGrid/>
          <w:kern w:val="0"/>
          <w:szCs w:val="22"/>
        </w:rPr>
        <w:t xml:space="preserve"> miles) of </w:t>
      </w:r>
      <w:bookmarkStart w:id="5" w:name="FN[FN20]"/>
      <w:bookmarkEnd w:id="5"/>
      <w:r w:rsidRPr="00555868">
        <w:rPr>
          <w:snapToGrid/>
          <w:kern w:val="0"/>
          <w:szCs w:val="22"/>
        </w:rPr>
        <w:t xml:space="preserve">the border with Canada.  Additionally, within 30 days of the release of this </w:t>
      </w:r>
      <w:r w:rsidRPr="00555868">
        <w:rPr>
          <w:i/>
          <w:snapToGrid/>
          <w:kern w:val="0"/>
          <w:szCs w:val="22"/>
        </w:rPr>
        <w:t>Order</w:t>
      </w:r>
      <w:r w:rsidRPr="00555868">
        <w:rPr>
          <w:snapToGrid/>
          <w:kern w:val="0"/>
          <w:szCs w:val="22"/>
        </w:rPr>
        <w:t xml:space="preserve">, we require </w:t>
      </w:r>
      <w:r w:rsidR="004B71E6" w:rsidRPr="00555868">
        <w:rPr>
          <w:snapToGrid/>
          <w:kern w:val="0"/>
          <w:szCs w:val="22"/>
        </w:rPr>
        <w:t xml:space="preserve">North Dakota </w:t>
      </w:r>
      <w:r w:rsidRPr="00555868">
        <w:rPr>
          <w:snapToGrid/>
          <w:kern w:val="0"/>
          <w:szCs w:val="22"/>
        </w:rPr>
        <w:t>to notify the State Police in</w:t>
      </w:r>
      <w:r w:rsidR="003B63FD" w:rsidRPr="00555868">
        <w:rPr>
          <w:snapToGrid/>
          <w:kern w:val="0"/>
          <w:szCs w:val="22"/>
        </w:rPr>
        <w:t xml:space="preserve"> </w:t>
      </w:r>
      <w:r w:rsidR="004B71E6" w:rsidRPr="00555868">
        <w:rPr>
          <w:snapToGrid/>
          <w:kern w:val="0"/>
          <w:szCs w:val="22"/>
        </w:rPr>
        <w:t>Montana</w:t>
      </w:r>
      <w:r w:rsidRPr="00555868">
        <w:rPr>
          <w:snapToGrid/>
          <w:kern w:val="0"/>
          <w:szCs w:val="22"/>
        </w:rPr>
        <w:t xml:space="preserve">, South Dakota and </w:t>
      </w:r>
      <w:r w:rsidR="004B71E6" w:rsidRPr="00555868">
        <w:rPr>
          <w:snapToGrid/>
          <w:kern w:val="0"/>
          <w:szCs w:val="22"/>
        </w:rPr>
        <w:t xml:space="preserve"> Minnesota </w:t>
      </w:r>
      <w:r w:rsidRPr="00555868">
        <w:rPr>
          <w:snapToGrid/>
          <w:kern w:val="0"/>
          <w:szCs w:val="22"/>
        </w:rPr>
        <w:t xml:space="preserve">of its multi-discipline, mutual aid plans in order to ensure that frequency </w:t>
      </w:r>
      <w:r>
        <w:t xml:space="preserve">155.4750 MHz </w:t>
      </w:r>
      <w:r w:rsidRPr="00555868">
        <w:rPr>
          <w:snapToGrid/>
          <w:kern w:val="0"/>
        </w:rPr>
        <w:t xml:space="preserve">remains available nationwide for use in </w:t>
      </w:r>
      <w:r w:rsidRPr="00555868">
        <w:rPr>
          <w:snapToGrid/>
        </w:rPr>
        <w:t>police emergency communications networks operated under statewide law enforcement emergency communications plans</w:t>
      </w:r>
      <w:r w:rsidRPr="00555868">
        <w:rPr>
          <w:snapToGrid/>
          <w:kern w:val="0"/>
        </w:rPr>
        <w:t>.</w:t>
      </w:r>
    </w:p>
    <w:p w14:paraId="0888BFFD" w14:textId="77777777" w:rsidR="00B945FF" w:rsidRDefault="00B945FF">
      <w:pPr>
        <w:pStyle w:val="Heading1"/>
        <w:rPr>
          <w:rFonts w:ascii="Times New Roman" w:hAnsi="Times New Roman"/>
        </w:rPr>
      </w:pPr>
      <w:r>
        <w:t>ordering clauses</w:t>
      </w:r>
    </w:p>
    <w:p w14:paraId="013A0F3A" w14:textId="6049F769" w:rsidR="00B945FF" w:rsidRDefault="00B945FF" w:rsidP="008174BB">
      <w:pPr>
        <w:pStyle w:val="ParaNum"/>
      </w:pPr>
      <w:r>
        <w:t>Accordingly, IT IS ORDERED pursuant t</w:t>
      </w:r>
      <w:r w:rsidR="00876D5E">
        <w:t xml:space="preserve">o Sections 4(i) and 303(c) of the Communications Act of 1934, as amended, 47 U.S.C. §§ 154(i), 303(c), </w:t>
      </w:r>
      <w:r>
        <w:t xml:space="preserve">and Section 1.925(b)(3)(ii) of the Commission’s rules, 47 C.F.R. § 1.925(b)(3)(ii), that the </w:t>
      </w:r>
      <w:r w:rsidR="008174BB">
        <w:t>w</w:t>
      </w:r>
      <w:r>
        <w:t xml:space="preserve">aiver </w:t>
      </w:r>
      <w:r w:rsidR="008174BB">
        <w:t>r</w:t>
      </w:r>
      <w:r>
        <w:t xml:space="preserve">equest </w:t>
      </w:r>
      <w:r w:rsidR="008174BB" w:rsidRPr="008174BB">
        <w:t xml:space="preserve">associated with ULS File No </w:t>
      </w:r>
      <w:r w:rsidR="008174BB" w:rsidRPr="007D7409">
        <w:rPr>
          <w:spacing w:val="-2"/>
        </w:rPr>
        <w:t>0007016716</w:t>
      </w:r>
      <w:r w:rsidR="008174BB">
        <w:rPr>
          <w:spacing w:val="-2"/>
        </w:rPr>
        <w:t xml:space="preserve"> </w:t>
      </w:r>
      <w:r>
        <w:t>filed by t</w:t>
      </w:r>
      <w:r>
        <w:rPr>
          <w:rFonts w:cs="TimesNewRoman"/>
          <w:color w:val="010101"/>
          <w:szCs w:val="22"/>
        </w:rPr>
        <w:t xml:space="preserve">he State of </w:t>
      </w:r>
      <w:r w:rsidR="004B71E6">
        <w:rPr>
          <w:rFonts w:cs="TimesNewRoman"/>
          <w:color w:val="010101"/>
          <w:szCs w:val="22"/>
        </w:rPr>
        <w:t xml:space="preserve">North Dakota </w:t>
      </w:r>
      <w:r w:rsidR="008174BB" w:rsidRPr="008174BB">
        <w:rPr>
          <w:rFonts w:cs="TimesNewRoman"/>
          <w:color w:val="010101"/>
          <w:szCs w:val="22"/>
        </w:rPr>
        <w:t>IS GRANTED and the associated application SHALL BE PROCESSED accordingly</w:t>
      </w:r>
      <w:r w:rsidR="008174BB">
        <w:rPr>
          <w:rFonts w:cs="TimesNewRoman"/>
          <w:color w:val="010101"/>
          <w:szCs w:val="22"/>
        </w:rPr>
        <w:t xml:space="preserve">.  </w:t>
      </w:r>
    </w:p>
    <w:p w14:paraId="2B66CE08" w14:textId="77777777" w:rsidR="00B945FF" w:rsidRDefault="00B945FF">
      <w:pPr>
        <w:pStyle w:val="ParaNum"/>
      </w:pPr>
      <w:r>
        <w:t>This action is taken under delegated authority pursuant to Sections 0.191 and 0.392 of the Commission’s rules, 47 C.F.R. §§ 0.191 and 0.392.</w:t>
      </w:r>
    </w:p>
    <w:p w14:paraId="21FAD7F5" w14:textId="77777777" w:rsidR="00E3357D" w:rsidRDefault="00E3357D">
      <w:pPr>
        <w:pStyle w:val="ParaNum"/>
        <w:numPr>
          <w:ilvl w:val="0"/>
          <w:numId w:val="0"/>
        </w:numPr>
        <w:ind w:left="720"/>
      </w:pPr>
    </w:p>
    <w:p w14:paraId="2F3BA92F" w14:textId="77777777" w:rsidR="00B945FF" w:rsidRDefault="00B945FF">
      <w:pPr>
        <w:pStyle w:val="ParaNum"/>
        <w:numPr>
          <w:ilvl w:val="0"/>
          <w:numId w:val="0"/>
        </w:numPr>
        <w:spacing w:after="0"/>
        <w:ind w:left="3600" w:firstLine="720"/>
      </w:pPr>
      <w:r>
        <w:t>FEDERAL COMMUNICATIONS COMMISSION</w:t>
      </w:r>
    </w:p>
    <w:p w14:paraId="1ED643BC" w14:textId="77777777" w:rsidR="00B945FF" w:rsidRDefault="00B945FF">
      <w:pPr>
        <w:ind w:left="3600" w:firstLine="720"/>
        <w:rPr>
          <w:szCs w:val="22"/>
        </w:rPr>
      </w:pPr>
    </w:p>
    <w:p w14:paraId="1CF1425A" w14:textId="77777777" w:rsidR="00B945FF" w:rsidRDefault="00B945FF">
      <w:pPr>
        <w:ind w:left="3600" w:firstLine="720"/>
        <w:rPr>
          <w:szCs w:val="22"/>
        </w:rPr>
      </w:pPr>
    </w:p>
    <w:p w14:paraId="6E8B379E" w14:textId="77777777" w:rsidR="00B945FF" w:rsidRDefault="00B945FF">
      <w:pPr>
        <w:ind w:left="3600" w:firstLine="720"/>
        <w:rPr>
          <w:szCs w:val="22"/>
        </w:rPr>
      </w:pPr>
    </w:p>
    <w:p w14:paraId="6DE1A471" w14:textId="77777777" w:rsidR="00B945FF" w:rsidRDefault="00B945FF">
      <w:pPr>
        <w:ind w:left="3600" w:firstLine="720"/>
        <w:rPr>
          <w:szCs w:val="22"/>
        </w:rPr>
      </w:pPr>
    </w:p>
    <w:p w14:paraId="046E64D6" w14:textId="77777777" w:rsidR="00B945FF" w:rsidRDefault="00B945FF">
      <w:pPr>
        <w:ind w:left="3600" w:firstLine="720"/>
        <w:rPr>
          <w:szCs w:val="22"/>
        </w:rPr>
      </w:pPr>
      <w:bookmarkStart w:id="6" w:name="sp_999_4"/>
      <w:bookmarkStart w:id="7" w:name="SDU_4"/>
      <w:bookmarkEnd w:id="6"/>
      <w:bookmarkEnd w:id="7"/>
      <w:r>
        <w:rPr>
          <w:szCs w:val="22"/>
        </w:rPr>
        <w:t xml:space="preserve">Michael J. Wilhelm </w:t>
      </w:r>
    </w:p>
    <w:p w14:paraId="1A1F1ADE" w14:textId="10A55A47" w:rsidR="00B945FF" w:rsidRDefault="00555868">
      <w:pPr>
        <w:ind w:left="3600" w:firstLine="720"/>
        <w:rPr>
          <w:szCs w:val="22"/>
        </w:rPr>
      </w:pPr>
      <w:r>
        <w:rPr>
          <w:szCs w:val="22"/>
        </w:rPr>
        <w:t xml:space="preserve">Acting </w:t>
      </w:r>
      <w:r w:rsidR="00B945FF">
        <w:rPr>
          <w:szCs w:val="22"/>
        </w:rPr>
        <w:t>Chief, Policy and Licensing Division</w:t>
      </w:r>
    </w:p>
    <w:p w14:paraId="3656882C" w14:textId="77777777" w:rsidR="00B945FF" w:rsidRDefault="00B945FF">
      <w:pPr>
        <w:ind w:left="3600" w:firstLine="720"/>
        <w:rPr>
          <w:szCs w:val="22"/>
        </w:rPr>
      </w:pPr>
      <w:r>
        <w:t>Public Safety and Homeland Security Bureau</w:t>
      </w:r>
    </w:p>
    <w:sectPr w:rsidR="00B945FF" w:rsidSect="00A97B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6CC8" w14:textId="77777777" w:rsidR="0063496F" w:rsidRDefault="0063496F">
      <w:pPr>
        <w:spacing w:line="20" w:lineRule="exact"/>
      </w:pPr>
    </w:p>
  </w:endnote>
  <w:endnote w:type="continuationSeparator" w:id="0">
    <w:p w14:paraId="4D3FAE92" w14:textId="77777777" w:rsidR="0063496F" w:rsidRDefault="0063496F">
      <w:r>
        <w:t xml:space="preserve"> </w:t>
      </w:r>
    </w:p>
  </w:endnote>
  <w:endnote w:type="continuationNotice" w:id="1">
    <w:p w14:paraId="1D0E4032" w14:textId="77777777" w:rsidR="0063496F" w:rsidRDefault="006349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3BDC" w14:textId="77777777" w:rsidR="00B945FF" w:rsidRDefault="00A97B1A">
    <w:pPr>
      <w:pStyle w:val="Footer"/>
      <w:framePr w:wrap="around" w:vAnchor="text" w:hAnchor="margin" w:xAlign="center" w:y="1"/>
    </w:pPr>
    <w:r>
      <w:fldChar w:fldCharType="begin"/>
    </w:r>
    <w:r w:rsidR="00B945FF">
      <w:instrText xml:space="preserve">PAGE  </w:instrText>
    </w:r>
    <w:r>
      <w:fldChar w:fldCharType="end"/>
    </w:r>
  </w:p>
  <w:p w14:paraId="5121512B" w14:textId="77777777" w:rsidR="00B945FF" w:rsidRDefault="00B9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F30A" w14:textId="77777777" w:rsidR="00B945FF" w:rsidRDefault="00A97B1A">
    <w:pPr>
      <w:pStyle w:val="Footer"/>
      <w:framePr w:wrap="around" w:vAnchor="text" w:hAnchor="margin" w:xAlign="center" w:y="1"/>
    </w:pPr>
    <w:r>
      <w:fldChar w:fldCharType="begin"/>
    </w:r>
    <w:r w:rsidR="00B342DE">
      <w:instrText xml:space="preserve">PAGE  </w:instrText>
    </w:r>
    <w:r>
      <w:fldChar w:fldCharType="separate"/>
    </w:r>
    <w:r w:rsidR="00186587">
      <w:rPr>
        <w:noProof/>
      </w:rPr>
      <w:t>2</w:t>
    </w:r>
    <w:r>
      <w:rPr>
        <w:noProof/>
      </w:rPr>
      <w:fldChar w:fldCharType="end"/>
    </w:r>
  </w:p>
  <w:p w14:paraId="3D6D73D1" w14:textId="77777777" w:rsidR="00B945FF" w:rsidRDefault="00B945FF">
    <w:pPr>
      <w:spacing w:before="140" w:line="100" w:lineRule="exact"/>
      <w:rPr>
        <w:sz w:val="10"/>
      </w:rPr>
    </w:pPr>
  </w:p>
  <w:p w14:paraId="2B00E0B5" w14:textId="77777777" w:rsidR="00B945FF" w:rsidRDefault="00B945FF">
    <w:pPr>
      <w:suppressAutoHyphens/>
      <w:spacing w:line="227" w:lineRule="auto"/>
    </w:pPr>
  </w:p>
  <w:p w14:paraId="5BB95A0B" w14:textId="77777777" w:rsidR="00B945FF" w:rsidRDefault="00B945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87DF" w14:textId="77777777" w:rsidR="00B945FF" w:rsidRDefault="00B945F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9A2AF" w14:textId="77777777" w:rsidR="0063496F" w:rsidRDefault="0063496F">
      <w:r>
        <w:separator/>
      </w:r>
    </w:p>
  </w:footnote>
  <w:footnote w:type="continuationSeparator" w:id="0">
    <w:p w14:paraId="745BA4D4" w14:textId="77777777" w:rsidR="0063496F" w:rsidRDefault="0063496F">
      <w:pPr>
        <w:rPr>
          <w:sz w:val="20"/>
        </w:rPr>
      </w:pPr>
      <w:r>
        <w:rPr>
          <w:sz w:val="20"/>
        </w:rPr>
        <w:t xml:space="preserve">(Continued from previous page)  </w:t>
      </w:r>
      <w:r>
        <w:rPr>
          <w:sz w:val="20"/>
        </w:rPr>
        <w:separator/>
      </w:r>
    </w:p>
  </w:footnote>
  <w:footnote w:type="continuationNotice" w:id="1">
    <w:p w14:paraId="7C966E01" w14:textId="77777777" w:rsidR="0063496F" w:rsidRDefault="0063496F">
      <w:pPr>
        <w:rPr>
          <w:sz w:val="20"/>
        </w:rPr>
      </w:pPr>
      <w:r>
        <w:rPr>
          <w:sz w:val="20"/>
        </w:rPr>
        <w:t>(continued….)</w:t>
      </w:r>
    </w:p>
  </w:footnote>
  <w:footnote w:id="2">
    <w:p w14:paraId="5E7F0D02" w14:textId="77777777" w:rsidR="00D41C8B" w:rsidRPr="00D41C8B" w:rsidRDefault="00D41C8B" w:rsidP="00D41C8B">
      <w:pPr>
        <w:pStyle w:val="FootnoteText"/>
      </w:pPr>
      <w:r>
        <w:rPr>
          <w:rStyle w:val="FootnoteReference"/>
        </w:rPr>
        <w:footnoteRef/>
      </w:r>
      <w:r>
        <w:t xml:space="preserve"> </w:t>
      </w:r>
      <w:r w:rsidRPr="00C7158A">
        <w:t>State of North Dakota, State Radio Communications</w:t>
      </w:r>
      <w:r>
        <w:t xml:space="preserve"> Application, ULS File no. </w:t>
      </w:r>
      <w:r w:rsidRPr="00C7158A">
        <w:t>0007016716</w:t>
      </w:r>
      <w:r>
        <w:t xml:space="preserve"> (dated Nov. 5, 2015) (North Dakota Application).  </w:t>
      </w:r>
      <w:r>
        <w:rPr>
          <w:i/>
        </w:rPr>
        <w:t>See also</w:t>
      </w:r>
      <w:r>
        <w:t xml:space="preserve"> attachment </w:t>
      </w:r>
      <w:r w:rsidR="00AA0C5B">
        <w:t xml:space="preserve">to North Dakota Application </w:t>
      </w:r>
      <w:r>
        <w:t>labeled “</w:t>
      </w:r>
      <w:r w:rsidRPr="00D41C8B">
        <w:t>waiver on Canadian border for VLAW31</w:t>
      </w:r>
      <w:r>
        <w:t>” (</w:t>
      </w:r>
      <w:r w:rsidR="00AA0C5B">
        <w:t>Nov. 5, 2015)</w:t>
      </w:r>
      <w:r>
        <w:t xml:space="preserve"> (North Dakota Waiver Request).  </w:t>
      </w:r>
    </w:p>
  </w:footnote>
  <w:footnote w:id="3">
    <w:p w14:paraId="4B22DDD8" w14:textId="77777777" w:rsidR="00D3286E" w:rsidRDefault="00D3286E" w:rsidP="00D3286E">
      <w:pPr>
        <w:pStyle w:val="FootnoteText"/>
      </w:pPr>
      <w:r>
        <w:rPr>
          <w:rStyle w:val="FootnoteReference"/>
        </w:rPr>
        <w:footnoteRef/>
      </w:r>
      <w:r>
        <w:t xml:space="preserve"> Call sign </w:t>
      </w:r>
      <w:r w:rsidRPr="00107C0B">
        <w:t>KO5210</w:t>
      </w:r>
      <w:r>
        <w:t>.</w:t>
      </w:r>
    </w:p>
  </w:footnote>
  <w:footnote w:id="4">
    <w:p w14:paraId="13A57253" w14:textId="77777777" w:rsidR="00D3286E" w:rsidRPr="005E0ABB" w:rsidRDefault="00D3286E" w:rsidP="00D3286E">
      <w:pPr>
        <w:pStyle w:val="FootnoteText"/>
      </w:pPr>
      <w:r>
        <w:rPr>
          <w:rStyle w:val="FootnoteReference"/>
        </w:rPr>
        <w:footnoteRef/>
      </w:r>
      <w:r>
        <w:t xml:space="preserve"> </w:t>
      </w:r>
      <w:r>
        <w:rPr>
          <w:i/>
        </w:rPr>
        <w:t>See e.g.,</w:t>
      </w:r>
      <w:r>
        <w:t xml:space="preserve"> call sign </w:t>
      </w:r>
      <w:r w:rsidRPr="005E0ABB">
        <w:t>WQDA865</w:t>
      </w:r>
      <w:r>
        <w:t>.</w:t>
      </w:r>
    </w:p>
  </w:footnote>
  <w:footnote w:id="5">
    <w:p w14:paraId="4D1F9F3C" w14:textId="77777777" w:rsidR="00B945FF" w:rsidRDefault="00B945FF">
      <w:pPr>
        <w:pStyle w:val="FootnoteText"/>
      </w:pPr>
      <w:r>
        <w:rPr>
          <w:rStyle w:val="FootnoteReference"/>
          <w:sz w:val="20"/>
        </w:rPr>
        <w:footnoteRef/>
      </w:r>
      <w:r>
        <w:t xml:space="preserve"> </w:t>
      </w:r>
      <w:r w:rsidR="00DE6C94">
        <w:t xml:space="preserve">North Dakota </w:t>
      </w:r>
      <w:r>
        <w:t>Waiver Request at 2.</w:t>
      </w:r>
    </w:p>
  </w:footnote>
  <w:footnote w:id="6">
    <w:p w14:paraId="512CACC5" w14:textId="77777777" w:rsidR="00B945FF" w:rsidRDefault="00B945FF">
      <w:pPr>
        <w:pStyle w:val="FootnoteText"/>
      </w:pPr>
      <w:r>
        <w:rPr>
          <w:rStyle w:val="FootnoteReference"/>
          <w:sz w:val="20"/>
        </w:rPr>
        <w:footnoteRef/>
      </w:r>
      <w:r>
        <w:t xml:space="preserve"> </w:t>
      </w:r>
      <w:smartTag w:uri="urn:schemas-microsoft-com:office:smarttags" w:element="State">
        <w:smartTag w:uri="urn:schemas-microsoft-com:office:smarttags" w:element="place">
          <w:r>
            <w:rPr>
              <w:i/>
            </w:rPr>
            <w:t>Id.</w:t>
          </w:r>
        </w:smartTag>
      </w:smartTag>
      <w:r>
        <w:t xml:space="preserve">  </w:t>
      </w:r>
    </w:p>
  </w:footnote>
  <w:footnote w:id="7">
    <w:p w14:paraId="39ECD197" w14:textId="77777777" w:rsidR="00D3286E" w:rsidRDefault="00D3286E" w:rsidP="00D3286E">
      <w:pPr>
        <w:pStyle w:val="FootnoteText"/>
      </w:pPr>
      <w:r>
        <w:rPr>
          <w:rStyle w:val="FootnoteReference"/>
        </w:rPr>
        <w:footnoteRef/>
      </w:r>
      <w:r>
        <w:t xml:space="preserve"> 47 CFR § 90.20(d)(41).  </w:t>
      </w:r>
    </w:p>
  </w:footnote>
  <w:footnote w:id="8">
    <w:p w14:paraId="4D316765" w14:textId="77777777" w:rsidR="00B945FF" w:rsidRDefault="00B945FF">
      <w:pPr>
        <w:pStyle w:val="FootnoteText"/>
      </w:pPr>
      <w:r>
        <w:rPr>
          <w:rStyle w:val="FootnoteReference"/>
          <w:sz w:val="20"/>
        </w:rPr>
        <w:footnoteRef/>
      </w:r>
      <w:r>
        <w:t xml:space="preserve"> </w:t>
      </w:r>
      <w:r w:rsidR="00943FF9">
        <w:t>North Dakota Waiver Request at 2</w:t>
      </w:r>
      <w:r>
        <w:rPr>
          <w:bCs/>
        </w:rPr>
        <w:t>.</w:t>
      </w:r>
    </w:p>
  </w:footnote>
  <w:footnote w:id="9">
    <w:p w14:paraId="7B5869DA" w14:textId="77777777" w:rsidR="00B945FF" w:rsidRDefault="00B945FF">
      <w:pPr>
        <w:pStyle w:val="FootnoteText"/>
      </w:pPr>
      <w:r>
        <w:rPr>
          <w:rStyle w:val="FootnoteReference"/>
          <w:sz w:val="20"/>
        </w:rPr>
        <w:footnoteRef/>
      </w:r>
      <w:r w:rsidR="00943FF9">
        <w:t xml:space="preserve"> </w:t>
      </w:r>
      <w:r w:rsidR="00943FF9">
        <w:rPr>
          <w:i/>
        </w:rPr>
        <w:t>Id</w:t>
      </w:r>
      <w:r>
        <w:t>.</w:t>
      </w:r>
    </w:p>
  </w:footnote>
  <w:footnote w:id="10">
    <w:p w14:paraId="09E1BA13" w14:textId="77777777" w:rsidR="00AB3189" w:rsidRPr="00AB3189" w:rsidRDefault="00AB3189">
      <w:pPr>
        <w:pStyle w:val="FootnoteText"/>
      </w:pPr>
      <w:r>
        <w:rPr>
          <w:rStyle w:val="FootnoteReference"/>
        </w:rPr>
        <w:footnoteRef/>
      </w:r>
      <w:r>
        <w:t xml:space="preserve"> </w:t>
      </w:r>
      <w:r>
        <w:rPr>
          <w:i/>
        </w:rPr>
        <w:t>Id</w:t>
      </w:r>
      <w:r>
        <w:t>.</w:t>
      </w:r>
    </w:p>
  </w:footnote>
  <w:footnote w:id="11">
    <w:p w14:paraId="33AC1157" w14:textId="77777777" w:rsidR="00B945FF" w:rsidRDefault="00B945FF">
      <w:pPr>
        <w:pStyle w:val="FootnoteText"/>
      </w:pPr>
      <w:r>
        <w:rPr>
          <w:rStyle w:val="FootnoteReference"/>
          <w:sz w:val="20"/>
        </w:rPr>
        <w:footnoteRef/>
      </w:r>
      <w:r>
        <w:t xml:space="preserve"> </w:t>
      </w:r>
      <w:r>
        <w:rPr>
          <w:i/>
        </w:rPr>
        <w:t>See</w:t>
      </w:r>
      <w:r>
        <w:t xml:space="preserve"> </w:t>
      </w:r>
      <w:r w:rsidRPr="00A073D9">
        <w:rPr>
          <w:i/>
        </w:rPr>
        <w:t xml:space="preserve">Public Safety and Homeland Security Bureau Seeks Comment on Request by State of </w:t>
      </w:r>
      <w:r w:rsidR="003E3CCA" w:rsidRPr="00A073D9">
        <w:rPr>
          <w:i/>
        </w:rPr>
        <w:t xml:space="preserve">North Dakota </w:t>
      </w:r>
      <w:r w:rsidRPr="00A073D9">
        <w:rPr>
          <w:i/>
        </w:rPr>
        <w:t xml:space="preserve">to Use Frequency 155.4750 MHz for Multi-Discipline Mutual Aid Communication Within </w:t>
      </w:r>
      <w:r w:rsidR="003E3CCA" w:rsidRPr="00A073D9">
        <w:rPr>
          <w:i/>
        </w:rPr>
        <w:t>25</w:t>
      </w:r>
      <w:r w:rsidRPr="00A073D9">
        <w:rPr>
          <w:i/>
        </w:rPr>
        <w:t xml:space="preserve"> km of the U.S.-Canada Border</w:t>
      </w:r>
      <w:r>
        <w:t xml:space="preserve">, </w:t>
      </w:r>
      <w:r w:rsidRPr="00A073D9">
        <w:t>Public Notice</w:t>
      </w:r>
      <w:r>
        <w:t xml:space="preserve">, </w:t>
      </w:r>
      <w:r w:rsidR="00A073D9" w:rsidRPr="00A073D9">
        <w:t xml:space="preserve">31 FCC Rcd 13478 </w:t>
      </w:r>
      <w:r>
        <w:t>(PSHSB 201</w:t>
      </w:r>
      <w:r w:rsidR="003E3CCA">
        <w:t>6</w:t>
      </w:r>
      <w:r>
        <w:t>).</w:t>
      </w:r>
    </w:p>
  </w:footnote>
  <w:footnote w:id="12">
    <w:p w14:paraId="6B221769" w14:textId="77777777" w:rsidR="009D2309" w:rsidRPr="00FF1E7E" w:rsidRDefault="009D2309" w:rsidP="002260A3">
      <w:pPr>
        <w:widowControl/>
        <w:autoSpaceDE w:val="0"/>
        <w:autoSpaceDN w:val="0"/>
        <w:adjustRightInd w:val="0"/>
        <w:spacing w:after="120"/>
        <w:rPr>
          <w:snapToGrid/>
          <w:kern w:val="0"/>
          <w:sz w:val="20"/>
        </w:rPr>
      </w:pPr>
      <w:r w:rsidRPr="00FF1E7E">
        <w:rPr>
          <w:rStyle w:val="FootnoteReference"/>
          <w:sz w:val="20"/>
        </w:rPr>
        <w:footnoteRef/>
      </w:r>
      <w:r w:rsidRPr="00FF1E7E">
        <w:rPr>
          <w:sz w:val="20"/>
        </w:rPr>
        <w:t xml:space="preserve"> </w:t>
      </w:r>
      <w:r w:rsidR="00AA0C5B">
        <w:rPr>
          <w:sz w:val="20"/>
        </w:rPr>
        <w:t>Comments o</w:t>
      </w:r>
      <w:r w:rsidR="00AA0C5B" w:rsidRPr="00AA0C5B">
        <w:rPr>
          <w:sz w:val="20"/>
        </w:rPr>
        <w:t>f</w:t>
      </w:r>
      <w:r w:rsidR="00AA0C5B">
        <w:rPr>
          <w:sz w:val="20"/>
        </w:rPr>
        <w:t xml:space="preserve"> t</w:t>
      </w:r>
      <w:r w:rsidR="00AA0C5B" w:rsidRPr="00AA0C5B">
        <w:rPr>
          <w:sz w:val="20"/>
        </w:rPr>
        <w:t xml:space="preserve">he National Public Safety Telecommunications Council </w:t>
      </w:r>
      <w:r w:rsidR="00AA0C5B">
        <w:rPr>
          <w:sz w:val="20"/>
        </w:rPr>
        <w:t xml:space="preserve">attached to </w:t>
      </w:r>
      <w:r w:rsidR="00AA0C5B" w:rsidRPr="00A073D9">
        <w:rPr>
          <w:sz w:val="20"/>
        </w:rPr>
        <w:t>North Dakota Application</w:t>
      </w:r>
      <w:r w:rsidR="00AA0C5B" w:rsidRPr="00AA0C5B" w:rsidDel="00AA0C5B">
        <w:rPr>
          <w:snapToGrid/>
          <w:kern w:val="0"/>
          <w:sz w:val="20"/>
        </w:rPr>
        <w:t xml:space="preserve"> </w:t>
      </w:r>
      <w:r w:rsidR="00AA0C5B">
        <w:rPr>
          <w:snapToGrid/>
          <w:kern w:val="0"/>
          <w:sz w:val="20"/>
        </w:rPr>
        <w:t xml:space="preserve">(Jan. 28, 2017) at 4 (NPSTC Comments). </w:t>
      </w:r>
    </w:p>
  </w:footnote>
  <w:footnote w:id="13">
    <w:p w14:paraId="15E90B10" w14:textId="77777777" w:rsidR="00934E04" w:rsidRPr="006E1695" w:rsidRDefault="00934E04" w:rsidP="00934E04">
      <w:pPr>
        <w:pStyle w:val="FootnoteText"/>
      </w:pPr>
      <w:r w:rsidRPr="00FF1E7E">
        <w:rPr>
          <w:rStyle w:val="FootnoteReference"/>
          <w:sz w:val="20"/>
        </w:rPr>
        <w:footnoteRef/>
      </w:r>
      <w:r w:rsidRPr="006E1695">
        <w:t xml:space="preserve"> </w:t>
      </w:r>
      <w:r w:rsidR="005C7789" w:rsidRPr="00A073D9">
        <w:rPr>
          <w:i/>
        </w:rPr>
        <w:t>Id</w:t>
      </w:r>
      <w:r w:rsidR="005C7789">
        <w:t xml:space="preserve">. </w:t>
      </w:r>
      <w:r w:rsidRPr="006E1695">
        <w:t>at 5.</w:t>
      </w:r>
    </w:p>
  </w:footnote>
  <w:footnote w:id="14">
    <w:p w14:paraId="285A184A" w14:textId="77777777" w:rsidR="005C7789" w:rsidRDefault="005C7789">
      <w:pPr>
        <w:pStyle w:val="FootnoteText"/>
      </w:pPr>
      <w:r>
        <w:rPr>
          <w:rStyle w:val="FootnoteReference"/>
        </w:rPr>
        <w:footnoteRef/>
      </w:r>
      <w:r>
        <w:t xml:space="preserve"> </w:t>
      </w:r>
      <w:r w:rsidRPr="00A073D9">
        <w:rPr>
          <w:i/>
        </w:rPr>
        <w:t>Id</w:t>
      </w:r>
      <w:r>
        <w:t>.</w:t>
      </w:r>
    </w:p>
  </w:footnote>
  <w:footnote w:id="15">
    <w:p w14:paraId="2362A08F" w14:textId="77777777" w:rsidR="00934E04" w:rsidRDefault="00934E04" w:rsidP="00934E04">
      <w:pPr>
        <w:pStyle w:val="FootnoteText"/>
      </w:pPr>
      <w:r w:rsidRPr="00FF1E7E">
        <w:rPr>
          <w:rStyle w:val="FootnoteReference"/>
          <w:sz w:val="20"/>
        </w:rPr>
        <w:footnoteRef/>
      </w:r>
      <w:r w:rsidRPr="006E1695">
        <w:t xml:space="preserve"> </w:t>
      </w:r>
      <w:r w:rsidR="00A073D9" w:rsidRPr="0036188C">
        <w:rPr>
          <w:i/>
        </w:rPr>
        <w:t>Id</w:t>
      </w:r>
      <w:r w:rsidR="00A073D9">
        <w:t>.</w:t>
      </w:r>
    </w:p>
  </w:footnote>
  <w:footnote w:id="16">
    <w:p w14:paraId="19B640FA" w14:textId="77777777" w:rsidR="00B945FF" w:rsidRDefault="00B945FF">
      <w:pPr>
        <w:pStyle w:val="FootnoteText"/>
      </w:pPr>
      <w:r>
        <w:rPr>
          <w:rStyle w:val="FootnoteReference"/>
          <w:sz w:val="20"/>
        </w:rPr>
        <w:footnoteRef/>
      </w:r>
      <w:r>
        <w:t xml:space="preserve"> 47 C.F.R. § 1.925(b)(3)(i)-(ii).  On waiver standards generally, </w:t>
      </w:r>
      <w:r>
        <w:rPr>
          <w:i/>
        </w:rPr>
        <w:t>see</w:t>
      </w:r>
      <w:r>
        <w:t xml:space="preserve"> </w:t>
      </w:r>
      <w:r>
        <w:rPr>
          <w:i/>
        </w:rPr>
        <w:t>Northeast Cellular Telephone Co. v. FCC.</w:t>
      </w:r>
      <w:r>
        <w:t xml:space="preserve">, 897 F.2d 1164, 1166 (D.C. Cir. 1990) (“[A] waiver is appropriate only if special circumstances warrant a deviation from the general rule and such deviation will serve the public interest.”) </w:t>
      </w:r>
      <w:r>
        <w:rPr>
          <w:i/>
        </w:rPr>
        <w:t>citing WAIT Radio v. FCC.</w:t>
      </w:r>
      <w:r>
        <w:t xml:space="preserve">, 418 F.2d 1153, 1157-59 (D.C. Cir. 1969). </w:t>
      </w:r>
    </w:p>
  </w:footnote>
  <w:footnote w:id="17">
    <w:p w14:paraId="7FE7850B" w14:textId="34C96698" w:rsidR="00B945FF" w:rsidRDefault="00B945FF">
      <w:pPr>
        <w:widowControl/>
        <w:autoSpaceDE w:val="0"/>
        <w:autoSpaceDN w:val="0"/>
        <w:adjustRightInd w:val="0"/>
        <w:spacing w:after="120"/>
        <w:rPr>
          <w:snapToGrid/>
          <w:kern w:val="0"/>
          <w:sz w:val="20"/>
        </w:rPr>
      </w:pPr>
      <w:r>
        <w:rPr>
          <w:rStyle w:val="FootnoteReference"/>
          <w:sz w:val="20"/>
        </w:rPr>
        <w:footnoteRef/>
      </w:r>
      <w:r>
        <w:rPr>
          <w:sz w:val="20"/>
        </w:rPr>
        <w:t xml:space="preserve"> </w:t>
      </w:r>
      <w:hyperlink r:id="rId1" w:history="1">
        <w:r>
          <w:rPr>
            <w:sz w:val="20"/>
            <w:bdr w:val="none" w:sz="0" w:space="0" w:color="auto" w:frame="1"/>
          </w:rPr>
          <w:t>Implementing Recommendations of the 9/11 Commission Act of 2007 (Pub. L. No. 110-53)</w:t>
        </w:r>
      </w:hyperlink>
      <w:r>
        <w:rPr>
          <w:sz w:val="20"/>
        </w:rPr>
        <w:t xml:space="preserve">, 121 Stat. 300.  </w:t>
      </w:r>
    </w:p>
  </w:footnote>
  <w:footnote w:id="18">
    <w:p w14:paraId="6FE7E91C" w14:textId="77777777" w:rsidR="00B945FF" w:rsidRDefault="00B945FF">
      <w:pPr>
        <w:pStyle w:val="FootnoteText"/>
      </w:pPr>
      <w:r>
        <w:rPr>
          <w:rStyle w:val="FootnoteReference"/>
        </w:rPr>
        <w:footnoteRef/>
      </w:r>
      <w:r>
        <w:t xml:space="preserve"> </w:t>
      </w:r>
      <w:r>
        <w:rPr>
          <w:i/>
        </w:rPr>
        <w:t>Id</w:t>
      </w:r>
      <w:r>
        <w:t>. § 1810(c).</w:t>
      </w:r>
    </w:p>
  </w:footnote>
  <w:footnote w:id="19">
    <w:p w14:paraId="2EE6C997" w14:textId="5799EEE4" w:rsidR="00ED0D1A" w:rsidRDefault="00ED0D1A">
      <w:pPr>
        <w:pStyle w:val="FootnoteText"/>
      </w:pPr>
      <w:r>
        <w:rPr>
          <w:rStyle w:val="FootnoteReference"/>
        </w:rPr>
        <w:footnoteRef/>
      </w:r>
      <w:r>
        <w:t xml:space="preserve"> </w:t>
      </w:r>
      <w:r w:rsidR="002C46BE">
        <w:t xml:space="preserve"> </w:t>
      </w:r>
      <w:r w:rsidR="00C9664F">
        <w:rPr>
          <w:i/>
        </w:rPr>
        <w:t>Id</w:t>
      </w:r>
      <w:r w:rsidR="00C9664F">
        <w:t>. § 1810(f).</w:t>
      </w:r>
    </w:p>
  </w:footnote>
  <w:footnote w:id="20">
    <w:p w14:paraId="66D0676A" w14:textId="763F0E74" w:rsidR="00450A0E" w:rsidRPr="002C46BE" w:rsidRDefault="00450A0E">
      <w:pPr>
        <w:pStyle w:val="FootnoteText"/>
      </w:pPr>
      <w:r>
        <w:rPr>
          <w:rStyle w:val="FootnoteReference"/>
        </w:rPr>
        <w:footnoteRef/>
      </w:r>
      <w:r>
        <w:t xml:space="preserve"> </w:t>
      </w:r>
      <w:r w:rsidR="002C46BE">
        <w:t xml:space="preserve"> </w:t>
      </w:r>
      <w:r w:rsidR="002C46BE">
        <w:rPr>
          <w:i/>
        </w:rPr>
        <w:t>See</w:t>
      </w:r>
      <w:r w:rsidR="002C46BE">
        <w:t xml:space="preserve"> </w:t>
      </w:r>
      <w:r w:rsidR="002C46BE" w:rsidRPr="00BB6495">
        <w:rPr>
          <w:i/>
        </w:rPr>
        <w:t>State of Montana</w:t>
      </w:r>
      <w:r w:rsidR="002C46BE">
        <w:t xml:space="preserve">, </w:t>
      </w:r>
      <w:r w:rsidR="002C46BE" w:rsidRPr="00BB6495">
        <w:t>Order</w:t>
      </w:r>
      <w:r w:rsidR="002C46BE" w:rsidRPr="00C9664F">
        <w:t>,</w:t>
      </w:r>
      <w:r w:rsidR="002C46BE">
        <w:t xml:space="preserve"> </w:t>
      </w:r>
      <w:r w:rsidR="001476B4" w:rsidRPr="001476B4">
        <w:t>27 FCC Rcd 15249</w:t>
      </w:r>
      <w:r w:rsidR="001476B4">
        <w:t>, 15250, para. 9</w:t>
      </w:r>
      <w:r w:rsidR="002C46BE">
        <w:t xml:space="preserve"> </w:t>
      </w:r>
      <w:r w:rsidR="001476B4">
        <w:t xml:space="preserve">(PSHSB 2012) </w:t>
      </w:r>
      <w:r w:rsidR="002C46BE">
        <w:t>(granting the State of Montana a waiver to use a frequency designated for police communications to be used to coordinated cross-border incidents with Canada</w:t>
      </w:r>
      <w:r w:rsidR="001476B4">
        <w:t>)</w:t>
      </w:r>
      <w:r w:rsidR="002C46BE">
        <w:t xml:space="preserve">.  </w:t>
      </w:r>
      <w:r w:rsidR="002C46BE">
        <w:rPr>
          <w:i/>
        </w:rPr>
        <w:t>See also</w:t>
      </w:r>
      <w:r w:rsidR="002C46BE">
        <w:t>, NPSTC comments at 5, (stating "a grant of North Dakota’s waiver request will help spur additional actions that will extend similar benefits to a greater portion of the U.S.-Canada border.")</w:t>
      </w:r>
    </w:p>
  </w:footnote>
  <w:footnote w:id="21">
    <w:p w14:paraId="641C4B3C" w14:textId="77777777" w:rsidR="00B945FF" w:rsidRDefault="00B945FF">
      <w:pPr>
        <w:spacing w:after="120"/>
        <w:rPr>
          <w:sz w:val="20"/>
        </w:rPr>
      </w:pPr>
      <w:r>
        <w:rPr>
          <w:rStyle w:val="FootnoteReference"/>
          <w:sz w:val="20"/>
        </w:rPr>
        <w:footnoteRef/>
      </w:r>
      <w:r>
        <w:rPr>
          <w:i/>
          <w:sz w:val="20"/>
        </w:rPr>
        <w:t xml:space="preserve"> See</w:t>
      </w:r>
      <w:r>
        <w:rPr>
          <w:sz w:val="20"/>
        </w:rPr>
        <w:t xml:space="preserve"> </w:t>
      </w:r>
      <w:r w:rsidRPr="002260A3">
        <w:rPr>
          <w:i/>
          <w:sz w:val="20"/>
        </w:rPr>
        <w:t>State of Washington</w:t>
      </w:r>
      <w:r>
        <w:rPr>
          <w:sz w:val="20"/>
        </w:rPr>
        <w:t xml:space="preserve">, </w:t>
      </w:r>
      <w:r w:rsidRPr="002260A3">
        <w:rPr>
          <w:sz w:val="20"/>
        </w:rPr>
        <w:t>Order</w:t>
      </w:r>
      <w:r>
        <w:rPr>
          <w:sz w:val="20"/>
        </w:rPr>
        <w:t>, 22 FCC Rcd 10121 (PSHSB 2007) (granting the State of Washington a waiver to use a frequency designated for paging operations to be used to coordinate cross-border incidents with Canada).</w:t>
      </w:r>
    </w:p>
  </w:footnote>
  <w:footnote w:id="22">
    <w:p w14:paraId="2C7F350F" w14:textId="77777777" w:rsidR="00703811" w:rsidRDefault="00703811">
      <w:pPr>
        <w:pStyle w:val="FootnoteText"/>
      </w:pPr>
      <w:r>
        <w:rPr>
          <w:rStyle w:val="FootnoteReference"/>
        </w:rPr>
        <w:footnoteRef/>
      </w:r>
      <w:r>
        <w:t xml:space="preserve"> </w:t>
      </w:r>
      <w:r w:rsidR="008754F5" w:rsidRPr="008754F5">
        <w:t>"Line A" defines the coordination zone in the U.S. along the border between Canada and the lower 48 states of the U.S.</w:t>
      </w:r>
      <w:r w:rsidR="008754F5">
        <w:t xml:space="preserve"> for licensees operating on frequencies below 470 MHz.  </w:t>
      </w:r>
      <w:r w:rsidR="008754F5">
        <w:rPr>
          <w:i/>
        </w:rPr>
        <w:t xml:space="preserve">See </w:t>
      </w:r>
      <w:r w:rsidR="008754F5">
        <w:t>47 CFR § 1.928(e).</w:t>
      </w:r>
    </w:p>
  </w:footnote>
  <w:footnote w:id="23">
    <w:p w14:paraId="27234862" w14:textId="77777777" w:rsidR="008754F5" w:rsidRDefault="008754F5">
      <w:pPr>
        <w:pStyle w:val="FootnoteText"/>
      </w:pPr>
      <w:r>
        <w:rPr>
          <w:rStyle w:val="FootnoteReference"/>
        </w:rPr>
        <w:footnoteRef/>
      </w:r>
      <w:r>
        <w:t xml:space="preserve"> 47 CFR § 1.928(a).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61BB" w14:textId="77777777" w:rsidR="00186587" w:rsidRDefault="00186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FBEA" w14:textId="0B4CDA52" w:rsidR="00B945FF" w:rsidRDefault="00B945FF">
    <w:pPr>
      <w:pStyle w:val="Header"/>
      <w:pBdr>
        <w:bottom w:val="single" w:sz="12" w:space="1" w:color="auto"/>
      </w:pBdr>
      <w:rPr>
        <w:b w:val="0"/>
      </w:rPr>
    </w:pPr>
    <w:r>
      <w:tab/>
      <w:t>Federal Communications Commission</w:t>
    </w:r>
    <w:r>
      <w:tab/>
      <w:t xml:space="preserve">DA </w:t>
    </w:r>
    <w:r w:rsidR="00EB159F" w:rsidRPr="00EB159F">
      <w:t>17-230</w:t>
    </w:r>
  </w:p>
  <w:p w14:paraId="06DE04CC" w14:textId="315DD6BA" w:rsidR="00B945FF" w:rsidRDefault="00BB649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5C59076F" wp14:editId="726BEC86">
              <wp:simplePos x="0" y="0"/>
              <wp:positionH relativeFrom="margin">
                <wp:posOffset>0</wp:posOffset>
              </wp:positionH>
              <wp:positionV relativeFrom="paragraph">
                <wp:posOffset>0</wp:posOffset>
              </wp:positionV>
              <wp:extent cx="5943600" cy="12065"/>
              <wp:effectExtent l="0" t="0" r="127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5B8371C" w14:textId="77777777" w:rsidR="00B945FF" w:rsidRDefault="00B94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9076F"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14:paraId="05B8371C" w14:textId="77777777" w:rsidR="00B945FF" w:rsidRDefault="00B945FF"/>
                </w:txbxContent>
              </v:textbox>
              <w10:wrap anchorx="margin"/>
            </v:rect>
          </w:pict>
        </mc:Fallback>
      </mc:AlternateContent>
    </w:r>
  </w:p>
  <w:p w14:paraId="0E6AAFD9" w14:textId="77777777" w:rsidR="00B945FF" w:rsidRDefault="00B945F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9890" w14:textId="4F8E34CB" w:rsidR="00B945FF" w:rsidRDefault="00B945FF">
    <w:pPr>
      <w:pStyle w:val="Header"/>
      <w:pBdr>
        <w:bottom w:val="single" w:sz="12" w:space="1" w:color="auto"/>
      </w:pBdr>
      <w:rPr>
        <w:b w:val="0"/>
      </w:rPr>
    </w:pPr>
    <w:r>
      <w:tab/>
      <w:t>Federal Communications Commission</w:t>
    </w:r>
    <w:r>
      <w:tab/>
    </w:r>
    <w:r>
      <w:rPr>
        <w:spacing w:val="-2"/>
      </w:rPr>
      <w:t xml:space="preserve">DA </w:t>
    </w:r>
    <w:r w:rsidR="00EB159F" w:rsidRPr="00EB159F">
      <w:rPr>
        <w:szCs w:val="22"/>
      </w:rPr>
      <w:t>17-230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5C67EE"/>
    <w:lvl w:ilvl="0">
      <w:start w:val="1"/>
      <w:numFmt w:val="decimal"/>
      <w:lvlText w:val="%1."/>
      <w:lvlJc w:val="left"/>
      <w:pPr>
        <w:tabs>
          <w:tab w:val="num" w:pos="1800"/>
        </w:tabs>
        <w:ind w:left="1800" w:hanging="360"/>
      </w:pPr>
    </w:lvl>
  </w:abstractNum>
  <w:abstractNum w:abstractNumId="1">
    <w:nsid w:val="FFFFFF7D"/>
    <w:multiLevelType w:val="singleLevel"/>
    <w:tmpl w:val="27E60452"/>
    <w:lvl w:ilvl="0">
      <w:start w:val="1"/>
      <w:numFmt w:val="decimal"/>
      <w:lvlText w:val="%1."/>
      <w:lvlJc w:val="left"/>
      <w:pPr>
        <w:tabs>
          <w:tab w:val="num" w:pos="1440"/>
        </w:tabs>
        <w:ind w:left="1440" w:hanging="360"/>
      </w:pPr>
    </w:lvl>
  </w:abstractNum>
  <w:abstractNum w:abstractNumId="2">
    <w:nsid w:val="FFFFFF7E"/>
    <w:multiLevelType w:val="singleLevel"/>
    <w:tmpl w:val="2A26443E"/>
    <w:lvl w:ilvl="0">
      <w:start w:val="1"/>
      <w:numFmt w:val="decimal"/>
      <w:lvlText w:val="%1."/>
      <w:lvlJc w:val="left"/>
      <w:pPr>
        <w:tabs>
          <w:tab w:val="num" w:pos="1080"/>
        </w:tabs>
        <w:ind w:left="1080" w:hanging="360"/>
      </w:pPr>
    </w:lvl>
  </w:abstractNum>
  <w:abstractNum w:abstractNumId="3">
    <w:nsid w:val="FFFFFF7F"/>
    <w:multiLevelType w:val="singleLevel"/>
    <w:tmpl w:val="BF7C9184"/>
    <w:lvl w:ilvl="0">
      <w:start w:val="1"/>
      <w:numFmt w:val="decimal"/>
      <w:lvlText w:val="%1."/>
      <w:lvlJc w:val="left"/>
      <w:pPr>
        <w:tabs>
          <w:tab w:val="num" w:pos="720"/>
        </w:tabs>
        <w:ind w:left="720" w:hanging="360"/>
      </w:pPr>
    </w:lvl>
  </w:abstractNum>
  <w:abstractNum w:abstractNumId="4">
    <w:nsid w:val="FFFFFF80"/>
    <w:multiLevelType w:val="singleLevel"/>
    <w:tmpl w:val="B6F8DE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FC24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2E28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A65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E2AAB6"/>
    <w:lvl w:ilvl="0">
      <w:start w:val="1"/>
      <w:numFmt w:val="decimal"/>
      <w:lvlText w:val="%1."/>
      <w:lvlJc w:val="left"/>
      <w:pPr>
        <w:tabs>
          <w:tab w:val="num" w:pos="360"/>
        </w:tabs>
        <w:ind w:left="360" w:hanging="360"/>
      </w:pPr>
    </w:lvl>
  </w:abstractNum>
  <w:abstractNum w:abstractNumId="9">
    <w:nsid w:val="FFFFFF89"/>
    <w:multiLevelType w:val="singleLevel"/>
    <w:tmpl w:val="55CCFD72"/>
    <w:lvl w:ilvl="0">
      <w:start w:val="1"/>
      <w:numFmt w:val="bullet"/>
      <w:lvlText w:val=""/>
      <w:lvlJc w:val="left"/>
      <w:pPr>
        <w:tabs>
          <w:tab w:val="num" w:pos="360"/>
        </w:tabs>
        <w:ind w:left="360" w:hanging="360"/>
      </w:pPr>
      <w:rPr>
        <w:rFonts w:ascii="Symbol" w:hAnsi="Symbol" w:hint="default"/>
      </w:rPr>
    </w:lvl>
  </w:abstractNum>
  <w:abstractNum w:abstractNumId="10">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766165"/>
    <w:multiLevelType w:val="hybridMultilevel"/>
    <w:tmpl w:val="764EF95C"/>
    <w:lvl w:ilvl="0" w:tplc="9AC04106">
      <w:start w:val="1"/>
      <w:numFmt w:val="upperLetter"/>
      <w:lvlText w:val="%1."/>
      <w:lvlJc w:val="left"/>
      <w:pPr>
        <w:tabs>
          <w:tab w:val="num" w:pos="720"/>
        </w:tabs>
        <w:ind w:left="720" w:hanging="360"/>
      </w:pPr>
      <w:rPr>
        <w:rFonts w:cs="Times New Roman"/>
      </w:rPr>
    </w:lvl>
    <w:lvl w:ilvl="1" w:tplc="00C4C028">
      <w:start w:val="1"/>
      <w:numFmt w:val="bullet"/>
      <w:lvlText w:val=""/>
      <w:lvlJc w:val="left"/>
      <w:pPr>
        <w:tabs>
          <w:tab w:val="num" w:pos="1440"/>
        </w:tabs>
        <w:ind w:left="1440" w:hanging="360"/>
      </w:pPr>
      <w:rPr>
        <w:rFonts w:ascii="Symbol" w:hAnsi="Symbol" w:hint="default"/>
      </w:rPr>
    </w:lvl>
    <w:lvl w:ilvl="2" w:tplc="3AF4348A" w:tentative="1">
      <w:start w:val="1"/>
      <w:numFmt w:val="lowerRoman"/>
      <w:lvlText w:val="%3."/>
      <w:lvlJc w:val="right"/>
      <w:pPr>
        <w:tabs>
          <w:tab w:val="num" w:pos="2160"/>
        </w:tabs>
        <w:ind w:left="2160" w:hanging="180"/>
      </w:pPr>
      <w:rPr>
        <w:rFonts w:cs="Times New Roman"/>
      </w:rPr>
    </w:lvl>
    <w:lvl w:ilvl="3" w:tplc="053C41F0" w:tentative="1">
      <w:start w:val="1"/>
      <w:numFmt w:val="decimal"/>
      <w:lvlText w:val="%4."/>
      <w:lvlJc w:val="left"/>
      <w:pPr>
        <w:tabs>
          <w:tab w:val="num" w:pos="2880"/>
        </w:tabs>
        <w:ind w:left="2880" w:hanging="360"/>
      </w:pPr>
      <w:rPr>
        <w:rFonts w:cs="Times New Roman"/>
      </w:rPr>
    </w:lvl>
    <w:lvl w:ilvl="4" w:tplc="E0C80DC2" w:tentative="1">
      <w:start w:val="1"/>
      <w:numFmt w:val="lowerLetter"/>
      <w:lvlText w:val="%5."/>
      <w:lvlJc w:val="left"/>
      <w:pPr>
        <w:tabs>
          <w:tab w:val="num" w:pos="3600"/>
        </w:tabs>
        <w:ind w:left="3600" w:hanging="360"/>
      </w:pPr>
      <w:rPr>
        <w:rFonts w:cs="Times New Roman"/>
      </w:rPr>
    </w:lvl>
    <w:lvl w:ilvl="5" w:tplc="07BC2C4E" w:tentative="1">
      <w:start w:val="1"/>
      <w:numFmt w:val="lowerRoman"/>
      <w:lvlText w:val="%6."/>
      <w:lvlJc w:val="right"/>
      <w:pPr>
        <w:tabs>
          <w:tab w:val="num" w:pos="4320"/>
        </w:tabs>
        <w:ind w:left="4320" w:hanging="180"/>
      </w:pPr>
      <w:rPr>
        <w:rFonts w:cs="Times New Roman"/>
      </w:rPr>
    </w:lvl>
    <w:lvl w:ilvl="6" w:tplc="37DA0A7C" w:tentative="1">
      <w:start w:val="1"/>
      <w:numFmt w:val="decimal"/>
      <w:lvlText w:val="%7."/>
      <w:lvlJc w:val="left"/>
      <w:pPr>
        <w:tabs>
          <w:tab w:val="num" w:pos="5040"/>
        </w:tabs>
        <w:ind w:left="5040" w:hanging="360"/>
      </w:pPr>
      <w:rPr>
        <w:rFonts w:cs="Times New Roman"/>
      </w:rPr>
    </w:lvl>
    <w:lvl w:ilvl="7" w:tplc="BB2AC876" w:tentative="1">
      <w:start w:val="1"/>
      <w:numFmt w:val="lowerLetter"/>
      <w:lvlText w:val="%8."/>
      <w:lvlJc w:val="left"/>
      <w:pPr>
        <w:tabs>
          <w:tab w:val="num" w:pos="5760"/>
        </w:tabs>
        <w:ind w:left="5760" w:hanging="360"/>
      </w:pPr>
      <w:rPr>
        <w:rFonts w:cs="Times New Roman"/>
      </w:rPr>
    </w:lvl>
    <w:lvl w:ilvl="8" w:tplc="F3E4114A" w:tentative="1">
      <w:start w:val="1"/>
      <w:numFmt w:val="lowerRoman"/>
      <w:lvlText w:val="%9."/>
      <w:lvlJc w:val="right"/>
      <w:pPr>
        <w:tabs>
          <w:tab w:val="num" w:pos="6480"/>
        </w:tabs>
        <w:ind w:left="6480" w:hanging="180"/>
      </w:pPr>
      <w:rPr>
        <w:rFonts w:cs="Times New Roman"/>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1182925"/>
    <w:multiLevelType w:val="singleLevel"/>
    <w:tmpl w:val="03624588"/>
    <w:lvl w:ilvl="0">
      <w:start w:val="1"/>
      <w:numFmt w:val="decimal"/>
      <w:pStyle w:val="ParaNum"/>
      <w:lvlText w:val="%1."/>
      <w:lvlJc w:val="left"/>
      <w:pPr>
        <w:tabs>
          <w:tab w:val="num" w:pos="1080"/>
        </w:tabs>
        <w:ind w:left="0" w:firstLine="720"/>
      </w:pPr>
    </w:lvl>
  </w:abstractNum>
  <w:abstractNum w:abstractNumId="18">
    <w:nsid w:val="64D214AC"/>
    <w:multiLevelType w:val="hybridMultilevel"/>
    <w:tmpl w:val="0DB08A90"/>
    <w:lvl w:ilvl="0" w:tplc="7AACBE9C">
      <w:start w:val="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14"/>
  </w:num>
  <w:num w:numId="4">
    <w:abstractNumId w:val="16"/>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17"/>
  </w:num>
  <w:num w:numId="20">
    <w:abstractNumId w:val="18"/>
  </w:num>
  <w:num w:numId="21">
    <w:abstractNumId w:val="17"/>
  </w:num>
  <w:num w:numId="22">
    <w:abstractNumId w:val="17"/>
    <w:lvlOverride w:ilvl="0">
      <w:startOverride w:val="1"/>
    </w:lvlOverride>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C"/>
    <w:rsid w:val="000419E6"/>
    <w:rsid w:val="00101E86"/>
    <w:rsid w:val="00110CD3"/>
    <w:rsid w:val="001476B4"/>
    <w:rsid w:val="00186587"/>
    <w:rsid w:val="001D2225"/>
    <w:rsid w:val="002260A3"/>
    <w:rsid w:val="00247A7F"/>
    <w:rsid w:val="00290246"/>
    <w:rsid w:val="002C46BE"/>
    <w:rsid w:val="00327AF9"/>
    <w:rsid w:val="00391077"/>
    <w:rsid w:val="003B63FD"/>
    <w:rsid w:val="003E3CCA"/>
    <w:rsid w:val="00450A0E"/>
    <w:rsid w:val="004732E4"/>
    <w:rsid w:val="00476B26"/>
    <w:rsid w:val="004B71E6"/>
    <w:rsid w:val="004D7B9D"/>
    <w:rsid w:val="00554F76"/>
    <w:rsid w:val="00555868"/>
    <w:rsid w:val="005855CC"/>
    <w:rsid w:val="005B79EF"/>
    <w:rsid w:val="005C7789"/>
    <w:rsid w:val="005D3F1F"/>
    <w:rsid w:val="005F0A22"/>
    <w:rsid w:val="005F13F2"/>
    <w:rsid w:val="0061052A"/>
    <w:rsid w:val="0063496F"/>
    <w:rsid w:val="0064039B"/>
    <w:rsid w:val="006645E1"/>
    <w:rsid w:val="006814C0"/>
    <w:rsid w:val="006E1695"/>
    <w:rsid w:val="006E2167"/>
    <w:rsid w:val="006E6936"/>
    <w:rsid w:val="00703811"/>
    <w:rsid w:val="00765578"/>
    <w:rsid w:val="00784158"/>
    <w:rsid w:val="007D7409"/>
    <w:rsid w:val="007E1E56"/>
    <w:rsid w:val="007F4E38"/>
    <w:rsid w:val="008174BB"/>
    <w:rsid w:val="008257AD"/>
    <w:rsid w:val="00835B49"/>
    <w:rsid w:val="008672F0"/>
    <w:rsid w:val="008754F5"/>
    <w:rsid w:val="00876D5E"/>
    <w:rsid w:val="00896216"/>
    <w:rsid w:val="008C693B"/>
    <w:rsid w:val="008D15D9"/>
    <w:rsid w:val="008D282C"/>
    <w:rsid w:val="00934E04"/>
    <w:rsid w:val="00943FF9"/>
    <w:rsid w:val="009D2309"/>
    <w:rsid w:val="009E6BF7"/>
    <w:rsid w:val="00A073D9"/>
    <w:rsid w:val="00A72E18"/>
    <w:rsid w:val="00A75BF4"/>
    <w:rsid w:val="00A96BC6"/>
    <w:rsid w:val="00A97B1A"/>
    <w:rsid w:val="00AA0C5B"/>
    <w:rsid w:val="00AB3189"/>
    <w:rsid w:val="00AF2721"/>
    <w:rsid w:val="00AF72B8"/>
    <w:rsid w:val="00B01EC0"/>
    <w:rsid w:val="00B0364A"/>
    <w:rsid w:val="00B22C10"/>
    <w:rsid w:val="00B342DE"/>
    <w:rsid w:val="00B6576C"/>
    <w:rsid w:val="00B73A8A"/>
    <w:rsid w:val="00B85A8B"/>
    <w:rsid w:val="00B945FF"/>
    <w:rsid w:val="00BA600B"/>
    <w:rsid w:val="00BB6495"/>
    <w:rsid w:val="00C2764A"/>
    <w:rsid w:val="00C33F77"/>
    <w:rsid w:val="00C645B6"/>
    <w:rsid w:val="00C7158A"/>
    <w:rsid w:val="00C933A4"/>
    <w:rsid w:val="00C9664F"/>
    <w:rsid w:val="00D0026A"/>
    <w:rsid w:val="00D129F5"/>
    <w:rsid w:val="00D3286E"/>
    <w:rsid w:val="00D41C8B"/>
    <w:rsid w:val="00DC0806"/>
    <w:rsid w:val="00DE6C94"/>
    <w:rsid w:val="00E222F3"/>
    <w:rsid w:val="00E3357D"/>
    <w:rsid w:val="00EA7CD0"/>
    <w:rsid w:val="00EB159F"/>
    <w:rsid w:val="00ED0A44"/>
    <w:rsid w:val="00ED0D1A"/>
    <w:rsid w:val="00F96CFD"/>
    <w:rsid w:val="00F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2FB5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A"/>
    <w:pPr>
      <w:widowControl w:val="0"/>
    </w:pPr>
    <w:rPr>
      <w:snapToGrid w:val="0"/>
      <w:kern w:val="28"/>
      <w:sz w:val="22"/>
    </w:rPr>
  </w:style>
  <w:style w:type="paragraph" w:styleId="Heading1">
    <w:name w:val="heading 1"/>
    <w:basedOn w:val="Normal"/>
    <w:next w:val="ParaNum"/>
    <w:qFormat/>
    <w:rsid w:val="00A97B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7B1A"/>
    <w:pPr>
      <w:keepNext/>
      <w:numPr>
        <w:ilvl w:val="1"/>
        <w:numId w:val="3"/>
      </w:numPr>
      <w:spacing w:after="120"/>
      <w:outlineLvl w:val="1"/>
    </w:pPr>
    <w:rPr>
      <w:b/>
    </w:rPr>
  </w:style>
  <w:style w:type="paragraph" w:styleId="Heading3">
    <w:name w:val="heading 3"/>
    <w:basedOn w:val="Normal"/>
    <w:next w:val="ParaNum"/>
    <w:qFormat/>
    <w:rsid w:val="00A97B1A"/>
    <w:pPr>
      <w:keepNext/>
      <w:numPr>
        <w:ilvl w:val="2"/>
        <w:numId w:val="3"/>
      </w:numPr>
      <w:tabs>
        <w:tab w:val="left" w:pos="2160"/>
      </w:tabs>
      <w:spacing w:after="120"/>
      <w:outlineLvl w:val="2"/>
    </w:pPr>
    <w:rPr>
      <w:b/>
    </w:rPr>
  </w:style>
  <w:style w:type="paragraph" w:styleId="Heading4">
    <w:name w:val="heading 4"/>
    <w:basedOn w:val="Normal"/>
    <w:next w:val="ParaNum"/>
    <w:qFormat/>
    <w:rsid w:val="00A97B1A"/>
    <w:pPr>
      <w:keepNext/>
      <w:numPr>
        <w:ilvl w:val="3"/>
        <w:numId w:val="3"/>
      </w:numPr>
      <w:tabs>
        <w:tab w:val="left" w:pos="2880"/>
      </w:tabs>
      <w:spacing w:after="120"/>
      <w:outlineLvl w:val="3"/>
    </w:pPr>
    <w:rPr>
      <w:b/>
    </w:rPr>
  </w:style>
  <w:style w:type="paragraph" w:styleId="Heading5">
    <w:name w:val="heading 5"/>
    <w:basedOn w:val="Normal"/>
    <w:next w:val="ParaNum"/>
    <w:qFormat/>
    <w:rsid w:val="00A97B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7B1A"/>
    <w:pPr>
      <w:numPr>
        <w:ilvl w:val="5"/>
        <w:numId w:val="3"/>
      </w:numPr>
      <w:tabs>
        <w:tab w:val="left" w:pos="4320"/>
      </w:tabs>
      <w:spacing w:after="120"/>
      <w:outlineLvl w:val="5"/>
    </w:pPr>
    <w:rPr>
      <w:b/>
    </w:rPr>
  </w:style>
  <w:style w:type="paragraph" w:styleId="Heading7">
    <w:name w:val="heading 7"/>
    <w:basedOn w:val="Normal"/>
    <w:next w:val="ParaNum"/>
    <w:qFormat/>
    <w:rsid w:val="00A97B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7B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7B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97B1A"/>
    <w:pPr>
      <w:numPr>
        <w:numId w:val="21"/>
      </w:numPr>
      <w:spacing w:after="120"/>
    </w:pPr>
  </w:style>
  <w:style w:type="paragraph" w:styleId="EndnoteText">
    <w:name w:val="endnote text"/>
    <w:basedOn w:val="Normal"/>
    <w:semiHidden/>
    <w:rsid w:val="00A97B1A"/>
    <w:rPr>
      <w:sz w:val="20"/>
    </w:rPr>
  </w:style>
  <w:style w:type="character" w:styleId="EndnoteReference">
    <w:name w:val="endnote reference"/>
    <w:semiHidden/>
    <w:rsid w:val="00A97B1A"/>
    <w:rPr>
      <w:vertAlign w:val="superscript"/>
    </w:r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
    <w:link w:val="FootnoteTextChar2"/>
    <w:rsid w:val="00A97B1A"/>
    <w:pPr>
      <w:spacing w:after="120"/>
    </w:pPr>
  </w:style>
  <w:style w:type="character" w:styleId="FootnoteReference">
    <w:name w:val="footnote reference"/>
    <w:aliases w:val="Appel note de bas de p,Style 12,(NECG) Footnote Reference,Style 124,Style 13,o,fr,Style 3,FR,Style 17,Footnote Reference/,Style 6,Style 4,Style 7,Footnote Reference1"/>
    <w:rsid w:val="00A97B1A"/>
    <w:rPr>
      <w:rFonts w:ascii="Times New Roman" w:hAnsi="Times New Roman"/>
      <w:dstrike w:val="0"/>
      <w:color w:val="auto"/>
      <w:sz w:val="22"/>
      <w:vertAlign w:val="superscript"/>
    </w:rPr>
  </w:style>
  <w:style w:type="paragraph" w:styleId="TOC1">
    <w:name w:val="toc 1"/>
    <w:basedOn w:val="Normal"/>
    <w:next w:val="Normal"/>
    <w:semiHidden/>
    <w:rsid w:val="00A97B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7B1A"/>
    <w:pPr>
      <w:tabs>
        <w:tab w:val="left" w:pos="720"/>
        <w:tab w:val="right" w:leader="dot" w:pos="9360"/>
      </w:tabs>
      <w:suppressAutoHyphens/>
      <w:ind w:left="720" w:right="720" w:hanging="360"/>
    </w:pPr>
    <w:rPr>
      <w:noProof/>
    </w:rPr>
  </w:style>
  <w:style w:type="paragraph" w:styleId="TOC3">
    <w:name w:val="toc 3"/>
    <w:basedOn w:val="Normal"/>
    <w:next w:val="Normal"/>
    <w:semiHidden/>
    <w:rsid w:val="00A97B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7B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7B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7B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7B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7B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7B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7B1A"/>
    <w:pPr>
      <w:tabs>
        <w:tab w:val="right" w:pos="9360"/>
      </w:tabs>
      <w:suppressAutoHyphens/>
    </w:pPr>
  </w:style>
  <w:style w:type="character" w:customStyle="1" w:styleId="EquationCaption">
    <w:name w:val="_Equation Caption"/>
    <w:rsid w:val="00A97B1A"/>
  </w:style>
  <w:style w:type="paragraph" w:styleId="Header">
    <w:name w:val="header"/>
    <w:basedOn w:val="Normal"/>
    <w:autoRedefine/>
    <w:rsid w:val="00A97B1A"/>
    <w:pPr>
      <w:tabs>
        <w:tab w:val="center" w:pos="4680"/>
        <w:tab w:val="right" w:pos="9360"/>
      </w:tabs>
    </w:pPr>
    <w:rPr>
      <w:b/>
    </w:rPr>
  </w:style>
  <w:style w:type="paragraph" w:styleId="Footer">
    <w:name w:val="footer"/>
    <w:basedOn w:val="Normal"/>
    <w:rsid w:val="00A97B1A"/>
    <w:pPr>
      <w:tabs>
        <w:tab w:val="center" w:pos="4320"/>
        <w:tab w:val="right" w:pos="8640"/>
      </w:tabs>
    </w:pPr>
  </w:style>
  <w:style w:type="character" w:styleId="PageNumber">
    <w:name w:val="page number"/>
    <w:basedOn w:val="DefaultParagraphFont"/>
    <w:rsid w:val="00A97B1A"/>
  </w:style>
  <w:style w:type="paragraph" w:styleId="BlockText">
    <w:name w:val="Block Text"/>
    <w:basedOn w:val="Normal"/>
    <w:rsid w:val="00A97B1A"/>
    <w:pPr>
      <w:spacing w:after="240"/>
      <w:ind w:left="1440" w:right="1440"/>
    </w:pPr>
  </w:style>
  <w:style w:type="paragraph" w:customStyle="1" w:styleId="Paratitle">
    <w:name w:val="Para title"/>
    <w:basedOn w:val="Normal"/>
    <w:rsid w:val="00A97B1A"/>
    <w:pPr>
      <w:tabs>
        <w:tab w:val="center" w:pos="9270"/>
      </w:tabs>
      <w:spacing w:after="240"/>
    </w:pPr>
    <w:rPr>
      <w:spacing w:val="-2"/>
    </w:rPr>
  </w:style>
  <w:style w:type="paragraph" w:customStyle="1" w:styleId="Bullet">
    <w:name w:val="Bullet"/>
    <w:basedOn w:val="Normal"/>
    <w:rsid w:val="00A97B1A"/>
    <w:pPr>
      <w:numPr>
        <w:numId w:val="1"/>
      </w:numPr>
      <w:tabs>
        <w:tab w:val="clear" w:pos="360"/>
        <w:tab w:val="left" w:pos="2160"/>
      </w:tabs>
      <w:spacing w:after="220"/>
      <w:ind w:left="2160" w:hanging="720"/>
    </w:pPr>
  </w:style>
  <w:style w:type="paragraph" w:customStyle="1" w:styleId="TableFormat">
    <w:name w:val="TableFormat"/>
    <w:basedOn w:val="Bullet"/>
    <w:rsid w:val="00A97B1A"/>
    <w:pPr>
      <w:numPr>
        <w:numId w:val="0"/>
      </w:numPr>
      <w:tabs>
        <w:tab w:val="clear" w:pos="2160"/>
        <w:tab w:val="left" w:pos="5040"/>
      </w:tabs>
      <w:ind w:left="5040" w:hanging="3600"/>
    </w:pPr>
  </w:style>
  <w:style w:type="paragraph" w:customStyle="1" w:styleId="TOCTitle">
    <w:name w:val="TOC Title"/>
    <w:basedOn w:val="Normal"/>
    <w:rsid w:val="00A97B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7B1A"/>
    <w:pPr>
      <w:jc w:val="center"/>
    </w:pPr>
    <w:rPr>
      <w:rFonts w:ascii="Times New Roman Bold" w:hAnsi="Times New Roman Bold"/>
      <w:b/>
      <w:bCs/>
      <w:caps/>
      <w:szCs w:val="22"/>
    </w:rPr>
  </w:style>
  <w:style w:type="character" w:styleId="Hyperlink">
    <w:name w:val="Hyperlink"/>
    <w:rsid w:val="00A97B1A"/>
    <w:rPr>
      <w:color w:val="0000FF"/>
      <w:u w:val="singl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f Char"/>
    <w:link w:val="FootnoteText"/>
    <w:locked/>
    <w:rsid w:val="00A97B1A"/>
    <w:rPr>
      <w:lang w:val="en-US" w:eastAsia="en-US" w:bidi="ar-SA"/>
    </w:rPr>
  </w:style>
  <w:style w:type="character" w:customStyle="1" w:styleId="documentbody">
    <w:name w:val="documentbody"/>
    <w:rsid w:val="00A97B1A"/>
    <w:rPr>
      <w:rFonts w:cs="Times New Roman"/>
    </w:rPr>
  </w:style>
  <w:style w:type="paragraph" w:styleId="BalloonText">
    <w:name w:val="Balloon Text"/>
    <w:basedOn w:val="Normal"/>
    <w:semiHidden/>
    <w:rsid w:val="00A97B1A"/>
    <w:rPr>
      <w:rFonts w:ascii="Tahoma" w:hAnsi="Tahoma" w:cs="Tahoma"/>
      <w:sz w:val="16"/>
      <w:szCs w:val="16"/>
    </w:rPr>
  </w:style>
  <w:style w:type="character" w:customStyle="1" w:styleId="FootnoteTextCharCharChar">
    <w:name w:val="Footnote Text Char Char Char"/>
    <w:aliases w:val="Footnote Text Char2 Char1,Footnote Text Char Char1 Char,Footnote Text Char3 Char Char Char1,Footnote Text Char Char1 Char Char Char1,Footnote Text Char2 Char Char1 Char Char Char1"/>
    <w:rsid w:val="00A97B1A"/>
    <w:rPr>
      <w:sz w:val="22"/>
      <w:lang w:val="en-US" w:eastAsia="en-US" w:bidi="ar-SA"/>
    </w:rPr>
  </w:style>
  <w:style w:type="paragraph" w:customStyle="1" w:styleId="Default">
    <w:name w:val="Default"/>
    <w:rsid w:val="00A97B1A"/>
    <w:pPr>
      <w:autoSpaceDE w:val="0"/>
      <w:autoSpaceDN w:val="0"/>
      <w:adjustRightInd w:val="0"/>
    </w:pPr>
    <w:rPr>
      <w:color w:val="000000"/>
      <w:sz w:val="24"/>
      <w:szCs w:val="24"/>
    </w:rPr>
  </w:style>
  <w:style w:type="character" w:styleId="CommentReference">
    <w:name w:val="annotation reference"/>
    <w:uiPriority w:val="99"/>
    <w:rsid w:val="006E6936"/>
    <w:rPr>
      <w:sz w:val="16"/>
      <w:szCs w:val="16"/>
    </w:rPr>
  </w:style>
  <w:style w:type="paragraph" w:styleId="CommentText">
    <w:name w:val="annotation text"/>
    <w:basedOn w:val="Normal"/>
    <w:link w:val="CommentTextChar"/>
    <w:uiPriority w:val="99"/>
    <w:rsid w:val="006E6936"/>
    <w:rPr>
      <w:sz w:val="20"/>
    </w:rPr>
  </w:style>
  <w:style w:type="character" w:customStyle="1" w:styleId="CommentTextChar">
    <w:name w:val="Comment Text Char"/>
    <w:link w:val="CommentText"/>
    <w:uiPriority w:val="99"/>
    <w:rsid w:val="006E6936"/>
    <w:rPr>
      <w:snapToGrid/>
      <w:kern w:val="28"/>
    </w:rPr>
  </w:style>
  <w:style w:type="paragraph" w:styleId="CommentSubject">
    <w:name w:val="annotation subject"/>
    <w:basedOn w:val="CommentText"/>
    <w:next w:val="CommentText"/>
    <w:link w:val="CommentSubjectChar"/>
    <w:rsid w:val="006E6936"/>
    <w:rPr>
      <w:b/>
      <w:bCs/>
    </w:rPr>
  </w:style>
  <w:style w:type="character" w:customStyle="1" w:styleId="CommentSubjectChar">
    <w:name w:val="Comment Subject Char"/>
    <w:link w:val="CommentSubject"/>
    <w:rsid w:val="006E6936"/>
    <w:rPr>
      <w:b/>
      <w:bCs/>
      <w:snapToGrid/>
      <w:kern w:val="28"/>
    </w:rPr>
  </w:style>
  <w:style w:type="character" w:customStyle="1" w:styleId="FootnoteTextChar6Char">
    <w:name w:val="Footnote Text Char6 Char"/>
    <w:aliases w:val="Footnote Text Char3 Char1 Char,Footnote Text Char2 Char1 Char1 Char,Footnote Text Char3 Char1 Char Char Char,Footnote Text Char2 Char1 Char1 Char Char Char,Footnote Text Char3 Char1 Char Char Char Char Char"/>
    <w:rsid w:val="00D3286E"/>
    <w:rPr>
      <w:sz w:val="22"/>
    </w:rPr>
  </w:style>
  <w:style w:type="paragraph" w:styleId="Revision">
    <w:name w:val="Revision"/>
    <w:hidden/>
    <w:uiPriority w:val="99"/>
    <w:semiHidden/>
    <w:rsid w:val="002C46B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A"/>
    <w:pPr>
      <w:widowControl w:val="0"/>
    </w:pPr>
    <w:rPr>
      <w:snapToGrid w:val="0"/>
      <w:kern w:val="28"/>
      <w:sz w:val="22"/>
    </w:rPr>
  </w:style>
  <w:style w:type="paragraph" w:styleId="Heading1">
    <w:name w:val="heading 1"/>
    <w:basedOn w:val="Normal"/>
    <w:next w:val="ParaNum"/>
    <w:qFormat/>
    <w:rsid w:val="00A97B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7B1A"/>
    <w:pPr>
      <w:keepNext/>
      <w:numPr>
        <w:ilvl w:val="1"/>
        <w:numId w:val="3"/>
      </w:numPr>
      <w:spacing w:after="120"/>
      <w:outlineLvl w:val="1"/>
    </w:pPr>
    <w:rPr>
      <w:b/>
    </w:rPr>
  </w:style>
  <w:style w:type="paragraph" w:styleId="Heading3">
    <w:name w:val="heading 3"/>
    <w:basedOn w:val="Normal"/>
    <w:next w:val="ParaNum"/>
    <w:qFormat/>
    <w:rsid w:val="00A97B1A"/>
    <w:pPr>
      <w:keepNext/>
      <w:numPr>
        <w:ilvl w:val="2"/>
        <w:numId w:val="3"/>
      </w:numPr>
      <w:tabs>
        <w:tab w:val="left" w:pos="2160"/>
      </w:tabs>
      <w:spacing w:after="120"/>
      <w:outlineLvl w:val="2"/>
    </w:pPr>
    <w:rPr>
      <w:b/>
    </w:rPr>
  </w:style>
  <w:style w:type="paragraph" w:styleId="Heading4">
    <w:name w:val="heading 4"/>
    <w:basedOn w:val="Normal"/>
    <w:next w:val="ParaNum"/>
    <w:qFormat/>
    <w:rsid w:val="00A97B1A"/>
    <w:pPr>
      <w:keepNext/>
      <w:numPr>
        <w:ilvl w:val="3"/>
        <w:numId w:val="3"/>
      </w:numPr>
      <w:tabs>
        <w:tab w:val="left" w:pos="2880"/>
      </w:tabs>
      <w:spacing w:after="120"/>
      <w:outlineLvl w:val="3"/>
    </w:pPr>
    <w:rPr>
      <w:b/>
    </w:rPr>
  </w:style>
  <w:style w:type="paragraph" w:styleId="Heading5">
    <w:name w:val="heading 5"/>
    <w:basedOn w:val="Normal"/>
    <w:next w:val="ParaNum"/>
    <w:qFormat/>
    <w:rsid w:val="00A97B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7B1A"/>
    <w:pPr>
      <w:numPr>
        <w:ilvl w:val="5"/>
        <w:numId w:val="3"/>
      </w:numPr>
      <w:tabs>
        <w:tab w:val="left" w:pos="4320"/>
      </w:tabs>
      <w:spacing w:after="120"/>
      <w:outlineLvl w:val="5"/>
    </w:pPr>
    <w:rPr>
      <w:b/>
    </w:rPr>
  </w:style>
  <w:style w:type="paragraph" w:styleId="Heading7">
    <w:name w:val="heading 7"/>
    <w:basedOn w:val="Normal"/>
    <w:next w:val="ParaNum"/>
    <w:qFormat/>
    <w:rsid w:val="00A97B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7B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7B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97B1A"/>
    <w:pPr>
      <w:numPr>
        <w:numId w:val="21"/>
      </w:numPr>
      <w:spacing w:after="120"/>
    </w:pPr>
  </w:style>
  <w:style w:type="paragraph" w:styleId="EndnoteText">
    <w:name w:val="endnote text"/>
    <w:basedOn w:val="Normal"/>
    <w:semiHidden/>
    <w:rsid w:val="00A97B1A"/>
    <w:rPr>
      <w:sz w:val="20"/>
    </w:rPr>
  </w:style>
  <w:style w:type="character" w:styleId="EndnoteReference">
    <w:name w:val="endnote reference"/>
    <w:semiHidden/>
    <w:rsid w:val="00A97B1A"/>
    <w:rPr>
      <w:vertAlign w:val="superscript"/>
    </w:r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
    <w:link w:val="FootnoteTextChar2"/>
    <w:rsid w:val="00A97B1A"/>
    <w:pPr>
      <w:spacing w:after="120"/>
    </w:pPr>
  </w:style>
  <w:style w:type="character" w:styleId="FootnoteReference">
    <w:name w:val="footnote reference"/>
    <w:aliases w:val="Appel note de bas de p,Style 12,(NECG) Footnote Reference,Style 124,Style 13,o,fr,Style 3,FR,Style 17,Footnote Reference/,Style 6,Style 4,Style 7,Footnote Reference1"/>
    <w:rsid w:val="00A97B1A"/>
    <w:rPr>
      <w:rFonts w:ascii="Times New Roman" w:hAnsi="Times New Roman"/>
      <w:dstrike w:val="0"/>
      <w:color w:val="auto"/>
      <w:sz w:val="22"/>
      <w:vertAlign w:val="superscript"/>
    </w:rPr>
  </w:style>
  <w:style w:type="paragraph" w:styleId="TOC1">
    <w:name w:val="toc 1"/>
    <w:basedOn w:val="Normal"/>
    <w:next w:val="Normal"/>
    <w:semiHidden/>
    <w:rsid w:val="00A97B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7B1A"/>
    <w:pPr>
      <w:tabs>
        <w:tab w:val="left" w:pos="720"/>
        <w:tab w:val="right" w:leader="dot" w:pos="9360"/>
      </w:tabs>
      <w:suppressAutoHyphens/>
      <w:ind w:left="720" w:right="720" w:hanging="360"/>
    </w:pPr>
    <w:rPr>
      <w:noProof/>
    </w:rPr>
  </w:style>
  <w:style w:type="paragraph" w:styleId="TOC3">
    <w:name w:val="toc 3"/>
    <w:basedOn w:val="Normal"/>
    <w:next w:val="Normal"/>
    <w:semiHidden/>
    <w:rsid w:val="00A97B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7B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7B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7B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7B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7B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7B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7B1A"/>
    <w:pPr>
      <w:tabs>
        <w:tab w:val="right" w:pos="9360"/>
      </w:tabs>
      <w:suppressAutoHyphens/>
    </w:pPr>
  </w:style>
  <w:style w:type="character" w:customStyle="1" w:styleId="EquationCaption">
    <w:name w:val="_Equation Caption"/>
    <w:rsid w:val="00A97B1A"/>
  </w:style>
  <w:style w:type="paragraph" w:styleId="Header">
    <w:name w:val="header"/>
    <w:basedOn w:val="Normal"/>
    <w:autoRedefine/>
    <w:rsid w:val="00A97B1A"/>
    <w:pPr>
      <w:tabs>
        <w:tab w:val="center" w:pos="4680"/>
        <w:tab w:val="right" w:pos="9360"/>
      </w:tabs>
    </w:pPr>
    <w:rPr>
      <w:b/>
    </w:rPr>
  </w:style>
  <w:style w:type="paragraph" w:styleId="Footer">
    <w:name w:val="footer"/>
    <w:basedOn w:val="Normal"/>
    <w:rsid w:val="00A97B1A"/>
    <w:pPr>
      <w:tabs>
        <w:tab w:val="center" w:pos="4320"/>
        <w:tab w:val="right" w:pos="8640"/>
      </w:tabs>
    </w:pPr>
  </w:style>
  <w:style w:type="character" w:styleId="PageNumber">
    <w:name w:val="page number"/>
    <w:basedOn w:val="DefaultParagraphFont"/>
    <w:rsid w:val="00A97B1A"/>
  </w:style>
  <w:style w:type="paragraph" w:styleId="BlockText">
    <w:name w:val="Block Text"/>
    <w:basedOn w:val="Normal"/>
    <w:rsid w:val="00A97B1A"/>
    <w:pPr>
      <w:spacing w:after="240"/>
      <w:ind w:left="1440" w:right="1440"/>
    </w:pPr>
  </w:style>
  <w:style w:type="paragraph" w:customStyle="1" w:styleId="Paratitle">
    <w:name w:val="Para title"/>
    <w:basedOn w:val="Normal"/>
    <w:rsid w:val="00A97B1A"/>
    <w:pPr>
      <w:tabs>
        <w:tab w:val="center" w:pos="9270"/>
      </w:tabs>
      <w:spacing w:after="240"/>
    </w:pPr>
    <w:rPr>
      <w:spacing w:val="-2"/>
    </w:rPr>
  </w:style>
  <w:style w:type="paragraph" w:customStyle="1" w:styleId="Bullet">
    <w:name w:val="Bullet"/>
    <w:basedOn w:val="Normal"/>
    <w:rsid w:val="00A97B1A"/>
    <w:pPr>
      <w:numPr>
        <w:numId w:val="1"/>
      </w:numPr>
      <w:tabs>
        <w:tab w:val="clear" w:pos="360"/>
        <w:tab w:val="left" w:pos="2160"/>
      </w:tabs>
      <w:spacing w:after="220"/>
      <w:ind w:left="2160" w:hanging="720"/>
    </w:pPr>
  </w:style>
  <w:style w:type="paragraph" w:customStyle="1" w:styleId="TableFormat">
    <w:name w:val="TableFormat"/>
    <w:basedOn w:val="Bullet"/>
    <w:rsid w:val="00A97B1A"/>
    <w:pPr>
      <w:numPr>
        <w:numId w:val="0"/>
      </w:numPr>
      <w:tabs>
        <w:tab w:val="clear" w:pos="2160"/>
        <w:tab w:val="left" w:pos="5040"/>
      </w:tabs>
      <w:ind w:left="5040" w:hanging="3600"/>
    </w:pPr>
  </w:style>
  <w:style w:type="paragraph" w:customStyle="1" w:styleId="TOCTitle">
    <w:name w:val="TOC Title"/>
    <w:basedOn w:val="Normal"/>
    <w:rsid w:val="00A97B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7B1A"/>
    <w:pPr>
      <w:jc w:val="center"/>
    </w:pPr>
    <w:rPr>
      <w:rFonts w:ascii="Times New Roman Bold" w:hAnsi="Times New Roman Bold"/>
      <w:b/>
      <w:bCs/>
      <w:caps/>
      <w:szCs w:val="22"/>
    </w:rPr>
  </w:style>
  <w:style w:type="character" w:styleId="Hyperlink">
    <w:name w:val="Hyperlink"/>
    <w:rsid w:val="00A97B1A"/>
    <w:rPr>
      <w:color w:val="0000FF"/>
      <w:u w:val="singl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f Char"/>
    <w:link w:val="FootnoteText"/>
    <w:locked/>
    <w:rsid w:val="00A97B1A"/>
    <w:rPr>
      <w:lang w:val="en-US" w:eastAsia="en-US" w:bidi="ar-SA"/>
    </w:rPr>
  </w:style>
  <w:style w:type="character" w:customStyle="1" w:styleId="documentbody">
    <w:name w:val="documentbody"/>
    <w:rsid w:val="00A97B1A"/>
    <w:rPr>
      <w:rFonts w:cs="Times New Roman"/>
    </w:rPr>
  </w:style>
  <w:style w:type="paragraph" w:styleId="BalloonText">
    <w:name w:val="Balloon Text"/>
    <w:basedOn w:val="Normal"/>
    <w:semiHidden/>
    <w:rsid w:val="00A97B1A"/>
    <w:rPr>
      <w:rFonts w:ascii="Tahoma" w:hAnsi="Tahoma" w:cs="Tahoma"/>
      <w:sz w:val="16"/>
      <w:szCs w:val="16"/>
    </w:rPr>
  </w:style>
  <w:style w:type="character" w:customStyle="1" w:styleId="FootnoteTextCharCharChar">
    <w:name w:val="Footnote Text Char Char Char"/>
    <w:aliases w:val="Footnote Text Char2 Char1,Footnote Text Char Char1 Char,Footnote Text Char3 Char Char Char1,Footnote Text Char Char1 Char Char Char1,Footnote Text Char2 Char Char1 Char Char Char1"/>
    <w:rsid w:val="00A97B1A"/>
    <w:rPr>
      <w:sz w:val="22"/>
      <w:lang w:val="en-US" w:eastAsia="en-US" w:bidi="ar-SA"/>
    </w:rPr>
  </w:style>
  <w:style w:type="paragraph" w:customStyle="1" w:styleId="Default">
    <w:name w:val="Default"/>
    <w:rsid w:val="00A97B1A"/>
    <w:pPr>
      <w:autoSpaceDE w:val="0"/>
      <w:autoSpaceDN w:val="0"/>
      <w:adjustRightInd w:val="0"/>
    </w:pPr>
    <w:rPr>
      <w:color w:val="000000"/>
      <w:sz w:val="24"/>
      <w:szCs w:val="24"/>
    </w:rPr>
  </w:style>
  <w:style w:type="character" w:styleId="CommentReference">
    <w:name w:val="annotation reference"/>
    <w:uiPriority w:val="99"/>
    <w:rsid w:val="006E6936"/>
    <w:rPr>
      <w:sz w:val="16"/>
      <w:szCs w:val="16"/>
    </w:rPr>
  </w:style>
  <w:style w:type="paragraph" w:styleId="CommentText">
    <w:name w:val="annotation text"/>
    <w:basedOn w:val="Normal"/>
    <w:link w:val="CommentTextChar"/>
    <w:uiPriority w:val="99"/>
    <w:rsid w:val="006E6936"/>
    <w:rPr>
      <w:sz w:val="20"/>
    </w:rPr>
  </w:style>
  <w:style w:type="character" w:customStyle="1" w:styleId="CommentTextChar">
    <w:name w:val="Comment Text Char"/>
    <w:link w:val="CommentText"/>
    <w:uiPriority w:val="99"/>
    <w:rsid w:val="006E6936"/>
    <w:rPr>
      <w:snapToGrid/>
      <w:kern w:val="28"/>
    </w:rPr>
  </w:style>
  <w:style w:type="paragraph" w:styleId="CommentSubject">
    <w:name w:val="annotation subject"/>
    <w:basedOn w:val="CommentText"/>
    <w:next w:val="CommentText"/>
    <w:link w:val="CommentSubjectChar"/>
    <w:rsid w:val="006E6936"/>
    <w:rPr>
      <w:b/>
      <w:bCs/>
    </w:rPr>
  </w:style>
  <w:style w:type="character" w:customStyle="1" w:styleId="CommentSubjectChar">
    <w:name w:val="Comment Subject Char"/>
    <w:link w:val="CommentSubject"/>
    <w:rsid w:val="006E6936"/>
    <w:rPr>
      <w:b/>
      <w:bCs/>
      <w:snapToGrid/>
      <w:kern w:val="28"/>
    </w:rPr>
  </w:style>
  <w:style w:type="character" w:customStyle="1" w:styleId="FootnoteTextChar6Char">
    <w:name w:val="Footnote Text Char6 Char"/>
    <w:aliases w:val="Footnote Text Char3 Char1 Char,Footnote Text Char2 Char1 Char1 Char,Footnote Text Char3 Char1 Char Char Char,Footnote Text Char2 Char1 Char1 Char Char Char,Footnote Text Char3 Char1 Char Char Char Char Char"/>
    <w:rsid w:val="00D3286E"/>
    <w:rPr>
      <w:sz w:val="22"/>
    </w:rPr>
  </w:style>
  <w:style w:type="paragraph" w:styleId="Revision">
    <w:name w:val="Revision"/>
    <w:hidden/>
    <w:uiPriority w:val="99"/>
    <w:semiHidden/>
    <w:rsid w:val="002C46B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rwebgate.access.gpo.gov/cgi-bin/getdoc.cgi?dbname=110_cong_public_laws&amp;docid=f:publ053.1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1331</Words>
  <Characters>7667</Characters>
  <Application>Microsoft Office Word</Application>
  <DocSecurity>0</DocSecurity>
  <Lines>135</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9016</CharactersWithSpaces>
  <SharedDoc>false</SharedDoc>
  <HyperlinkBase> </HyperlinkBase>
  <HLinks>
    <vt:vector size="6" baseType="variant">
      <vt:variant>
        <vt:i4>7340105</vt:i4>
      </vt:variant>
      <vt:variant>
        <vt:i4>0</vt:i4>
      </vt:variant>
      <vt:variant>
        <vt:i4>0</vt:i4>
      </vt:variant>
      <vt:variant>
        <vt:i4>5</vt:i4>
      </vt:variant>
      <vt:variant>
        <vt:lpwstr>http://frwebgate.access.gpo.gov/cgi-bin/getdoc.cgi?dbname=110_cong_public_laws&amp;docid=f:publ053.110.pdf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2012-11-28T17:28:00Z</cp:lastPrinted>
  <dcterms:created xsi:type="dcterms:W3CDTF">2017-03-08T14:45:00Z</dcterms:created>
  <dcterms:modified xsi:type="dcterms:W3CDTF">2017-03-08T14:45:00Z</dcterms:modified>
  <cp:category> </cp:category>
  <cp:contentStatus> </cp:contentStatus>
</cp:coreProperties>
</file>