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DF67" w14:textId="77777777" w:rsidR="00BB3C31" w:rsidRPr="00BB3C31" w:rsidRDefault="00BB3C31" w:rsidP="00BB3C31">
      <w:pPr>
        <w:jc w:val="center"/>
        <w:rPr>
          <w:b/>
          <w:color w:val="000000"/>
        </w:rPr>
      </w:pPr>
      <w:bookmarkStart w:id="0" w:name="_GoBack"/>
      <w:bookmarkEnd w:id="0"/>
      <w:r w:rsidRPr="00BB3C31">
        <w:rPr>
          <w:b/>
          <w:color w:val="000000"/>
        </w:rPr>
        <w:t>Before the</w:t>
      </w:r>
    </w:p>
    <w:p w14:paraId="54DD21B2" w14:textId="77777777" w:rsidR="00BB3C31" w:rsidRPr="00BB3C31" w:rsidRDefault="00BB3C31" w:rsidP="00BB3C31">
      <w:pPr>
        <w:jc w:val="center"/>
        <w:rPr>
          <w:b/>
          <w:bCs/>
          <w:caps/>
          <w:color w:val="000000"/>
          <w:szCs w:val="22"/>
        </w:rPr>
      </w:pPr>
      <w:r w:rsidRPr="00BB3C31">
        <w:rPr>
          <w:b/>
          <w:bCs/>
          <w:caps/>
          <w:color w:val="000000"/>
          <w:szCs w:val="22"/>
        </w:rPr>
        <w:t>F</w:t>
      </w:r>
      <w:r w:rsidRPr="00BB3C31">
        <w:rPr>
          <w:b/>
          <w:bCs/>
          <w:color w:val="000000"/>
          <w:szCs w:val="22"/>
        </w:rPr>
        <w:t>ederal Communications Commission</w:t>
      </w:r>
    </w:p>
    <w:p w14:paraId="42629B1B" w14:textId="77777777" w:rsidR="00BB3C31" w:rsidRPr="00BB3C31" w:rsidRDefault="00BB3C31" w:rsidP="00BB3C31">
      <w:pPr>
        <w:jc w:val="center"/>
        <w:rPr>
          <w:b/>
          <w:color w:val="000000"/>
        </w:rPr>
      </w:pPr>
      <w:r w:rsidRPr="00BB3C31">
        <w:rPr>
          <w:b/>
          <w:color w:val="000000"/>
        </w:rPr>
        <w:t xml:space="preserve">Washington, DC 20554 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F46E0A" w14:paraId="12A0411F" w14:textId="77777777" w:rsidTr="00F46E0A">
        <w:tc>
          <w:tcPr>
            <w:tcW w:w="4698" w:type="dxa"/>
          </w:tcPr>
          <w:p w14:paraId="63A4D9F6" w14:textId="77777777" w:rsidR="00F46E0A" w:rsidRPr="007115F7" w:rsidRDefault="00F46E0A" w:rsidP="005C59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464A98CB" w14:textId="77777777" w:rsidR="00F46E0A" w:rsidRDefault="00F46E0A" w:rsidP="005C59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14:paraId="36D48933" w14:textId="77777777" w:rsidR="00F46E0A" w:rsidRDefault="00F46E0A" w:rsidP="005C59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  <w:tr w:rsidR="00F46E0A" w:rsidRPr="0056074D" w14:paraId="4D113C59" w14:textId="77777777" w:rsidTr="00F7261B">
        <w:trPr>
          <w:trHeight w:val="3573"/>
        </w:trPr>
        <w:tc>
          <w:tcPr>
            <w:tcW w:w="4698" w:type="dxa"/>
          </w:tcPr>
          <w:p w14:paraId="28EF02B4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In the Matter of</w:t>
            </w:r>
          </w:p>
          <w:p w14:paraId="7378965A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742CE384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OneLink Communications, Inc.</w:t>
            </w:r>
          </w:p>
          <w:p w14:paraId="792143A6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3BEB5CAB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4F4ECD4F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TeleDias Communications, Inc.</w:t>
            </w:r>
          </w:p>
          <w:p w14:paraId="1D272A97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5B0ED6B1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720F9C87" w14:textId="71239321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TeleUno, Inc.</w:t>
            </w:r>
          </w:p>
          <w:p w14:paraId="5BF4E2C0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5CABB564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2BEF958F" w14:textId="68C0A264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Cytel, Inc.</w:t>
            </w:r>
          </w:p>
          <w:p w14:paraId="21494832" w14:textId="77777777" w:rsidR="00F46E0A" w:rsidRPr="00671C2F" w:rsidRDefault="00F46E0A" w:rsidP="005C59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13637750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69E50709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124BCF58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015E2C1A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14CE9FB7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55D1E0C9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6FA951ED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4DB8DD98" w14:textId="77777777" w:rsidR="00F46E0A" w:rsidRPr="00E97C20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4819EAA8" w14:textId="77777777" w:rsidR="00F46E0A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E97C20">
              <w:rPr>
                <w:b/>
                <w:spacing w:val="-2"/>
              </w:rPr>
              <w:t>)</w:t>
            </w:r>
          </w:p>
          <w:p w14:paraId="254C1217" w14:textId="77777777" w:rsidR="00F46E0A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25EB4C6" w14:textId="77777777" w:rsidR="00F46E0A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64A0784" w14:textId="77777777" w:rsidR="00F46E0A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581E9CD" w14:textId="5444E2A1" w:rsidR="00630192" w:rsidRPr="00CD3C52" w:rsidRDefault="00F46E0A" w:rsidP="005C59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73F35009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58525F0E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</w:p>
          <w:p w14:paraId="6B158A9A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File No. EB-TCD-13-00007004</w:t>
            </w:r>
          </w:p>
          <w:p w14:paraId="427B46EE" w14:textId="31E1DFDD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FRN: 0007539471</w:t>
            </w:r>
          </w:p>
          <w:p w14:paraId="5D1E9DBE" w14:textId="77777777" w:rsidR="00630192" w:rsidRDefault="00630192" w:rsidP="005C59A0">
            <w:pPr>
              <w:tabs>
                <w:tab w:val="center" w:pos="4680"/>
              </w:tabs>
              <w:suppressAutoHyphens/>
            </w:pPr>
          </w:p>
          <w:p w14:paraId="1D60F5D0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File No. EB-TCD-16-00020892</w:t>
            </w:r>
          </w:p>
          <w:p w14:paraId="707DF5C1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FRN:  0007513815</w:t>
            </w:r>
          </w:p>
          <w:p w14:paraId="7A96575D" w14:textId="77777777" w:rsidR="00630192" w:rsidRDefault="00630192" w:rsidP="005C59A0">
            <w:pPr>
              <w:tabs>
                <w:tab w:val="center" w:pos="4680"/>
              </w:tabs>
              <w:suppressAutoHyphens/>
            </w:pPr>
          </w:p>
          <w:p w14:paraId="4EC02722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File No. EB-TCD-16-00020893</w:t>
            </w:r>
          </w:p>
          <w:p w14:paraId="67BB351D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FRN:  0005835558</w:t>
            </w:r>
          </w:p>
          <w:p w14:paraId="4122D329" w14:textId="77777777" w:rsidR="00630192" w:rsidRPr="009F0A5B" w:rsidRDefault="00630192" w:rsidP="005C59A0">
            <w:pPr>
              <w:tabs>
                <w:tab w:val="center" w:pos="4680"/>
              </w:tabs>
              <w:suppressAutoHyphens/>
            </w:pPr>
          </w:p>
          <w:p w14:paraId="345C3396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File No. EB-TCD-16-00020894</w:t>
            </w:r>
          </w:p>
          <w:p w14:paraId="6F444B21" w14:textId="77777777" w:rsidR="00F46E0A" w:rsidRPr="009F0A5B" w:rsidRDefault="00F46E0A" w:rsidP="005C59A0">
            <w:pPr>
              <w:tabs>
                <w:tab w:val="center" w:pos="4680"/>
              </w:tabs>
              <w:suppressAutoHyphens/>
            </w:pPr>
            <w:r w:rsidRPr="009F0A5B">
              <w:t>FRN:  0020071205</w:t>
            </w:r>
          </w:p>
          <w:p w14:paraId="534D06F8" w14:textId="77777777" w:rsidR="00F46E0A" w:rsidRPr="0056074D" w:rsidRDefault="00F46E0A" w:rsidP="005C59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56BEB354" w14:textId="2EB20CDD" w:rsidR="00F46E0A" w:rsidRDefault="00F46E0A" w:rsidP="00F46E0A">
      <w:pPr>
        <w:pStyle w:val="StyleBoldCentered"/>
      </w:pPr>
      <w:r>
        <w:t>order</w:t>
      </w:r>
      <w:r w:rsidR="006A655B">
        <w:t xml:space="preserve"> TO SHOW CAUSE</w:t>
      </w:r>
    </w:p>
    <w:p w14:paraId="6CF27973" w14:textId="77777777" w:rsidR="00F46E0A" w:rsidRPr="009F0A5B" w:rsidRDefault="00F46E0A" w:rsidP="00F46E0A">
      <w:pPr>
        <w:tabs>
          <w:tab w:val="left" w:pos="-720"/>
        </w:tabs>
        <w:suppressAutoHyphens/>
        <w:spacing w:line="227" w:lineRule="auto"/>
      </w:pPr>
    </w:p>
    <w:p w14:paraId="2D2A2C1C" w14:textId="7BCBB4AB" w:rsidR="00F46E0A" w:rsidRPr="009F0A5B" w:rsidRDefault="00F46E0A" w:rsidP="009F0A5B">
      <w:pPr>
        <w:tabs>
          <w:tab w:val="left" w:pos="720"/>
          <w:tab w:val="right" w:pos="9360"/>
        </w:tabs>
        <w:suppressAutoHyphens/>
      </w:pPr>
      <w:r>
        <w:rPr>
          <w:b/>
          <w:spacing w:val="-2"/>
        </w:rPr>
        <w:t xml:space="preserve">Adopted:  </w:t>
      </w:r>
      <w:r w:rsidR="003B5A5D">
        <w:rPr>
          <w:b/>
          <w:spacing w:val="-2"/>
        </w:rPr>
        <w:t xml:space="preserve">March </w:t>
      </w:r>
      <w:r w:rsidR="00630192">
        <w:rPr>
          <w:b/>
          <w:spacing w:val="-2"/>
        </w:rPr>
        <w:t>1</w:t>
      </w:r>
      <w:r w:rsidR="00630192" w:rsidRPr="00630192">
        <w:rPr>
          <w:b/>
          <w:spacing w:val="-2"/>
        </w:rPr>
        <w:t>4</w:t>
      </w:r>
      <w:r w:rsidR="003B5A5D">
        <w:rPr>
          <w:b/>
          <w:spacing w:val="-2"/>
        </w:rPr>
        <w:t>, 2017</w:t>
      </w:r>
      <w:r>
        <w:rPr>
          <w:b/>
          <w:spacing w:val="-2"/>
        </w:rPr>
        <w:tab/>
        <w:t xml:space="preserve">Released:  </w:t>
      </w:r>
      <w:r w:rsidR="003B5A5D">
        <w:rPr>
          <w:b/>
          <w:spacing w:val="-2"/>
        </w:rPr>
        <w:t xml:space="preserve">March </w:t>
      </w:r>
      <w:r w:rsidR="00630192" w:rsidRPr="00630192">
        <w:rPr>
          <w:b/>
          <w:spacing w:val="-2"/>
        </w:rPr>
        <w:t>14</w:t>
      </w:r>
      <w:r w:rsidR="003B5A5D">
        <w:rPr>
          <w:b/>
          <w:spacing w:val="-2"/>
        </w:rPr>
        <w:t>, 2017</w:t>
      </w:r>
    </w:p>
    <w:p w14:paraId="45EB0769" w14:textId="77777777" w:rsidR="00F46E0A" w:rsidRDefault="00F46E0A" w:rsidP="00F46E0A"/>
    <w:p w14:paraId="0E732D4A" w14:textId="064F8093" w:rsidR="002F0BD2" w:rsidRPr="009F0A5B" w:rsidRDefault="00BB3C31" w:rsidP="00BB3C31">
      <w:pPr>
        <w:tabs>
          <w:tab w:val="left" w:pos="720"/>
          <w:tab w:val="left" w:pos="5760"/>
        </w:tabs>
        <w:suppressAutoHyphens/>
        <w:spacing w:line="227" w:lineRule="auto"/>
        <w:rPr>
          <w:szCs w:val="22"/>
        </w:rPr>
      </w:pPr>
      <w:r w:rsidRPr="009F0A5B">
        <w:rPr>
          <w:szCs w:val="22"/>
        </w:rPr>
        <w:t>By the Chief, Telecommunications Consumers Division, Enforcement Bureau; and Chief, Competition Policy Division, Wireline Competition Bureau:</w:t>
      </w:r>
    </w:p>
    <w:p w14:paraId="5751BF1A" w14:textId="77777777" w:rsidR="00BB3C31" w:rsidRPr="00BB3C31" w:rsidRDefault="00BB3C31" w:rsidP="009F0A5B">
      <w:pPr>
        <w:tabs>
          <w:tab w:val="left" w:pos="720"/>
          <w:tab w:val="left" w:pos="5760"/>
        </w:tabs>
        <w:suppressAutoHyphens/>
        <w:spacing w:line="227" w:lineRule="auto"/>
        <w:rPr>
          <w:snapToGrid/>
          <w:color w:val="000000"/>
          <w:szCs w:val="22"/>
        </w:rPr>
      </w:pPr>
    </w:p>
    <w:p w14:paraId="761D3A09" w14:textId="7B281AAD" w:rsidR="00BB3C31" w:rsidRPr="00BB3C31" w:rsidRDefault="00BB3C31" w:rsidP="00BB3C31">
      <w:pPr>
        <w:pStyle w:val="Heading1"/>
      </w:pPr>
      <w:r w:rsidRPr="00BB3C31">
        <w:t>INTRODUCTION</w:t>
      </w:r>
    </w:p>
    <w:p w14:paraId="1E47F894" w14:textId="33043CE7" w:rsidR="001F6133" w:rsidRPr="009F0A5B" w:rsidRDefault="00BB3C31" w:rsidP="00BB3C31">
      <w:pPr>
        <w:pStyle w:val="ParaNum"/>
        <w:widowControl/>
      </w:pPr>
      <w:r w:rsidRPr="009F0A5B">
        <w:t xml:space="preserve">By this Order, we </w:t>
      </w:r>
      <w:r w:rsidR="00F33E59" w:rsidRPr="009F0A5B">
        <w:t xml:space="preserve">initiate a proceeding </w:t>
      </w:r>
      <w:r w:rsidR="00E867AA" w:rsidRPr="009F0A5B">
        <w:t xml:space="preserve">to determine whether </w:t>
      </w:r>
      <w:r w:rsidR="00FD379C">
        <w:t xml:space="preserve">to revoke </w:t>
      </w:r>
      <w:r w:rsidR="006B47DF">
        <w:t xml:space="preserve">the </w:t>
      </w:r>
      <w:r w:rsidR="00263FAA">
        <w:t xml:space="preserve">domestic </w:t>
      </w:r>
      <w:r w:rsidR="008052AB">
        <w:t>S</w:t>
      </w:r>
      <w:r w:rsidR="006B47DF">
        <w:t xml:space="preserve">ection 214 </w:t>
      </w:r>
      <w:r w:rsidR="00FD379C">
        <w:t xml:space="preserve">authorizations held </w:t>
      </w:r>
      <w:r w:rsidR="00FD379C" w:rsidRPr="009F0A5B">
        <w:t xml:space="preserve">by </w:t>
      </w:r>
      <w:r w:rsidR="009E01DF">
        <w:t>OneLink Communications</w:t>
      </w:r>
      <w:r w:rsidR="009E01DF" w:rsidRPr="009A150F">
        <w:t>, Inc. (</w:t>
      </w:r>
      <w:r w:rsidR="009E01DF">
        <w:t>OneLink</w:t>
      </w:r>
      <w:r w:rsidR="009E01DF" w:rsidRPr="009A150F">
        <w:t>)</w:t>
      </w:r>
      <w:r w:rsidR="009E01DF">
        <w:t>; TeleDias Communications, Inc. (TeleDias); TeleUno, Inc. (TeleUno); and Cytel, Inc. (Cytel) (collectively, the Companies)</w:t>
      </w:r>
      <w:r w:rsidR="00F33E59">
        <w:t>.</w:t>
      </w:r>
      <w:r w:rsidR="00F33E59">
        <w:rPr>
          <w:rStyle w:val="FootnoteReference"/>
        </w:rPr>
        <w:footnoteReference w:id="2"/>
      </w:r>
      <w:r w:rsidR="00F33E59">
        <w:t xml:space="preserve">  </w:t>
      </w:r>
    </w:p>
    <w:p w14:paraId="4C945C6D" w14:textId="72AAABEB" w:rsidR="006A655B" w:rsidRPr="006A655B" w:rsidRDefault="006A655B" w:rsidP="006A655B">
      <w:pPr>
        <w:pStyle w:val="Heading1"/>
      </w:pPr>
      <w:r>
        <w:t>BACKGROUND</w:t>
      </w:r>
    </w:p>
    <w:p w14:paraId="1B003B6F" w14:textId="401290A9" w:rsidR="009F238C" w:rsidRDefault="007062E6" w:rsidP="009F238C">
      <w:pPr>
        <w:pStyle w:val="ParaNum"/>
        <w:widowControl/>
      </w:pPr>
      <w:r>
        <w:t xml:space="preserve">The Companies </w:t>
      </w:r>
      <w:r w:rsidR="0063551B">
        <w:t>are</w:t>
      </w:r>
      <w:r>
        <w:t xml:space="preserve"> common carriers </w:t>
      </w:r>
      <w:r w:rsidR="003C2A38">
        <w:t xml:space="preserve">and are </w:t>
      </w:r>
      <w:r>
        <w:t>subject to Title II of the</w:t>
      </w:r>
      <w:r w:rsidR="009343B5">
        <w:t xml:space="preserve"> </w:t>
      </w:r>
      <w:r w:rsidR="009343B5" w:rsidRPr="00344C0B">
        <w:t>Communications Act of 1934, as amended (Act)</w:t>
      </w:r>
      <w:r w:rsidR="000D39C7">
        <w:t xml:space="preserve">.  </w:t>
      </w:r>
      <w:r>
        <w:t xml:space="preserve">In particular, </w:t>
      </w:r>
      <w:r w:rsidR="001B6BEE" w:rsidRPr="00E97C20">
        <w:t>OneLink, TeleDias,</w:t>
      </w:r>
      <w:r w:rsidR="001B6BEE">
        <w:t xml:space="preserve"> TeleUno</w:t>
      </w:r>
      <w:r w:rsidR="001B6BEE" w:rsidRPr="00E97C20">
        <w:t xml:space="preserve">, </w:t>
      </w:r>
      <w:r w:rsidR="001B6BEE">
        <w:t xml:space="preserve">and </w:t>
      </w:r>
      <w:r w:rsidR="001B6BEE" w:rsidRPr="00E97C20">
        <w:t>Cytel</w:t>
      </w:r>
      <w:r w:rsidR="001B6BEE">
        <w:t xml:space="preserve"> are resellers of domestic and international</w:t>
      </w:r>
      <w:r w:rsidR="001B6BEE">
        <w:rPr>
          <w:rStyle w:val="FootnoteReference"/>
        </w:rPr>
        <w:footnoteReference w:id="3"/>
      </w:r>
      <w:r w:rsidR="001B6BEE">
        <w:t xml:space="preserve"> long distance telecommunications services</w:t>
      </w:r>
      <w:r w:rsidR="001B6BEE" w:rsidRPr="00E97C20">
        <w:t>.</w:t>
      </w:r>
      <w:r w:rsidR="00C023DC">
        <w:rPr>
          <w:rStyle w:val="FootnoteReference"/>
        </w:rPr>
        <w:footnoteReference w:id="4"/>
      </w:r>
      <w:r w:rsidR="001B6BEE" w:rsidRPr="00E97C20">
        <w:t xml:space="preserve">  </w:t>
      </w:r>
      <w:r w:rsidR="001B6BEE">
        <w:t>OneLink operates the Companies as a single enterprise in Alpharetta, Georgia, and provides back office and administrative support for the Companies.</w:t>
      </w:r>
      <w:r w:rsidR="001D4F02">
        <w:rPr>
          <w:rStyle w:val="FootnoteReference"/>
        </w:rPr>
        <w:footnoteReference w:id="5"/>
      </w:r>
      <w:r w:rsidR="001B6BEE">
        <w:t xml:space="preserve">  </w:t>
      </w:r>
    </w:p>
    <w:p w14:paraId="1AA1649D" w14:textId="0744F420" w:rsidR="00F57342" w:rsidRPr="009F0A5B" w:rsidRDefault="00263FAA" w:rsidP="005C59A0">
      <w:pPr>
        <w:pStyle w:val="ParaNum"/>
        <w:widowControl/>
      </w:pPr>
      <w:r>
        <w:lastRenderedPageBreak/>
        <w:t xml:space="preserve">In August 2016, </w:t>
      </w:r>
      <w:r w:rsidR="001D4F02">
        <w:t xml:space="preserve">all </w:t>
      </w:r>
      <w:r>
        <w:t xml:space="preserve">four Companies notified the Commission that they were surrendering their international </w:t>
      </w:r>
      <w:r w:rsidR="00225618">
        <w:t xml:space="preserve">Section </w:t>
      </w:r>
      <w:r>
        <w:t>214 authorizations</w:t>
      </w:r>
      <w:r w:rsidR="001B6BEE">
        <w:t>, thereby extinguishing their authorization</w:t>
      </w:r>
      <w:r w:rsidR="00760E81">
        <w:t>s</w:t>
      </w:r>
      <w:r w:rsidR="001B6BEE">
        <w:t xml:space="preserve"> to provide international telecommunications services</w:t>
      </w:r>
      <w:r>
        <w:t>.</w:t>
      </w:r>
      <w:r>
        <w:rPr>
          <w:rStyle w:val="FootnoteReference"/>
        </w:rPr>
        <w:footnoteReference w:id="6"/>
      </w:r>
      <w:r>
        <w:t xml:space="preserve">  </w:t>
      </w:r>
      <w:r w:rsidR="006A655B" w:rsidRPr="009F0A5B">
        <w:t xml:space="preserve">On August </w:t>
      </w:r>
      <w:r w:rsidR="0028419A" w:rsidRPr="009F0A5B">
        <w:t>16</w:t>
      </w:r>
      <w:r w:rsidRPr="009F0A5B">
        <w:t>,</w:t>
      </w:r>
      <w:r w:rsidR="0028419A" w:rsidRPr="009F0A5B">
        <w:t xml:space="preserve"> </w:t>
      </w:r>
      <w:r w:rsidR="006A655B" w:rsidRPr="009F0A5B">
        <w:t xml:space="preserve">2016, the </w:t>
      </w:r>
      <w:r w:rsidR="0030728C">
        <w:t xml:space="preserve">California </w:t>
      </w:r>
      <w:r w:rsidR="006A655B" w:rsidRPr="009F0A5B">
        <w:t>Public Utilit</w:t>
      </w:r>
      <w:r w:rsidR="0030728C">
        <w:t>ies</w:t>
      </w:r>
      <w:r w:rsidR="006A655B" w:rsidRPr="009F0A5B">
        <w:t xml:space="preserve"> Commission </w:t>
      </w:r>
      <w:r w:rsidR="00CE7B29" w:rsidRPr="009F0A5B">
        <w:t>(</w:t>
      </w:r>
      <w:r w:rsidR="0030728C">
        <w:t xml:space="preserve">California </w:t>
      </w:r>
      <w:r w:rsidR="00CE7B29" w:rsidRPr="009F0A5B">
        <w:t xml:space="preserve">PUC) </w:t>
      </w:r>
      <w:r w:rsidR="0028419A" w:rsidRPr="009F0A5B">
        <w:t>attempt</w:t>
      </w:r>
      <w:r w:rsidRPr="009F0A5B">
        <w:t>ed</w:t>
      </w:r>
      <w:r w:rsidR="0028419A" w:rsidRPr="009F0A5B">
        <w:t xml:space="preserve"> to contact OneLink’s counsel regarding a slamming investigation.</w:t>
      </w:r>
      <w:r w:rsidR="006A655B">
        <w:rPr>
          <w:rStyle w:val="FootnoteReference"/>
        </w:rPr>
        <w:footnoteReference w:id="7"/>
      </w:r>
      <w:r w:rsidR="0028419A" w:rsidRPr="009F0A5B">
        <w:t xml:space="preserve">  OneLink’s counsel responded </w:t>
      </w:r>
      <w:r w:rsidR="00CE7B29" w:rsidRPr="009F0A5B">
        <w:t xml:space="preserve">to the California PUC </w:t>
      </w:r>
      <w:r w:rsidR="0028419A" w:rsidRPr="009F0A5B">
        <w:t>that OneLink no longer existed and thus could not respond to the investigation.</w:t>
      </w:r>
      <w:r w:rsidR="0028419A">
        <w:rPr>
          <w:rStyle w:val="FootnoteReference"/>
        </w:rPr>
        <w:footnoteReference w:id="8"/>
      </w:r>
      <w:r w:rsidRPr="009F0A5B">
        <w:t xml:space="preserve">  </w:t>
      </w:r>
    </w:p>
    <w:p w14:paraId="33C93A67" w14:textId="77777777" w:rsidR="00BB3C31" w:rsidRPr="009F0A5B" w:rsidRDefault="00BB3C31" w:rsidP="00BB3C31">
      <w:pPr>
        <w:pStyle w:val="Heading1"/>
      </w:pPr>
      <w:r w:rsidRPr="00BB3C31">
        <w:t>DISCUSSION</w:t>
      </w:r>
    </w:p>
    <w:p w14:paraId="7377FD4E" w14:textId="2B180A68" w:rsidR="00814738" w:rsidRPr="009F0A5B" w:rsidRDefault="00A17091" w:rsidP="00240E80">
      <w:pPr>
        <w:pStyle w:val="ParaNum"/>
        <w:widowControl/>
      </w:pPr>
      <w:r>
        <w:t>OneLink,</w:t>
      </w:r>
      <w:r w:rsidR="00C023DC">
        <w:t xml:space="preserve"> which operated all of the </w:t>
      </w:r>
      <w:r w:rsidR="0030728C">
        <w:t>C</w:t>
      </w:r>
      <w:r w:rsidR="00C023DC">
        <w:t>ompanies as a single enterprise,</w:t>
      </w:r>
      <w:r>
        <w:t xml:space="preserve"> has </w:t>
      </w:r>
      <w:r w:rsidR="009F238C">
        <w:t>represented to the California PUC</w:t>
      </w:r>
      <w:r>
        <w:t xml:space="preserve"> that it no longer exists.</w:t>
      </w:r>
      <w:r w:rsidR="00E77C2B">
        <w:t xml:space="preserve">  </w:t>
      </w:r>
      <w:r w:rsidR="00511346">
        <w:t xml:space="preserve">Although this </w:t>
      </w:r>
      <w:r w:rsidR="00E77C2B">
        <w:t xml:space="preserve">representation would mean that the Companies have ceased </w:t>
      </w:r>
      <w:r w:rsidR="00511346">
        <w:t xml:space="preserve">to provide </w:t>
      </w:r>
      <w:r w:rsidR="00E77C2B">
        <w:t xml:space="preserve">certain </w:t>
      </w:r>
      <w:r w:rsidR="00511346">
        <w:t>telecommunications services</w:t>
      </w:r>
      <w:r w:rsidR="00E77C2B">
        <w:t>, the</w:t>
      </w:r>
      <w:r w:rsidR="0030728C">
        <w:t xml:space="preserve"> Enforcement</w:t>
      </w:r>
      <w:r w:rsidR="00E77C2B">
        <w:t xml:space="preserve"> Bureau</w:t>
      </w:r>
      <w:r w:rsidR="0030728C">
        <w:t xml:space="preserve"> and the Wireline Competition Bureau (collectively, the Bureaus)</w:t>
      </w:r>
      <w:r w:rsidR="00E77C2B">
        <w:t xml:space="preserve"> have found no evidence that the Companies have complied with </w:t>
      </w:r>
      <w:r w:rsidR="00511346">
        <w:t>the</w:t>
      </w:r>
      <w:r w:rsidR="00E77C2B">
        <w:t xml:space="preserve"> statutory and regulatory provisions that must be observed before a carrier may lawfully discontinue a telecommunications service.</w:t>
      </w:r>
      <w:r w:rsidR="00511346">
        <w:rPr>
          <w:rStyle w:val="FootnoteReference"/>
        </w:rPr>
        <w:footnoteReference w:id="9"/>
      </w:r>
      <w:r w:rsidR="00E77C2B">
        <w:t xml:space="preserve">  </w:t>
      </w:r>
      <w:r w:rsidR="00511346">
        <w:t>As discussed in the next paragraph, t</w:t>
      </w:r>
      <w:r w:rsidR="00E77C2B">
        <w:t xml:space="preserve">he absence of such evidence raises questions regarding the Companies’ </w:t>
      </w:r>
      <w:r w:rsidR="00511346">
        <w:t xml:space="preserve">compliance with other statutory and regulatory requirements, their </w:t>
      </w:r>
      <w:r w:rsidR="00E77C2B">
        <w:t>ongoing qualifications to hold domestic Section 214 authorizations</w:t>
      </w:r>
      <w:r w:rsidR="00511346">
        <w:t>,</w:t>
      </w:r>
      <w:r w:rsidR="00C52EA6">
        <w:t xml:space="preserve"> </w:t>
      </w:r>
      <w:r>
        <w:t xml:space="preserve">and whether </w:t>
      </w:r>
      <w:r w:rsidR="009F238C">
        <w:t xml:space="preserve">retention of </w:t>
      </w:r>
      <w:r>
        <w:t xml:space="preserve">these authorizations </w:t>
      </w:r>
      <w:r w:rsidR="00601773">
        <w:t>serve</w:t>
      </w:r>
      <w:r w:rsidR="00760E81">
        <w:t>s</w:t>
      </w:r>
      <w:r w:rsidR="00601773">
        <w:t xml:space="preserve"> the </w:t>
      </w:r>
      <w:r w:rsidR="001F6133" w:rsidRPr="00BB3C31">
        <w:t>public convenience and necessity</w:t>
      </w:r>
      <w:r>
        <w:t>.</w:t>
      </w:r>
    </w:p>
    <w:p w14:paraId="4BB63B39" w14:textId="69E094B3" w:rsidR="003E648E" w:rsidRPr="009F0A5B" w:rsidRDefault="00EA1780" w:rsidP="00CD2C61">
      <w:pPr>
        <w:pStyle w:val="ParaNum"/>
        <w:widowControl/>
      </w:pPr>
      <w:r>
        <w:t>The Bureaus have been unable to confirm that the Companies complied with various statutory and regulatory requirements.  For example, the Bureaus have found no evidence that</w:t>
      </w:r>
      <w:r w:rsidR="001875B5">
        <w:t xml:space="preserve"> the Companies</w:t>
      </w:r>
      <w:r>
        <w:t>:  (1)</w:t>
      </w:r>
      <w:r w:rsidR="002366D4">
        <w:t xml:space="preserve"> </w:t>
      </w:r>
      <w:r w:rsidR="001875B5">
        <w:t>filed for discontinuance of domestic telecommunications services as required under Section 214</w:t>
      </w:r>
      <w:r w:rsidR="00C730A9">
        <w:t xml:space="preserve"> of the Act</w:t>
      </w:r>
      <w:r w:rsidR="001875B5">
        <w:t xml:space="preserve"> and </w:t>
      </w:r>
      <w:r w:rsidR="00C730A9">
        <w:t>Section</w:t>
      </w:r>
      <w:r w:rsidR="001875B5">
        <w:t xml:space="preserve"> 63.71</w:t>
      </w:r>
      <w:r w:rsidR="00C730A9">
        <w:t xml:space="preserve"> of the Commission’s rules</w:t>
      </w:r>
      <w:r w:rsidR="001875B5">
        <w:t>;</w:t>
      </w:r>
      <w:r w:rsidR="001875B5">
        <w:rPr>
          <w:rStyle w:val="FootnoteReference"/>
        </w:rPr>
        <w:footnoteReference w:id="10"/>
      </w:r>
      <w:r w:rsidR="001875B5">
        <w:t xml:space="preserve"> (2) </w:t>
      </w:r>
      <w:r>
        <w:t>updated their registration information</w:t>
      </w:r>
      <w:r w:rsidR="002C6B5F">
        <w:t xml:space="preserve"> to remove California from the list of jurisdictions in which they provide </w:t>
      </w:r>
      <w:r w:rsidR="003A6348">
        <w:t xml:space="preserve">telecommunications </w:t>
      </w:r>
      <w:r w:rsidR="002C6B5F">
        <w:t>service;</w:t>
      </w:r>
      <w:r w:rsidR="00C0704C">
        <w:rPr>
          <w:rStyle w:val="FootnoteReference"/>
        </w:rPr>
        <w:footnoteReference w:id="11"/>
      </w:r>
      <w:r w:rsidR="00C32AB6">
        <w:t xml:space="preserve"> </w:t>
      </w:r>
      <w:r w:rsidR="008048B3">
        <w:t xml:space="preserve">or </w:t>
      </w:r>
      <w:r w:rsidR="003E1D9F">
        <w:t>(</w:t>
      </w:r>
      <w:r w:rsidR="001875B5">
        <w:t>3</w:t>
      </w:r>
      <w:r w:rsidR="003E1D9F">
        <w:t xml:space="preserve">) </w:t>
      </w:r>
      <w:r w:rsidR="00635482">
        <w:t xml:space="preserve">filed their FCC Form 499-Qs </w:t>
      </w:r>
      <w:r w:rsidR="00A86E15">
        <w:t xml:space="preserve">due on </w:t>
      </w:r>
      <w:r w:rsidR="00CE5E1C">
        <w:t xml:space="preserve">August </w:t>
      </w:r>
      <w:r w:rsidR="00A86E15">
        <w:t xml:space="preserve">1, </w:t>
      </w:r>
      <w:r w:rsidR="00CE5E1C">
        <w:t>2016, November</w:t>
      </w:r>
      <w:r w:rsidR="00A86E15">
        <w:t xml:space="preserve"> 1, </w:t>
      </w:r>
      <w:r w:rsidR="00CE5E1C">
        <w:t>2016, or February</w:t>
      </w:r>
      <w:r w:rsidR="00A86E15">
        <w:t xml:space="preserve"> 1,</w:t>
      </w:r>
      <w:r w:rsidR="00CE5E1C">
        <w:t xml:space="preserve"> 2017</w:t>
      </w:r>
      <w:r w:rsidR="008048B3">
        <w:t>.</w:t>
      </w:r>
      <w:r w:rsidR="002C6B5F">
        <w:rPr>
          <w:rStyle w:val="FootnoteReference"/>
        </w:rPr>
        <w:footnoteReference w:id="12"/>
      </w:r>
    </w:p>
    <w:p w14:paraId="072534B6" w14:textId="4340731C" w:rsidR="0043318A" w:rsidRPr="009F0A5B" w:rsidRDefault="00362CB2" w:rsidP="00240E80">
      <w:pPr>
        <w:pStyle w:val="ParaNum"/>
        <w:widowControl/>
      </w:pPr>
      <w:r w:rsidRPr="00BB3C31">
        <w:t xml:space="preserve">Accordingly, we initiate </w:t>
      </w:r>
      <w:r w:rsidR="0043318A">
        <w:t xml:space="preserve">a </w:t>
      </w:r>
      <w:r w:rsidRPr="00BB3C31">
        <w:t xml:space="preserve">proceeding </w:t>
      </w:r>
      <w:r w:rsidR="00E867AA">
        <w:t xml:space="preserve">to determine whether </w:t>
      </w:r>
      <w:r w:rsidRPr="00BB3C31">
        <w:t xml:space="preserve">to revoke </w:t>
      </w:r>
      <w:r>
        <w:t>the Companies’</w:t>
      </w:r>
      <w:r w:rsidRPr="00BB3C31">
        <w:t xml:space="preserve"> </w:t>
      </w:r>
      <w:r w:rsidR="00263FAA">
        <w:t xml:space="preserve">domestic </w:t>
      </w:r>
      <w:r>
        <w:t xml:space="preserve">Section 214 </w:t>
      </w:r>
      <w:r w:rsidRPr="00BB3C31">
        <w:t>authorizations.</w:t>
      </w:r>
      <w:r>
        <w:rPr>
          <w:rStyle w:val="FootnoteReference"/>
        </w:rPr>
        <w:footnoteReference w:id="13"/>
      </w:r>
      <w:r w:rsidRPr="00BB3C31">
        <w:t xml:space="preserve">  </w:t>
      </w:r>
      <w:r w:rsidR="0043318A">
        <w:t xml:space="preserve">This proceeding affords the Companies </w:t>
      </w:r>
      <w:r w:rsidR="00BD5997">
        <w:t xml:space="preserve">notice and </w:t>
      </w:r>
      <w:r w:rsidR="0043318A">
        <w:t xml:space="preserve">an opportunity to file a written response </w:t>
      </w:r>
      <w:r w:rsidR="003936FD">
        <w:t>provid</w:t>
      </w:r>
      <w:r w:rsidR="00E939F8">
        <w:t>ing</w:t>
      </w:r>
      <w:r w:rsidR="003936FD">
        <w:t xml:space="preserve"> evidence of </w:t>
      </w:r>
      <w:r w:rsidR="00E939F8">
        <w:t xml:space="preserve">their </w:t>
      </w:r>
      <w:r w:rsidR="003936FD">
        <w:t xml:space="preserve">compliance with the foregoing requirements </w:t>
      </w:r>
      <w:r w:rsidR="00E939F8">
        <w:t>(</w:t>
      </w:r>
      <w:r w:rsidR="003936FD">
        <w:t>or an explanation as to why noncompliance was permissible under the Act and the Commission’s rules</w:t>
      </w:r>
      <w:r w:rsidR="00E939F8">
        <w:t xml:space="preserve">), thereby </w:t>
      </w:r>
      <w:r w:rsidR="0043318A">
        <w:t xml:space="preserve">demonstrating that the public convenience and necessity </w:t>
      </w:r>
      <w:r w:rsidR="00375648">
        <w:t xml:space="preserve">are </w:t>
      </w:r>
      <w:r w:rsidR="0043318A">
        <w:t>served by their retention of their domestic Section 214 authorizations.</w:t>
      </w:r>
      <w:r w:rsidR="00447313">
        <w:t xml:space="preserve">  If the Companies have not complied with the foregoing requirements, they have the opportunity to file a written response describing how they intend to achieve compliance and why the Commission should not revoke their domestic Section 214 authorizations.</w:t>
      </w:r>
    </w:p>
    <w:p w14:paraId="537DA91B" w14:textId="260BED79" w:rsidR="00362CB2" w:rsidRPr="009F0A5B" w:rsidRDefault="00362CB2" w:rsidP="00240E80">
      <w:pPr>
        <w:pStyle w:val="ParaNum"/>
      </w:pPr>
      <w:r>
        <w:t xml:space="preserve">The Companies </w:t>
      </w:r>
      <w:r w:rsidRPr="00BB3C31">
        <w:t xml:space="preserve">must </w:t>
      </w:r>
      <w:r w:rsidR="0072635F">
        <w:t>file a</w:t>
      </w:r>
      <w:r w:rsidR="00263FAA">
        <w:t xml:space="preserve"> response with the Enforcement </w:t>
      </w:r>
      <w:r w:rsidR="0072635F">
        <w:t>and Wireline Competition Bureaus</w:t>
      </w:r>
      <w:r w:rsidRPr="00BB3C31">
        <w:t xml:space="preserve"> within thirty (30) calendar days demonstrating why the Commission should not </w:t>
      </w:r>
      <w:r>
        <w:t>r</w:t>
      </w:r>
      <w:r w:rsidRPr="00BB3C31">
        <w:t xml:space="preserve">evoke </w:t>
      </w:r>
      <w:r>
        <w:t>their</w:t>
      </w:r>
      <w:r w:rsidRPr="00BB3C31">
        <w:t xml:space="preserve"> </w:t>
      </w:r>
      <w:r w:rsidRPr="00BB3C31">
        <w:lastRenderedPageBreak/>
        <w:t xml:space="preserve">domestic </w:t>
      </w:r>
      <w:r w:rsidR="00225618">
        <w:t xml:space="preserve">Section </w:t>
      </w:r>
      <w:r w:rsidR="0043318A">
        <w:t xml:space="preserve">214 authorizations.  </w:t>
      </w:r>
      <w:r w:rsidR="00CE7B29">
        <w:t xml:space="preserve">Each company’s response must include evidence of current subscribers, revenue, and assets.  </w:t>
      </w:r>
      <w:r w:rsidR="00BB3C31" w:rsidRPr="009F0A5B">
        <w:t xml:space="preserve">Failure to respond or </w:t>
      </w:r>
      <w:r w:rsidR="00E872A3" w:rsidRPr="009F0A5B">
        <w:t>submi</w:t>
      </w:r>
      <w:r w:rsidR="008052AB" w:rsidRPr="009F0A5B">
        <w:t>t</w:t>
      </w:r>
      <w:r w:rsidR="00E872A3" w:rsidRPr="009F0A5B">
        <w:t xml:space="preserve"> a response </w:t>
      </w:r>
      <w:r w:rsidR="00BB3C31" w:rsidRPr="009F0A5B">
        <w:t xml:space="preserve">providing a reasonable basis for why </w:t>
      </w:r>
      <w:r w:rsidR="008E00B7" w:rsidRPr="009F0A5B">
        <w:t>the Companies</w:t>
      </w:r>
      <w:r w:rsidR="00BB3C31" w:rsidRPr="009F0A5B">
        <w:t xml:space="preserve"> should retain </w:t>
      </w:r>
      <w:r w:rsidR="008E00B7" w:rsidRPr="009F0A5B">
        <w:t>the</w:t>
      </w:r>
      <w:r w:rsidR="00EE3B4D">
        <w:t>ir</w:t>
      </w:r>
      <w:r w:rsidR="00BB3C31" w:rsidRPr="009F0A5B">
        <w:t xml:space="preserve"> domestic </w:t>
      </w:r>
      <w:r w:rsidR="00210DB7" w:rsidRPr="009F0A5B">
        <w:t>S</w:t>
      </w:r>
      <w:r w:rsidR="008E00B7" w:rsidRPr="009F0A5B">
        <w:t xml:space="preserve">ection </w:t>
      </w:r>
      <w:r w:rsidR="00BB3C31" w:rsidRPr="009F0A5B">
        <w:t xml:space="preserve">214 authorizations </w:t>
      </w:r>
      <w:r w:rsidRPr="009F0A5B">
        <w:t>may</w:t>
      </w:r>
      <w:r w:rsidR="00BB3C31" w:rsidRPr="009F0A5B">
        <w:t xml:space="preserve"> result in revocation of the domestic </w:t>
      </w:r>
      <w:r w:rsidR="00210DB7" w:rsidRPr="009F0A5B">
        <w:t>S</w:t>
      </w:r>
      <w:r w:rsidR="008E00B7" w:rsidRPr="009F0A5B">
        <w:t xml:space="preserve">ection </w:t>
      </w:r>
      <w:r w:rsidR="00BB3C31" w:rsidRPr="009F0A5B">
        <w:t xml:space="preserve">214 authorizations held by </w:t>
      </w:r>
      <w:r w:rsidR="000E109E" w:rsidRPr="009F0A5B">
        <w:t>the Companies</w:t>
      </w:r>
      <w:r w:rsidR="008E00B7">
        <w:t>.</w:t>
      </w:r>
      <w:r w:rsidR="00BB3C31" w:rsidRPr="009F0A5B">
        <w:t xml:space="preserve"> </w:t>
      </w:r>
    </w:p>
    <w:p w14:paraId="781260F3" w14:textId="77777777" w:rsidR="00BB3C31" w:rsidRPr="009F0A5B" w:rsidRDefault="00BB3C31" w:rsidP="00BB3C31">
      <w:pPr>
        <w:pStyle w:val="Heading1"/>
      </w:pPr>
      <w:r w:rsidRPr="00BB3C31">
        <w:t>Conclusion</w:t>
      </w:r>
    </w:p>
    <w:p w14:paraId="741E350C" w14:textId="4EB24AC4" w:rsidR="00BB3C31" w:rsidRPr="00BB3C31" w:rsidRDefault="00EB4DB7" w:rsidP="00EB2816">
      <w:pPr>
        <w:pStyle w:val="ParaNum"/>
        <w:widowControl/>
      </w:pPr>
      <w:r>
        <w:t xml:space="preserve">For the reasons set forth above, </w:t>
      </w:r>
      <w:r w:rsidR="00BB3C31" w:rsidRPr="00BB3C31">
        <w:rPr>
          <w:szCs w:val="22"/>
        </w:rPr>
        <w:t xml:space="preserve">we initiate </w:t>
      </w:r>
      <w:r w:rsidR="00A50D52">
        <w:rPr>
          <w:szCs w:val="22"/>
        </w:rPr>
        <w:t>this</w:t>
      </w:r>
      <w:r w:rsidR="0078326F">
        <w:rPr>
          <w:szCs w:val="22"/>
        </w:rPr>
        <w:t xml:space="preserve"> </w:t>
      </w:r>
      <w:r w:rsidR="00BB3C31" w:rsidRPr="00BB3C31">
        <w:rPr>
          <w:szCs w:val="22"/>
        </w:rPr>
        <w:t xml:space="preserve">proceeding </w:t>
      </w:r>
      <w:r w:rsidR="00F2781D">
        <w:rPr>
          <w:szCs w:val="22"/>
        </w:rPr>
        <w:t xml:space="preserve">to </w:t>
      </w:r>
      <w:r w:rsidR="00DC449D">
        <w:rPr>
          <w:szCs w:val="22"/>
        </w:rPr>
        <w:t xml:space="preserve">determine whether to revoke the domestic Section 214 authorizations held by </w:t>
      </w:r>
      <w:r w:rsidR="00C023DC">
        <w:t xml:space="preserve">OneLink, TeleDias, </w:t>
      </w:r>
      <w:r w:rsidR="008E00B7">
        <w:t>TeleUno, and Cytel</w:t>
      </w:r>
      <w:r w:rsidR="00BD5997">
        <w:t>.  This proceeding affords</w:t>
      </w:r>
      <w:r w:rsidR="00DC449D">
        <w:t xml:space="preserve"> the Companies </w:t>
      </w:r>
      <w:r w:rsidR="00BB3C31" w:rsidRPr="00BB3C31">
        <w:rPr>
          <w:szCs w:val="22"/>
        </w:rPr>
        <w:t xml:space="preserve">notice and </w:t>
      </w:r>
      <w:r w:rsidR="00BD5997">
        <w:rPr>
          <w:szCs w:val="22"/>
        </w:rPr>
        <w:t xml:space="preserve">an </w:t>
      </w:r>
      <w:r w:rsidR="00BB3C31" w:rsidRPr="00BB3C31">
        <w:rPr>
          <w:szCs w:val="22"/>
        </w:rPr>
        <w:t xml:space="preserve">opportunity to </w:t>
      </w:r>
      <w:r w:rsidR="00BD5997">
        <w:t>file a written response providing</w:t>
      </w:r>
      <w:r w:rsidR="002929D2">
        <w:t xml:space="preserve"> evidence of their compliance with the foregoing requirements (or an explanation as to why noncompliance was permissible under the Act and the Commission’s rules)</w:t>
      </w:r>
      <w:r w:rsidR="00BD5997">
        <w:t xml:space="preserve">, </w:t>
      </w:r>
      <w:r w:rsidR="002929D2">
        <w:t xml:space="preserve">thereby </w:t>
      </w:r>
      <w:r w:rsidR="00BD5997">
        <w:rPr>
          <w:szCs w:val="22"/>
        </w:rPr>
        <w:t xml:space="preserve">demonstrating </w:t>
      </w:r>
      <w:r w:rsidR="00BB3C31" w:rsidRPr="00BB3C31">
        <w:rPr>
          <w:szCs w:val="22"/>
        </w:rPr>
        <w:t xml:space="preserve">that retention of </w:t>
      </w:r>
      <w:r w:rsidR="008E00B7">
        <w:rPr>
          <w:szCs w:val="22"/>
        </w:rPr>
        <w:t>their</w:t>
      </w:r>
      <w:r w:rsidR="00BB3C31" w:rsidRPr="00BB3C31">
        <w:rPr>
          <w:szCs w:val="22"/>
        </w:rPr>
        <w:t xml:space="preserve"> domestic </w:t>
      </w:r>
      <w:r w:rsidR="00634717">
        <w:rPr>
          <w:szCs w:val="22"/>
        </w:rPr>
        <w:t>S</w:t>
      </w:r>
      <w:r w:rsidR="008E00B7">
        <w:rPr>
          <w:szCs w:val="22"/>
        </w:rPr>
        <w:t xml:space="preserve">ection </w:t>
      </w:r>
      <w:r w:rsidR="00BB3C31" w:rsidRPr="009F0A5B">
        <w:t>214</w:t>
      </w:r>
      <w:r w:rsidR="00BB3C31" w:rsidRPr="00BB3C31">
        <w:rPr>
          <w:szCs w:val="22"/>
        </w:rPr>
        <w:t xml:space="preserve"> authorizations would serve the public convenience and necessity.</w:t>
      </w:r>
      <w:r w:rsidR="004142B5">
        <w:rPr>
          <w:szCs w:val="22"/>
        </w:rPr>
        <w:t xml:space="preserve">  Each Company’s response must include evidence of current subscribers, revenue, and assets.</w:t>
      </w:r>
      <w:r w:rsidR="00BB3C31" w:rsidRPr="00BB3C31">
        <w:rPr>
          <w:szCs w:val="22"/>
        </w:rPr>
        <w:t xml:space="preserve">  </w:t>
      </w:r>
      <w:r w:rsidR="00447313">
        <w:t>If the Companies have not complied with the foregoing requirements, they have the opportunity to file a written response describing how they intend to achieve compliance and why the Commission should not revoke their domestic Section 214 authorizations.</w:t>
      </w:r>
      <w:r w:rsidR="00BB3C31" w:rsidRPr="00BB3C31">
        <w:rPr>
          <w:szCs w:val="22"/>
        </w:rPr>
        <w:t xml:space="preserve"> </w:t>
      </w:r>
    </w:p>
    <w:p w14:paraId="45E6076B" w14:textId="77777777" w:rsidR="00BB3C31" w:rsidRPr="009F0A5B" w:rsidRDefault="00BB3C31" w:rsidP="00BB3C31">
      <w:pPr>
        <w:pStyle w:val="Heading1"/>
      </w:pPr>
      <w:r w:rsidRPr="00BB3C31">
        <w:t>ORDERING CLAUSES</w:t>
      </w:r>
    </w:p>
    <w:p w14:paraId="24B769AA" w14:textId="63E03A26" w:rsidR="00BB3C31" w:rsidRPr="00BB3C31" w:rsidRDefault="00BB3C31" w:rsidP="00D6622B">
      <w:pPr>
        <w:pStyle w:val="ParaNum"/>
      </w:pPr>
      <w:r w:rsidRPr="00BB3C31">
        <w:t xml:space="preserve">Accordingly, </w:t>
      </w:r>
      <w:r w:rsidRPr="00BB3C31">
        <w:rPr>
          <w:b/>
        </w:rPr>
        <w:t xml:space="preserve">IT IS </w:t>
      </w:r>
      <w:r w:rsidRPr="00BB3C31">
        <w:rPr>
          <w:b/>
          <w:color w:val="000000"/>
        </w:rPr>
        <w:t>ORDERED</w:t>
      </w:r>
      <w:r w:rsidRPr="00BB3C31">
        <w:t xml:space="preserve"> that, pur</w:t>
      </w:r>
      <w:r w:rsidR="0072635F">
        <w:t>suant to Section</w:t>
      </w:r>
      <w:r w:rsidR="00E867AA">
        <w:t>s 4(j) and</w:t>
      </w:r>
      <w:r w:rsidR="0072635F">
        <w:t xml:space="preserve"> 403 of the Act</w:t>
      </w:r>
      <w:r w:rsidR="0028419A">
        <w:t xml:space="preserve"> and </w:t>
      </w:r>
      <w:r w:rsidR="00E867AA">
        <w:t xml:space="preserve">Sections 0.91, 0.111, 0.291, 0.311, </w:t>
      </w:r>
      <w:r w:rsidR="0028419A">
        <w:t>1.1</w:t>
      </w:r>
      <w:r w:rsidR="00E867AA">
        <w:t>, and 1.102(b)(1)</w:t>
      </w:r>
      <w:r w:rsidR="0028419A">
        <w:t xml:space="preserve"> of the Commission’s rules</w:t>
      </w:r>
      <w:r w:rsidR="0072635F">
        <w:t>,</w:t>
      </w:r>
      <w:r w:rsidRPr="009F0A5B">
        <w:rPr>
          <w:rStyle w:val="FootnoteReference"/>
        </w:rPr>
        <w:footnoteReference w:id="14"/>
      </w:r>
      <w:r w:rsidR="00403DDD">
        <w:t xml:space="preserve"> OneLink Communications</w:t>
      </w:r>
      <w:r w:rsidR="00403DDD" w:rsidRPr="009A150F">
        <w:t>, Inc.</w:t>
      </w:r>
      <w:r w:rsidR="00403DDD">
        <w:t>, TeleDias Communications, Inc., TeleUno, Inc., and Cytel, Inc</w:t>
      </w:r>
      <w:r w:rsidR="00403DDD">
        <w:rPr>
          <w:szCs w:val="22"/>
        </w:rPr>
        <w:t xml:space="preserve">. </w:t>
      </w:r>
      <w:r w:rsidRPr="00BB3C31">
        <w:rPr>
          <w:b/>
        </w:rPr>
        <w:t xml:space="preserve">SHALL </w:t>
      </w:r>
      <w:r w:rsidR="00D6622B">
        <w:rPr>
          <w:b/>
        </w:rPr>
        <w:t xml:space="preserve">FILE </w:t>
      </w:r>
      <w:r w:rsidR="00D6622B">
        <w:t>a written response pursuant</w:t>
      </w:r>
      <w:r w:rsidR="00D6622B" w:rsidRPr="00BB3C31">
        <w:rPr>
          <w:b/>
        </w:rPr>
        <w:t xml:space="preserve"> </w:t>
      </w:r>
      <w:r w:rsidRPr="00BB3C31">
        <w:t>to the req</w:t>
      </w:r>
      <w:r w:rsidRPr="00FD379C">
        <w:t>uest</w:t>
      </w:r>
      <w:r w:rsidR="003B5A5D">
        <w:t>s</w:t>
      </w:r>
      <w:r w:rsidRPr="00FD379C">
        <w:t xml:space="preserve"> in </w:t>
      </w:r>
      <w:r w:rsidRPr="009F0A5B">
        <w:t>paragraph</w:t>
      </w:r>
      <w:r w:rsidR="003B5A5D">
        <w:t xml:space="preserve"> </w:t>
      </w:r>
      <w:r w:rsidR="002929D2" w:rsidRPr="00B82D54">
        <w:t>8</w:t>
      </w:r>
      <w:r w:rsidR="008D399A">
        <w:t xml:space="preserve"> </w:t>
      </w:r>
      <w:r w:rsidRPr="00FD379C">
        <w:t>within</w:t>
      </w:r>
      <w:r w:rsidRPr="00BB3C31">
        <w:t xml:space="preserve"> thirty (30) calendar days from the release date of this Order.</w:t>
      </w:r>
    </w:p>
    <w:p w14:paraId="635EE166" w14:textId="5184D280" w:rsidR="0028419A" w:rsidRPr="0028419A" w:rsidRDefault="00BB3C31" w:rsidP="00240E80">
      <w:pPr>
        <w:pStyle w:val="ParaNum"/>
        <w:widowControl/>
      </w:pPr>
      <w:r w:rsidRPr="0072639F">
        <w:rPr>
          <w:b/>
        </w:rPr>
        <w:t xml:space="preserve">IT IS FURTHER ORDERED </w:t>
      </w:r>
      <w:r w:rsidRPr="00BB3C31">
        <w:t xml:space="preserve">that </w:t>
      </w:r>
      <w:r w:rsidR="0072635F">
        <w:t xml:space="preserve">copies </w:t>
      </w:r>
      <w:r w:rsidRPr="00BB3C31">
        <w:t>of this Order shall be sent by certified mail, return receipt requested, to</w:t>
      </w:r>
      <w:r w:rsidR="003E6EFB">
        <w:t xml:space="preserve">: </w:t>
      </w:r>
      <w:r w:rsidRPr="00BB3C31">
        <w:t xml:space="preserve"> </w:t>
      </w:r>
      <w:r w:rsidR="0072635F">
        <w:t xml:space="preserve">(1) </w:t>
      </w:r>
      <w:r w:rsidR="0072639F" w:rsidRPr="0072639F">
        <w:t>Michael Donahue and Jane L. Wagner, Marashlian &amp; Donahue, PLLC, attorneys for OneLink Communications, Inc.,</w:t>
      </w:r>
      <w:r w:rsidR="000D692A">
        <w:t xml:space="preserve"> </w:t>
      </w:r>
      <w:r w:rsidR="0072639F" w:rsidRPr="0072639F">
        <w:t>TeleDias Communications, Inc., TeleUno, Inc., and Cytel, Inc., 1420 Spring Hill Road, Suite 401,</w:t>
      </w:r>
      <w:r w:rsidR="0072639F">
        <w:t xml:space="preserve"> </w:t>
      </w:r>
      <w:r w:rsidR="0072639F" w:rsidRPr="0072639F">
        <w:t>McLean, VA</w:t>
      </w:r>
      <w:r w:rsidR="00E56203" w:rsidRPr="009F0A5B">
        <w:t xml:space="preserve"> 22102</w:t>
      </w:r>
      <w:r w:rsidR="0072635F" w:rsidRPr="009F0A5B">
        <w:t xml:space="preserve">; (2) </w:t>
      </w:r>
      <w:r w:rsidR="0028419A" w:rsidRPr="009F0A5B">
        <w:t xml:space="preserve">Enrique Martinez, CEO, OneLink Communications, Inc., 8400 N. University Dr., Ste. 204, Tamarac, FL, 33321; (3) </w:t>
      </w:r>
      <w:r w:rsidR="0072635F" w:rsidRPr="009F0A5B">
        <w:t>OneLink Communications, Inc., c/o CT Corporation System, 1015 15</w:t>
      </w:r>
      <w:r w:rsidR="0072635F" w:rsidRPr="0072635F">
        <w:rPr>
          <w:color w:val="000000"/>
          <w:vertAlign w:val="superscript"/>
        </w:rPr>
        <w:t>th</w:t>
      </w:r>
      <w:r w:rsidR="0072635F" w:rsidRPr="009F0A5B">
        <w:t xml:space="preserve"> Street, NW, Ste. 1000, Washington, DC, 20005; </w:t>
      </w:r>
      <w:r w:rsidR="0028419A" w:rsidRPr="009F0A5B">
        <w:t>(4</w:t>
      </w:r>
      <w:r w:rsidR="0072635F" w:rsidRPr="009F0A5B">
        <w:t xml:space="preserve">) </w:t>
      </w:r>
      <w:r w:rsidR="0028419A" w:rsidRPr="009F0A5B">
        <w:t xml:space="preserve">Carmen Asorey, CEO, </w:t>
      </w:r>
      <w:r w:rsidR="007B00F3" w:rsidRPr="009F0A5B">
        <w:t xml:space="preserve">TeleDias </w:t>
      </w:r>
      <w:r w:rsidR="0028419A" w:rsidRPr="009F0A5B">
        <w:t xml:space="preserve">Communications, Inc., 1100 California Dr., Ste. 204, Reno, NV, 89509; (5) </w:t>
      </w:r>
      <w:r w:rsidR="007B00F3" w:rsidRPr="009F0A5B">
        <w:t xml:space="preserve">TeleDias </w:t>
      </w:r>
      <w:r w:rsidR="0072635F" w:rsidRPr="009F0A5B">
        <w:t>Communications, Inc., c/o CT Corporation System, 1015 15</w:t>
      </w:r>
      <w:r w:rsidR="0072635F" w:rsidRPr="0072635F">
        <w:rPr>
          <w:color w:val="000000"/>
          <w:vertAlign w:val="superscript"/>
        </w:rPr>
        <w:t>th</w:t>
      </w:r>
      <w:r w:rsidR="0072635F" w:rsidRPr="009F0A5B">
        <w:t xml:space="preserve"> Street, NW, Ste. 1000, Washington, DC, 20005</w:t>
      </w:r>
      <w:r w:rsidR="0028419A" w:rsidRPr="009F0A5B">
        <w:t>; (6</w:t>
      </w:r>
      <w:r w:rsidR="0072635F" w:rsidRPr="009F0A5B">
        <w:t xml:space="preserve">) Christina Perry, CEO, Cytel Inc., 2700 W Atlantic Blvd., Ste. 280, Pompano Beach, FL, 33069; </w:t>
      </w:r>
      <w:r w:rsidR="0028419A" w:rsidRPr="009F0A5B">
        <w:t xml:space="preserve">(7) </w:t>
      </w:r>
      <w:r w:rsidR="0072635F" w:rsidRPr="009F0A5B">
        <w:t>Cytel, Inc., c/o CT Corporation System, 1015 15</w:t>
      </w:r>
      <w:r w:rsidR="0072635F" w:rsidRPr="0072635F">
        <w:rPr>
          <w:color w:val="000000"/>
          <w:vertAlign w:val="superscript"/>
        </w:rPr>
        <w:t>th</w:t>
      </w:r>
      <w:r w:rsidR="0072635F" w:rsidRPr="009F0A5B">
        <w:t xml:space="preserve"> Street, NW, Ste. 1000, Washington, DC, 20005</w:t>
      </w:r>
      <w:r w:rsidR="0028419A" w:rsidRPr="009F0A5B">
        <w:t>; (8</w:t>
      </w:r>
      <w:r w:rsidR="0072635F" w:rsidRPr="009F0A5B">
        <w:t xml:space="preserve">) Avelino Iglesia, CEO, TeleUno, Inc., 2754 W </w:t>
      </w:r>
      <w:r w:rsidR="003206BA" w:rsidRPr="009F0A5B">
        <w:t>Atlantic Blvd., Ste. 8, Pompano</w:t>
      </w:r>
      <w:r w:rsidR="0072635F" w:rsidRPr="009F0A5B">
        <w:t xml:space="preserve"> Beach, FL, 33069; </w:t>
      </w:r>
      <w:r w:rsidR="0028419A" w:rsidRPr="009F0A5B">
        <w:t>(9</w:t>
      </w:r>
      <w:r w:rsidR="0072635F" w:rsidRPr="009F0A5B">
        <w:t>) TeleUno, Inc., c/o CT Corporation System, 1015 15</w:t>
      </w:r>
      <w:r w:rsidR="0072635F" w:rsidRPr="0072635F">
        <w:rPr>
          <w:color w:val="000000"/>
          <w:vertAlign w:val="superscript"/>
        </w:rPr>
        <w:t>th</w:t>
      </w:r>
      <w:r w:rsidR="0072635F" w:rsidRPr="009F0A5B">
        <w:t xml:space="preserve"> Street, NW, Ste. 1000, Washington, DC, 20005.</w:t>
      </w:r>
      <w:r w:rsidRPr="009F0A5B">
        <w:t xml:space="preserve">  </w:t>
      </w:r>
    </w:p>
    <w:p w14:paraId="2B5D77C6" w14:textId="1C627862" w:rsidR="00BB3C31" w:rsidRPr="00BB3C31" w:rsidRDefault="002743F8" w:rsidP="00BB58B4">
      <w:pPr>
        <w:pStyle w:val="ParaNum"/>
        <w:keepNext/>
        <w:keepLines/>
      </w:pPr>
      <w:r w:rsidRPr="0072639F">
        <w:rPr>
          <w:b/>
        </w:rPr>
        <w:t xml:space="preserve">IT IS FURTHER ORDERED </w:t>
      </w:r>
      <w:r w:rsidRPr="00BB3C31">
        <w:t xml:space="preserve">that </w:t>
      </w:r>
      <w:r w:rsidR="0028419A" w:rsidRPr="009F0A5B">
        <w:t xml:space="preserve">this </w:t>
      </w:r>
      <w:r w:rsidRPr="009F0A5B">
        <w:t xml:space="preserve">Order </w:t>
      </w:r>
      <w:r w:rsidR="0028419A" w:rsidRPr="0028419A">
        <w:rPr>
          <w:b/>
          <w:color w:val="000000"/>
        </w:rPr>
        <w:t>SHALL BE POSTED</w:t>
      </w:r>
      <w:r w:rsidR="0028419A" w:rsidRPr="009F0A5B">
        <w:t xml:space="preserve"> in the Commission’s Office of the Secretary.</w:t>
      </w:r>
      <w:r w:rsidR="0028419A">
        <w:rPr>
          <w:rStyle w:val="FootnoteReference"/>
        </w:rPr>
        <w:footnoteReference w:id="15"/>
      </w:r>
    </w:p>
    <w:p w14:paraId="334960E9" w14:textId="77777777" w:rsidR="000D692A" w:rsidRDefault="00BB3C31" w:rsidP="00BB58B4">
      <w:pPr>
        <w:keepNext/>
        <w:keepLines/>
      </w:pPr>
      <w:r w:rsidRPr="00BB3C31">
        <w:tab/>
      </w:r>
      <w:r w:rsidRPr="00BB3C31">
        <w:tab/>
      </w:r>
      <w:r w:rsidRPr="00BB3C31">
        <w:tab/>
      </w:r>
      <w:r w:rsidRPr="00BB3C31">
        <w:tab/>
      </w:r>
      <w:r w:rsidRPr="00BB3C31">
        <w:tab/>
      </w:r>
      <w:r w:rsidRPr="00BB3C31">
        <w:tab/>
      </w:r>
    </w:p>
    <w:p w14:paraId="3BC8B8AD" w14:textId="21179341" w:rsidR="00BB3C31" w:rsidRPr="00BB3C31" w:rsidRDefault="00BB3C31" w:rsidP="00BB58B4">
      <w:pPr>
        <w:keepNext/>
        <w:keepLines/>
        <w:ind w:left="4320"/>
      </w:pPr>
      <w:r w:rsidRPr="00BB3C31">
        <w:t>FEDERAL COMMUNICATIONS COMMISSION</w:t>
      </w:r>
    </w:p>
    <w:p w14:paraId="1E61A535" w14:textId="77777777" w:rsidR="00BB3C31" w:rsidRDefault="00BB3C31" w:rsidP="00BB58B4">
      <w:pPr>
        <w:keepNext/>
        <w:keepLines/>
      </w:pPr>
      <w:r w:rsidRPr="00BB3C31">
        <w:tab/>
      </w:r>
      <w:r w:rsidRPr="00BB3C31">
        <w:tab/>
      </w:r>
      <w:r w:rsidRPr="00BB3C31">
        <w:tab/>
      </w:r>
    </w:p>
    <w:p w14:paraId="032F8B2E" w14:textId="77777777" w:rsidR="00263FAA" w:rsidRPr="00BB3C31" w:rsidRDefault="00263FAA" w:rsidP="00BB58B4">
      <w:pPr>
        <w:keepNext/>
        <w:keepLines/>
        <w:rPr>
          <w:color w:val="000000"/>
        </w:rPr>
      </w:pPr>
    </w:p>
    <w:p w14:paraId="230BAC5C" w14:textId="77777777" w:rsidR="00BB3C31" w:rsidRDefault="00BB3C31" w:rsidP="00BB58B4">
      <w:pPr>
        <w:keepNext/>
        <w:keepLines/>
        <w:ind w:left="4320"/>
        <w:rPr>
          <w:color w:val="000000"/>
        </w:rPr>
      </w:pPr>
      <w:r w:rsidRPr="00BB3C31">
        <w:rPr>
          <w:color w:val="000000"/>
        </w:rPr>
        <w:tab/>
      </w:r>
      <w:r w:rsidRPr="00BB3C31">
        <w:rPr>
          <w:color w:val="000000"/>
        </w:rPr>
        <w:tab/>
      </w:r>
      <w:r w:rsidRPr="00BB3C31">
        <w:rPr>
          <w:color w:val="000000"/>
        </w:rPr>
        <w:tab/>
      </w:r>
      <w:r w:rsidRPr="00BB3C31">
        <w:rPr>
          <w:color w:val="000000"/>
        </w:rPr>
        <w:tab/>
      </w:r>
      <w:r w:rsidRPr="00BB3C31">
        <w:rPr>
          <w:color w:val="000000"/>
        </w:rPr>
        <w:tab/>
      </w:r>
    </w:p>
    <w:p w14:paraId="5C1FE924" w14:textId="77777777" w:rsidR="002F0BD2" w:rsidRPr="00BB3C31" w:rsidRDefault="002F0BD2" w:rsidP="00BB58B4">
      <w:pPr>
        <w:keepNext/>
        <w:keepLines/>
        <w:ind w:left="4320"/>
        <w:rPr>
          <w:color w:val="000000"/>
        </w:rPr>
      </w:pPr>
    </w:p>
    <w:p w14:paraId="11E0118D" w14:textId="77777777" w:rsidR="00BB3C31" w:rsidRPr="00BB3C31" w:rsidRDefault="00BB3C31" w:rsidP="00BB58B4">
      <w:pPr>
        <w:keepNext/>
        <w:keepLines/>
        <w:ind w:left="4320"/>
        <w:rPr>
          <w:szCs w:val="22"/>
        </w:rPr>
      </w:pPr>
      <w:r w:rsidRPr="00BB3C31">
        <w:rPr>
          <w:szCs w:val="22"/>
        </w:rPr>
        <w:t>Richard A. Hindman</w:t>
      </w:r>
    </w:p>
    <w:p w14:paraId="5C0E16AD" w14:textId="77777777" w:rsidR="00BB3C31" w:rsidRPr="009F0A5B" w:rsidRDefault="00BB3C31" w:rsidP="00BB58B4">
      <w:pPr>
        <w:keepNext/>
        <w:keepLines/>
        <w:ind w:left="4320"/>
      </w:pPr>
      <w:r w:rsidRPr="009F0A5B">
        <w:t>Chief</w:t>
      </w:r>
    </w:p>
    <w:p w14:paraId="2388DD7D" w14:textId="77777777" w:rsidR="00BB3C31" w:rsidRPr="009F0A5B" w:rsidRDefault="00BB3C31" w:rsidP="00BB58B4">
      <w:pPr>
        <w:keepNext/>
        <w:keepLines/>
        <w:ind w:left="4320"/>
        <w:rPr>
          <w:szCs w:val="22"/>
        </w:rPr>
      </w:pPr>
      <w:r w:rsidRPr="009F0A5B">
        <w:rPr>
          <w:szCs w:val="22"/>
        </w:rPr>
        <w:t xml:space="preserve">Telecommunications Consumers Division </w:t>
      </w:r>
    </w:p>
    <w:p w14:paraId="54A5DACD" w14:textId="77777777" w:rsidR="00BB3C31" w:rsidRPr="002F0BD2" w:rsidRDefault="00BB3C31" w:rsidP="00BB58B4">
      <w:pPr>
        <w:keepNext/>
        <w:keepLines/>
        <w:ind w:left="4320"/>
        <w:rPr>
          <w:szCs w:val="22"/>
        </w:rPr>
      </w:pPr>
      <w:r w:rsidRPr="009F0A5B">
        <w:rPr>
          <w:szCs w:val="22"/>
        </w:rPr>
        <w:t>Enforcement Bureau</w:t>
      </w:r>
      <w:r w:rsidRPr="002F0BD2">
        <w:rPr>
          <w:szCs w:val="22"/>
        </w:rPr>
        <w:t xml:space="preserve"> </w:t>
      </w:r>
    </w:p>
    <w:p w14:paraId="79C7D4DE" w14:textId="77777777" w:rsidR="00BB3C31" w:rsidRPr="00BB3C31" w:rsidRDefault="00BB3C31" w:rsidP="00BB58B4">
      <w:pPr>
        <w:keepNext/>
        <w:keepLines/>
        <w:ind w:left="4320"/>
        <w:rPr>
          <w:szCs w:val="22"/>
        </w:rPr>
      </w:pPr>
    </w:p>
    <w:p w14:paraId="023E4628" w14:textId="77777777" w:rsidR="00BB3C31" w:rsidRPr="00BB3C31" w:rsidRDefault="00BB3C31" w:rsidP="00BB58B4">
      <w:pPr>
        <w:keepNext/>
        <w:keepLines/>
        <w:ind w:left="4320"/>
        <w:rPr>
          <w:szCs w:val="22"/>
        </w:rPr>
      </w:pPr>
    </w:p>
    <w:p w14:paraId="37884E45" w14:textId="77777777" w:rsidR="00263FAA" w:rsidRDefault="00263FAA" w:rsidP="00BB58B4">
      <w:pPr>
        <w:keepNext/>
        <w:keepLines/>
        <w:ind w:left="4320"/>
        <w:rPr>
          <w:szCs w:val="22"/>
        </w:rPr>
      </w:pPr>
    </w:p>
    <w:p w14:paraId="4F3FFF6A" w14:textId="77777777" w:rsidR="002F0BD2" w:rsidRDefault="002F0BD2" w:rsidP="00BB58B4">
      <w:pPr>
        <w:keepNext/>
        <w:keepLines/>
        <w:ind w:left="4320"/>
        <w:rPr>
          <w:szCs w:val="22"/>
        </w:rPr>
      </w:pPr>
    </w:p>
    <w:p w14:paraId="784A227D" w14:textId="77777777" w:rsidR="00BB3C31" w:rsidRPr="00BB3C31" w:rsidRDefault="00BB3C31" w:rsidP="00BB58B4">
      <w:pPr>
        <w:keepNext/>
        <w:keepLines/>
        <w:ind w:left="4320"/>
        <w:rPr>
          <w:szCs w:val="22"/>
        </w:rPr>
      </w:pPr>
      <w:r w:rsidRPr="00BB3C31">
        <w:rPr>
          <w:szCs w:val="22"/>
        </w:rPr>
        <w:t>Daniel Kahn</w:t>
      </w:r>
    </w:p>
    <w:p w14:paraId="4F1A1E01" w14:textId="77777777" w:rsidR="00BB3C31" w:rsidRPr="00BB3C31" w:rsidRDefault="00BB3C31" w:rsidP="00BB58B4">
      <w:pPr>
        <w:keepNext/>
        <w:keepLines/>
        <w:ind w:left="4320"/>
        <w:rPr>
          <w:szCs w:val="22"/>
        </w:rPr>
      </w:pPr>
      <w:r w:rsidRPr="00BB3C31">
        <w:rPr>
          <w:szCs w:val="22"/>
        </w:rPr>
        <w:t>Chief</w:t>
      </w:r>
    </w:p>
    <w:p w14:paraId="37FDEB4C" w14:textId="77777777" w:rsidR="00BB3C31" w:rsidRPr="00BB3C31" w:rsidRDefault="00BB3C31" w:rsidP="00BB58B4">
      <w:pPr>
        <w:keepNext/>
        <w:keepLines/>
        <w:ind w:left="4320"/>
        <w:rPr>
          <w:szCs w:val="22"/>
        </w:rPr>
      </w:pPr>
      <w:r w:rsidRPr="00BB3C31">
        <w:rPr>
          <w:szCs w:val="22"/>
        </w:rPr>
        <w:t>Competition Policy Division</w:t>
      </w:r>
    </w:p>
    <w:p w14:paraId="2338A1C5" w14:textId="77777777" w:rsidR="002C00E8" w:rsidRPr="00BB3C31" w:rsidRDefault="00BB3C31" w:rsidP="00BB58B4">
      <w:pPr>
        <w:keepNext/>
        <w:keepLines/>
        <w:ind w:left="3600" w:firstLine="720"/>
      </w:pPr>
      <w:r w:rsidRPr="00BB3C31">
        <w:rPr>
          <w:szCs w:val="22"/>
        </w:rPr>
        <w:t>Wireline Competition Bureau</w:t>
      </w:r>
    </w:p>
    <w:sectPr w:rsidR="002C00E8" w:rsidRPr="00BB3C31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1457" w14:textId="77777777" w:rsidR="006E564B" w:rsidRDefault="006E564B">
      <w:pPr>
        <w:spacing w:line="20" w:lineRule="exact"/>
      </w:pPr>
    </w:p>
  </w:endnote>
  <w:endnote w:type="continuationSeparator" w:id="0">
    <w:p w14:paraId="41BB907A" w14:textId="77777777" w:rsidR="006E564B" w:rsidRDefault="006E564B">
      <w:r>
        <w:t xml:space="preserve"> </w:t>
      </w:r>
    </w:p>
  </w:endnote>
  <w:endnote w:type="continuationNotice" w:id="1">
    <w:p w14:paraId="1B58712E" w14:textId="77777777" w:rsidR="006E564B" w:rsidRDefault="006E56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19EF" w14:textId="77777777" w:rsidR="005C59A0" w:rsidRDefault="005C59A0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1E5C129" w14:textId="77777777" w:rsidR="005C59A0" w:rsidRDefault="005C5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D12A" w14:textId="77777777" w:rsidR="005C59A0" w:rsidRDefault="005C59A0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A4B00">
      <w:rPr>
        <w:noProof/>
      </w:rPr>
      <w:t>2</w:t>
    </w:r>
    <w:r>
      <w:fldChar w:fldCharType="end"/>
    </w:r>
  </w:p>
  <w:p w14:paraId="2F587785" w14:textId="1B14D827" w:rsidR="005C59A0" w:rsidRDefault="005C59A0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39AF" w14:textId="06C50E5B" w:rsidR="005C59A0" w:rsidRDefault="005C59A0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E2E9" w14:textId="77777777" w:rsidR="006E564B" w:rsidRDefault="006E564B">
      <w:r>
        <w:separator/>
      </w:r>
    </w:p>
  </w:footnote>
  <w:footnote w:type="continuationSeparator" w:id="0">
    <w:p w14:paraId="141EF5F6" w14:textId="77777777" w:rsidR="006E564B" w:rsidRDefault="006E564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A3697B5" w14:textId="77777777" w:rsidR="006E564B" w:rsidRDefault="006E564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23318114" w14:textId="60AE0C1B" w:rsidR="005C59A0" w:rsidRDefault="005C59A0" w:rsidP="009B6ACB">
      <w:pPr>
        <w:pStyle w:val="FootnoteText"/>
      </w:pPr>
      <w:r>
        <w:rPr>
          <w:rStyle w:val="FootnoteReference"/>
        </w:rPr>
        <w:footnoteRef/>
      </w:r>
      <w:r>
        <w:t xml:space="preserve"> The Companies, like all telecommunications carriers, have blanket Section 214 domestic authority.  In 1999, the Commission granted all telecommunications carriers blanket authority under Section 214 </w:t>
      </w:r>
      <w:r w:rsidR="00F32DFD">
        <w:t xml:space="preserve">of the Communications Act of 1934, as amended (Act), </w:t>
      </w:r>
      <w:r>
        <w:t xml:space="preserve">to provide domestic interstate services and to construct or operate any domestic transmission line.  </w:t>
      </w:r>
      <w:r w:rsidRPr="00EE7079">
        <w:rPr>
          <w:i/>
        </w:rPr>
        <w:t>Implementation of Section 402(b)(2)(A) of the Telecomm</w:t>
      </w:r>
      <w:r>
        <w:rPr>
          <w:i/>
        </w:rPr>
        <w:t>unications</w:t>
      </w:r>
      <w:r w:rsidRPr="00EE7079">
        <w:rPr>
          <w:i/>
        </w:rPr>
        <w:t xml:space="preserve"> Act of 1996</w:t>
      </w:r>
      <w:r>
        <w:rPr>
          <w:i/>
        </w:rPr>
        <w:t xml:space="preserve"> et al.</w:t>
      </w:r>
      <w:r>
        <w:t>, Report and Order in CC Docket No. 97-11, Second Memorandum Opinion and Order in AAD File No. 98-43, 14 FCC Rcd 1</w:t>
      </w:r>
      <w:r w:rsidR="00F7261B">
        <w:t>1364, 11365–66, para. 2 (1999)</w:t>
      </w:r>
      <w:r>
        <w:t>; 47 CFR § 63.01</w:t>
      </w:r>
      <w:r w:rsidRPr="00F33E59">
        <w:t>.</w:t>
      </w:r>
    </w:p>
  </w:footnote>
  <w:footnote w:id="3">
    <w:p w14:paraId="0698FC29" w14:textId="40AED871" w:rsidR="005C59A0" w:rsidRDefault="005C59A0" w:rsidP="001B6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46F5">
        <w:rPr>
          <w:i/>
        </w:rPr>
        <w:t>See</w:t>
      </w:r>
      <w:r>
        <w:t xml:space="preserve"> ITC-214-20010918-00487 (OneLink); ITC-214-20020808-00394 (TeleDias); ITC-214-20000906-00521 (TeleUno); ITC-214-20100817-00331 (Cytel).  </w:t>
      </w:r>
    </w:p>
  </w:footnote>
  <w:footnote w:id="4">
    <w:p w14:paraId="00B59579" w14:textId="58A7CC9A" w:rsidR="005C59A0" w:rsidRDefault="005C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7BB0">
        <w:rPr>
          <w:i/>
        </w:rPr>
        <w:t>OneLink Communications, Inc., et al</w:t>
      </w:r>
      <w:r>
        <w:t>, Notice of Apparent Liability for Forfeiture, 31 FCC Rcd 1403, 1404, para. 4 (2016).</w:t>
      </w:r>
    </w:p>
  </w:footnote>
  <w:footnote w:id="5">
    <w:p w14:paraId="0C790714" w14:textId="3FD75241" w:rsidR="005C59A0" w:rsidRPr="00984C9A" w:rsidRDefault="005C59A0" w:rsidP="001D4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</w:p>
  </w:footnote>
  <w:footnote w:id="6">
    <w:p w14:paraId="604F617F" w14:textId="620B7EAC" w:rsidR="005C59A0" w:rsidRDefault="005C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66D4">
        <w:rPr>
          <w:i/>
        </w:rPr>
        <w:t>International Authorizations Granted</w:t>
      </w:r>
      <w:r>
        <w:t>, Public Notice, 31 FCC Rcd 10876, 10880 (IB 2016).</w:t>
      </w:r>
    </w:p>
  </w:footnote>
  <w:footnote w:id="7">
    <w:p w14:paraId="7F802215" w14:textId="6ED943CC" w:rsidR="005C59A0" w:rsidRDefault="005C59A0">
      <w:pPr>
        <w:pStyle w:val="FootnoteText"/>
      </w:pPr>
      <w:r>
        <w:rPr>
          <w:rStyle w:val="FootnoteReference"/>
        </w:rPr>
        <w:footnoteRef/>
      </w:r>
      <w:r>
        <w:t xml:space="preserve"> Letter to One</w:t>
      </w:r>
      <w:r w:rsidR="00792382">
        <w:t>L</w:t>
      </w:r>
      <w:r>
        <w:t>ink Communications, Inc</w:t>
      </w:r>
      <w:r w:rsidR="00A37116">
        <w:t>.</w:t>
      </w:r>
      <w:r>
        <w:t xml:space="preserve">, from Jeanette Lo, Chief, Utility Enforcement Branch, Consumer Protection and Enforcement Division, California </w:t>
      </w:r>
      <w:r w:rsidR="00A37116">
        <w:t xml:space="preserve">Public Utilities Commission </w:t>
      </w:r>
      <w:r>
        <w:t xml:space="preserve">(Sept. 13, 2016). </w:t>
      </w:r>
    </w:p>
  </w:footnote>
  <w:footnote w:id="8">
    <w:p w14:paraId="2897765A" w14:textId="1ABD08CE" w:rsidR="005C59A0" w:rsidRDefault="005C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19A">
        <w:rPr>
          <w:i/>
        </w:rPr>
        <w:t>Id</w:t>
      </w:r>
      <w:r>
        <w:t>.</w:t>
      </w:r>
    </w:p>
  </w:footnote>
  <w:footnote w:id="9">
    <w:p w14:paraId="5C10B592" w14:textId="05178DB6" w:rsidR="00511346" w:rsidRDefault="00511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346">
        <w:rPr>
          <w:i/>
        </w:rPr>
        <w:t>See</w:t>
      </w:r>
      <w:r>
        <w:t xml:space="preserve"> 47 U.S.C. § 214(a); 47 CFR § 63.71.</w:t>
      </w:r>
    </w:p>
  </w:footnote>
  <w:footnote w:id="10">
    <w:p w14:paraId="27576158" w14:textId="46EFCEB5" w:rsidR="001875B5" w:rsidRDefault="001875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75B5">
        <w:rPr>
          <w:i/>
        </w:rPr>
        <w:t>See</w:t>
      </w:r>
      <w:r w:rsidRPr="001875B5">
        <w:t xml:space="preserve"> 47 U.S.C. § 214(a); 47 CFR § 63.71.</w:t>
      </w:r>
    </w:p>
  </w:footnote>
  <w:footnote w:id="11">
    <w:p w14:paraId="27E1D95B" w14:textId="2C236CD0" w:rsidR="00C0704C" w:rsidRDefault="00C0704C" w:rsidP="00CE7D53">
      <w:pPr>
        <w:pStyle w:val="CommentText"/>
        <w:spacing w:after="120"/>
      </w:pPr>
      <w:r>
        <w:rPr>
          <w:rStyle w:val="FootnoteReference"/>
        </w:rPr>
        <w:footnoteRef/>
      </w:r>
      <w:r>
        <w:t xml:space="preserve"> </w:t>
      </w:r>
      <w:r w:rsidR="0030728C">
        <w:rPr>
          <w:i/>
        </w:rPr>
        <w:t xml:space="preserve">See, e.g., </w:t>
      </w:r>
      <w:r w:rsidR="0030728C">
        <w:t>Detailed Information for OneLink Communications, Inc., Federal Communications Commission Form 499 Filer Database</w:t>
      </w:r>
      <w:r w:rsidR="002366D4">
        <w:t xml:space="preserve">, </w:t>
      </w:r>
      <w:r w:rsidR="0030728C" w:rsidRPr="0030728C">
        <w:t>http://apps.fcc.gov/cgb/form499/499detail.cfm?FilerNum=823296</w:t>
      </w:r>
      <w:r w:rsidR="0030728C" w:rsidRPr="0030728C" w:rsidDel="0030728C">
        <w:t xml:space="preserve"> </w:t>
      </w:r>
      <w:r w:rsidR="002366D4">
        <w:t xml:space="preserve">(last visited </w:t>
      </w:r>
      <w:r w:rsidR="0030728C">
        <w:t>Mar</w:t>
      </w:r>
      <w:r w:rsidR="002366D4">
        <w:t xml:space="preserve">. </w:t>
      </w:r>
      <w:r w:rsidR="0030728C">
        <w:t>6</w:t>
      </w:r>
      <w:r w:rsidR="002366D4">
        <w:t>, 2017) (indicating that the Compan</w:t>
      </w:r>
      <w:r w:rsidR="0030728C">
        <w:t>y</w:t>
      </w:r>
      <w:r w:rsidR="002366D4">
        <w:t xml:space="preserve"> </w:t>
      </w:r>
      <w:r w:rsidR="00684D47">
        <w:t>provides</w:t>
      </w:r>
      <w:r w:rsidR="002366D4">
        <w:t xml:space="preserve"> telecommuni</w:t>
      </w:r>
      <w:r w:rsidR="00684D47">
        <w:t>cations services in California);</w:t>
      </w:r>
      <w:r w:rsidR="002366D4">
        <w:t xml:space="preserve"> </w:t>
      </w:r>
      <w:r w:rsidR="00684D47">
        <w:rPr>
          <w:i/>
        </w:rPr>
        <w:t>s</w:t>
      </w:r>
      <w:r w:rsidR="00F87EA3" w:rsidRPr="00F87EA3">
        <w:rPr>
          <w:i/>
        </w:rPr>
        <w:t>ee</w:t>
      </w:r>
      <w:r w:rsidR="00684D47">
        <w:rPr>
          <w:i/>
        </w:rPr>
        <w:t xml:space="preserve"> also</w:t>
      </w:r>
      <w:r w:rsidR="00F87EA3">
        <w:t xml:space="preserve"> 47 CFR </w:t>
      </w:r>
      <w:r w:rsidR="00EE6517">
        <w:t>§</w:t>
      </w:r>
      <w:r w:rsidR="00F87EA3">
        <w:t xml:space="preserve"> 64.1195</w:t>
      </w:r>
      <w:r w:rsidR="00EE6517">
        <w:t>(g);</w:t>
      </w:r>
      <w:r w:rsidR="004E2C08">
        <w:t xml:space="preserve"> </w:t>
      </w:r>
      <w:r w:rsidR="00EE6517">
        <w:t xml:space="preserve"> </w:t>
      </w:r>
      <w:r w:rsidR="004E2C08" w:rsidRPr="004E2C08">
        <w:rPr>
          <w:i/>
        </w:rPr>
        <w:t>id.</w:t>
      </w:r>
      <w:r w:rsidR="004E2C08">
        <w:t xml:space="preserve"> § 64.1195(b)(5) (</w:t>
      </w:r>
      <w:r w:rsidR="00EE6517">
        <w:t xml:space="preserve">requiring the carrier to identify </w:t>
      </w:r>
      <w:r w:rsidR="004E2C08">
        <w:t>“[t]he states in which the carrier provides telecommunications”)</w:t>
      </w:r>
      <w:r w:rsidR="006D3406">
        <w:t>.</w:t>
      </w:r>
    </w:p>
  </w:footnote>
  <w:footnote w:id="12">
    <w:p w14:paraId="5462005B" w14:textId="3C87BAFD" w:rsidR="002C6B5F" w:rsidRDefault="002C6B5F" w:rsidP="002C6B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69D6">
        <w:rPr>
          <w:i/>
        </w:rPr>
        <w:t>See</w:t>
      </w:r>
      <w:r>
        <w:t xml:space="preserve"> 47 CFR § 54.711(a)</w:t>
      </w:r>
      <w:r w:rsidR="001D28F9">
        <w:t xml:space="preserve">; </w:t>
      </w:r>
      <w:r w:rsidR="001D28F9" w:rsidRPr="00C362CF">
        <w:rPr>
          <w:i/>
        </w:rPr>
        <w:t>Federal-State Joint Board on Universal Service</w:t>
      </w:r>
      <w:r w:rsidR="001D28F9">
        <w:t>, Report and Order and Order on Reconsideration, 16 FCC Rcd 5748, 5755, para. 19 (2001)</w:t>
      </w:r>
      <w:r>
        <w:t>.</w:t>
      </w:r>
    </w:p>
  </w:footnote>
  <w:footnote w:id="13">
    <w:p w14:paraId="4C3656E7" w14:textId="7087090B" w:rsidR="005C59A0" w:rsidRDefault="005C59A0" w:rsidP="00362C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461E" w:rsidRPr="00BA461E">
        <w:rPr>
          <w:i/>
        </w:rPr>
        <w:t>See</w:t>
      </w:r>
      <w:r w:rsidR="00BA461E">
        <w:t xml:space="preserve"> </w:t>
      </w:r>
      <w:r>
        <w:t>47 U.S.C. §§ 154(j), 403; 47 CFR § 1.1.</w:t>
      </w:r>
    </w:p>
  </w:footnote>
  <w:footnote w:id="14">
    <w:p w14:paraId="5A1CB6D1" w14:textId="1DFD2A29" w:rsidR="005C59A0" w:rsidRDefault="005C59A0" w:rsidP="00BB3C31">
      <w:pPr>
        <w:pStyle w:val="FootnoteText"/>
      </w:pPr>
      <w:r>
        <w:rPr>
          <w:rStyle w:val="FootnoteReference"/>
        </w:rPr>
        <w:footnoteRef/>
      </w:r>
      <w:r>
        <w:t xml:space="preserve"> 47 U.S.C. §§ 154(j), 403; 47 CFR §§ 0.91, 0.111, 0.291, 0.311, 1.1, 1.102(b)(1).</w:t>
      </w:r>
    </w:p>
  </w:footnote>
  <w:footnote w:id="15">
    <w:p w14:paraId="7E1AB458" w14:textId="3E2B6DD3" w:rsidR="005C59A0" w:rsidRDefault="005C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19A">
        <w:rPr>
          <w:i/>
        </w:rPr>
        <w:t>See</w:t>
      </w:r>
      <w:r>
        <w:t xml:space="preserve"> 47 CFR § 1.47(h).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C08C" w14:textId="77777777" w:rsidR="000012F9" w:rsidRDefault="00001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38BB" w14:textId="7D0515B3" w:rsidR="005C59A0" w:rsidRDefault="005C59A0" w:rsidP="00810B6F">
    <w:pPr>
      <w:pStyle w:val="Header"/>
      <w:rPr>
        <w:b w:val="0"/>
      </w:rPr>
    </w:pPr>
    <w:r>
      <w:tab/>
      <w:t>Federal Communications Commission</w:t>
    </w:r>
    <w:r>
      <w:tab/>
      <w:t xml:space="preserve">DA </w:t>
    </w:r>
    <w:r w:rsidR="00D97AD7">
      <w:t>17-248</w:t>
    </w:r>
  </w:p>
  <w:p w14:paraId="04E92EB6" w14:textId="77777777" w:rsidR="005C59A0" w:rsidRDefault="005C59A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31B52D3" wp14:editId="2A45636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62AE55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0B1A841" w14:textId="77777777" w:rsidR="005C59A0" w:rsidRDefault="005C59A0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DED1" w14:textId="043AC47F" w:rsidR="005C59A0" w:rsidRDefault="005C59A0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30294AC" wp14:editId="550E5DCE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216A09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  <w:t xml:space="preserve">DA </w:t>
    </w:r>
    <w:r w:rsidR="00D97AD7">
      <w:t>17-248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1"/>
    <w:rsid w:val="000012F9"/>
    <w:rsid w:val="00001521"/>
    <w:rsid w:val="00001659"/>
    <w:rsid w:val="00004FB7"/>
    <w:rsid w:val="00020815"/>
    <w:rsid w:val="0003377D"/>
    <w:rsid w:val="000354D5"/>
    <w:rsid w:val="00036039"/>
    <w:rsid w:val="00037F90"/>
    <w:rsid w:val="00041FF0"/>
    <w:rsid w:val="00046B7A"/>
    <w:rsid w:val="00051AF8"/>
    <w:rsid w:val="000551E4"/>
    <w:rsid w:val="00063D8B"/>
    <w:rsid w:val="00075A52"/>
    <w:rsid w:val="000870D4"/>
    <w:rsid w:val="000875BF"/>
    <w:rsid w:val="00096D8C"/>
    <w:rsid w:val="000A5642"/>
    <w:rsid w:val="000A6A0A"/>
    <w:rsid w:val="000C0B65"/>
    <w:rsid w:val="000C5358"/>
    <w:rsid w:val="000D1B92"/>
    <w:rsid w:val="000D39C7"/>
    <w:rsid w:val="000D3FC1"/>
    <w:rsid w:val="000D692A"/>
    <w:rsid w:val="000D7270"/>
    <w:rsid w:val="000E05FE"/>
    <w:rsid w:val="000E109E"/>
    <w:rsid w:val="000E3D42"/>
    <w:rsid w:val="000F2740"/>
    <w:rsid w:val="00122BD5"/>
    <w:rsid w:val="00122E1A"/>
    <w:rsid w:val="00126154"/>
    <w:rsid w:val="00131FF4"/>
    <w:rsid w:val="00133F79"/>
    <w:rsid w:val="001402AE"/>
    <w:rsid w:val="00140631"/>
    <w:rsid w:val="00167C89"/>
    <w:rsid w:val="00180D04"/>
    <w:rsid w:val="00182008"/>
    <w:rsid w:val="001875B5"/>
    <w:rsid w:val="00194A66"/>
    <w:rsid w:val="001A4F0C"/>
    <w:rsid w:val="001B28FF"/>
    <w:rsid w:val="001B6BEE"/>
    <w:rsid w:val="001C57FA"/>
    <w:rsid w:val="001D28F9"/>
    <w:rsid w:val="001D444F"/>
    <w:rsid w:val="001D4F02"/>
    <w:rsid w:val="001D4F29"/>
    <w:rsid w:val="001D63BA"/>
    <w:rsid w:val="001D6BCF"/>
    <w:rsid w:val="001E01CA"/>
    <w:rsid w:val="001E62BA"/>
    <w:rsid w:val="001F15A7"/>
    <w:rsid w:val="001F6133"/>
    <w:rsid w:val="00207F00"/>
    <w:rsid w:val="002105A8"/>
    <w:rsid w:val="00210DB7"/>
    <w:rsid w:val="0021154E"/>
    <w:rsid w:val="00217BAA"/>
    <w:rsid w:val="0022293D"/>
    <w:rsid w:val="00225618"/>
    <w:rsid w:val="00227D38"/>
    <w:rsid w:val="00232E69"/>
    <w:rsid w:val="002366D4"/>
    <w:rsid w:val="00237AAE"/>
    <w:rsid w:val="0024020E"/>
    <w:rsid w:val="00240E80"/>
    <w:rsid w:val="002474E3"/>
    <w:rsid w:val="002505EF"/>
    <w:rsid w:val="00253697"/>
    <w:rsid w:val="002564C9"/>
    <w:rsid w:val="00263FAA"/>
    <w:rsid w:val="002743F8"/>
    <w:rsid w:val="00275CF5"/>
    <w:rsid w:val="0028301F"/>
    <w:rsid w:val="0028419A"/>
    <w:rsid w:val="00285017"/>
    <w:rsid w:val="002869BF"/>
    <w:rsid w:val="002912B5"/>
    <w:rsid w:val="002929D2"/>
    <w:rsid w:val="002A2D2E"/>
    <w:rsid w:val="002A7E6C"/>
    <w:rsid w:val="002B17A5"/>
    <w:rsid w:val="002B20EC"/>
    <w:rsid w:val="002C00E8"/>
    <w:rsid w:val="002C3536"/>
    <w:rsid w:val="002C6B5F"/>
    <w:rsid w:val="002D3EA4"/>
    <w:rsid w:val="002D76F5"/>
    <w:rsid w:val="002E4531"/>
    <w:rsid w:val="002F0BD2"/>
    <w:rsid w:val="002F3331"/>
    <w:rsid w:val="002F35D7"/>
    <w:rsid w:val="002F4872"/>
    <w:rsid w:val="002F7E62"/>
    <w:rsid w:val="00301F13"/>
    <w:rsid w:val="00306935"/>
    <w:rsid w:val="0030728C"/>
    <w:rsid w:val="003104D5"/>
    <w:rsid w:val="003206BA"/>
    <w:rsid w:val="00343749"/>
    <w:rsid w:val="00360442"/>
    <w:rsid w:val="00360BE7"/>
    <w:rsid w:val="00362CB2"/>
    <w:rsid w:val="003660ED"/>
    <w:rsid w:val="00375648"/>
    <w:rsid w:val="00382E9C"/>
    <w:rsid w:val="00384493"/>
    <w:rsid w:val="00391374"/>
    <w:rsid w:val="003936FD"/>
    <w:rsid w:val="003974DF"/>
    <w:rsid w:val="00397B6E"/>
    <w:rsid w:val="003A611D"/>
    <w:rsid w:val="003A6348"/>
    <w:rsid w:val="003B0550"/>
    <w:rsid w:val="003B5A5D"/>
    <w:rsid w:val="003B694F"/>
    <w:rsid w:val="003C272A"/>
    <w:rsid w:val="003C2A38"/>
    <w:rsid w:val="003C41FF"/>
    <w:rsid w:val="003D7301"/>
    <w:rsid w:val="003E1A6C"/>
    <w:rsid w:val="003E1D9F"/>
    <w:rsid w:val="003E38D2"/>
    <w:rsid w:val="003E540E"/>
    <w:rsid w:val="003E648E"/>
    <w:rsid w:val="003E6EFB"/>
    <w:rsid w:val="003F171C"/>
    <w:rsid w:val="004003C2"/>
    <w:rsid w:val="00400A38"/>
    <w:rsid w:val="004017E0"/>
    <w:rsid w:val="0040329E"/>
    <w:rsid w:val="00403DDD"/>
    <w:rsid w:val="00412FC5"/>
    <w:rsid w:val="00414095"/>
    <w:rsid w:val="00414195"/>
    <w:rsid w:val="004142B5"/>
    <w:rsid w:val="00422276"/>
    <w:rsid w:val="004242F1"/>
    <w:rsid w:val="00424FBA"/>
    <w:rsid w:val="00425A8A"/>
    <w:rsid w:val="0043318A"/>
    <w:rsid w:val="00445A00"/>
    <w:rsid w:val="00447313"/>
    <w:rsid w:val="00451B0F"/>
    <w:rsid w:val="00453980"/>
    <w:rsid w:val="00473FDA"/>
    <w:rsid w:val="00482C5A"/>
    <w:rsid w:val="00490911"/>
    <w:rsid w:val="00497561"/>
    <w:rsid w:val="00497CD4"/>
    <w:rsid w:val="004A52E1"/>
    <w:rsid w:val="004A7114"/>
    <w:rsid w:val="004C2EE3"/>
    <w:rsid w:val="004D1499"/>
    <w:rsid w:val="004D19F6"/>
    <w:rsid w:val="004D3212"/>
    <w:rsid w:val="004E1E2F"/>
    <w:rsid w:val="004E2C08"/>
    <w:rsid w:val="004E4A22"/>
    <w:rsid w:val="004E6DE6"/>
    <w:rsid w:val="004F1CB6"/>
    <w:rsid w:val="004F7817"/>
    <w:rsid w:val="00500402"/>
    <w:rsid w:val="00506ADA"/>
    <w:rsid w:val="00511346"/>
    <w:rsid w:val="00511968"/>
    <w:rsid w:val="005126DE"/>
    <w:rsid w:val="00515B9C"/>
    <w:rsid w:val="005175D9"/>
    <w:rsid w:val="00517E40"/>
    <w:rsid w:val="00526EDB"/>
    <w:rsid w:val="00531059"/>
    <w:rsid w:val="005332DA"/>
    <w:rsid w:val="00536BBD"/>
    <w:rsid w:val="00536F2B"/>
    <w:rsid w:val="0054300B"/>
    <w:rsid w:val="0054602B"/>
    <w:rsid w:val="005467E7"/>
    <w:rsid w:val="00551E37"/>
    <w:rsid w:val="0055614C"/>
    <w:rsid w:val="00557269"/>
    <w:rsid w:val="00557EF8"/>
    <w:rsid w:val="005609E0"/>
    <w:rsid w:val="00563B4F"/>
    <w:rsid w:val="00564ECD"/>
    <w:rsid w:val="00585550"/>
    <w:rsid w:val="00597A84"/>
    <w:rsid w:val="005B6F10"/>
    <w:rsid w:val="005C0C9B"/>
    <w:rsid w:val="005C49FF"/>
    <w:rsid w:val="005C59A0"/>
    <w:rsid w:val="005E14C2"/>
    <w:rsid w:val="005E36C9"/>
    <w:rsid w:val="00601773"/>
    <w:rsid w:val="00606CE6"/>
    <w:rsid w:val="00607763"/>
    <w:rsid w:val="00607BA5"/>
    <w:rsid w:val="0061180A"/>
    <w:rsid w:val="00626EB6"/>
    <w:rsid w:val="00630192"/>
    <w:rsid w:val="00632BFD"/>
    <w:rsid w:val="00634717"/>
    <w:rsid w:val="00635482"/>
    <w:rsid w:val="0063551B"/>
    <w:rsid w:val="00636ECF"/>
    <w:rsid w:val="00646090"/>
    <w:rsid w:val="00653A50"/>
    <w:rsid w:val="00654333"/>
    <w:rsid w:val="00655D03"/>
    <w:rsid w:val="00666F1C"/>
    <w:rsid w:val="0067285A"/>
    <w:rsid w:val="00683388"/>
    <w:rsid w:val="00683F84"/>
    <w:rsid w:val="00684D47"/>
    <w:rsid w:val="00692BFB"/>
    <w:rsid w:val="006969D6"/>
    <w:rsid w:val="006A655B"/>
    <w:rsid w:val="006A6A81"/>
    <w:rsid w:val="006B36AE"/>
    <w:rsid w:val="006B47DF"/>
    <w:rsid w:val="006C0CC1"/>
    <w:rsid w:val="006C0E3B"/>
    <w:rsid w:val="006D01DF"/>
    <w:rsid w:val="006D18EC"/>
    <w:rsid w:val="006D1D98"/>
    <w:rsid w:val="006D3406"/>
    <w:rsid w:val="006D7083"/>
    <w:rsid w:val="006E564B"/>
    <w:rsid w:val="006E5944"/>
    <w:rsid w:val="006F7393"/>
    <w:rsid w:val="0070224F"/>
    <w:rsid w:val="007062E6"/>
    <w:rsid w:val="007115F7"/>
    <w:rsid w:val="00712003"/>
    <w:rsid w:val="007207C5"/>
    <w:rsid w:val="00726059"/>
    <w:rsid w:val="0072635F"/>
    <w:rsid w:val="0072639F"/>
    <w:rsid w:val="0074375F"/>
    <w:rsid w:val="00752604"/>
    <w:rsid w:val="007538A4"/>
    <w:rsid w:val="00760E81"/>
    <w:rsid w:val="007627B6"/>
    <w:rsid w:val="00772A1A"/>
    <w:rsid w:val="00774F4A"/>
    <w:rsid w:val="00776D68"/>
    <w:rsid w:val="00777FD0"/>
    <w:rsid w:val="00781176"/>
    <w:rsid w:val="0078326F"/>
    <w:rsid w:val="00785689"/>
    <w:rsid w:val="0078769C"/>
    <w:rsid w:val="00792382"/>
    <w:rsid w:val="00792DC7"/>
    <w:rsid w:val="0079754B"/>
    <w:rsid w:val="007A1102"/>
    <w:rsid w:val="007A1E6D"/>
    <w:rsid w:val="007A2A34"/>
    <w:rsid w:val="007A58D7"/>
    <w:rsid w:val="007B00F3"/>
    <w:rsid w:val="007B0330"/>
    <w:rsid w:val="007B0EB2"/>
    <w:rsid w:val="007B346E"/>
    <w:rsid w:val="007C6141"/>
    <w:rsid w:val="007D0EB4"/>
    <w:rsid w:val="007D78FF"/>
    <w:rsid w:val="007E3A2C"/>
    <w:rsid w:val="007E519C"/>
    <w:rsid w:val="007E696A"/>
    <w:rsid w:val="007E78CC"/>
    <w:rsid w:val="008048B3"/>
    <w:rsid w:val="008052AB"/>
    <w:rsid w:val="00810B6F"/>
    <w:rsid w:val="00814157"/>
    <w:rsid w:val="00814738"/>
    <w:rsid w:val="008157D7"/>
    <w:rsid w:val="00816E8F"/>
    <w:rsid w:val="0081787A"/>
    <w:rsid w:val="0082039B"/>
    <w:rsid w:val="008220A4"/>
    <w:rsid w:val="00822CE0"/>
    <w:rsid w:val="00841AB1"/>
    <w:rsid w:val="00844C4F"/>
    <w:rsid w:val="008536C9"/>
    <w:rsid w:val="00871EC0"/>
    <w:rsid w:val="00875085"/>
    <w:rsid w:val="0087755B"/>
    <w:rsid w:val="00880EC4"/>
    <w:rsid w:val="00884D04"/>
    <w:rsid w:val="008872C0"/>
    <w:rsid w:val="008A37D2"/>
    <w:rsid w:val="008B6554"/>
    <w:rsid w:val="008C21EF"/>
    <w:rsid w:val="008C68F1"/>
    <w:rsid w:val="008D11B2"/>
    <w:rsid w:val="008D399A"/>
    <w:rsid w:val="008D4B0C"/>
    <w:rsid w:val="008D744D"/>
    <w:rsid w:val="008D7AB4"/>
    <w:rsid w:val="008E00B7"/>
    <w:rsid w:val="00916215"/>
    <w:rsid w:val="00921803"/>
    <w:rsid w:val="00924C9A"/>
    <w:rsid w:val="00926503"/>
    <w:rsid w:val="009276B2"/>
    <w:rsid w:val="009302EA"/>
    <w:rsid w:val="009318E5"/>
    <w:rsid w:val="0093246B"/>
    <w:rsid w:val="009343B5"/>
    <w:rsid w:val="00943B67"/>
    <w:rsid w:val="00962FB9"/>
    <w:rsid w:val="00965912"/>
    <w:rsid w:val="009664B0"/>
    <w:rsid w:val="0096655E"/>
    <w:rsid w:val="00971AAC"/>
    <w:rsid w:val="009726D8"/>
    <w:rsid w:val="00973037"/>
    <w:rsid w:val="00991D55"/>
    <w:rsid w:val="0099468C"/>
    <w:rsid w:val="009A3644"/>
    <w:rsid w:val="009A46A2"/>
    <w:rsid w:val="009A4D0C"/>
    <w:rsid w:val="009B288C"/>
    <w:rsid w:val="009B2FCA"/>
    <w:rsid w:val="009B355F"/>
    <w:rsid w:val="009B4305"/>
    <w:rsid w:val="009B6ACB"/>
    <w:rsid w:val="009C4780"/>
    <w:rsid w:val="009E01DF"/>
    <w:rsid w:val="009F0A5B"/>
    <w:rsid w:val="009F2288"/>
    <w:rsid w:val="009F238C"/>
    <w:rsid w:val="009F23AE"/>
    <w:rsid w:val="009F6814"/>
    <w:rsid w:val="009F76DB"/>
    <w:rsid w:val="00A00311"/>
    <w:rsid w:val="00A17091"/>
    <w:rsid w:val="00A174B3"/>
    <w:rsid w:val="00A22E5D"/>
    <w:rsid w:val="00A25AC4"/>
    <w:rsid w:val="00A31040"/>
    <w:rsid w:val="00A32C3B"/>
    <w:rsid w:val="00A32EE9"/>
    <w:rsid w:val="00A37116"/>
    <w:rsid w:val="00A42CB1"/>
    <w:rsid w:val="00A45619"/>
    <w:rsid w:val="00A45F4F"/>
    <w:rsid w:val="00A50D52"/>
    <w:rsid w:val="00A53A7F"/>
    <w:rsid w:val="00A55F2C"/>
    <w:rsid w:val="00A600A9"/>
    <w:rsid w:val="00A61CFF"/>
    <w:rsid w:val="00A703EB"/>
    <w:rsid w:val="00A82F99"/>
    <w:rsid w:val="00A83F4A"/>
    <w:rsid w:val="00A85338"/>
    <w:rsid w:val="00A86E15"/>
    <w:rsid w:val="00A873E9"/>
    <w:rsid w:val="00A92C7F"/>
    <w:rsid w:val="00AA1E42"/>
    <w:rsid w:val="00AA36BE"/>
    <w:rsid w:val="00AA55B7"/>
    <w:rsid w:val="00AA5B9E"/>
    <w:rsid w:val="00AB2407"/>
    <w:rsid w:val="00AB53DF"/>
    <w:rsid w:val="00AF1796"/>
    <w:rsid w:val="00AF56F7"/>
    <w:rsid w:val="00B02858"/>
    <w:rsid w:val="00B07E5C"/>
    <w:rsid w:val="00B111F1"/>
    <w:rsid w:val="00B1626A"/>
    <w:rsid w:val="00B21BA5"/>
    <w:rsid w:val="00B254C1"/>
    <w:rsid w:val="00B269D2"/>
    <w:rsid w:val="00B313FC"/>
    <w:rsid w:val="00B335CB"/>
    <w:rsid w:val="00B3371E"/>
    <w:rsid w:val="00B348C1"/>
    <w:rsid w:val="00B43456"/>
    <w:rsid w:val="00B54581"/>
    <w:rsid w:val="00B63BC4"/>
    <w:rsid w:val="00B76872"/>
    <w:rsid w:val="00B80C4B"/>
    <w:rsid w:val="00B811F7"/>
    <w:rsid w:val="00B82D54"/>
    <w:rsid w:val="00B83B3D"/>
    <w:rsid w:val="00B8598B"/>
    <w:rsid w:val="00B95557"/>
    <w:rsid w:val="00B9686B"/>
    <w:rsid w:val="00BA2473"/>
    <w:rsid w:val="00BA319C"/>
    <w:rsid w:val="00BA461E"/>
    <w:rsid w:val="00BA5DC6"/>
    <w:rsid w:val="00BA6196"/>
    <w:rsid w:val="00BB3C31"/>
    <w:rsid w:val="00BB58B4"/>
    <w:rsid w:val="00BC4D14"/>
    <w:rsid w:val="00BC4D9B"/>
    <w:rsid w:val="00BC6D8C"/>
    <w:rsid w:val="00BD5556"/>
    <w:rsid w:val="00BD5997"/>
    <w:rsid w:val="00BF2BF0"/>
    <w:rsid w:val="00BF7821"/>
    <w:rsid w:val="00C023DC"/>
    <w:rsid w:val="00C02A01"/>
    <w:rsid w:val="00C04B00"/>
    <w:rsid w:val="00C0704C"/>
    <w:rsid w:val="00C108CE"/>
    <w:rsid w:val="00C30657"/>
    <w:rsid w:val="00C32AB6"/>
    <w:rsid w:val="00C34006"/>
    <w:rsid w:val="00C341DE"/>
    <w:rsid w:val="00C35B9C"/>
    <w:rsid w:val="00C362CF"/>
    <w:rsid w:val="00C426B1"/>
    <w:rsid w:val="00C47068"/>
    <w:rsid w:val="00C52EA6"/>
    <w:rsid w:val="00C66160"/>
    <w:rsid w:val="00C71037"/>
    <w:rsid w:val="00C721AC"/>
    <w:rsid w:val="00C730A9"/>
    <w:rsid w:val="00C77041"/>
    <w:rsid w:val="00C81447"/>
    <w:rsid w:val="00C824EC"/>
    <w:rsid w:val="00C87065"/>
    <w:rsid w:val="00C90D6A"/>
    <w:rsid w:val="00C9262A"/>
    <w:rsid w:val="00C94481"/>
    <w:rsid w:val="00CA247E"/>
    <w:rsid w:val="00CA59BF"/>
    <w:rsid w:val="00CC68FF"/>
    <w:rsid w:val="00CC72B6"/>
    <w:rsid w:val="00CD23B6"/>
    <w:rsid w:val="00CD2C61"/>
    <w:rsid w:val="00CD52B8"/>
    <w:rsid w:val="00CE5E1C"/>
    <w:rsid w:val="00CE7B29"/>
    <w:rsid w:val="00CE7D53"/>
    <w:rsid w:val="00D0218D"/>
    <w:rsid w:val="00D22AF9"/>
    <w:rsid w:val="00D24D55"/>
    <w:rsid w:val="00D25FB5"/>
    <w:rsid w:val="00D32ED1"/>
    <w:rsid w:val="00D35993"/>
    <w:rsid w:val="00D36BF6"/>
    <w:rsid w:val="00D44223"/>
    <w:rsid w:val="00D450E3"/>
    <w:rsid w:val="00D45503"/>
    <w:rsid w:val="00D461EE"/>
    <w:rsid w:val="00D47EA7"/>
    <w:rsid w:val="00D5533C"/>
    <w:rsid w:val="00D61FEE"/>
    <w:rsid w:val="00D6622B"/>
    <w:rsid w:val="00D671D9"/>
    <w:rsid w:val="00D73038"/>
    <w:rsid w:val="00D95CD3"/>
    <w:rsid w:val="00D97AD7"/>
    <w:rsid w:val="00DA2529"/>
    <w:rsid w:val="00DB0000"/>
    <w:rsid w:val="00DB130A"/>
    <w:rsid w:val="00DB2EBB"/>
    <w:rsid w:val="00DB3C5E"/>
    <w:rsid w:val="00DC10A1"/>
    <w:rsid w:val="00DC2FFB"/>
    <w:rsid w:val="00DC35C9"/>
    <w:rsid w:val="00DC449D"/>
    <w:rsid w:val="00DC64E2"/>
    <w:rsid w:val="00DC655F"/>
    <w:rsid w:val="00DD0B59"/>
    <w:rsid w:val="00DD426C"/>
    <w:rsid w:val="00DD7EBD"/>
    <w:rsid w:val="00DE2B50"/>
    <w:rsid w:val="00DF110E"/>
    <w:rsid w:val="00DF5F28"/>
    <w:rsid w:val="00DF62B6"/>
    <w:rsid w:val="00E01B6E"/>
    <w:rsid w:val="00E0596E"/>
    <w:rsid w:val="00E07225"/>
    <w:rsid w:val="00E13E62"/>
    <w:rsid w:val="00E171E7"/>
    <w:rsid w:val="00E23AB7"/>
    <w:rsid w:val="00E24CDF"/>
    <w:rsid w:val="00E26B16"/>
    <w:rsid w:val="00E27755"/>
    <w:rsid w:val="00E32E34"/>
    <w:rsid w:val="00E33CC8"/>
    <w:rsid w:val="00E5409F"/>
    <w:rsid w:val="00E56203"/>
    <w:rsid w:val="00E635DF"/>
    <w:rsid w:val="00E71C5A"/>
    <w:rsid w:val="00E77C2B"/>
    <w:rsid w:val="00E84276"/>
    <w:rsid w:val="00E867AA"/>
    <w:rsid w:val="00E872A3"/>
    <w:rsid w:val="00E87EF1"/>
    <w:rsid w:val="00E91F68"/>
    <w:rsid w:val="00E939F8"/>
    <w:rsid w:val="00EA1780"/>
    <w:rsid w:val="00EA5359"/>
    <w:rsid w:val="00EA56B0"/>
    <w:rsid w:val="00EA60D6"/>
    <w:rsid w:val="00EB2816"/>
    <w:rsid w:val="00EB3AC8"/>
    <w:rsid w:val="00EB4DB7"/>
    <w:rsid w:val="00EB5284"/>
    <w:rsid w:val="00EC4507"/>
    <w:rsid w:val="00ED18F7"/>
    <w:rsid w:val="00EE3B4D"/>
    <w:rsid w:val="00EE6488"/>
    <w:rsid w:val="00EE6517"/>
    <w:rsid w:val="00F010FE"/>
    <w:rsid w:val="00F021FA"/>
    <w:rsid w:val="00F13567"/>
    <w:rsid w:val="00F1504A"/>
    <w:rsid w:val="00F15409"/>
    <w:rsid w:val="00F20D63"/>
    <w:rsid w:val="00F249DD"/>
    <w:rsid w:val="00F2781D"/>
    <w:rsid w:val="00F32DFD"/>
    <w:rsid w:val="00F33E59"/>
    <w:rsid w:val="00F34726"/>
    <w:rsid w:val="00F4094B"/>
    <w:rsid w:val="00F41B75"/>
    <w:rsid w:val="00F41EEB"/>
    <w:rsid w:val="00F46E0A"/>
    <w:rsid w:val="00F52B3C"/>
    <w:rsid w:val="00F53874"/>
    <w:rsid w:val="00F57342"/>
    <w:rsid w:val="00F62E97"/>
    <w:rsid w:val="00F64209"/>
    <w:rsid w:val="00F66911"/>
    <w:rsid w:val="00F7261B"/>
    <w:rsid w:val="00F816A3"/>
    <w:rsid w:val="00F82CAC"/>
    <w:rsid w:val="00F8382B"/>
    <w:rsid w:val="00F87EA3"/>
    <w:rsid w:val="00F93BF5"/>
    <w:rsid w:val="00FA4B00"/>
    <w:rsid w:val="00FB5981"/>
    <w:rsid w:val="00FB70DA"/>
    <w:rsid w:val="00FC5CA0"/>
    <w:rsid w:val="00FD379C"/>
    <w:rsid w:val="00FE1397"/>
    <w:rsid w:val="00FE6161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65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B0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A4B0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A4B0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A4B0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A4B0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A4B0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A4B0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A4B0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A4B0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A4B0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A4B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4B00"/>
  </w:style>
  <w:style w:type="paragraph" w:customStyle="1" w:styleId="ParaNum">
    <w:name w:val="ParaNum"/>
    <w:basedOn w:val="Normal"/>
    <w:link w:val="ParaNumChar"/>
    <w:rsid w:val="00FA4B0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A4B00"/>
    <w:rPr>
      <w:sz w:val="20"/>
    </w:rPr>
  </w:style>
  <w:style w:type="character" w:styleId="EndnoteReference">
    <w:name w:val="endnote reference"/>
    <w:semiHidden/>
    <w:rsid w:val="00FA4B00"/>
    <w:rPr>
      <w:vertAlign w:val="superscript"/>
    </w:rPr>
  </w:style>
  <w:style w:type="paragraph" w:styleId="FootnoteText">
    <w:name w:val="footnote text"/>
    <w:link w:val="FootnoteTextChar"/>
    <w:rsid w:val="00FA4B00"/>
    <w:pPr>
      <w:spacing w:after="120"/>
    </w:pPr>
  </w:style>
  <w:style w:type="character" w:styleId="FootnoteReference">
    <w:name w:val="footnote reference"/>
    <w:rsid w:val="00FA4B0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A4B0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A4B0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A4B0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A4B0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A4B0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A4B0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A4B0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A4B0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A4B0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A4B0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A4B00"/>
  </w:style>
  <w:style w:type="paragraph" w:styleId="Header">
    <w:name w:val="header"/>
    <w:basedOn w:val="Normal"/>
    <w:link w:val="HeaderChar"/>
    <w:autoRedefine/>
    <w:rsid w:val="00FA4B00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A4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4B00"/>
  </w:style>
  <w:style w:type="paragraph" w:styleId="BlockText">
    <w:name w:val="Block Text"/>
    <w:basedOn w:val="Normal"/>
    <w:rsid w:val="00FA4B00"/>
    <w:pPr>
      <w:spacing w:after="240"/>
      <w:ind w:left="1440" w:right="1440"/>
    </w:pPr>
  </w:style>
  <w:style w:type="paragraph" w:customStyle="1" w:styleId="Paratitle">
    <w:name w:val="Para title"/>
    <w:basedOn w:val="Normal"/>
    <w:rsid w:val="00FA4B0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A4B0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A4B0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A4B0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A4B0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A4B00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BB3C31"/>
    <w:rPr>
      <w:sz w:val="20"/>
    </w:rPr>
  </w:style>
  <w:style w:type="character" w:customStyle="1" w:styleId="CommentTextChar">
    <w:name w:val="Comment Text Char"/>
    <w:link w:val="CommentText"/>
    <w:rsid w:val="00BB3C31"/>
    <w:rPr>
      <w:snapToGrid w:val="0"/>
      <w:kern w:val="28"/>
    </w:rPr>
  </w:style>
  <w:style w:type="character" w:customStyle="1" w:styleId="FootnoteTextChar">
    <w:name w:val="Footnote Text Char"/>
    <w:link w:val="FootnoteText"/>
    <w:locked/>
    <w:rsid w:val="00BB3C31"/>
  </w:style>
  <w:style w:type="character" w:styleId="CommentReference">
    <w:name w:val="annotation reference"/>
    <w:uiPriority w:val="99"/>
    <w:rsid w:val="00BB3C31"/>
    <w:rPr>
      <w:rFonts w:cs="Times New Roman"/>
      <w:sz w:val="16"/>
    </w:rPr>
  </w:style>
  <w:style w:type="paragraph" w:styleId="BalloonText">
    <w:name w:val="Balloon Text"/>
    <w:basedOn w:val="Normal"/>
    <w:link w:val="BalloonTextChar"/>
    <w:rsid w:val="00BB3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C31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F23AE"/>
    <w:rPr>
      <w:b/>
      <w:bCs/>
    </w:rPr>
  </w:style>
  <w:style w:type="character" w:customStyle="1" w:styleId="CommentSubjectChar">
    <w:name w:val="Comment Subject Char"/>
    <w:link w:val="CommentSubject"/>
    <w:rsid w:val="009F23AE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924C9A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FC5CA0"/>
    <w:rPr>
      <w:snapToGrid w:val="0"/>
      <w:kern w:val="28"/>
      <w:sz w:val="22"/>
    </w:rPr>
  </w:style>
  <w:style w:type="character" w:styleId="Emphasis">
    <w:name w:val="Emphasis"/>
    <w:basedOn w:val="DefaultParagraphFont"/>
    <w:uiPriority w:val="20"/>
    <w:qFormat/>
    <w:rsid w:val="006969D6"/>
    <w:rPr>
      <w:i/>
      <w:iCs/>
    </w:rPr>
  </w:style>
  <w:style w:type="character" w:customStyle="1" w:styleId="HeaderChar">
    <w:name w:val="Header Char"/>
    <w:basedOn w:val="DefaultParagraphFont"/>
    <w:link w:val="Header"/>
    <w:rsid w:val="00CD2C61"/>
    <w:rPr>
      <w:b/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B0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A4B0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A4B0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A4B0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A4B0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A4B0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A4B0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A4B0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A4B0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A4B0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A4B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4B00"/>
  </w:style>
  <w:style w:type="paragraph" w:customStyle="1" w:styleId="ParaNum">
    <w:name w:val="ParaNum"/>
    <w:basedOn w:val="Normal"/>
    <w:link w:val="ParaNumChar"/>
    <w:rsid w:val="00FA4B0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A4B00"/>
    <w:rPr>
      <w:sz w:val="20"/>
    </w:rPr>
  </w:style>
  <w:style w:type="character" w:styleId="EndnoteReference">
    <w:name w:val="endnote reference"/>
    <w:semiHidden/>
    <w:rsid w:val="00FA4B00"/>
    <w:rPr>
      <w:vertAlign w:val="superscript"/>
    </w:rPr>
  </w:style>
  <w:style w:type="paragraph" w:styleId="FootnoteText">
    <w:name w:val="footnote text"/>
    <w:link w:val="FootnoteTextChar"/>
    <w:rsid w:val="00FA4B00"/>
    <w:pPr>
      <w:spacing w:after="120"/>
    </w:pPr>
  </w:style>
  <w:style w:type="character" w:styleId="FootnoteReference">
    <w:name w:val="footnote reference"/>
    <w:rsid w:val="00FA4B0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A4B0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A4B0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A4B0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A4B0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A4B0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A4B0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A4B0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A4B0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A4B0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A4B0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A4B00"/>
  </w:style>
  <w:style w:type="paragraph" w:styleId="Header">
    <w:name w:val="header"/>
    <w:basedOn w:val="Normal"/>
    <w:link w:val="HeaderChar"/>
    <w:autoRedefine/>
    <w:rsid w:val="00FA4B00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A4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4B00"/>
  </w:style>
  <w:style w:type="paragraph" w:styleId="BlockText">
    <w:name w:val="Block Text"/>
    <w:basedOn w:val="Normal"/>
    <w:rsid w:val="00FA4B00"/>
    <w:pPr>
      <w:spacing w:after="240"/>
      <w:ind w:left="1440" w:right="1440"/>
    </w:pPr>
  </w:style>
  <w:style w:type="paragraph" w:customStyle="1" w:styleId="Paratitle">
    <w:name w:val="Para title"/>
    <w:basedOn w:val="Normal"/>
    <w:rsid w:val="00FA4B0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A4B0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A4B0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A4B0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A4B0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A4B00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BB3C31"/>
    <w:rPr>
      <w:sz w:val="20"/>
    </w:rPr>
  </w:style>
  <w:style w:type="character" w:customStyle="1" w:styleId="CommentTextChar">
    <w:name w:val="Comment Text Char"/>
    <w:link w:val="CommentText"/>
    <w:rsid w:val="00BB3C31"/>
    <w:rPr>
      <w:snapToGrid w:val="0"/>
      <w:kern w:val="28"/>
    </w:rPr>
  </w:style>
  <w:style w:type="character" w:customStyle="1" w:styleId="FootnoteTextChar">
    <w:name w:val="Footnote Text Char"/>
    <w:link w:val="FootnoteText"/>
    <w:locked/>
    <w:rsid w:val="00BB3C31"/>
  </w:style>
  <w:style w:type="character" w:styleId="CommentReference">
    <w:name w:val="annotation reference"/>
    <w:uiPriority w:val="99"/>
    <w:rsid w:val="00BB3C31"/>
    <w:rPr>
      <w:rFonts w:cs="Times New Roman"/>
      <w:sz w:val="16"/>
    </w:rPr>
  </w:style>
  <w:style w:type="paragraph" w:styleId="BalloonText">
    <w:name w:val="Balloon Text"/>
    <w:basedOn w:val="Normal"/>
    <w:link w:val="BalloonTextChar"/>
    <w:rsid w:val="00BB3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C31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F23AE"/>
    <w:rPr>
      <w:b/>
      <w:bCs/>
    </w:rPr>
  </w:style>
  <w:style w:type="character" w:customStyle="1" w:styleId="CommentSubjectChar">
    <w:name w:val="Comment Subject Char"/>
    <w:link w:val="CommentSubject"/>
    <w:rsid w:val="009F23AE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924C9A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FC5CA0"/>
    <w:rPr>
      <w:snapToGrid w:val="0"/>
      <w:kern w:val="28"/>
      <w:sz w:val="22"/>
    </w:rPr>
  </w:style>
  <w:style w:type="character" w:styleId="Emphasis">
    <w:name w:val="Emphasis"/>
    <w:basedOn w:val="DefaultParagraphFont"/>
    <w:uiPriority w:val="20"/>
    <w:qFormat/>
    <w:rsid w:val="006969D6"/>
    <w:rPr>
      <w:i/>
      <w:iCs/>
    </w:rPr>
  </w:style>
  <w:style w:type="character" w:customStyle="1" w:styleId="HeaderChar">
    <w:name w:val="Header Char"/>
    <w:basedOn w:val="DefaultParagraphFont"/>
    <w:link w:val="Header"/>
    <w:rsid w:val="00CD2C61"/>
    <w:rPr>
      <w:b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1080</Words>
  <Characters>6401</Characters>
  <Application>Microsoft Office Word</Application>
  <DocSecurity>0</DocSecurity>
  <Lines>151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2017-03-14T19:43:00Z</dcterms:created>
  <dcterms:modified xsi:type="dcterms:W3CDTF">2017-03-14T19:43:00Z</dcterms:modified>
  <cp:category> </cp:category>
  <cp:contentStatus> </cp:contentStatus>
</cp:coreProperties>
</file>