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36" w:rsidRDefault="00017707" w:rsidP="00017707">
      <w:pPr>
        <w:jc w:val="center"/>
        <w:rPr>
          <w:b/>
        </w:rPr>
      </w:pPr>
      <w:bookmarkStart w:id="0" w:name="_GoBack"/>
      <w:bookmarkEnd w:id="0"/>
      <w:r>
        <w:rPr>
          <w:b/>
        </w:rPr>
        <w:t>Before the</w:t>
      </w:r>
    </w:p>
    <w:p w:rsidR="00017707" w:rsidRDefault="00017707" w:rsidP="00017707">
      <w:pPr>
        <w:jc w:val="center"/>
        <w:rPr>
          <w:b/>
        </w:rPr>
      </w:pPr>
      <w:r w:rsidRPr="00017707">
        <w:rPr>
          <w:b/>
        </w:rPr>
        <w:t>Federal Communications Commission</w:t>
      </w:r>
    </w:p>
    <w:p w:rsidR="00017707" w:rsidRDefault="00017707" w:rsidP="00017707">
      <w:pPr>
        <w:jc w:val="center"/>
        <w:rPr>
          <w:b/>
        </w:rPr>
      </w:pPr>
      <w:r>
        <w:rPr>
          <w:b/>
        </w:rPr>
        <w:t>Washington, D.C. 20554</w:t>
      </w:r>
    </w:p>
    <w:p w:rsidR="00017707" w:rsidRDefault="00017707" w:rsidP="00017707">
      <w:pPr>
        <w:jc w:val="center"/>
        <w:rPr>
          <w:b/>
        </w:rPr>
      </w:pPr>
    </w:p>
    <w:p w:rsidR="00017707" w:rsidRDefault="00017707" w:rsidP="00017707">
      <w:pPr>
        <w:jc w:val="center"/>
        <w:rPr>
          <w:b/>
        </w:rPr>
      </w:pPr>
    </w:p>
    <w:p w:rsidR="00017707" w:rsidRDefault="00017707" w:rsidP="00017707">
      <w:r>
        <w:t>In the Matter of:</w:t>
      </w:r>
      <w:r>
        <w:tab/>
      </w:r>
      <w:r>
        <w:tab/>
      </w:r>
      <w:r>
        <w:tab/>
      </w:r>
      <w:r>
        <w:tab/>
      </w:r>
      <w:r w:rsidRPr="00017707">
        <w:rPr>
          <w:b/>
        </w:rPr>
        <w:t>)</w:t>
      </w:r>
    </w:p>
    <w:p w:rsidR="00017707" w:rsidRPr="00017707" w:rsidRDefault="00017707" w:rsidP="00017707">
      <w:pPr>
        <w:rPr>
          <w:b/>
        </w:rPr>
      </w:pPr>
      <w:r>
        <w:tab/>
      </w:r>
      <w:r>
        <w:tab/>
      </w:r>
      <w:r>
        <w:tab/>
      </w:r>
      <w:r>
        <w:tab/>
      </w:r>
      <w:r>
        <w:tab/>
      </w:r>
      <w:r w:rsidRPr="00017707">
        <w:rPr>
          <w:b/>
        </w:rPr>
        <w:t>)</w:t>
      </w:r>
    </w:p>
    <w:p w:rsidR="00AD0417" w:rsidRDefault="00AD0417" w:rsidP="00017707">
      <w:r w:rsidRPr="00017707">
        <w:t>Ellington</w:t>
      </w:r>
      <w:r>
        <w:t xml:space="preserve"> Broadcasting, WHCQ-LD</w:t>
      </w:r>
      <w:r>
        <w:tab/>
      </w:r>
      <w:r>
        <w:tab/>
      </w:r>
      <w:r w:rsidRPr="00142299">
        <w:rPr>
          <w:b/>
        </w:rPr>
        <w:t>)</w:t>
      </w:r>
    </w:p>
    <w:p w:rsidR="00AD0417" w:rsidRPr="00142299" w:rsidRDefault="00AD0417" w:rsidP="00017707">
      <w:pPr>
        <w:rPr>
          <w:b/>
        </w:rPr>
      </w:pPr>
      <w:r>
        <w:tab/>
      </w:r>
      <w:r>
        <w:tab/>
      </w:r>
      <w:r>
        <w:tab/>
      </w:r>
      <w:r>
        <w:tab/>
      </w:r>
      <w:r>
        <w:tab/>
      </w:r>
      <w:r w:rsidRPr="00142299">
        <w:rPr>
          <w:b/>
        </w:rPr>
        <w:t>)</w:t>
      </w:r>
    </w:p>
    <w:p w:rsidR="00AD0417" w:rsidRDefault="00AD0417" w:rsidP="00017707">
      <w:r>
        <w:t>v.</w:t>
      </w:r>
      <w:r>
        <w:tab/>
      </w:r>
      <w:r>
        <w:tab/>
      </w:r>
      <w:r>
        <w:tab/>
      </w:r>
      <w:r>
        <w:tab/>
      </w:r>
      <w:r>
        <w:tab/>
      </w:r>
      <w:r w:rsidRPr="00142299">
        <w:rPr>
          <w:b/>
        </w:rPr>
        <w:t>)</w:t>
      </w:r>
      <w:r w:rsidR="00142299">
        <w:rPr>
          <w:b/>
        </w:rPr>
        <w:tab/>
      </w:r>
      <w:r w:rsidR="00142299" w:rsidRPr="00017707">
        <w:t>CSR-8932-M</w:t>
      </w:r>
    </w:p>
    <w:p w:rsidR="00AD0417" w:rsidRPr="00142299" w:rsidRDefault="00582F0D" w:rsidP="00017707">
      <w:pPr>
        <w:rPr>
          <w:b/>
        </w:rPr>
      </w:pPr>
      <w:r>
        <w:tab/>
      </w:r>
      <w:r>
        <w:tab/>
      </w:r>
      <w:r>
        <w:tab/>
      </w:r>
      <w:r>
        <w:tab/>
      </w:r>
      <w:r>
        <w:tab/>
      </w:r>
      <w:r w:rsidR="00AD0417" w:rsidRPr="00142299">
        <w:rPr>
          <w:b/>
        </w:rPr>
        <w:t>)</w:t>
      </w:r>
      <w:r w:rsidR="00142299">
        <w:rPr>
          <w:b/>
        </w:rPr>
        <w:tab/>
      </w:r>
      <w:r w:rsidR="00142299" w:rsidRPr="00017707">
        <w:t>Docket No. 17-2</w:t>
      </w:r>
    </w:p>
    <w:p w:rsidR="00AD0417" w:rsidRDefault="00AD0417" w:rsidP="00017707">
      <w:r>
        <w:t>Ultra Communications Group, LLC, d/b/a</w:t>
      </w:r>
      <w:r>
        <w:tab/>
      </w:r>
      <w:r w:rsidRPr="00142299">
        <w:rPr>
          <w:b/>
        </w:rPr>
        <w:t>)</w:t>
      </w:r>
    </w:p>
    <w:p w:rsidR="00017707" w:rsidRDefault="00017707" w:rsidP="00017707">
      <w:pPr>
        <w:rPr>
          <w:b/>
        </w:rPr>
      </w:pPr>
      <w:r>
        <w:t>NewWave Communications</w:t>
      </w:r>
      <w:r>
        <w:tab/>
      </w:r>
      <w:r>
        <w:tab/>
      </w:r>
      <w:r>
        <w:tab/>
      </w:r>
      <w:r w:rsidRPr="00017707">
        <w:rPr>
          <w:b/>
        </w:rPr>
        <w:t>)</w:t>
      </w:r>
      <w:r>
        <w:rPr>
          <w:b/>
        </w:rPr>
        <w:tab/>
      </w:r>
    </w:p>
    <w:p w:rsidR="00017707" w:rsidRDefault="00582F0D" w:rsidP="00017707">
      <w:pPr>
        <w:rPr>
          <w:b/>
        </w:rPr>
      </w:pPr>
      <w:r>
        <w:rPr>
          <w:b/>
        </w:rPr>
        <w:tab/>
      </w:r>
      <w:r>
        <w:rPr>
          <w:b/>
        </w:rPr>
        <w:tab/>
      </w:r>
      <w:r>
        <w:rPr>
          <w:b/>
        </w:rPr>
        <w:tab/>
      </w:r>
      <w:r>
        <w:rPr>
          <w:b/>
        </w:rPr>
        <w:tab/>
      </w:r>
      <w:r>
        <w:rPr>
          <w:b/>
        </w:rPr>
        <w:tab/>
      </w:r>
      <w:r w:rsidR="00017707">
        <w:rPr>
          <w:b/>
        </w:rPr>
        <w:t>)</w:t>
      </w:r>
      <w:r w:rsidR="00017707">
        <w:rPr>
          <w:b/>
        </w:rPr>
        <w:tab/>
      </w:r>
    </w:p>
    <w:p w:rsidR="00017707" w:rsidRDefault="00017707" w:rsidP="00017707">
      <w:pPr>
        <w:rPr>
          <w:b/>
        </w:rPr>
      </w:pPr>
    </w:p>
    <w:p w:rsidR="00017707" w:rsidRDefault="00017707" w:rsidP="00017707">
      <w:pPr>
        <w:jc w:val="center"/>
        <w:rPr>
          <w:b/>
        </w:rPr>
      </w:pPr>
      <w:r>
        <w:rPr>
          <w:b/>
        </w:rPr>
        <w:t>MEMORANDUM OPINION AND ORDER</w:t>
      </w:r>
    </w:p>
    <w:p w:rsidR="00017707" w:rsidRDefault="00017707" w:rsidP="00017707">
      <w:pPr>
        <w:jc w:val="center"/>
        <w:rPr>
          <w:b/>
        </w:rPr>
      </w:pPr>
    </w:p>
    <w:p w:rsidR="00017707" w:rsidRDefault="00017707" w:rsidP="00017707">
      <w:pPr>
        <w:rPr>
          <w:b/>
        </w:rPr>
      </w:pPr>
      <w:r>
        <w:rPr>
          <w:b/>
        </w:rPr>
        <w:t xml:space="preserve">   Adopted:</w:t>
      </w:r>
      <w:r>
        <w:rPr>
          <w:b/>
        </w:rPr>
        <w:tab/>
      </w:r>
      <w:r w:rsidR="000F4BA3">
        <w:rPr>
          <w:b/>
        </w:rPr>
        <w:t xml:space="preserve">March </w:t>
      </w:r>
      <w:r w:rsidR="002232B7">
        <w:rPr>
          <w:b/>
        </w:rPr>
        <w:t>16</w:t>
      </w:r>
      <w:r w:rsidR="000F4BA3">
        <w:rPr>
          <w:b/>
        </w:rPr>
        <w:t>, 2017</w:t>
      </w:r>
      <w:r>
        <w:rPr>
          <w:b/>
        </w:rPr>
        <w:tab/>
      </w:r>
      <w:r>
        <w:rPr>
          <w:b/>
        </w:rPr>
        <w:tab/>
      </w:r>
      <w:r>
        <w:rPr>
          <w:b/>
        </w:rPr>
        <w:tab/>
      </w:r>
      <w:r>
        <w:rPr>
          <w:b/>
        </w:rPr>
        <w:tab/>
        <w:t>Released:</w:t>
      </w:r>
      <w:r w:rsidR="000F4BA3">
        <w:rPr>
          <w:b/>
        </w:rPr>
        <w:t xml:space="preserve"> </w:t>
      </w:r>
      <w:r w:rsidR="000F4BA3">
        <w:rPr>
          <w:b/>
        </w:rPr>
        <w:tab/>
        <w:t xml:space="preserve">March </w:t>
      </w:r>
      <w:r w:rsidR="002232B7">
        <w:rPr>
          <w:b/>
        </w:rPr>
        <w:t>16</w:t>
      </w:r>
      <w:r w:rsidR="000F4BA3">
        <w:rPr>
          <w:b/>
        </w:rPr>
        <w:t>, 2017</w:t>
      </w:r>
    </w:p>
    <w:p w:rsidR="00017707" w:rsidRDefault="00017707" w:rsidP="00017707">
      <w:pPr>
        <w:rPr>
          <w:b/>
        </w:rPr>
      </w:pPr>
    </w:p>
    <w:p w:rsidR="00017707" w:rsidRDefault="00017707" w:rsidP="00017707">
      <w:r w:rsidRPr="00017707">
        <w:t>By the Senior Deputy Chief, Policy Division, Media Bureau:</w:t>
      </w:r>
    </w:p>
    <w:p w:rsidR="00017707" w:rsidRDefault="00017707" w:rsidP="00017707"/>
    <w:p w:rsidR="00017707" w:rsidRDefault="00017707" w:rsidP="00582F0D">
      <w:pPr>
        <w:pStyle w:val="Heading1"/>
        <w:jc w:val="left"/>
      </w:pPr>
      <w:r w:rsidRPr="00017707">
        <w:t>INTRO</w:t>
      </w:r>
      <w:r w:rsidR="00DC4B6D">
        <w:t>D</w:t>
      </w:r>
      <w:r w:rsidRPr="00017707">
        <w:t>UCTION</w:t>
      </w:r>
    </w:p>
    <w:p w:rsidR="00582F0D" w:rsidRDefault="00582F0D" w:rsidP="00582F0D">
      <w:pPr>
        <w:jc w:val="left"/>
      </w:pPr>
      <w:r>
        <w:t xml:space="preserve">            </w:t>
      </w:r>
      <w:r w:rsidR="00AD0417" w:rsidRPr="00142299">
        <w:t>1.</w:t>
      </w:r>
      <w:r w:rsidR="00AD0417">
        <w:rPr>
          <w:b/>
        </w:rPr>
        <w:tab/>
      </w:r>
      <w:r w:rsidR="00142299">
        <w:t xml:space="preserve">Ellington Broadcasting, licensee of Low Power </w:t>
      </w:r>
      <w:r w:rsidR="005301D4">
        <w:t xml:space="preserve">Television </w:t>
      </w:r>
      <w:r w:rsidR="00142299">
        <w:t>Station WHCQ-LD,</w:t>
      </w:r>
    </w:p>
    <w:p w:rsidR="00582F0D" w:rsidRDefault="00142299" w:rsidP="00582F0D">
      <w:pPr>
        <w:jc w:val="left"/>
      </w:pPr>
      <w:r>
        <w:t xml:space="preserve">Cleveland, Mississippi (“WHCQ-LD), has filed the above-captioned complaint against Ultra </w:t>
      </w:r>
    </w:p>
    <w:p w:rsidR="00582F0D" w:rsidRDefault="00142299" w:rsidP="00582F0D">
      <w:pPr>
        <w:jc w:val="left"/>
      </w:pPr>
      <w:r>
        <w:t xml:space="preserve">Communications Group, LLC, d/b/a NewWave Communications (“NewWave”) for its </w:t>
      </w:r>
      <w:r w:rsidR="005301D4">
        <w:t xml:space="preserve">refusal </w:t>
      </w:r>
      <w:r>
        <w:t>to carry</w:t>
      </w:r>
    </w:p>
    <w:p w:rsidR="00582F0D" w:rsidRDefault="00142299" w:rsidP="00582F0D">
      <w:pPr>
        <w:jc w:val="left"/>
      </w:pPr>
      <w:r>
        <w:t>WHCQ-LD on its cable system serving Leland, Mississippi.</w:t>
      </w:r>
      <w:r w:rsidR="00586A8A">
        <w:rPr>
          <w:rStyle w:val="FootnoteReference"/>
        </w:rPr>
        <w:footnoteReference w:id="2"/>
      </w:r>
      <w:r>
        <w:t xml:space="preserve">  NewWave filed an opposition to the</w:t>
      </w:r>
    </w:p>
    <w:p w:rsidR="00DC4B6D" w:rsidRDefault="00142299" w:rsidP="00582F0D">
      <w:pPr>
        <w:jc w:val="left"/>
        <w:rPr>
          <w:b/>
        </w:rPr>
      </w:pPr>
      <w:r>
        <w:t xml:space="preserve">complaint, to which WHCQ-LD </w:t>
      </w:r>
      <w:r w:rsidR="004C229F">
        <w:t>filed a reply</w:t>
      </w:r>
      <w:r>
        <w:t>.</w:t>
      </w:r>
      <w:r w:rsidR="004C229F">
        <w:rPr>
          <w:rStyle w:val="FootnoteReference"/>
        </w:rPr>
        <w:footnoteReference w:id="3"/>
      </w:r>
      <w:r>
        <w:t xml:space="preserve">  For the reasons </w:t>
      </w:r>
      <w:r w:rsidR="004C229F">
        <w:t>discussed below, we deny the</w:t>
      </w:r>
      <w:r>
        <w:t xml:space="preserve"> complaint.</w:t>
      </w:r>
    </w:p>
    <w:p w:rsidR="00DC4B6D" w:rsidRDefault="00DC4B6D" w:rsidP="00582F0D">
      <w:pPr>
        <w:jc w:val="left"/>
        <w:rPr>
          <w:b/>
        </w:rPr>
      </w:pPr>
    </w:p>
    <w:p w:rsidR="00DC4B6D" w:rsidRDefault="00142299" w:rsidP="00582F0D">
      <w:pPr>
        <w:pStyle w:val="Heading1"/>
        <w:jc w:val="left"/>
      </w:pPr>
      <w:r>
        <w:t>BACKGROUND</w:t>
      </w:r>
    </w:p>
    <w:p w:rsidR="00142299" w:rsidRDefault="00214616" w:rsidP="00582F0D">
      <w:pPr>
        <w:pStyle w:val="ParaNum"/>
        <w:numPr>
          <w:ilvl w:val="0"/>
          <w:numId w:val="0"/>
        </w:numPr>
        <w:spacing w:after="0"/>
        <w:jc w:val="left"/>
      </w:pPr>
      <w:r>
        <w:t xml:space="preserve">             </w:t>
      </w:r>
      <w:r w:rsidR="00142299" w:rsidRPr="00142299">
        <w:t>2.</w:t>
      </w:r>
      <w:r>
        <w:tab/>
      </w:r>
      <w:r w:rsidR="004C229F">
        <w:t xml:space="preserve">Both </w:t>
      </w:r>
      <w:r>
        <w:t>the Communications Act of 1934, as amen</w:t>
      </w:r>
      <w:r w:rsidR="004C229F">
        <w:t>ded, and the Commission’s rules require the carriage of</w:t>
      </w:r>
      <w:r>
        <w:t xml:space="preserve"> </w:t>
      </w:r>
      <w:r w:rsidR="004C229F">
        <w:t>“</w:t>
      </w:r>
      <w:r>
        <w:t>qualified</w:t>
      </w:r>
      <w:r w:rsidR="004C229F">
        <w:t>”</w:t>
      </w:r>
      <w:r>
        <w:t xml:space="preserve"> low power television (“LPTV”) stations </w:t>
      </w:r>
      <w:r w:rsidR="004C229F">
        <w:t xml:space="preserve">in </w:t>
      </w:r>
      <w:r>
        <w:t>certain limited circumstances.</w:t>
      </w:r>
      <w:r>
        <w:rPr>
          <w:rStyle w:val="FootnoteReference"/>
        </w:rPr>
        <w:footnoteReference w:id="4"/>
      </w:r>
      <w:r>
        <w:t xml:space="preserve">  An LPTV station that conforms to the rules established for LPTV stations in Part 74 of the Commission’s rules will be considered </w:t>
      </w:r>
      <w:r w:rsidR="004C229F">
        <w:t>“</w:t>
      </w:r>
      <w:r>
        <w:t>qualified</w:t>
      </w:r>
      <w:r w:rsidR="004C229F">
        <w:t>”</w:t>
      </w:r>
      <w:r>
        <w:t xml:space="preserve"> if: (1) it broadcasts at least the minimum number of hours required pursuant to 47 C.F.R. Part 73; (2) it adheres to Commission requirements regarding non-entertainment programming and employment practices, and the Commission determines that the programming of the LPTV station addresses local news and informational needs that are not being adequately served by full power television broadcast stations because of the geographic distance of such full power stations from the low power station’s community of license; (3) it complies with interference regulations consistent with its secondary status; (4) it is located no more than 35 miles from the cable system’s principal headend and delivers to th</w:t>
      </w:r>
      <w:r w:rsidR="004C229F">
        <w:t>e</w:t>
      </w:r>
      <w:r>
        <w:t xml:space="preserve"> headend an over-the-air signal of good quality; (5) the community of license of the station and the </w:t>
      </w:r>
      <w:r w:rsidR="00586A8A">
        <w:t>franchise</w:t>
      </w:r>
      <w:r>
        <w:t xml:space="preserve"> area of the cable system were both located outside the largest 160 Metropolitan Statistical Areas on June 30, 1990, and the population of such community of license on that date did not exceed 35,000; and (6) there is no full power television broadcast station licensed to any </w:t>
      </w:r>
      <w:r>
        <w:lastRenderedPageBreak/>
        <w:t xml:space="preserve">community within the county or other </w:t>
      </w:r>
      <w:r w:rsidR="00586A8A">
        <w:t>political</w:t>
      </w:r>
      <w:r>
        <w:t xml:space="preserve"> subdivision (of a State) served by the cable system.</w:t>
      </w:r>
      <w:r w:rsidR="00586A8A">
        <w:rPr>
          <w:rStyle w:val="FootnoteReference"/>
        </w:rPr>
        <w:footnoteReference w:id="5"/>
      </w:r>
      <w:r>
        <w:t xml:space="preserve">  </w:t>
      </w:r>
      <w:r w:rsidR="00142299" w:rsidRPr="00142299">
        <w:tab/>
      </w:r>
    </w:p>
    <w:p w:rsidR="004C229F" w:rsidRDefault="004C229F" w:rsidP="00582F0D">
      <w:pPr>
        <w:pStyle w:val="ParaNum"/>
        <w:numPr>
          <w:ilvl w:val="0"/>
          <w:numId w:val="0"/>
        </w:numPr>
        <w:spacing w:after="0"/>
        <w:jc w:val="left"/>
      </w:pPr>
    </w:p>
    <w:p w:rsidR="00586A8A" w:rsidRDefault="00586A8A" w:rsidP="00582F0D">
      <w:pPr>
        <w:pStyle w:val="ParaNum"/>
        <w:numPr>
          <w:ilvl w:val="0"/>
          <w:numId w:val="0"/>
        </w:numPr>
        <w:spacing w:after="0"/>
        <w:jc w:val="left"/>
        <w:rPr>
          <w:b/>
        </w:rPr>
      </w:pPr>
      <w:r w:rsidRPr="00586A8A">
        <w:rPr>
          <w:b/>
        </w:rPr>
        <w:t xml:space="preserve">III.     </w:t>
      </w:r>
      <w:r>
        <w:rPr>
          <w:b/>
        </w:rPr>
        <w:t xml:space="preserve">  </w:t>
      </w:r>
      <w:r w:rsidRPr="00586A8A">
        <w:rPr>
          <w:b/>
        </w:rPr>
        <w:t>DISCUSSION</w:t>
      </w:r>
    </w:p>
    <w:p w:rsidR="00586A8A" w:rsidRDefault="00586A8A" w:rsidP="00582F0D">
      <w:pPr>
        <w:pStyle w:val="ParaNum"/>
        <w:numPr>
          <w:ilvl w:val="0"/>
          <w:numId w:val="0"/>
        </w:numPr>
        <w:spacing w:after="0"/>
        <w:jc w:val="left"/>
        <w:rPr>
          <w:b/>
        </w:rPr>
      </w:pPr>
    </w:p>
    <w:p w:rsidR="000919E5" w:rsidRDefault="00586A8A" w:rsidP="00582F0D">
      <w:pPr>
        <w:pStyle w:val="ParaNum"/>
        <w:numPr>
          <w:ilvl w:val="0"/>
          <w:numId w:val="0"/>
        </w:numPr>
        <w:spacing w:after="0"/>
        <w:jc w:val="left"/>
      </w:pPr>
      <w:r>
        <w:t xml:space="preserve">             </w:t>
      </w:r>
      <w:r w:rsidR="00087F71">
        <w:t>3</w:t>
      </w:r>
      <w:r w:rsidRPr="00586A8A">
        <w:t>.</w:t>
      </w:r>
      <w:r>
        <w:tab/>
      </w:r>
      <w:r w:rsidR="000919E5">
        <w:t>We begin by noting that the Commission does not have the authority to waive the rules that have been statutorily promulgated by Congress with respect to what factors define a “qualified” low power station.</w:t>
      </w:r>
      <w:r w:rsidR="000919E5">
        <w:rPr>
          <w:rStyle w:val="FootnoteReference"/>
        </w:rPr>
        <w:footnoteReference w:id="6"/>
      </w:r>
      <w:r w:rsidR="000919E5">
        <w:t xml:space="preserve">  The Commission must enforce the statute as drafted.</w:t>
      </w:r>
      <w:r w:rsidR="000919E5">
        <w:rPr>
          <w:rStyle w:val="FootnoteReference"/>
        </w:rPr>
        <w:footnoteReference w:id="7"/>
      </w:r>
      <w:r w:rsidR="000919E5">
        <w:t xml:space="preserve">  As outlined above, Congress has identified six factors that determine whether a low power station is “qualified” and therefore entitled to</w:t>
      </w:r>
      <w:r w:rsidR="00C82615">
        <w:t xml:space="preserve"> mandatory</w:t>
      </w:r>
      <w:r w:rsidR="000919E5">
        <w:t xml:space="preserve"> carriage rights.</w:t>
      </w:r>
      <w:r w:rsidR="000919E5">
        <w:rPr>
          <w:rStyle w:val="FootnoteReference"/>
        </w:rPr>
        <w:footnoteReference w:id="8"/>
      </w:r>
      <w:r w:rsidR="000C26DA">
        <w:t xml:space="preserve">  Because a low power television station must meet each of the six criteria required by the Act and the Commission’s rules, its failure to meet just one is fatal to its request for mandatory carriage.</w:t>
      </w:r>
      <w:r w:rsidR="000C26DA">
        <w:rPr>
          <w:rStyle w:val="FootnoteReference"/>
        </w:rPr>
        <w:footnoteReference w:id="9"/>
      </w:r>
    </w:p>
    <w:p w:rsidR="000C26DA" w:rsidRDefault="000C26DA" w:rsidP="00582F0D">
      <w:pPr>
        <w:pStyle w:val="ParaNum"/>
        <w:numPr>
          <w:ilvl w:val="0"/>
          <w:numId w:val="0"/>
        </w:numPr>
        <w:spacing w:after="0"/>
        <w:jc w:val="left"/>
      </w:pPr>
    </w:p>
    <w:p w:rsidR="00C95D89" w:rsidRDefault="000C26DA" w:rsidP="00582F0D">
      <w:pPr>
        <w:pStyle w:val="ParaNum"/>
        <w:numPr>
          <w:ilvl w:val="0"/>
          <w:numId w:val="0"/>
        </w:numPr>
        <w:spacing w:after="0"/>
        <w:jc w:val="left"/>
      </w:pPr>
      <w:r>
        <w:t xml:space="preserve">             </w:t>
      </w:r>
      <w:r w:rsidR="00087F71">
        <w:t>4</w:t>
      </w:r>
      <w:r>
        <w:t>.</w:t>
      </w:r>
      <w:r>
        <w:tab/>
      </w:r>
      <w:r w:rsidR="00586A8A">
        <w:t>In its complaint, WHCQ-LD claims that it is a qualified LPTV station, and seeks mandatory carriage on NewWave’s Leland cable system.</w:t>
      </w:r>
      <w:r w:rsidR="00586A8A">
        <w:rPr>
          <w:rStyle w:val="FootnoteReference"/>
        </w:rPr>
        <w:footnoteReference w:id="10"/>
      </w:r>
      <w:r w:rsidR="00EB42B1">
        <w:t xml:space="preserve">  WHCQ-LD states that it filed a formal request for cable carriage with New</w:t>
      </w:r>
      <w:r w:rsidR="004F76B3">
        <w:t>W</w:t>
      </w:r>
      <w:r w:rsidR="00EB42B1">
        <w:t>ave on September 28, 2016.</w:t>
      </w:r>
      <w:r w:rsidR="00EB42B1">
        <w:rPr>
          <w:rStyle w:val="FootnoteReference"/>
        </w:rPr>
        <w:footnoteReference w:id="11"/>
      </w:r>
      <w:r w:rsidR="00C95D89">
        <w:t xml:space="preserve">  However, New</w:t>
      </w:r>
      <w:r w:rsidR="005301D4">
        <w:t>W</w:t>
      </w:r>
      <w:r w:rsidR="00C95D89">
        <w:t>ave did not reply to WHCQ-LD’s carriage request.</w:t>
      </w:r>
      <w:r w:rsidR="00C95D89">
        <w:rPr>
          <w:rStyle w:val="FootnoteReference"/>
        </w:rPr>
        <w:footnoteReference w:id="12"/>
      </w:r>
      <w:r w:rsidR="000C230B">
        <w:t xml:space="preserve">  </w:t>
      </w:r>
      <w:r w:rsidR="00C95D89">
        <w:t>WHCQ-LD states that it</w:t>
      </w:r>
      <w:r w:rsidR="00E962D0">
        <w:t>s</w:t>
      </w:r>
      <w:r w:rsidR="00C95D89">
        <w:t xml:space="preserve"> </w:t>
      </w:r>
      <w:r w:rsidR="00204E4A">
        <w:t xml:space="preserve">carriage </w:t>
      </w:r>
      <w:r w:rsidR="00C95D89">
        <w:t xml:space="preserve">demand letter to NewWave </w:t>
      </w:r>
      <w:r w:rsidR="001E7720">
        <w:t>established that it met all six requirements as required under the Communication’s Act for m</w:t>
      </w:r>
      <w:r w:rsidR="00E962D0">
        <w:t>andatory</w:t>
      </w:r>
      <w:r w:rsidR="00C82615">
        <w:t xml:space="preserve"> carriage</w:t>
      </w:r>
      <w:r w:rsidR="001E7720">
        <w:t>.</w:t>
      </w:r>
      <w:r w:rsidR="001E7720">
        <w:rPr>
          <w:rStyle w:val="FootnoteReference"/>
        </w:rPr>
        <w:footnoteReference w:id="13"/>
      </w:r>
      <w:r w:rsidR="001E7720">
        <w:t xml:space="preserve">  </w:t>
      </w:r>
    </w:p>
    <w:p w:rsidR="000C230B" w:rsidRDefault="000C230B" w:rsidP="00582F0D">
      <w:pPr>
        <w:pStyle w:val="ParaNum"/>
        <w:numPr>
          <w:ilvl w:val="0"/>
          <w:numId w:val="0"/>
        </w:numPr>
        <w:spacing w:after="0"/>
        <w:jc w:val="left"/>
      </w:pPr>
    </w:p>
    <w:p w:rsidR="000C230B" w:rsidRDefault="000C230B" w:rsidP="00582F0D">
      <w:pPr>
        <w:pStyle w:val="ParaNum"/>
        <w:numPr>
          <w:ilvl w:val="0"/>
          <w:numId w:val="0"/>
        </w:numPr>
        <w:spacing w:after="0"/>
        <w:jc w:val="left"/>
      </w:pPr>
      <w:r>
        <w:t xml:space="preserve">             5.      </w:t>
      </w:r>
      <w:r w:rsidR="000C26DA">
        <w:t xml:space="preserve">In opposition, </w:t>
      </w:r>
      <w:r w:rsidR="0023317B">
        <w:t xml:space="preserve">NewWave </w:t>
      </w:r>
      <w:r w:rsidR="00087F71">
        <w:t>states</w:t>
      </w:r>
      <w:r w:rsidR="0023317B">
        <w:t xml:space="preserve"> that </w:t>
      </w:r>
      <w:r w:rsidR="00256658">
        <w:t xml:space="preserve">its cable system </w:t>
      </w:r>
      <w:r w:rsidR="00E61127">
        <w:t>serves Washington County</w:t>
      </w:r>
      <w:r w:rsidR="00087F71">
        <w:t>, Mississippi.</w:t>
      </w:r>
      <w:r w:rsidR="00087F71">
        <w:rPr>
          <w:rStyle w:val="FootnoteReference"/>
        </w:rPr>
        <w:footnoteReference w:id="14"/>
      </w:r>
      <w:r w:rsidR="00087F71">
        <w:t xml:space="preserve">  NewWave argues</w:t>
      </w:r>
      <w:r w:rsidR="00E61127">
        <w:t xml:space="preserve"> that WHCQ-LD is not a qualified low power television station for must carry purposes because WXVT, Greenville, Mississippi, is a full power television broadcast station that is licensed to </w:t>
      </w:r>
      <w:r w:rsidR="00C82615">
        <w:t>a</w:t>
      </w:r>
      <w:r w:rsidR="00E61127">
        <w:t xml:space="preserve"> community </w:t>
      </w:r>
      <w:r w:rsidR="00C82615">
        <w:t xml:space="preserve">within Washington County </w:t>
      </w:r>
      <w:r w:rsidR="00E61127">
        <w:t xml:space="preserve">and </w:t>
      </w:r>
      <w:r w:rsidR="00DC614E">
        <w:t xml:space="preserve">is </w:t>
      </w:r>
      <w:r w:rsidR="00E61127">
        <w:t xml:space="preserve">affiliated with </w:t>
      </w:r>
      <w:r w:rsidR="00CA79FA">
        <w:t xml:space="preserve">the </w:t>
      </w:r>
      <w:r w:rsidR="00E61127">
        <w:t>C</w:t>
      </w:r>
      <w:r w:rsidR="00CA79FA">
        <w:t xml:space="preserve">olumbia </w:t>
      </w:r>
      <w:r w:rsidR="00E61127">
        <w:t>B</w:t>
      </w:r>
      <w:r w:rsidR="00CA79FA">
        <w:t xml:space="preserve">roadcasting </w:t>
      </w:r>
      <w:r w:rsidR="00E61127">
        <w:t>S</w:t>
      </w:r>
      <w:r w:rsidR="00CA79FA">
        <w:t>ystem</w:t>
      </w:r>
      <w:r w:rsidR="00E61127">
        <w:t>.</w:t>
      </w:r>
      <w:r w:rsidR="00087F71">
        <w:rPr>
          <w:rStyle w:val="FootnoteReference"/>
        </w:rPr>
        <w:footnoteReference w:id="15"/>
      </w:r>
      <w:r w:rsidR="00E61127">
        <w:t xml:space="preserve">  NewWave also asserts that WHCQ-LD has failed to demonstrate that its programming is providing “important news and local information” that </w:t>
      </w:r>
      <w:r w:rsidR="00FB4E84">
        <w:t>is</w:t>
      </w:r>
      <w:r w:rsidR="0096634F">
        <w:t xml:space="preserve"> not adequately served by full power television stations.</w:t>
      </w:r>
      <w:r w:rsidR="00087F71">
        <w:rPr>
          <w:rStyle w:val="FootnoteReference"/>
        </w:rPr>
        <w:footnoteReference w:id="16"/>
      </w:r>
      <w:r w:rsidR="0096634F">
        <w:t xml:space="preserve">  Finally, NewWave asserts that WHCQ-LD fails to provide a good quality signal to its headend.</w:t>
      </w:r>
      <w:r w:rsidR="00087F71">
        <w:rPr>
          <w:rStyle w:val="FootnoteReference"/>
        </w:rPr>
        <w:footnoteReference w:id="17"/>
      </w:r>
      <w:r w:rsidR="0096634F">
        <w:t xml:space="preserve">  According to NewWave, it conducted a signal strength test of the station’s signal on January 5, 2017, and the test reflected that WHCQ-LD did not deliver a good quality signal because the signal </w:t>
      </w:r>
      <w:r w:rsidR="0096634F">
        <w:lastRenderedPageBreak/>
        <w:t>strength reading was only -40 dBm, which is well under the requirements for a good quality signal.</w:t>
      </w:r>
      <w:r w:rsidR="00087F71">
        <w:rPr>
          <w:rStyle w:val="FootnoteReference"/>
        </w:rPr>
        <w:footnoteReference w:id="18"/>
      </w:r>
      <w:r w:rsidR="0096634F">
        <w:t xml:space="preserve"> </w:t>
      </w:r>
    </w:p>
    <w:p w:rsidR="0096634F" w:rsidRDefault="0096634F" w:rsidP="00582F0D">
      <w:pPr>
        <w:pStyle w:val="ParaNum"/>
        <w:numPr>
          <w:ilvl w:val="0"/>
          <w:numId w:val="0"/>
        </w:numPr>
        <w:spacing w:after="0"/>
        <w:jc w:val="left"/>
      </w:pPr>
    </w:p>
    <w:p w:rsidR="00BD32A5" w:rsidRDefault="0096634F" w:rsidP="00582F0D">
      <w:pPr>
        <w:pStyle w:val="ParaNum"/>
        <w:numPr>
          <w:ilvl w:val="0"/>
          <w:numId w:val="0"/>
        </w:numPr>
        <w:spacing w:after="0"/>
        <w:jc w:val="left"/>
      </w:pPr>
      <w:r>
        <w:t xml:space="preserve">          </w:t>
      </w:r>
      <w:r w:rsidR="00BE6C0F">
        <w:t xml:space="preserve"> </w:t>
      </w:r>
      <w:r>
        <w:t>6.        In reply, WHCQ-LD argues that it has satisfied the six requirements for low power television carriage because the issues raised by NewWave are easily rebuttable.</w:t>
      </w:r>
      <w:r w:rsidR="00BD32A5">
        <w:t xml:space="preserve">  WHCQ-LD asserts that WXVT is silent and is no longer on the air.</w:t>
      </w:r>
      <w:r w:rsidR="00582F0D">
        <w:rPr>
          <w:rStyle w:val="FootnoteReference"/>
        </w:rPr>
        <w:footnoteReference w:id="19"/>
      </w:r>
      <w:r w:rsidR="00BD32A5">
        <w:t xml:space="preserve">  </w:t>
      </w:r>
      <w:r w:rsidR="00256658">
        <w:t xml:space="preserve">  </w:t>
      </w:r>
      <w:r w:rsidR="00582F0D">
        <w:t xml:space="preserve">  </w:t>
      </w:r>
    </w:p>
    <w:p w:rsidR="00BD32A5" w:rsidRDefault="00BD32A5" w:rsidP="00582F0D">
      <w:pPr>
        <w:pStyle w:val="ParaNum"/>
        <w:numPr>
          <w:ilvl w:val="0"/>
          <w:numId w:val="0"/>
        </w:numPr>
        <w:spacing w:after="0"/>
        <w:jc w:val="left"/>
      </w:pPr>
    </w:p>
    <w:p w:rsidR="0096634F" w:rsidRDefault="00BD32A5" w:rsidP="00582F0D">
      <w:pPr>
        <w:pStyle w:val="ParaNum"/>
        <w:numPr>
          <w:ilvl w:val="0"/>
          <w:numId w:val="0"/>
        </w:numPr>
        <w:spacing w:after="0"/>
        <w:jc w:val="left"/>
      </w:pPr>
      <w:r>
        <w:t xml:space="preserve">           7.       </w:t>
      </w:r>
      <w:r>
        <w:tab/>
      </w:r>
      <w:r w:rsidR="007B2D47">
        <w:t xml:space="preserve">We find that </w:t>
      </w:r>
      <w:r w:rsidR="009A33D8">
        <w:t>WHCQ-LD is not a “qualified” low power television station.  Section 76.55(d)(6) of our rules directly implements the mandate of Section 614(h)(2)(F)</w:t>
      </w:r>
      <w:r w:rsidR="009A33D8">
        <w:rPr>
          <w:rStyle w:val="FootnoteReference"/>
        </w:rPr>
        <w:footnoteReference w:id="20"/>
      </w:r>
      <w:r>
        <w:t xml:space="preserve"> </w:t>
      </w:r>
      <w:r w:rsidR="009A33D8">
        <w:t xml:space="preserve">of the Cable Act, pursuant to which a low power station can only qualify for mandatory carriage if there is no full power television station licensed to </w:t>
      </w:r>
      <w:r w:rsidR="00C82615">
        <w:t>a</w:t>
      </w:r>
      <w:r w:rsidR="009A33D8">
        <w:t xml:space="preserve"> community </w:t>
      </w:r>
      <w:r w:rsidR="00C82615">
        <w:t xml:space="preserve">within </w:t>
      </w:r>
      <w:r w:rsidR="00EF6FBF">
        <w:t>its</w:t>
      </w:r>
      <w:r w:rsidR="00C82615">
        <w:t xml:space="preserve"> county </w:t>
      </w:r>
      <w:r w:rsidR="009A33D8">
        <w:t xml:space="preserve">or </w:t>
      </w:r>
      <w:r w:rsidR="00C82615">
        <w:t xml:space="preserve">other </w:t>
      </w:r>
      <w:r w:rsidR="009A33D8">
        <w:t>political subdivision.  WXVT is currently licensed to Greenville, Mississippi</w:t>
      </w:r>
      <w:r w:rsidR="00C82615">
        <w:t xml:space="preserve"> located within Washington County</w:t>
      </w:r>
      <w:r w:rsidR="009A33D8">
        <w:t xml:space="preserve">.  WXVT is currently </w:t>
      </w:r>
      <w:r w:rsidR="001B5E08">
        <w:t xml:space="preserve">licensed but </w:t>
      </w:r>
      <w:r w:rsidR="009A33D8">
        <w:t xml:space="preserve">silent </w:t>
      </w:r>
      <w:r w:rsidR="00D4794C">
        <w:t>pursuant to a grant of Special Temporary Authority</w:t>
      </w:r>
      <w:r w:rsidR="003753A6">
        <w:t xml:space="preserve"> </w:t>
      </w:r>
      <w:r w:rsidR="009A33D8">
        <w:t>(“STA”).</w:t>
      </w:r>
      <w:r w:rsidR="009A33D8">
        <w:rPr>
          <w:rStyle w:val="FootnoteReference"/>
        </w:rPr>
        <w:footnoteReference w:id="21"/>
      </w:r>
      <w:r w:rsidR="009A33D8">
        <w:t xml:space="preserve">  WXVT’s initial STA has expired.  However, it has </w:t>
      </w:r>
      <w:r w:rsidR="00A91F1D">
        <w:t>submitted a request for an extension of the STA, which is pending</w:t>
      </w:r>
      <w:r w:rsidR="00C82615">
        <w:t xml:space="preserve"> before the Commission</w:t>
      </w:r>
      <w:r w:rsidR="00A91F1D">
        <w:t xml:space="preserve">.  </w:t>
      </w:r>
      <w:r w:rsidR="003D20D9">
        <w:t>T</w:t>
      </w:r>
      <w:r w:rsidR="00693454">
        <w:t xml:space="preserve">hus, </w:t>
      </w:r>
      <w:r w:rsidR="00000694">
        <w:t xml:space="preserve">for purposes of analyzing the six criteria required </w:t>
      </w:r>
      <w:r w:rsidR="00D65261">
        <w:t xml:space="preserve">by </w:t>
      </w:r>
      <w:r w:rsidR="00000694">
        <w:t xml:space="preserve">the Act and the Commission’s rules, </w:t>
      </w:r>
      <w:r w:rsidR="00693454">
        <w:t xml:space="preserve">there is a </w:t>
      </w:r>
      <w:r w:rsidR="003D20D9">
        <w:t xml:space="preserve">full power television station that </w:t>
      </w:r>
      <w:r w:rsidR="00693454">
        <w:t>is</w:t>
      </w:r>
      <w:r w:rsidR="003D20D9">
        <w:t xml:space="preserve"> currently licensed to </w:t>
      </w:r>
      <w:r w:rsidR="001B5E08">
        <w:t xml:space="preserve">a </w:t>
      </w:r>
      <w:r w:rsidR="003D20D9">
        <w:t>community</w:t>
      </w:r>
      <w:r w:rsidR="001B5E08">
        <w:t xml:space="preserve"> within Washington County</w:t>
      </w:r>
      <w:r w:rsidR="003D20D9">
        <w:t>.</w:t>
      </w:r>
      <w:r w:rsidR="00D65261">
        <w:rPr>
          <w:rStyle w:val="FootnoteReference"/>
        </w:rPr>
        <w:footnoteReference w:id="22"/>
      </w:r>
      <w:r w:rsidR="003D20D9">
        <w:t xml:space="preserve"> </w:t>
      </w:r>
      <w:r w:rsidR="00A91F1D">
        <w:t xml:space="preserve">As a result, WHCQ-LD has failed to establish that there is no full power television station licensed to </w:t>
      </w:r>
      <w:r w:rsidR="000F4BA3">
        <w:t>Washington</w:t>
      </w:r>
      <w:r w:rsidR="00A91F1D">
        <w:t xml:space="preserve"> County, Mississippi.  WHCQ-LD’s failure to meet this factor is fatal to its request for mandatory carriage.</w:t>
      </w:r>
      <w:r w:rsidR="00A91F1D">
        <w:rPr>
          <w:rStyle w:val="FootnoteReference"/>
        </w:rPr>
        <w:footnoteReference w:id="23"/>
      </w:r>
      <w:r w:rsidR="009A33D8">
        <w:t xml:space="preserve">   </w:t>
      </w:r>
      <w:r>
        <w:t xml:space="preserve"> </w:t>
      </w:r>
      <w:r w:rsidR="0096634F">
        <w:t xml:space="preserve">  </w:t>
      </w:r>
    </w:p>
    <w:p w:rsidR="00A91F1D" w:rsidRDefault="00A91F1D" w:rsidP="00582F0D">
      <w:pPr>
        <w:pStyle w:val="Heading1"/>
        <w:numPr>
          <w:ilvl w:val="0"/>
          <w:numId w:val="0"/>
        </w:numPr>
        <w:jc w:val="left"/>
        <w:rPr>
          <w:b w:val="0"/>
          <w:caps w:val="0"/>
        </w:rPr>
      </w:pPr>
    </w:p>
    <w:p w:rsidR="00B078AB" w:rsidRDefault="000F4BA3" w:rsidP="00582F0D">
      <w:pPr>
        <w:pStyle w:val="Heading1"/>
        <w:numPr>
          <w:ilvl w:val="0"/>
          <w:numId w:val="0"/>
        </w:numPr>
        <w:jc w:val="left"/>
      </w:pPr>
      <w:r>
        <w:t>IV.</w:t>
      </w:r>
      <w:r w:rsidR="00B078AB">
        <w:t xml:space="preserve">  </w:t>
      </w:r>
      <w:r>
        <w:t xml:space="preserve">    </w:t>
      </w:r>
      <w:r w:rsidR="00B078AB">
        <w:t>ORDERING CLAUSES</w:t>
      </w:r>
    </w:p>
    <w:p w:rsidR="00A81D44" w:rsidRDefault="00B078AB" w:rsidP="00582F0D">
      <w:pPr>
        <w:pStyle w:val="ParaNum"/>
        <w:numPr>
          <w:ilvl w:val="0"/>
          <w:numId w:val="0"/>
        </w:numPr>
        <w:spacing w:after="0"/>
        <w:jc w:val="left"/>
      </w:pPr>
      <w:r>
        <w:t xml:space="preserve">           8.</w:t>
      </w:r>
      <w:r>
        <w:tab/>
        <w:t>Accor</w:t>
      </w:r>
      <w:r w:rsidR="000F4BA3">
        <w:t>ding</w:t>
      </w:r>
      <w:r>
        <w:t xml:space="preserve">ly, </w:t>
      </w:r>
      <w:r w:rsidRPr="00FF3CF0">
        <w:rPr>
          <w:b/>
        </w:rPr>
        <w:t>IT IS O</w:t>
      </w:r>
      <w:r w:rsidR="00FF3CF0">
        <w:rPr>
          <w:b/>
        </w:rPr>
        <w:t>R</w:t>
      </w:r>
      <w:r w:rsidRPr="00FF3CF0">
        <w:rPr>
          <w:b/>
        </w:rPr>
        <w:t>DERED</w:t>
      </w:r>
      <w:r>
        <w:t xml:space="preserve">, pursuant to Section 614 of the Communications Act of 1934, as amended, 47 U.S.C. § 534, and Section 76.55(d) of the Commission’s rules, that the must carry complaint filed by Ellington Broadcasting, on behalf of Low Power Station WHCQ-LD, Cleveland, Mississippi </w:t>
      </w:r>
      <w:r w:rsidRPr="00FF3CF0">
        <w:rPr>
          <w:b/>
        </w:rPr>
        <w:t>IS DENIED</w:t>
      </w:r>
      <w:r>
        <w:t>.</w:t>
      </w:r>
    </w:p>
    <w:p w:rsidR="007B4EE9" w:rsidRDefault="007B4EE9" w:rsidP="00582F0D">
      <w:pPr>
        <w:pStyle w:val="ParaNum"/>
        <w:numPr>
          <w:ilvl w:val="0"/>
          <w:numId w:val="0"/>
        </w:numPr>
        <w:spacing w:after="0"/>
        <w:jc w:val="left"/>
      </w:pPr>
    </w:p>
    <w:p w:rsidR="00B078AB" w:rsidRDefault="00B078AB" w:rsidP="00582F0D">
      <w:pPr>
        <w:pStyle w:val="ParaNum"/>
        <w:numPr>
          <w:ilvl w:val="0"/>
          <w:numId w:val="0"/>
        </w:numPr>
        <w:spacing w:after="0"/>
        <w:jc w:val="left"/>
      </w:pPr>
      <w:r>
        <w:t xml:space="preserve">           9.</w:t>
      </w:r>
      <w:r>
        <w:tab/>
        <w:t>This action is taken pursuant to authority delegated by Section. 0.283 of the Commission’s rules.</w:t>
      </w:r>
      <w:r>
        <w:rPr>
          <w:rStyle w:val="FootnoteReference"/>
        </w:rPr>
        <w:footnoteReference w:id="24"/>
      </w:r>
    </w:p>
    <w:p w:rsidR="000F4BA3" w:rsidRDefault="000F4BA3" w:rsidP="00582F0D">
      <w:pPr>
        <w:pStyle w:val="ParaNum"/>
        <w:numPr>
          <w:ilvl w:val="0"/>
          <w:numId w:val="0"/>
        </w:numPr>
        <w:spacing w:after="0"/>
        <w:jc w:val="left"/>
      </w:pPr>
    </w:p>
    <w:p w:rsidR="000F4BA3" w:rsidRDefault="000F4BA3" w:rsidP="00582F0D">
      <w:pPr>
        <w:pStyle w:val="ParaNum"/>
        <w:numPr>
          <w:ilvl w:val="0"/>
          <w:numId w:val="0"/>
        </w:numPr>
        <w:spacing w:after="0"/>
        <w:jc w:val="left"/>
      </w:pPr>
    </w:p>
    <w:p w:rsidR="00B078AB" w:rsidRDefault="000F4BA3" w:rsidP="00582F0D">
      <w:pPr>
        <w:pStyle w:val="ParaNum"/>
        <w:numPr>
          <w:ilvl w:val="0"/>
          <w:numId w:val="0"/>
        </w:numPr>
        <w:spacing w:after="0"/>
        <w:jc w:val="left"/>
      </w:pPr>
      <w:r>
        <w:tab/>
      </w:r>
      <w:r>
        <w:tab/>
      </w:r>
      <w:r>
        <w:tab/>
      </w:r>
      <w:r>
        <w:tab/>
      </w:r>
      <w:r>
        <w:tab/>
      </w:r>
      <w:r w:rsidR="00B078AB">
        <w:t>FEDERAL COMMUNICATIONS COMMISSION</w:t>
      </w:r>
    </w:p>
    <w:p w:rsidR="00B078AB" w:rsidRDefault="00B078AB" w:rsidP="00582F0D">
      <w:pPr>
        <w:pStyle w:val="ParaNum"/>
        <w:numPr>
          <w:ilvl w:val="0"/>
          <w:numId w:val="0"/>
        </w:numPr>
        <w:spacing w:after="0"/>
        <w:jc w:val="left"/>
      </w:pPr>
    </w:p>
    <w:p w:rsidR="00B078AB" w:rsidRDefault="00B078AB" w:rsidP="00582F0D">
      <w:pPr>
        <w:pStyle w:val="ParaNum"/>
        <w:numPr>
          <w:ilvl w:val="0"/>
          <w:numId w:val="0"/>
        </w:numPr>
        <w:spacing w:after="0"/>
        <w:jc w:val="left"/>
      </w:pPr>
    </w:p>
    <w:p w:rsidR="00B078AB" w:rsidRDefault="00B078AB" w:rsidP="00582F0D">
      <w:pPr>
        <w:pStyle w:val="ParaNum"/>
        <w:numPr>
          <w:ilvl w:val="0"/>
          <w:numId w:val="0"/>
        </w:numPr>
        <w:spacing w:after="0"/>
        <w:jc w:val="left"/>
      </w:pPr>
    </w:p>
    <w:p w:rsidR="00B078AB" w:rsidRDefault="00B078AB" w:rsidP="00582F0D">
      <w:pPr>
        <w:pStyle w:val="ParaNum"/>
        <w:numPr>
          <w:ilvl w:val="0"/>
          <w:numId w:val="0"/>
        </w:numPr>
        <w:spacing w:after="0"/>
        <w:jc w:val="left"/>
      </w:pPr>
    </w:p>
    <w:p w:rsidR="000F4BA3" w:rsidRDefault="000F4BA3" w:rsidP="00582F0D">
      <w:pPr>
        <w:pStyle w:val="ParaNum"/>
        <w:numPr>
          <w:ilvl w:val="0"/>
          <w:numId w:val="0"/>
        </w:numPr>
        <w:spacing w:after="0"/>
        <w:jc w:val="left"/>
      </w:pPr>
      <w:r>
        <w:tab/>
      </w:r>
      <w:r>
        <w:tab/>
      </w:r>
      <w:r>
        <w:tab/>
      </w:r>
      <w:r>
        <w:tab/>
      </w:r>
      <w:r>
        <w:tab/>
        <w:t>Steven A. Broeckaert</w:t>
      </w:r>
    </w:p>
    <w:p w:rsidR="000F4BA3" w:rsidRDefault="000F4BA3" w:rsidP="00582F0D">
      <w:pPr>
        <w:pStyle w:val="ParaNum"/>
        <w:numPr>
          <w:ilvl w:val="0"/>
          <w:numId w:val="0"/>
        </w:numPr>
        <w:spacing w:after="0"/>
        <w:jc w:val="left"/>
      </w:pPr>
      <w:r>
        <w:tab/>
      </w:r>
      <w:r>
        <w:tab/>
      </w:r>
      <w:r>
        <w:tab/>
      </w:r>
      <w:r>
        <w:tab/>
      </w:r>
      <w:r>
        <w:tab/>
        <w:t>Senior Deputy Chief, Policy Division</w:t>
      </w:r>
    </w:p>
    <w:p w:rsidR="00B078AB" w:rsidRPr="00B078AB" w:rsidRDefault="000F4BA3" w:rsidP="003D20D9">
      <w:pPr>
        <w:pStyle w:val="ParaNum"/>
        <w:numPr>
          <w:ilvl w:val="0"/>
          <w:numId w:val="0"/>
        </w:numPr>
        <w:spacing w:after="0"/>
        <w:jc w:val="left"/>
      </w:pPr>
      <w:r>
        <w:tab/>
      </w:r>
      <w:r>
        <w:tab/>
      </w:r>
      <w:r>
        <w:tab/>
      </w:r>
      <w:r>
        <w:tab/>
      </w:r>
      <w:r>
        <w:tab/>
        <w:t>Media Bureau</w:t>
      </w:r>
    </w:p>
    <w:sectPr w:rsidR="00B078AB" w:rsidRPr="00B078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D3" w:rsidRDefault="002450D3">
      <w:r>
        <w:separator/>
      </w:r>
    </w:p>
  </w:endnote>
  <w:endnote w:type="continuationSeparator" w:id="0">
    <w:p w:rsidR="002450D3" w:rsidRDefault="0024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CF" w:rsidRDefault="00671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36" w:rsidRDefault="00E45436">
    <w:pPr>
      <w:pStyle w:val="Footer"/>
      <w:jc w:val="center"/>
    </w:pPr>
    <w:r>
      <w:rPr>
        <w:rStyle w:val="PageNumber"/>
      </w:rPr>
      <w:fldChar w:fldCharType="begin"/>
    </w:r>
    <w:r>
      <w:rPr>
        <w:rStyle w:val="PageNumber"/>
      </w:rPr>
      <w:instrText xml:space="preserve"> PAGE </w:instrText>
    </w:r>
    <w:r>
      <w:rPr>
        <w:rStyle w:val="PageNumber"/>
      </w:rPr>
      <w:fldChar w:fldCharType="separate"/>
    </w:r>
    <w:r w:rsidR="00612D2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CF" w:rsidRDefault="006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D3" w:rsidRDefault="002450D3">
      <w:pPr>
        <w:rPr>
          <w:sz w:val="20"/>
        </w:rPr>
      </w:pPr>
      <w:r>
        <w:rPr>
          <w:sz w:val="20"/>
        </w:rPr>
        <w:separator/>
      </w:r>
    </w:p>
  </w:footnote>
  <w:footnote w:type="continuationSeparator" w:id="0">
    <w:p w:rsidR="002450D3" w:rsidRDefault="002450D3">
      <w:pPr>
        <w:rPr>
          <w:sz w:val="20"/>
        </w:rPr>
      </w:pPr>
      <w:r>
        <w:rPr>
          <w:sz w:val="20"/>
        </w:rPr>
        <w:separator/>
      </w:r>
    </w:p>
    <w:p w:rsidR="002450D3" w:rsidRDefault="002450D3">
      <w:pPr>
        <w:rPr>
          <w:sz w:val="20"/>
        </w:rPr>
      </w:pPr>
      <w:r>
        <w:rPr>
          <w:sz w:val="20"/>
        </w:rPr>
        <w:t>(...continued from previous page)</w:t>
      </w:r>
    </w:p>
  </w:footnote>
  <w:footnote w:type="continuationNotice" w:id="1">
    <w:p w:rsidR="002450D3" w:rsidRDefault="002450D3">
      <w:pPr>
        <w:jc w:val="right"/>
        <w:rPr>
          <w:sz w:val="20"/>
        </w:rPr>
      </w:pPr>
      <w:r>
        <w:rPr>
          <w:sz w:val="20"/>
        </w:rPr>
        <w:t>(continued....)</w:t>
      </w:r>
    </w:p>
  </w:footnote>
  <w:footnote w:id="2">
    <w:p w:rsidR="00586A8A" w:rsidRDefault="00586A8A">
      <w:pPr>
        <w:pStyle w:val="FootnoteText"/>
      </w:pPr>
      <w:r>
        <w:rPr>
          <w:rStyle w:val="FootnoteReference"/>
        </w:rPr>
        <w:footnoteRef/>
      </w:r>
      <w:r>
        <w:t xml:space="preserve"> </w:t>
      </w:r>
      <w:r w:rsidR="00E962D0">
        <w:t>Ellington Broadcasting Complaint filed</w:t>
      </w:r>
      <w:r w:rsidR="00B86E97">
        <w:t xml:space="preserve"> </w:t>
      </w:r>
      <w:r>
        <w:t>December 28, 2016</w:t>
      </w:r>
      <w:r w:rsidR="003074DA">
        <w:t xml:space="preserve"> (“Complaint”</w:t>
      </w:r>
      <w:r w:rsidR="00B86E97">
        <w:t>)</w:t>
      </w:r>
      <w:r>
        <w:t xml:space="preserve">.  </w:t>
      </w:r>
    </w:p>
  </w:footnote>
  <w:footnote w:id="3">
    <w:p w:rsidR="00582F0D" w:rsidRDefault="004C229F" w:rsidP="00582F0D">
      <w:pPr>
        <w:pStyle w:val="FootnoteText"/>
        <w:spacing w:after="0"/>
      </w:pPr>
      <w:r>
        <w:rPr>
          <w:rStyle w:val="FootnoteReference"/>
        </w:rPr>
        <w:footnoteRef/>
      </w:r>
      <w:r>
        <w:t xml:space="preserve"> </w:t>
      </w:r>
      <w:r w:rsidR="003074DA">
        <w:t xml:space="preserve">Opposition of Ultra Communications Group, LLC, d/b/a NewWave Communications filed </w:t>
      </w:r>
      <w:r w:rsidR="00B86E97">
        <w:t>January 24, 2017</w:t>
      </w:r>
    </w:p>
    <w:p w:rsidR="004C229F" w:rsidRDefault="00B86E97" w:rsidP="007B2D47">
      <w:pPr>
        <w:pStyle w:val="FootnoteText"/>
      </w:pPr>
      <w:r>
        <w:t xml:space="preserve">(Opposition); Reply of WHCQ-LD, filed February 10, 2017 (“Reply”). </w:t>
      </w:r>
    </w:p>
  </w:footnote>
  <w:footnote w:id="4">
    <w:p w:rsidR="00214616" w:rsidRDefault="00214616">
      <w:pPr>
        <w:pStyle w:val="FootnoteText"/>
      </w:pPr>
      <w:r>
        <w:rPr>
          <w:rStyle w:val="FootnoteReference"/>
        </w:rPr>
        <w:footnoteRef/>
      </w:r>
      <w:r>
        <w:t xml:space="preserve"> 47 U.S.C. § 534</w:t>
      </w:r>
      <w:r w:rsidR="00586A8A">
        <w:t>(c)</w:t>
      </w:r>
      <w:r>
        <w:t>(1); 47 C.F.R. § 76.56(b)(3).</w:t>
      </w:r>
    </w:p>
  </w:footnote>
  <w:footnote w:id="5">
    <w:p w:rsidR="00586A8A" w:rsidRDefault="00586A8A">
      <w:pPr>
        <w:pStyle w:val="FootnoteText"/>
      </w:pPr>
      <w:r>
        <w:rPr>
          <w:rStyle w:val="FootnoteReference"/>
        </w:rPr>
        <w:footnoteRef/>
      </w:r>
      <w:r>
        <w:t xml:space="preserve"> 47 U.S.C. § 534(h)(2); 47 C.F.R. § 76.55(</w:t>
      </w:r>
      <w:r w:rsidRPr="00586A8A">
        <w:t>d</w:t>
      </w:r>
      <w:r>
        <w:t>).</w:t>
      </w:r>
    </w:p>
  </w:footnote>
  <w:footnote w:id="6">
    <w:p w:rsidR="000919E5" w:rsidRDefault="000919E5">
      <w:pPr>
        <w:pStyle w:val="FootnoteText"/>
      </w:pPr>
      <w:r>
        <w:rPr>
          <w:rStyle w:val="FootnoteReference"/>
        </w:rPr>
        <w:footnoteRef/>
      </w:r>
      <w:r>
        <w:t xml:space="preserve"> </w:t>
      </w:r>
      <w:r w:rsidRPr="000919E5">
        <w:rPr>
          <w:i/>
        </w:rPr>
        <w:t>See</w:t>
      </w:r>
      <w:r>
        <w:t xml:space="preserve"> 47 U.S.C. § 534(h)(2)(A)-(F).</w:t>
      </w:r>
    </w:p>
  </w:footnote>
  <w:footnote w:id="7">
    <w:p w:rsidR="000919E5" w:rsidRPr="000919E5" w:rsidRDefault="000919E5">
      <w:pPr>
        <w:pStyle w:val="FootnoteText"/>
      </w:pPr>
      <w:r>
        <w:rPr>
          <w:rStyle w:val="FootnoteReference"/>
        </w:rPr>
        <w:footnoteRef/>
      </w:r>
      <w:r>
        <w:t xml:space="preserve"> </w:t>
      </w:r>
      <w:r w:rsidRPr="000919E5">
        <w:rPr>
          <w:i/>
        </w:rPr>
        <w:t>See</w:t>
      </w:r>
      <w:r>
        <w:t xml:space="preserve"> </w:t>
      </w:r>
      <w:r w:rsidRPr="000919E5">
        <w:rPr>
          <w:i/>
        </w:rPr>
        <w:t>Continental Broad. Corp. v. Jones Intercable, Inc.</w:t>
      </w:r>
      <w:r>
        <w:t>, 9 FCC Rcd. 2550, 2551, ¶ 8 (CSB May 18, 1994).</w:t>
      </w:r>
    </w:p>
  </w:footnote>
  <w:footnote w:id="8">
    <w:p w:rsidR="000919E5" w:rsidRDefault="000919E5">
      <w:pPr>
        <w:pStyle w:val="FootnoteText"/>
      </w:pPr>
      <w:r>
        <w:rPr>
          <w:rStyle w:val="FootnoteReference"/>
        </w:rPr>
        <w:footnoteRef/>
      </w:r>
      <w:r>
        <w:t xml:space="preserve"> </w:t>
      </w:r>
      <w:r w:rsidRPr="000919E5">
        <w:rPr>
          <w:i/>
        </w:rPr>
        <w:t>See</w:t>
      </w:r>
      <w:r>
        <w:t xml:space="preserve"> 47 U.S.C. § 534(h)(2)(A)-(F)</w:t>
      </w:r>
      <w:r w:rsidR="000C26DA">
        <w:t xml:space="preserve"> &amp; 47 C.F.R. § 76.55(d)(1)-(6).</w:t>
      </w:r>
    </w:p>
  </w:footnote>
  <w:footnote w:id="9">
    <w:p w:rsidR="000C26DA" w:rsidRPr="000C26DA" w:rsidRDefault="000C26DA">
      <w:pPr>
        <w:pStyle w:val="FootnoteText"/>
      </w:pPr>
      <w:r>
        <w:rPr>
          <w:rStyle w:val="FootnoteReference"/>
        </w:rPr>
        <w:footnoteRef/>
      </w:r>
      <w:r>
        <w:t xml:space="preserve"> </w:t>
      </w:r>
      <w:r w:rsidRPr="000C26DA">
        <w:rPr>
          <w:i/>
        </w:rPr>
        <w:t xml:space="preserve">See </w:t>
      </w:r>
      <w:r w:rsidRPr="000919E5">
        <w:rPr>
          <w:i/>
        </w:rPr>
        <w:t>Continental Broad. Corp.</w:t>
      </w:r>
      <w:r>
        <w:t>, 9 FCC Rcd. at 2551, ¶ 7.</w:t>
      </w:r>
    </w:p>
  </w:footnote>
  <w:footnote w:id="10">
    <w:p w:rsidR="00586A8A" w:rsidRDefault="00586A8A">
      <w:pPr>
        <w:pStyle w:val="FootnoteText"/>
      </w:pPr>
      <w:r>
        <w:rPr>
          <w:rStyle w:val="FootnoteReference"/>
        </w:rPr>
        <w:footnoteRef/>
      </w:r>
      <w:r>
        <w:t xml:space="preserve"> Complaint at 1.</w:t>
      </w:r>
    </w:p>
  </w:footnote>
  <w:footnote w:id="11">
    <w:p w:rsidR="000C26DA" w:rsidRDefault="00EB42B1" w:rsidP="000C26DA">
      <w:pPr>
        <w:pStyle w:val="FootnoteText"/>
        <w:spacing w:after="0"/>
        <w:jc w:val="left"/>
      </w:pPr>
      <w:r>
        <w:rPr>
          <w:rStyle w:val="FootnoteReference"/>
        </w:rPr>
        <w:footnoteRef/>
      </w:r>
      <w:r>
        <w:t xml:space="preserve"> </w:t>
      </w:r>
      <w:r w:rsidRPr="00EB42B1">
        <w:rPr>
          <w:i/>
        </w:rPr>
        <w:t>Id</w:t>
      </w:r>
      <w:r>
        <w:t xml:space="preserve">., Attachment 2.  WHCQ-LD’s letter also states that its initial formal carriage demand letter </w:t>
      </w:r>
      <w:r w:rsidR="00C95D89">
        <w:t xml:space="preserve">(“letter”) </w:t>
      </w:r>
      <w:r w:rsidR="000C26DA">
        <w:t>was sent</w:t>
      </w:r>
    </w:p>
    <w:p w:rsidR="000C26DA" w:rsidRDefault="00EB42B1" w:rsidP="000C26DA">
      <w:pPr>
        <w:pStyle w:val="FootnoteText"/>
        <w:spacing w:after="0"/>
        <w:jc w:val="left"/>
      </w:pPr>
      <w:r>
        <w:t>to NewWave’s Leland, Mississippi office on September 26, 2016, by first class certified mail.  However, that letter</w:t>
      </w:r>
    </w:p>
    <w:p w:rsidR="000C26DA" w:rsidRDefault="00EB42B1" w:rsidP="000C26DA">
      <w:pPr>
        <w:pStyle w:val="FootnoteText"/>
        <w:spacing w:after="0"/>
        <w:jc w:val="left"/>
      </w:pPr>
      <w:r>
        <w:t>was returned.</w:t>
      </w:r>
      <w:r w:rsidR="00C95D89">
        <w:t xml:space="preserve">  On September 28, 2016, WHCQ-LD resent its letter to NewWave</w:t>
      </w:r>
      <w:r w:rsidR="000C26DA">
        <w:t xml:space="preserve">’s Sikeston, Missouri Office by </w:t>
      </w:r>
    </w:p>
    <w:p w:rsidR="00EB42B1" w:rsidRDefault="00C95D89" w:rsidP="000C26DA">
      <w:pPr>
        <w:pStyle w:val="FootnoteText"/>
        <w:jc w:val="left"/>
      </w:pPr>
      <w:r>
        <w:t>first class certified mail, which was delivered on October 3, 2016.</w:t>
      </w:r>
    </w:p>
  </w:footnote>
  <w:footnote w:id="12">
    <w:p w:rsidR="00C95D89" w:rsidRDefault="00C95D89">
      <w:pPr>
        <w:pStyle w:val="FootnoteText"/>
      </w:pPr>
      <w:r>
        <w:rPr>
          <w:rStyle w:val="FootnoteReference"/>
        </w:rPr>
        <w:footnoteRef/>
      </w:r>
      <w:r>
        <w:t xml:space="preserve"> Complaint at 1.</w:t>
      </w:r>
    </w:p>
  </w:footnote>
  <w:footnote w:id="13">
    <w:p w:rsidR="001E7720" w:rsidRDefault="001E7720">
      <w:pPr>
        <w:pStyle w:val="FootnoteText"/>
      </w:pPr>
      <w:r>
        <w:rPr>
          <w:rStyle w:val="FootnoteReference"/>
        </w:rPr>
        <w:footnoteRef/>
      </w:r>
      <w:r>
        <w:t xml:space="preserve"> </w:t>
      </w:r>
      <w:r w:rsidRPr="00EB42B1">
        <w:rPr>
          <w:i/>
        </w:rPr>
        <w:t>Id</w:t>
      </w:r>
      <w:r>
        <w:t>., Attachment 2.</w:t>
      </w:r>
    </w:p>
  </w:footnote>
  <w:footnote w:id="14">
    <w:p w:rsidR="00087F71" w:rsidRDefault="00087F71">
      <w:pPr>
        <w:pStyle w:val="FootnoteText"/>
      </w:pPr>
      <w:r>
        <w:rPr>
          <w:rStyle w:val="FootnoteReference"/>
        </w:rPr>
        <w:footnoteRef/>
      </w:r>
      <w:r>
        <w:t xml:space="preserve"> Opposition at 2.</w:t>
      </w:r>
    </w:p>
  </w:footnote>
  <w:footnote w:id="15">
    <w:p w:rsidR="00087F71" w:rsidRDefault="00087F71">
      <w:pPr>
        <w:pStyle w:val="FootnoteText"/>
      </w:pPr>
      <w:r>
        <w:rPr>
          <w:rStyle w:val="FootnoteReference"/>
        </w:rPr>
        <w:footnoteRef/>
      </w:r>
      <w:r>
        <w:t xml:space="preserve"> </w:t>
      </w:r>
      <w:r w:rsidRPr="00087F71">
        <w:rPr>
          <w:i/>
        </w:rPr>
        <w:t>Id</w:t>
      </w:r>
      <w:r>
        <w:t xml:space="preserve">. at 4-5. </w:t>
      </w:r>
    </w:p>
  </w:footnote>
  <w:footnote w:id="16">
    <w:p w:rsidR="00087F71" w:rsidRDefault="00087F71">
      <w:pPr>
        <w:pStyle w:val="FootnoteText"/>
      </w:pPr>
      <w:r>
        <w:rPr>
          <w:rStyle w:val="FootnoteReference"/>
        </w:rPr>
        <w:footnoteRef/>
      </w:r>
      <w:r>
        <w:t xml:space="preserve"> </w:t>
      </w:r>
      <w:r w:rsidRPr="00087F71">
        <w:rPr>
          <w:i/>
        </w:rPr>
        <w:t>Id</w:t>
      </w:r>
      <w:r>
        <w:t>. at 5-6.</w:t>
      </w:r>
    </w:p>
  </w:footnote>
  <w:footnote w:id="17">
    <w:p w:rsidR="00087F71" w:rsidRDefault="00087F71">
      <w:pPr>
        <w:pStyle w:val="FootnoteText"/>
      </w:pPr>
      <w:r>
        <w:rPr>
          <w:rStyle w:val="FootnoteReference"/>
        </w:rPr>
        <w:footnoteRef/>
      </w:r>
      <w:r>
        <w:t xml:space="preserve"> </w:t>
      </w:r>
      <w:r w:rsidRPr="00087F71">
        <w:rPr>
          <w:i/>
        </w:rPr>
        <w:t>Id</w:t>
      </w:r>
      <w:r>
        <w:t>. 6-7.</w:t>
      </w:r>
    </w:p>
  </w:footnote>
  <w:footnote w:id="18">
    <w:p w:rsidR="00087F71" w:rsidRDefault="00087F71">
      <w:pPr>
        <w:pStyle w:val="FootnoteText"/>
      </w:pPr>
      <w:r>
        <w:rPr>
          <w:rStyle w:val="FootnoteReference"/>
        </w:rPr>
        <w:footnoteRef/>
      </w:r>
      <w:r>
        <w:t xml:space="preserve"> </w:t>
      </w:r>
      <w:r w:rsidRPr="00087F71">
        <w:rPr>
          <w:i/>
        </w:rPr>
        <w:t>Id</w:t>
      </w:r>
      <w:r>
        <w:t>.</w:t>
      </w:r>
    </w:p>
  </w:footnote>
  <w:footnote w:id="19">
    <w:p w:rsidR="00582F0D" w:rsidRDefault="00582F0D">
      <w:pPr>
        <w:pStyle w:val="FootnoteText"/>
      </w:pPr>
      <w:r>
        <w:rPr>
          <w:rStyle w:val="FootnoteReference"/>
        </w:rPr>
        <w:footnoteRef/>
      </w:r>
      <w:r>
        <w:t xml:space="preserve"> Reply at 2.</w:t>
      </w:r>
    </w:p>
  </w:footnote>
  <w:footnote w:id="20">
    <w:p w:rsidR="009A33D8" w:rsidRDefault="009A33D8">
      <w:pPr>
        <w:pStyle w:val="FootnoteText"/>
      </w:pPr>
      <w:r>
        <w:rPr>
          <w:rStyle w:val="FootnoteReference"/>
        </w:rPr>
        <w:footnoteRef/>
      </w:r>
      <w:r>
        <w:t xml:space="preserve"> 47 U.S.C. § 534(h)(2).</w:t>
      </w:r>
    </w:p>
  </w:footnote>
  <w:footnote w:id="21">
    <w:p w:rsidR="00582F0D" w:rsidRDefault="009A33D8" w:rsidP="00582F0D">
      <w:pPr>
        <w:pStyle w:val="FootnoteText"/>
        <w:spacing w:after="0"/>
      </w:pPr>
      <w:r>
        <w:rPr>
          <w:rStyle w:val="FootnoteReference"/>
        </w:rPr>
        <w:footnoteRef/>
      </w:r>
      <w:r>
        <w:t xml:space="preserve"> </w:t>
      </w:r>
      <w:r w:rsidR="00C15E1D">
        <w:t xml:space="preserve">Letter from Kevin R. Harding, Associate Chief, Video Division, FCC Media Bureau, to </w:t>
      </w:r>
      <w:r w:rsidR="00E566AF">
        <w:t>John Wagner (</w:t>
      </w:r>
      <w:r w:rsidR="002142D4">
        <w:t>Vid. Div</w:t>
      </w:r>
      <w:r w:rsidR="00C82615">
        <w:t>.</w:t>
      </w:r>
    </w:p>
    <w:p w:rsidR="009A33D8" w:rsidRDefault="00E566AF" w:rsidP="00582F0D">
      <w:pPr>
        <w:pStyle w:val="FootnoteText"/>
      </w:pPr>
      <w:r>
        <w:t>Aug. 12, 2016) (</w:t>
      </w:r>
      <w:r w:rsidR="003D20D9" w:rsidRPr="003D20D9">
        <w:t>1800E1-MHH</w:t>
      </w:r>
      <w:r w:rsidR="003D20D9">
        <w:t xml:space="preserve"> </w:t>
      </w:r>
      <w:r w:rsidR="002142D4">
        <w:t>).</w:t>
      </w:r>
    </w:p>
  </w:footnote>
  <w:footnote w:id="22">
    <w:p w:rsidR="00D65261" w:rsidRDefault="00D65261" w:rsidP="00492713">
      <w:pPr>
        <w:pStyle w:val="FootnoteText"/>
        <w:ind w:left="0" w:firstLine="0"/>
      </w:pPr>
      <w:r>
        <w:rPr>
          <w:rStyle w:val="FootnoteReference"/>
        </w:rPr>
        <w:footnoteRef/>
      </w:r>
      <w:r>
        <w:t xml:space="preserve"> Although WXVT remains licensed and silent under our rules, our rules </w:t>
      </w:r>
      <w:r w:rsidR="00492713">
        <w:t xml:space="preserve">also </w:t>
      </w:r>
      <w:r>
        <w:t>state that a broadcasting station</w:t>
      </w:r>
      <w:r w:rsidR="00492713">
        <w:t xml:space="preserve">’s license will expire as a matter of law if it </w:t>
      </w:r>
      <w:r>
        <w:t>fails to broadcast for any consecutive 12-month period</w:t>
      </w:r>
      <w:r w:rsidR="00492713">
        <w:t xml:space="preserve">.  </w:t>
      </w:r>
      <w:r w:rsidRPr="00A81D44">
        <w:rPr>
          <w:i/>
        </w:rPr>
        <w:t>See</w:t>
      </w:r>
      <w:r>
        <w:t xml:space="preserve"> 47 C.F.R. § 73.1740(c).</w:t>
      </w:r>
      <w:r w:rsidR="00492713">
        <w:t xml:space="preserve">  Thus, WHCQ-LD is free to resubmit a petition for carriage if WXVT does not resume broadcasting</w:t>
      </w:r>
      <w:r w:rsidR="00A02AD6">
        <w:t xml:space="preserve"> later this year.</w:t>
      </w:r>
      <w:r>
        <w:t xml:space="preserve">   </w:t>
      </w:r>
    </w:p>
  </w:footnote>
  <w:footnote w:id="23">
    <w:p w:rsidR="00A91F1D" w:rsidRDefault="00A91F1D" w:rsidP="00A81D44">
      <w:pPr>
        <w:pStyle w:val="FootnoteText"/>
        <w:ind w:left="0" w:firstLine="0"/>
      </w:pPr>
      <w:r>
        <w:rPr>
          <w:rStyle w:val="FootnoteReference"/>
        </w:rPr>
        <w:footnoteRef/>
      </w:r>
      <w:r>
        <w:t xml:space="preserve"> </w:t>
      </w:r>
      <w:r w:rsidR="002142D4" w:rsidRPr="00A81D44">
        <w:rPr>
          <w:i/>
        </w:rPr>
        <w:t>See</w:t>
      </w:r>
      <w:r w:rsidR="002142D4">
        <w:t xml:space="preserve"> </w:t>
      </w:r>
      <w:r w:rsidR="00C82615" w:rsidRPr="00A81D44">
        <w:rPr>
          <w:i/>
        </w:rPr>
        <w:t>Bellizzi Broadcasting Network, Inc. Station WEYP-LP, Key West, Florida</w:t>
      </w:r>
      <w:r w:rsidR="00C82615">
        <w:t xml:space="preserve">, 30 FCC Rcd 13972, ¶ 4 (2015); </w:t>
      </w:r>
      <w:r w:rsidR="002142D4" w:rsidRPr="00E962D0">
        <w:rPr>
          <w:i/>
        </w:rPr>
        <w:t>Continental Broad Corp. v. Jones Intercable, Inc.</w:t>
      </w:r>
      <w:r w:rsidR="002142D4">
        <w:t>, 9 FCC Rcd 2550, 2551 ¶ 7 (CSB 1994).</w:t>
      </w:r>
    </w:p>
  </w:footnote>
  <w:footnote w:id="24">
    <w:p w:rsidR="00B078AB" w:rsidRDefault="00B078AB">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CF" w:rsidRDefault="00671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A3" w:rsidRDefault="00E45436">
    <w:pPr>
      <w:pStyle w:val="Header"/>
      <w:tabs>
        <w:tab w:val="clear" w:pos="4320"/>
        <w:tab w:val="clear" w:pos="8640"/>
        <w:tab w:val="center" w:pos="4680"/>
        <w:tab w:val="right" w:pos="9360"/>
      </w:tabs>
      <w:rPr>
        <w:b/>
      </w:rPr>
    </w:pPr>
    <w:r>
      <w:rPr>
        <w:b/>
      </w:rPr>
      <w:tab/>
      <w:t>Federal Communications Commission</w:t>
    </w:r>
    <w:r>
      <w:rPr>
        <w:b/>
      </w:rPr>
      <w:tab/>
    </w:r>
    <w:r w:rsidR="00582F0D">
      <w:rPr>
        <w:b/>
      </w:rPr>
      <w:t xml:space="preserve">  DA 17</w:t>
    </w:r>
    <w:r w:rsidR="000F4BA3">
      <w:rPr>
        <w:b/>
      </w:rPr>
      <w:t>-</w:t>
    </w:r>
    <w:r w:rsidR="002232B7">
      <w:rPr>
        <w:b/>
      </w:rPr>
      <w:t>257</w:t>
    </w:r>
  </w:p>
  <w:p w:rsidR="00E45436" w:rsidRDefault="00E45436">
    <w:pPr>
      <w:pStyle w:val="Header"/>
      <w:tabs>
        <w:tab w:val="clear" w:pos="4320"/>
        <w:tab w:val="clear" w:pos="8640"/>
        <w:tab w:val="center" w:pos="4680"/>
        <w:tab w:val="right" w:pos="9360"/>
      </w:tabs>
      <w:rPr>
        <w:b/>
      </w:rPr>
    </w:pPr>
    <w:r>
      <w:rPr>
        <w:b/>
      </w:rPr>
      <w:t xml:space="preserve"> </w:t>
    </w:r>
  </w:p>
  <w:p w:rsidR="00E45436" w:rsidRDefault="007823D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016E2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45436" w:rsidRDefault="00E45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36" w:rsidRDefault="00E45436">
    <w:pPr>
      <w:pStyle w:val="Header"/>
      <w:tabs>
        <w:tab w:val="clear" w:pos="4320"/>
        <w:tab w:val="clear" w:pos="8640"/>
        <w:tab w:val="center" w:pos="4680"/>
        <w:tab w:val="right" w:pos="9360"/>
      </w:tabs>
      <w:rPr>
        <w:b/>
      </w:rPr>
    </w:pPr>
    <w:r>
      <w:rPr>
        <w:b/>
      </w:rPr>
      <w:tab/>
      <w:t>Federal Communications Commission</w:t>
    </w:r>
    <w:r>
      <w:rPr>
        <w:b/>
      </w:rPr>
      <w:tab/>
    </w:r>
    <w:r w:rsidR="000F4BA3">
      <w:rPr>
        <w:b/>
      </w:rPr>
      <w:t xml:space="preserve"> </w:t>
    </w:r>
    <w:r w:rsidR="00582F0D">
      <w:rPr>
        <w:b/>
      </w:rPr>
      <w:t>DA 17</w:t>
    </w:r>
    <w:r w:rsidR="000F4BA3">
      <w:rPr>
        <w:b/>
      </w:rPr>
      <w:t>-</w:t>
    </w:r>
    <w:r w:rsidR="002232B7">
      <w:rPr>
        <w:b/>
      </w:rPr>
      <w:t>257</w:t>
    </w:r>
    <w:r>
      <w:rPr>
        <w:b/>
      </w:rPr>
      <w:t xml:space="preserve"> </w:t>
    </w:r>
  </w:p>
  <w:p w:rsidR="00E45436" w:rsidRDefault="007823D4">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83D36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5211271"/>
    <w:multiLevelType w:val="hybridMultilevel"/>
    <w:tmpl w:val="E146BB58"/>
    <w:lvl w:ilvl="0" w:tplc="BA4C7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04037DD"/>
    <w:multiLevelType w:val="hybridMultilevel"/>
    <w:tmpl w:val="BD04BCA6"/>
    <w:lvl w:ilvl="0" w:tplc="E8F0C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9675F2F"/>
    <w:multiLevelType w:val="hybridMultilevel"/>
    <w:tmpl w:val="8D94EF6C"/>
    <w:lvl w:ilvl="0" w:tplc="C21E6C4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132E3C"/>
    <w:multiLevelType w:val="hybridMultilevel"/>
    <w:tmpl w:val="96D4C566"/>
    <w:lvl w:ilvl="0" w:tplc="699E6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1724CB2"/>
    <w:multiLevelType w:val="hybridMultilevel"/>
    <w:tmpl w:val="CB82DE5E"/>
    <w:lvl w:ilvl="0" w:tplc="68CCDF4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58764B9"/>
    <w:multiLevelType w:val="hybridMultilevel"/>
    <w:tmpl w:val="46D26FB6"/>
    <w:lvl w:ilvl="0" w:tplc="851AAF6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6D6CB5"/>
    <w:multiLevelType w:val="hybridMultilevel"/>
    <w:tmpl w:val="E3840364"/>
    <w:lvl w:ilvl="0" w:tplc="0F86F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9479D"/>
    <w:multiLevelType w:val="hybridMultilevel"/>
    <w:tmpl w:val="281AB70E"/>
    <w:lvl w:ilvl="0" w:tplc="3D229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BC0659F"/>
    <w:multiLevelType w:val="hybridMultilevel"/>
    <w:tmpl w:val="814E16D6"/>
    <w:lvl w:ilvl="0" w:tplc="04090013">
      <w:start w:val="1"/>
      <w:numFmt w:val="upp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9"/>
  </w:num>
  <w:num w:numId="3">
    <w:abstractNumId w:val="3"/>
  </w:num>
  <w:num w:numId="4">
    <w:abstractNumId w:val="20"/>
  </w:num>
  <w:num w:numId="5">
    <w:abstractNumId w:val="5"/>
  </w:num>
  <w:num w:numId="6">
    <w:abstractNumId w:val="24"/>
  </w:num>
  <w:num w:numId="7">
    <w:abstractNumId w:val="16"/>
  </w:num>
  <w:num w:numId="8">
    <w:abstractNumId w:val="6"/>
  </w:num>
  <w:num w:numId="9">
    <w:abstractNumId w:val="23"/>
  </w:num>
  <w:num w:numId="10">
    <w:abstractNumId w:val="13"/>
  </w:num>
  <w:num w:numId="11">
    <w:abstractNumId w:val="11"/>
  </w:num>
  <w:num w:numId="12">
    <w:abstractNumId w:val="7"/>
  </w:num>
  <w:num w:numId="13">
    <w:abstractNumId w:val="14"/>
  </w:num>
  <w:num w:numId="14">
    <w:abstractNumId w:val="21"/>
  </w:num>
  <w:num w:numId="15">
    <w:abstractNumId w:val="1"/>
  </w:num>
  <w:num w:numId="16">
    <w:abstractNumId w:val="2"/>
  </w:num>
  <w:num w:numId="17">
    <w:abstractNumId w:val="9"/>
  </w:num>
  <w:num w:numId="18">
    <w:abstractNumId w:val="0"/>
  </w:num>
  <w:num w:numId="19">
    <w:abstractNumId w:val="10"/>
  </w:num>
  <w:num w:numId="20">
    <w:abstractNumId w:val="17"/>
  </w:num>
  <w:num w:numId="21">
    <w:abstractNumId w:val="19"/>
  </w:num>
  <w:num w:numId="22">
    <w:abstractNumId w:val="4"/>
  </w:num>
  <w:num w:numId="23">
    <w:abstractNumId w:val="18"/>
  </w:num>
  <w:num w:numId="24">
    <w:abstractNumId w:val="12"/>
  </w:num>
  <w:num w:numId="25">
    <w:abstractNumId w:val="22"/>
  </w:num>
  <w:num w:numId="26">
    <w:abstractNumId w:val="28"/>
  </w:num>
  <w:num w:numId="27">
    <w:abstractNumId w:val="15"/>
  </w:num>
  <w:num w:numId="28">
    <w:abstractNumId w:val="8"/>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D4"/>
    <w:rsid w:val="00000694"/>
    <w:rsid w:val="00017707"/>
    <w:rsid w:val="00087F71"/>
    <w:rsid w:val="000919E5"/>
    <w:rsid w:val="000C230B"/>
    <w:rsid w:val="000C26DA"/>
    <w:rsid w:val="000F4BA3"/>
    <w:rsid w:val="00142299"/>
    <w:rsid w:val="001B5E08"/>
    <w:rsid w:val="001E7720"/>
    <w:rsid w:val="00204E4A"/>
    <w:rsid w:val="002142D4"/>
    <w:rsid w:val="00214616"/>
    <w:rsid w:val="002232B7"/>
    <w:rsid w:val="0023317B"/>
    <w:rsid w:val="002450D3"/>
    <w:rsid w:val="00255102"/>
    <w:rsid w:val="00256658"/>
    <w:rsid w:val="003074DA"/>
    <w:rsid w:val="00367D97"/>
    <w:rsid w:val="003753A6"/>
    <w:rsid w:val="003D20D9"/>
    <w:rsid w:val="004618FA"/>
    <w:rsid w:val="00492713"/>
    <w:rsid w:val="004C229F"/>
    <w:rsid w:val="004E074C"/>
    <w:rsid w:val="004F76B3"/>
    <w:rsid w:val="005301D4"/>
    <w:rsid w:val="00582F0D"/>
    <w:rsid w:val="00586A8A"/>
    <w:rsid w:val="00612D2F"/>
    <w:rsid w:val="0064287C"/>
    <w:rsid w:val="006711CF"/>
    <w:rsid w:val="00677DB5"/>
    <w:rsid w:val="00693454"/>
    <w:rsid w:val="007823D4"/>
    <w:rsid w:val="007B2D47"/>
    <w:rsid w:val="007B4EE9"/>
    <w:rsid w:val="008C0769"/>
    <w:rsid w:val="0096634F"/>
    <w:rsid w:val="009A33D8"/>
    <w:rsid w:val="00A02AD6"/>
    <w:rsid w:val="00A81D44"/>
    <w:rsid w:val="00A91F1D"/>
    <w:rsid w:val="00AD0417"/>
    <w:rsid w:val="00B078AB"/>
    <w:rsid w:val="00B86E97"/>
    <w:rsid w:val="00B95EE7"/>
    <w:rsid w:val="00BB57CD"/>
    <w:rsid w:val="00BC5F3F"/>
    <w:rsid w:val="00BD32A5"/>
    <w:rsid w:val="00BE6C0F"/>
    <w:rsid w:val="00C04CCE"/>
    <w:rsid w:val="00C15E1D"/>
    <w:rsid w:val="00C452E9"/>
    <w:rsid w:val="00C82615"/>
    <w:rsid w:val="00C95D89"/>
    <w:rsid w:val="00CA79FA"/>
    <w:rsid w:val="00CE3C96"/>
    <w:rsid w:val="00D4794C"/>
    <w:rsid w:val="00D65261"/>
    <w:rsid w:val="00DC4B6D"/>
    <w:rsid w:val="00DC614E"/>
    <w:rsid w:val="00DF032E"/>
    <w:rsid w:val="00E16243"/>
    <w:rsid w:val="00E45436"/>
    <w:rsid w:val="00E566AF"/>
    <w:rsid w:val="00E61127"/>
    <w:rsid w:val="00E962D0"/>
    <w:rsid w:val="00EB42B1"/>
    <w:rsid w:val="00EF2939"/>
    <w:rsid w:val="00EF6FBF"/>
    <w:rsid w:val="00F57882"/>
    <w:rsid w:val="00FB4E84"/>
    <w:rsid w:val="00FE6171"/>
    <w:rsid w:val="00FF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440" w:hanging="1440"/>
      <w:jc w:val="both"/>
    </w:pPr>
    <w:rPr>
      <w:sz w:val="22"/>
    </w:rPr>
  </w:style>
  <w:style w:type="paragraph" w:styleId="Heading1">
    <w:name w:val="heading 1"/>
    <w:basedOn w:val="Normal"/>
    <w:next w:val="ParaNum"/>
    <w:qFormat/>
    <w:pPr>
      <w:keepNext/>
      <w:widowControl w:val="0"/>
      <w:numPr>
        <w:numId w:val="4"/>
      </w:numPr>
      <w:suppressAutoHyphens/>
      <w:spacing w:after="220"/>
      <w:outlineLvl w:val="0"/>
    </w:pPr>
    <w:rPr>
      <w:b/>
      <w:caps/>
    </w:rPr>
  </w:style>
  <w:style w:type="paragraph" w:styleId="Heading2">
    <w:name w:val="heading 2"/>
    <w:basedOn w:val="Normal"/>
    <w:next w:val="ParaNum"/>
    <w:qFormat/>
    <w:pPr>
      <w:keepNext/>
      <w:widowControl w:val="0"/>
      <w:numPr>
        <w:ilvl w:val="1"/>
        <w:numId w:val="4"/>
      </w:numPr>
      <w:spacing w:after="220"/>
      <w:outlineLvl w:val="1"/>
    </w:pPr>
    <w:rPr>
      <w:b/>
    </w:rPr>
  </w:style>
  <w:style w:type="paragraph" w:styleId="Heading3">
    <w:name w:val="heading 3"/>
    <w:basedOn w:val="Normal"/>
    <w:next w:val="ParaNum"/>
    <w:qFormat/>
    <w:pPr>
      <w:keepNext/>
      <w:widowControl w:val="0"/>
      <w:numPr>
        <w:ilvl w:val="2"/>
        <w:numId w:val="4"/>
      </w:numPr>
      <w:spacing w:after="220"/>
      <w:outlineLvl w:val="2"/>
    </w:pPr>
    <w:rPr>
      <w:b/>
    </w:rPr>
  </w:style>
  <w:style w:type="paragraph" w:styleId="Heading4">
    <w:name w:val="heading 4"/>
    <w:basedOn w:val="Normal"/>
    <w:next w:val="ParaNum"/>
    <w:qFormat/>
    <w:pPr>
      <w:keepNext/>
      <w:widowControl w:val="0"/>
      <w:numPr>
        <w:ilvl w:val="3"/>
        <w:numId w:val="4"/>
      </w:numPr>
      <w:spacing w:after="220"/>
      <w:outlineLvl w:val="3"/>
    </w:pPr>
    <w:rPr>
      <w:b/>
    </w:rPr>
  </w:style>
  <w:style w:type="paragraph" w:styleId="Heading5">
    <w:name w:val="heading 5"/>
    <w:basedOn w:val="Normal"/>
    <w:next w:val="ParaNum"/>
    <w:qFormat/>
    <w:pPr>
      <w:keepNext/>
      <w:widowControl w:val="0"/>
      <w:numPr>
        <w:ilvl w:val="4"/>
        <w:numId w:val="4"/>
      </w:numPr>
      <w:suppressAutoHyphens/>
      <w:spacing w:after="220"/>
      <w:outlineLvl w:val="4"/>
    </w:pPr>
    <w:rPr>
      <w:b/>
    </w:rPr>
  </w:style>
  <w:style w:type="paragraph" w:styleId="Heading6">
    <w:name w:val="heading 6"/>
    <w:basedOn w:val="Normal"/>
    <w:next w:val="ParaNum"/>
    <w:qFormat/>
    <w:pPr>
      <w:widowControl w:val="0"/>
      <w:numPr>
        <w:ilvl w:val="5"/>
        <w:numId w:val="4"/>
      </w:numPr>
      <w:spacing w:after="220"/>
      <w:outlineLvl w:val="5"/>
    </w:pPr>
    <w:rPr>
      <w:b/>
    </w:rPr>
  </w:style>
  <w:style w:type="paragraph" w:styleId="Heading7">
    <w:name w:val="heading 7"/>
    <w:basedOn w:val="Normal"/>
    <w:next w:val="ParaNum"/>
    <w:qFormat/>
    <w:pPr>
      <w:widowControl w:val="0"/>
      <w:numPr>
        <w:ilvl w:val="6"/>
        <w:numId w:val="4"/>
      </w:numPr>
      <w:spacing w:after="220"/>
      <w:outlineLvl w:val="6"/>
    </w:pPr>
    <w:rPr>
      <w:b/>
    </w:rPr>
  </w:style>
  <w:style w:type="paragraph" w:styleId="Heading8">
    <w:name w:val="heading 8"/>
    <w:basedOn w:val="Normal"/>
    <w:next w:val="ParaNum"/>
    <w:qFormat/>
    <w:pPr>
      <w:widowControl w:val="0"/>
      <w:numPr>
        <w:ilvl w:val="7"/>
        <w:numId w:val="4"/>
      </w:numPr>
      <w:spacing w:after="220"/>
      <w:outlineLvl w:val="7"/>
    </w:pPr>
    <w:rPr>
      <w:b/>
    </w:rPr>
  </w:style>
  <w:style w:type="paragraph" w:styleId="Heading9">
    <w:name w:val="heading 9"/>
    <w:basedOn w:val="Normal"/>
    <w:next w:val="ParaNum"/>
    <w:qFormat/>
    <w:pPr>
      <w:widowControl w:val="0"/>
      <w:numPr>
        <w:ilvl w:val="8"/>
        <w:numId w:val="4"/>
      </w:numPr>
      <w:spacing w:after="2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pPr>
  </w:style>
  <w:style w:type="paragraph" w:styleId="FootnoteText">
    <w:name w:val="footnote text"/>
    <w:basedOn w:val="Normal"/>
    <w:semiHidden/>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pPr>
  </w:style>
  <w:style w:type="paragraph" w:styleId="BlockText">
    <w:name w:val="Block Text"/>
    <w:basedOn w:val="Normal"/>
    <w:semiHidden/>
    <w:pPr>
      <w:widowControl w:val="0"/>
      <w:spacing w:after="220"/>
      <w:ind w:right="1440"/>
    </w:pPr>
  </w:style>
  <w:style w:type="paragraph" w:customStyle="1" w:styleId="TableFormat">
    <w:name w:val="TableFormat"/>
    <w:basedOn w:val="Normal"/>
    <w:pPr>
      <w:widowControl w:val="0"/>
      <w:tabs>
        <w:tab w:val="left" w:pos="5040"/>
      </w:tabs>
      <w:spacing w:after="220"/>
      <w:ind w:left="5040" w:hanging="3600"/>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right="720" w:hanging="720"/>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pPr>
  </w:style>
  <w:style w:type="paragraph" w:styleId="TOC4">
    <w:name w:val="toc 4"/>
    <w:basedOn w:val="Normal"/>
    <w:next w:val="Normal"/>
    <w:semiHidden/>
    <w:pPr>
      <w:widowControl w:val="0"/>
      <w:tabs>
        <w:tab w:val="left" w:pos="2880"/>
        <w:tab w:val="right" w:leader="dot" w:pos="9360"/>
      </w:tabs>
      <w:suppressAutoHyphens/>
      <w:ind w:left="2880" w:right="720" w:hanging="720"/>
    </w:pPr>
  </w:style>
  <w:style w:type="paragraph" w:styleId="TOC5">
    <w:name w:val="toc 5"/>
    <w:basedOn w:val="Normal"/>
    <w:next w:val="Normal"/>
    <w:semiHidden/>
    <w:pPr>
      <w:widowControl w:val="0"/>
      <w:tabs>
        <w:tab w:val="left" w:pos="3600"/>
        <w:tab w:val="right" w:leader="dot" w:pos="9360"/>
      </w:tabs>
      <w:suppressAutoHyphens/>
      <w:ind w:left="3600" w:right="720" w:hanging="720"/>
    </w:pPr>
  </w:style>
  <w:style w:type="paragraph" w:styleId="TOC6">
    <w:name w:val="toc 6"/>
    <w:basedOn w:val="Normal"/>
    <w:next w:val="Normal"/>
    <w:semiHidden/>
    <w:pPr>
      <w:widowControl w:val="0"/>
      <w:tabs>
        <w:tab w:val="left" w:leader="dot" w:pos="9360"/>
      </w:tabs>
      <w:suppressAutoHyphens/>
      <w:ind w:left="720" w:hanging="720"/>
    </w:pPr>
  </w:style>
  <w:style w:type="paragraph" w:styleId="TOC7">
    <w:name w:val="toc 7"/>
    <w:basedOn w:val="Normal"/>
    <w:next w:val="Normal"/>
    <w:semiHidden/>
    <w:pPr>
      <w:widowControl w:val="0"/>
      <w:tabs>
        <w:tab w:val="left" w:leader="dot" w:pos="9360"/>
      </w:tabs>
      <w:suppressAutoHyphens/>
      <w:ind w:left="720" w:hanging="720"/>
    </w:pPr>
  </w:style>
  <w:style w:type="paragraph" w:styleId="TOC8">
    <w:name w:val="toc 8"/>
    <w:basedOn w:val="Normal"/>
    <w:next w:val="Normal"/>
    <w:semiHidden/>
    <w:pPr>
      <w:widowControl w:val="0"/>
      <w:tabs>
        <w:tab w:val="left" w:leader="dot" w:pos="9360"/>
      </w:tabs>
      <w:suppressAutoHyphens/>
      <w:ind w:left="720" w:hanging="720"/>
    </w:pPr>
  </w:style>
  <w:style w:type="paragraph" w:styleId="TOC9">
    <w:name w:val="toc 9"/>
    <w:basedOn w:val="Normal"/>
    <w:next w:val="Normal"/>
    <w:semiHidden/>
    <w:pPr>
      <w:tabs>
        <w:tab w:val="left" w:leader="dot" w:pos="9360"/>
      </w:tabs>
      <w:ind w:left="720" w:hanging="720"/>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CA79FA"/>
    <w:rPr>
      <w:rFonts w:ascii="Segoe UI" w:hAnsi="Segoe UI" w:cs="Segoe UI"/>
      <w:sz w:val="18"/>
      <w:szCs w:val="18"/>
    </w:rPr>
  </w:style>
  <w:style w:type="character" w:customStyle="1" w:styleId="BalloonTextChar">
    <w:name w:val="Balloon Text Char"/>
    <w:link w:val="BalloonText"/>
    <w:uiPriority w:val="99"/>
    <w:semiHidden/>
    <w:rsid w:val="00CA79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440" w:hanging="1440"/>
      <w:jc w:val="both"/>
    </w:pPr>
    <w:rPr>
      <w:sz w:val="22"/>
    </w:rPr>
  </w:style>
  <w:style w:type="paragraph" w:styleId="Heading1">
    <w:name w:val="heading 1"/>
    <w:basedOn w:val="Normal"/>
    <w:next w:val="ParaNum"/>
    <w:qFormat/>
    <w:pPr>
      <w:keepNext/>
      <w:widowControl w:val="0"/>
      <w:numPr>
        <w:numId w:val="4"/>
      </w:numPr>
      <w:suppressAutoHyphens/>
      <w:spacing w:after="220"/>
      <w:outlineLvl w:val="0"/>
    </w:pPr>
    <w:rPr>
      <w:b/>
      <w:caps/>
    </w:rPr>
  </w:style>
  <w:style w:type="paragraph" w:styleId="Heading2">
    <w:name w:val="heading 2"/>
    <w:basedOn w:val="Normal"/>
    <w:next w:val="ParaNum"/>
    <w:qFormat/>
    <w:pPr>
      <w:keepNext/>
      <w:widowControl w:val="0"/>
      <w:numPr>
        <w:ilvl w:val="1"/>
        <w:numId w:val="4"/>
      </w:numPr>
      <w:spacing w:after="220"/>
      <w:outlineLvl w:val="1"/>
    </w:pPr>
    <w:rPr>
      <w:b/>
    </w:rPr>
  </w:style>
  <w:style w:type="paragraph" w:styleId="Heading3">
    <w:name w:val="heading 3"/>
    <w:basedOn w:val="Normal"/>
    <w:next w:val="ParaNum"/>
    <w:qFormat/>
    <w:pPr>
      <w:keepNext/>
      <w:widowControl w:val="0"/>
      <w:numPr>
        <w:ilvl w:val="2"/>
        <w:numId w:val="4"/>
      </w:numPr>
      <w:spacing w:after="220"/>
      <w:outlineLvl w:val="2"/>
    </w:pPr>
    <w:rPr>
      <w:b/>
    </w:rPr>
  </w:style>
  <w:style w:type="paragraph" w:styleId="Heading4">
    <w:name w:val="heading 4"/>
    <w:basedOn w:val="Normal"/>
    <w:next w:val="ParaNum"/>
    <w:qFormat/>
    <w:pPr>
      <w:keepNext/>
      <w:widowControl w:val="0"/>
      <w:numPr>
        <w:ilvl w:val="3"/>
        <w:numId w:val="4"/>
      </w:numPr>
      <w:spacing w:after="220"/>
      <w:outlineLvl w:val="3"/>
    </w:pPr>
    <w:rPr>
      <w:b/>
    </w:rPr>
  </w:style>
  <w:style w:type="paragraph" w:styleId="Heading5">
    <w:name w:val="heading 5"/>
    <w:basedOn w:val="Normal"/>
    <w:next w:val="ParaNum"/>
    <w:qFormat/>
    <w:pPr>
      <w:keepNext/>
      <w:widowControl w:val="0"/>
      <w:numPr>
        <w:ilvl w:val="4"/>
        <w:numId w:val="4"/>
      </w:numPr>
      <w:suppressAutoHyphens/>
      <w:spacing w:after="220"/>
      <w:outlineLvl w:val="4"/>
    </w:pPr>
    <w:rPr>
      <w:b/>
    </w:rPr>
  </w:style>
  <w:style w:type="paragraph" w:styleId="Heading6">
    <w:name w:val="heading 6"/>
    <w:basedOn w:val="Normal"/>
    <w:next w:val="ParaNum"/>
    <w:qFormat/>
    <w:pPr>
      <w:widowControl w:val="0"/>
      <w:numPr>
        <w:ilvl w:val="5"/>
        <w:numId w:val="4"/>
      </w:numPr>
      <w:spacing w:after="220"/>
      <w:outlineLvl w:val="5"/>
    </w:pPr>
    <w:rPr>
      <w:b/>
    </w:rPr>
  </w:style>
  <w:style w:type="paragraph" w:styleId="Heading7">
    <w:name w:val="heading 7"/>
    <w:basedOn w:val="Normal"/>
    <w:next w:val="ParaNum"/>
    <w:qFormat/>
    <w:pPr>
      <w:widowControl w:val="0"/>
      <w:numPr>
        <w:ilvl w:val="6"/>
        <w:numId w:val="4"/>
      </w:numPr>
      <w:spacing w:after="220"/>
      <w:outlineLvl w:val="6"/>
    </w:pPr>
    <w:rPr>
      <w:b/>
    </w:rPr>
  </w:style>
  <w:style w:type="paragraph" w:styleId="Heading8">
    <w:name w:val="heading 8"/>
    <w:basedOn w:val="Normal"/>
    <w:next w:val="ParaNum"/>
    <w:qFormat/>
    <w:pPr>
      <w:widowControl w:val="0"/>
      <w:numPr>
        <w:ilvl w:val="7"/>
        <w:numId w:val="4"/>
      </w:numPr>
      <w:spacing w:after="220"/>
      <w:outlineLvl w:val="7"/>
    </w:pPr>
    <w:rPr>
      <w:b/>
    </w:rPr>
  </w:style>
  <w:style w:type="paragraph" w:styleId="Heading9">
    <w:name w:val="heading 9"/>
    <w:basedOn w:val="Normal"/>
    <w:next w:val="ParaNum"/>
    <w:qFormat/>
    <w:pPr>
      <w:widowControl w:val="0"/>
      <w:numPr>
        <w:ilvl w:val="8"/>
        <w:numId w:val="4"/>
      </w:numPr>
      <w:spacing w:after="2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pPr>
  </w:style>
  <w:style w:type="paragraph" w:styleId="FootnoteText">
    <w:name w:val="footnote text"/>
    <w:basedOn w:val="Normal"/>
    <w:semiHidden/>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pPr>
  </w:style>
  <w:style w:type="paragraph" w:styleId="BlockText">
    <w:name w:val="Block Text"/>
    <w:basedOn w:val="Normal"/>
    <w:semiHidden/>
    <w:pPr>
      <w:widowControl w:val="0"/>
      <w:spacing w:after="220"/>
      <w:ind w:right="1440"/>
    </w:pPr>
  </w:style>
  <w:style w:type="paragraph" w:customStyle="1" w:styleId="TableFormat">
    <w:name w:val="TableFormat"/>
    <w:basedOn w:val="Normal"/>
    <w:pPr>
      <w:widowControl w:val="0"/>
      <w:tabs>
        <w:tab w:val="left" w:pos="5040"/>
      </w:tabs>
      <w:spacing w:after="220"/>
      <w:ind w:left="5040" w:hanging="3600"/>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right="720" w:hanging="720"/>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pPr>
  </w:style>
  <w:style w:type="paragraph" w:styleId="TOC4">
    <w:name w:val="toc 4"/>
    <w:basedOn w:val="Normal"/>
    <w:next w:val="Normal"/>
    <w:semiHidden/>
    <w:pPr>
      <w:widowControl w:val="0"/>
      <w:tabs>
        <w:tab w:val="left" w:pos="2880"/>
        <w:tab w:val="right" w:leader="dot" w:pos="9360"/>
      </w:tabs>
      <w:suppressAutoHyphens/>
      <w:ind w:left="2880" w:right="720" w:hanging="720"/>
    </w:pPr>
  </w:style>
  <w:style w:type="paragraph" w:styleId="TOC5">
    <w:name w:val="toc 5"/>
    <w:basedOn w:val="Normal"/>
    <w:next w:val="Normal"/>
    <w:semiHidden/>
    <w:pPr>
      <w:widowControl w:val="0"/>
      <w:tabs>
        <w:tab w:val="left" w:pos="3600"/>
        <w:tab w:val="right" w:leader="dot" w:pos="9360"/>
      </w:tabs>
      <w:suppressAutoHyphens/>
      <w:ind w:left="3600" w:right="720" w:hanging="720"/>
    </w:pPr>
  </w:style>
  <w:style w:type="paragraph" w:styleId="TOC6">
    <w:name w:val="toc 6"/>
    <w:basedOn w:val="Normal"/>
    <w:next w:val="Normal"/>
    <w:semiHidden/>
    <w:pPr>
      <w:widowControl w:val="0"/>
      <w:tabs>
        <w:tab w:val="left" w:leader="dot" w:pos="9360"/>
      </w:tabs>
      <w:suppressAutoHyphens/>
      <w:ind w:left="720" w:hanging="720"/>
    </w:pPr>
  </w:style>
  <w:style w:type="paragraph" w:styleId="TOC7">
    <w:name w:val="toc 7"/>
    <w:basedOn w:val="Normal"/>
    <w:next w:val="Normal"/>
    <w:semiHidden/>
    <w:pPr>
      <w:widowControl w:val="0"/>
      <w:tabs>
        <w:tab w:val="left" w:leader="dot" w:pos="9360"/>
      </w:tabs>
      <w:suppressAutoHyphens/>
      <w:ind w:left="720" w:hanging="720"/>
    </w:pPr>
  </w:style>
  <w:style w:type="paragraph" w:styleId="TOC8">
    <w:name w:val="toc 8"/>
    <w:basedOn w:val="Normal"/>
    <w:next w:val="Normal"/>
    <w:semiHidden/>
    <w:pPr>
      <w:widowControl w:val="0"/>
      <w:tabs>
        <w:tab w:val="left" w:leader="dot" w:pos="9360"/>
      </w:tabs>
      <w:suppressAutoHyphens/>
      <w:ind w:left="720" w:hanging="720"/>
    </w:pPr>
  </w:style>
  <w:style w:type="paragraph" w:styleId="TOC9">
    <w:name w:val="toc 9"/>
    <w:basedOn w:val="Normal"/>
    <w:next w:val="Normal"/>
    <w:semiHidden/>
    <w:pPr>
      <w:tabs>
        <w:tab w:val="left" w:leader="dot" w:pos="9360"/>
      </w:tabs>
      <w:ind w:left="720" w:hanging="720"/>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CA79FA"/>
    <w:rPr>
      <w:rFonts w:ascii="Segoe UI" w:hAnsi="Segoe UI" w:cs="Segoe UI"/>
      <w:sz w:val="18"/>
      <w:szCs w:val="18"/>
    </w:rPr>
  </w:style>
  <w:style w:type="character" w:customStyle="1" w:styleId="BalloonTextChar">
    <w:name w:val="Balloon Text Char"/>
    <w:link w:val="BalloonText"/>
    <w:uiPriority w:val="99"/>
    <w:semiHidden/>
    <w:rsid w:val="00CA7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eve.Garner\Desktop\Ellington%20csr-8932-m.3.15.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Ellington csr-8932-m.3.15.17</Template>
  <TotalTime>0</TotalTime>
  <Pages>3</Pages>
  <Words>986</Words>
  <Characters>5380</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6567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2017-03-15T18:13:00Z</cp:lastPrinted>
  <dcterms:created xsi:type="dcterms:W3CDTF">2017-03-16T15:33:00Z</dcterms:created>
  <dcterms:modified xsi:type="dcterms:W3CDTF">2017-03-16T15:33:00Z</dcterms:modified>
  <cp:category> </cp:category>
  <cp:contentStatus> </cp:contentStatus>
</cp:coreProperties>
</file>