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460C78" w:rsidRDefault="00602577">
      <w:pPr>
        <w:pStyle w:val="Header"/>
        <w:tabs>
          <w:tab w:val="clear" w:pos="4320"/>
          <w:tab w:val="clear" w:pos="8640"/>
        </w:tabs>
        <w:rPr>
          <w:u w:val="single"/>
        </w:rPr>
        <w:sectPr w:rsidR="00602577" w:rsidRPr="00460C78"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602577" w:rsidRPr="007665F9" w:rsidRDefault="007665F9">
      <w:pPr>
        <w:jc w:val="right"/>
        <w:rPr>
          <w:b/>
          <w:szCs w:val="22"/>
        </w:rPr>
      </w:pPr>
      <w:r w:rsidRPr="007665F9">
        <w:rPr>
          <w:b/>
          <w:szCs w:val="22"/>
        </w:rPr>
        <w:lastRenderedPageBreak/>
        <w:t>DA 1</w:t>
      </w:r>
      <w:r w:rsidR="00EA784F">
        <w:rPr>
          <w:b/>
          <w:szCs w:val="22"/>
        </w:rPr>
        <w:t>7</w:t>
      </w:r>
      <w:r w:rsidR="00B76E9B">
        <w:rPr>
          <w:b/>
          <w:szCs w:val="22"/>
        </w:rPr>
        <w:t>-261</w:t>
      </w:r>
    </w:p>
    <w:p w:rsidR="00602577" w:rsidRPr="007665F9" w:rsidRDefault="007665F9">
      <w:pPr>
        <w:spacing w:before="60"/>
        <w:jc w:val="right"/>
        <w:rPr>
          <w:b/>
          <w:szCs w:val="22"/>
        </w:rPr>
      </w:pPr>
      <w:r w:rsidRPr="007665F9">
        <w:rPr>
          <w:b/>
          <w:szCs w:val="22"/>
        </w:rPr>
        <w:t xml:space="preserve">Released:  </w:t>
      </w:r>
      <w:r w:rsidR="00EB6FFB">
        <w:rPr>
          <w:b/>
          <w:szCs w:val="22"/>
        </w:rPr>
        <w:t>M</w:t>
      </w:r>
      <w:r w:rsidR="00EA784F">
        <w:rPr>
          <w:b/>
          <w:szCs w:val="22"/>
        </w:rPr>
        <w:t>arch</w:t>
      </w:r>
      <w:r w:rsidR="00CD1473">
        <w:rPr>
          <w:b/>
          <w:szCs w:val="22"/>
        </w:rPr>
        <w:t xml:space="preserve"> 16</w:t>
      </w:r>
      <w:r w:rsidRPr="007665F9">
        <w:rPr>
          <w:b/>
          <w:szCs w:val="22"/>
        </w:rPr>
        <w:t>, 201</w:t>
      </w:r>
      <w:r w:rsidR="00EA784F">
        <w:rPr>
          <w:b/>
          <w:szCs w:val="22"/>
        </w:rPr>
        <w:t>7</w:t>
      </w:r>
    </w:p>
    <w:p w:rsidR="00602577" w:rsidRDefault="00602577">
      <w:pPr>
        <w:jc w:val="right"/>
        <w:rPr>
          <w:sz w:val="24"/>
        </w:rPr>
      </w:pPr>
    </w:p>
    <w:p w:rsidR="00DF2F23" w:rsidRDefault="00911BAA" w:rsidP="00517D1E">
      <w:pPr>
        <w:jc w:val="center"/>
        <w:rPr>
          <w:b/>
          <w:szCs w:val="22"/>
        </w:rPr>
      </w:pPr>
      <w:r>
        <w:rPr>
          <w:b/>
          <w:szCs w:val="22"/>
        </w:rPr>
        <w:t xml:space="preserve">AT&amp;T MOBILITY SPECTRUM LLC </w:t>
      </w:r>
      <w:r w:rsidR="007665F9" w:rsidRPr="007665F9">
        <w:rPr>
          <w:b/>
          <w:szCs w:val="22"/>
        </w:rPr>
        <w:t>AND</w:t>
      </w:r>
      <w:r>
        <w:rPr>
          <w:b/>
          <w:szCs w:val="22"/>
        </w:rPr>
        <w:t xml:space="preserve"> FIBERTOWER </w:t>
      </w:r>
      <w:r w:rsidR="003937AE">
        <w:rPr>
          <w:b/>
          <w:szCs w:val="22"/>
        </w:rPr>
        <w:t xml:space="preserve">CORPORATION </w:t>
      </w:r>
      <w:r w:rsidR="007665F9" w:rsidRPr="007665F9">
        <w:rPr>
          <w:b/>
          <w:szCs w:val="22"/>
        </w:rPr>
        <w:t xml:space="preserve">SEEK </w:t>
      </w:r>
    </w:p>
    <w:p w:rsidR="00DF2F23" w:rsidRDefault="007665F9" w:rsidP="00517D1E">
      <w:pPr>
        <w:jc w:val="center"/>
        <w:rPr>
          <w:b/>
          <w:szCs w:val="22"/>
        </w:rPr>
      </w:pPr>
      <w:r w:rsidRPr="007665F9">
        <w:rPr>
          <w:b/>
          <w:szCs w:val="22"/>
        </w:rPr>
        <w:t>F</w:t>
      </w:r>
      <w:r w:rsidR="00E85F2E">
        <w:rPr>
          <w:b/>
          <w:szCs w:val="22"/>
        </w:rPr>
        <w:t>CC CONSENT</w:t>
      </w:r>
      <w:r w:rsidR="00DF2F23">
        <w:rPr>
          <w:b/>
          <w:szCs w:val="22"/>
        </w:rPr>
        <w:t xml:space="preserve"> </w:t>
      </w:r>
      <w:r w:rsidR="00701D32">
        <w:rPr>
          <w:b/>
          <w:szCs w:val="22"/>
        </w:rPr>
        <w:t xml:space="preserve">TO THE </w:t>
      </w:r>
      <w:r w:rsidR="00911BAA">
        <w:rPr>
          <w:b/>
          <w:szCs w:val="22"/>
        </w:rPr>
        <w:t xml:space="preserve">TRANSFER OF CONTROL </w:t>
      </w:r>
      <w:r w:rsidR="00701D32">
        <w:rPr>
          <w:b/>
          <w:szCs w:val="22"/>
        </w:rPr>
        <w:t>OF</w:t>
      </w:r>
      <w:r w:rsidR="00596439">
        <w:rPr>
          <w:b/>
          <w:szCs w:val="22"/>
        </w:rPr>
        <w:t xml:space="preserve"> </w:t>
      </w:r>
    </w:p>
    <w:p w:rsidR="00602577" w:rsidRPr="007665F9" w:rsidRDefault="003937AE" w:rsidP="00517D1E">
      <w:pPr>
        <w:jc w:val="center"/>
        <w:rPr>
          <w:b/>
          <w:szCs w:val="22"/>
        </w:rPr>
      </w:pPr>
      <w:r>
        <w:rPr>
          <w:b/>
          <w:szCs w:val="22"/>
        </w:rPr>
        <w:t>24 GHZ AND 39 GHZ</w:t>
      </w:r>
      <w:r w:rsidR="00517D1E">
        <w:rPr>
          <w:b/>
          <w:szCs w:val="22"/>
        </w:rPr>
        <w:t xml:space="preserve"> </w:t>
      </w:r>
      <w:r w:rsidR="006C4A65">
        <w:rPr>
          <w:b/>
          <w:szCs w:val="22"/>
        </w:rPr>
        <w:t>LICENSE</w:t>
      </w:r>
      <w:r w:rsidR="00517D1E">
        <w:rPr>
          <w:b/>
          <w:szCs w:val="22"/>
        </w:rPr>
        <w:t>S</w:t>
      </w:r>
    </w:p>
    <w:p w:rsidR="00602577" w:rsidRPr="007A67C8" w:rsidRDefault="00517D1E" w:rsidP="00517D1E">
      <w:pPr>
        <w:spacing w:before="240" w:after="240"/>
        <w:jc w:val="center"/>
        <w:rPr>
          <w:b/>
          <w:szCs w:val="22"/>
        </w:rPr>
      </w:pPr>
      <w:r>
        <w:rPr>
          <w:b/>
          <w:szCs w:val="22"/>
        </w:rPr>
        <w:t xml:space="preserve">ULS File Nos. </w:t>
      </w:r>
      <w:r w:rsidR="002E1372">
        <w:rPr>
          <w:b/>
          <w:szCs w:val="22"/>
        </w:rPr>
        <w:t>0007</w:t>
      </w:r>
      <w:r w:rsidR="00911BAA">
        <w:rPr>
          <w:b/>
          <w:szCs w:val="22"/>
        </w:rPr>
        <w:t>652635</w:t>
      </w:r>
      <w:r w:rsidR="005D73A0">
        <w:rPr>
          <w:b/>
          <w:szCs w:val="22"/>
        </w:rPr>
        <w:t xml:space="preserve"> and 0007</w:t>
      </w:r>
      <w:r w:rsidR="00911BAA">
        <w:rPr>
          <w:b/>
          <w:szCs w:val="22"/>
        </w:rPr>
        <w:t>652637</w:t>
      </w:r>
    </w:p>
    <w:p w:rsidR="00602577" w:rsidRPr="007A67C8" w:rsidRDefault="007A67C8" w:rsidP="007A67C8">
      <w:pPr>
        <w:spacing w:after="220"/>
        <w:jc w:val="center"/>
        <w:rPr>
          <w:b/>
          <w:szCs w:val="22"/>
        </w:rPr>
      </w:pPr>
      <w:r w:rsidRPr="007A67C8">
        <w:rPr>
          <w:b/>
          <w:szCs w:val="22"/>
        </w:rPr>
        <w:t>PLEADING CYCLE ESTABLISHED</w:t>
      </w:r>
    </w:p>
    <w:p w:rsidR="007A67C8" w:rsidRDefault="007A67C8" w:rsidP="007A67C8">
      <w:pPr>
        <w:outlineLvl w:val="0"/>
        <w:rPr>
          <w:b/>
          <w:szCs w:val="22"/>
        </w:rPr>
      </w:pPr>
      <w:r>
        <w:rPr>
          <w:b/>
          <w:szCs w:val="22"/>
        </w:rPr>
        <w:t>Petitions to Deny Due:</w:t>
      </w:r>
      <w:r>
        <w:rPr>
          <w:b/>
          <w:szCs w:val="22"/>
        </w:rPr>
        <w:tab/>
      </w:r>
      <w:r>
        <w:rPr>
          <w:b/>
          <w:szCs w:val="22"/>
        </w:rPr>
        <w:tab/>
      </w:r>
      <w:r w:rsidR="00911BAA">
        <w:rPr>
          <w:b/>
          <w:szCs w:val="22"/>
        </w:rPr>
        <w:t>March</w:t>
      </w:r>
      <w:r w:rsidR="00CD1473">
        <w:rPr>
          <w:b/>
          <w:szCs w:val="22"/>
        </w:rPr>
        <w:t xml:space="preserve"> 30</w:t>
      </w:r>
      <w:r w:rsidR="00EB6FFB">
        <w:rPr>
          <w:b/>
          <w:spacing w:val="-2"/>
          <w:szCs w:val="22"/>
        </w:rPr>
        <w:t>, 201</w:t>
      </w:r>
      <w:r w:rsidR="00EA784F">
        <w:rPr>
          <w:b/>
          <w:spacing w:val="-2"/>
          <w:szCs w:val="22"/>
        </w:rPr>
        <w:t>7</w:t>
      </w:r>
    </w:p>
    <w:p w:rsidR="007A67C8" w:rsidRDefault="007A67C8" w:rsidP="007A67C8">
      <w:pPr>
        <w:rPr>
          <w:b/>
          <w:szCs w:val="22"/>
        </w:rPr>
      </w:pPr>
      <w:r>
        <w:rPr>
          <w:b/>
          <w:szCs w:val="22"/>
        </w:rPr>
        <w:t>Oppositions Due:</w:t>
      </w:r>
      <w:r>
        <w:rPr>
          <w:b/>
          <w:szCs w:val="22"/>
        </w:rPr>
        <w:tab/>
      </w:r>
      <w:r>
        <w:rPr>
          <w:b/>
          <w:szCs w:val="22"/>
        </w:rPr>
        <w:tab/>
      </w:r>
      <w:r w:rsidR="00CD1473">
        <w:rPr>
          <w:b/>
          <w:szCs w:val="22"/>
        </w:rPr>
        <w:t>April 6,</w:t>
      </w:r>
      <w:r w:rsidR="00EB6FFB">
        <w:rPr>
          <w:b/>
          <w:spacing w:val="-2"/>
          <w:szCs w:val="22"/>
        </w:rPr>
        <w:t xml:space="preserve"> 201</w:t>
      </w:r>
      <w:r w:rsidR="00EA784F">
        <w:rPr>
          <w:b/>
          <w:spacing w:val="-2"/>
          <w:szCs w:val="22"/>
        </w:rPr>
        <w:t>7</w:t>
      </w:r>
    </w:p>
    <w:p w:rsidR="007A67C8" w:rsidRDefault="007A67C8" w:rsidP="007A67C8">
      <w:pPr>
        <w:spacing w:after="220"/>
        <w:rPr>
          <w:b/>
          <w:szCs w:val="22"/>
        </w:rPr>
      </w:pPr>
      <w:r>
        <w:rPr>
          <w:b/>
          <w:szCs w:val="22"/>
        </w:rPr>
        <w:t>Replies Due:</w:t>
      </w:r>
      <w:r>
        <w:rPr>
          <w:b/>
          <w:szCs w:val="22"/>
        </w:rPr>
        <w:tab/>
      </w:r>
      <w:r>
        <w:rPr>
          <w:b/>
          <w:szCs w:val="22"/>
        </w:rPr>
        <w:tab/>
      </w:r>
      <w:r>
        <w:rPr>
          <w:b/>
          <w:szCs w:val="22"/>
        </w:rPr>
        <w:tab/>
      </w:r>
      <w:r w:rsidR="00CD1473">
        <w:rPr>
          <w:b/>
          <w:szCs w:val="22"/>
        </w:rPr>
        <w:t>April 13</w:t>
      </w:r>
      <w:r w:rsidR="00EB6FFB">
        <w:rPr>
          <w:b/>
          <w:szCs w:val="22"/>
        </w:rPr>
        <w:t>, 201</w:t>
      </w:r>
      <w:r w:rsidR="00EA784F">
        <w:rPr>
          <w:b/>
          <w:szCs w:val="22"/>
        </w:rPr>
        <w:t>7</w:t>
      </w:r>
    </w:p>
    <w:p w:rsidR="007A67C8" w:rsidRDefault="007A67C8" w:rsidP="00144BD1">
      <w:pPr>
        <w:spacing w:after="120"/>
        <w:outlineLvl w:val="0"/>
        <w:rPr>
          <w:b/>
          <w:szCs w:val="22"/>
        </w:rPr>
      </w:pPr>
      <w:r>
        <w:rPr>
          <w:b/>
          <w:szCs w:val="22"/>
        </w:rPr>
        <w:t>I.</w:t>
      </w:r>
      <w:r>
        <w:rPr>
          <w:b/>
          <w:szCs w:val="22"/>
        </w:rPr>
        <w:tab/>
        <w:t>INTRODUCTION</w:t>
      </w:r>
    </w:p>
    <w:p w:rsidR="007665F9" w:rsidRDefault="003937AE" w:rsidP="00CF1545">
      <w:pPr>
        <w:spacing w:after="120"/>
        <w:ind w:firstLine="720"/>
        <w:rPr>
          <w:szCs w:val="22"/>
        </w:rPr>
      </w:pPr>
      <w:r>
        <w:rPr>
          <w:szCs w:val="22"/>
        </w:rPr>
        <w:t>AT&amp;T Mobility Spectrum LLC (AT&amp;T Mobility)</w:t>
      </w:r>
      <w:r w:rsidR="007A67C8">
        <w:rPr>
          <w:szCs w:val="22"/>
        </w:rPr>
        <w:t xml:space="preserve">, </w:t>
      </w:r>
      <w:r>
        <w:rPr>
          <w:szCs w:val="22"/>
        </w:rPr>
        <w:t xml:space="preserve">an indirect wholly-owned subsidiary of AT&amp;T Inc. (collectively with AT&amp;T Mobility, AT&amp;T) </w:t>
      </w:r>
      <w:r w:rsidR="007A67C8">
        <w:rPr>
          <w:szCs w:val="22"/>
        </w:rPr>
        <w:t>and</w:t>
      </w:r>
      <w:r>
        <w:rPr>
          <w:szCs w:val="22"/>
        </w:rPr>
        <w:t xml:space="preserve"> FiberTower Corporation</w:t>
      </w:r>
      <w:r w:rsidR="007A67C8">
        <w:rPr>
          <w:szCs w:val="22"/>
        </w:rPr>
        <w:t xml:space="preserve"> </w:t>
      </w:r>
      <w:r w:rsidR="00012E4A">
        <w:rPr>
          <w:szCs w:val="22"/>
        </w:rPr>
        <w:t>(</w:t>
      </w:r>
      <w:r w:rsidR="007A67C8">
        <w:rPr>
          <w:szCs w:val="22"/>
        </w:rPr>
        <w:t>together with</w:t>
      </w:r>
      <w:r w:rsidR="00012E4A">
        <w:rPr>
          <w:szCs w:val="22"/>
        </w:rPr>
        <w:t xml:space="preserve"> AT&amp;T</w:t>
      </w:r>
      <w:r w:rsidR="007A67C8">
        <w:rPr>
          <w:szCs w:val="22"/>
        </w:rPr>
        <w:t>, the Applicants),</w:t>
      </w:r>
      <w:r w:rsidR="007A67C8" w:rsidRPr="00586237">
        <w:rPr>
          <w:szCs w:val="22"/>
        </w:rPr>
        <w:t xml:space="preserve"> have filed </w:t>
      </w:r>
      <w:r w:rsidR="00AF167D">
        <w:rPr>
          <w:szCs w:val="22"/>
        </w:rPr>
        <w:t>a</w:t>
      </w:r>
      <w:r w:rsidR="007A67C8" w:rsidRPr="00586237">
        <w:rPr>
          <w:szCs w:val="22"/>
        </w:rPr>
        <w:t>pplication</w:t>
      </w:r>
      <w:r w:rsidR="00AF167D">
        <w:rPr>
          <w:szCs w:val="22"/>
        </w:rPr>
        <w:t>s</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w:t>
      </w:r>
      <w:r w:rsidR="004859D7" w:rsidRPr="00586237">
        <w:rPr>
          <w:szCs w:val="22"/>
        </w:rPr>
        <w:t xml:space="preserve">seeking </w:t>
      </w:r>
      <w:r w:rsidR="00012E4A">
        <w:rPr>
          <w:szCs w:val="22"/>
        </w:rPr>
        <w:t xml:space="preserve">Commission consent to </w:t>
      </w:r>
      <w:r w:rsidR="004859D7">
        <w:rPr>
          <w:szCs w:val="22"/>
        </w:rPr>
        <w:t xml:space="preserve">the </w:t>
      </w:r>
      <w:r w:rsidR="00012E4A">
        <w:rPr>
          <w:szCs w:val="22"/>
        </w:rPr>
        <w:t xml:space="preserve">transfer of control of 24 GHz and 39 GHz licenses held by </w:t>
      </w:r>
      <w:r w:rsidR="007B76AB">
        <w:rPr>
          <w:szCs w:val="22"/>
        </w:rPr>
        <w:t xml:space="preserve">FiberTower Corporation’s subsidiary </w:t>
      </w:r>
      <w:r w:rsidR="00012E4A">
        <w:rPr>
          <w:szCs w:val="22"/>
        </w:rPr>
        <w:t>FiberTower Spectrum Holdings LLC (collectively with FiberTower Corporation, FiberTower)</w:t>
      </w:r>
      <w:r w:rsidR="00D82506">
        <w:rPr>
          <w:szCs w:val="22"/>
        </w:rPr>
        <w:t xml:space="preserve"> to AT&amp;T Mobility</w:t>
      </w:r>
      <w:r w:rsidR="002A4341">
        <w:rPr>
          <w:szCs w:val="22"/>
        </w:rPr>
        <w:t xml:space="preserve">.  </w:t>
      </w:r>
      <w:r w:rsidR="00F57F7F">
        <w:rPr>
          <w:szCs w:val="22"/>
        </w:rPr>
        <w:t>Pursuant to a stock purchase agreement, AT&amp;T Mobility would acquire all of the outstanding stock of FiberTower Corporation, after which FiberTower Corporation would become a wholly-owned subsidiary of AT&amp;T Mobility.</w:t>
      </w:r>
    </w:p>
    <w:p w:rsidR="00135E9B" w:rsidRDefault="00F57F7F" w:rsidP="00F24B92">
      <w:pPr>
        <w:spacing w:after="120"/>
        <w:ind w:firstLine="720"/>
        <w:rPr>
          <w:szCs w:val="22"/>
        </w:rPr>
      </w:pPr>
      <w:r>
        <w:rPr>
          <w:szCs w:val="22"/>
        </w:rPr>
        <w:t xml:space="preserve">The </w:t>
      </w:r>
      <w:r w:rsidR="008C0C9F">
        <w:rPr>
          <w:szCs w:val="22"/>
        </w:rPr>
        <w:t>Applicants</w:t>
      </w:r>
      <w:r w:rsidR="000D5AD8">
        <w:rPr>
          <w:szCs w:val="22"/>
        </w:rPr>
        <w:t xml:space="preserve"> state that under the proposed transaction, AT&amp;T would be acquiring all of the rights to FiberTower’s licenses and authorizations, including licenses that are not currently active in the Commission’s Universal Licensing System (ULS) but are subject to a pending remand from the United States Court of Appeals for the District of Columbia Circuit.</w:t>
      </w:r>
      <w:r w:rsidR="00691D93">
        <w:rPr>
          <w:rStyle w:val="FootnoteReference"/>
          <w:szCs w:val="22"/>
        </w:rPr>
        <w:footnoteReference w:id="2"/>
      </w:r>
      <w:r w:rsidR="00691D93">
        <w:rPr>
          <w:szCs w:val="22"/>
        </w:rPr>
        <w:t xml:space="preserve">  </w:t>
      </w:r>
      <w:r w:rsidR="00135E9B">
        <w:rPr>
          <w:szCs w:val="22"/>
        </w:rPr>
        <w:t>According to the Applicants, FiberTower holds interests in a total of 738 24 GHz and 39 GHz licenses</w:t>
      </w:r>
      <w:r w:rsidR="00687033">
        <w:rPr>
          <w:szCs w:val="22"/>
        </w:rPr>
        <w:t>, i</w:t>
      </w:r>
      <w:r w:rsidR="00135E9B">
        <w:rPr>
          <w:szCs w:val="22"/>
        </w:rPr>
        <w:t xml:space="preserve">ncluding those licenses subject to the remand.  </w:t>
      </w:r>
    </w:p>
    <w:p w:rsidR="008C0C9F" w:rsidRDefault="00691D93" w:rsidP="00F24B92">
      <w:pPr>
        <w:spacing w:after="120"/>
        <w:ind w:firstLine="720"/>
        <w:rPr>
          <w:szCs w:val="22"/>
        </w:rPr>
      </w:pPr>
      <w:r>
        <w:rPr>
          <w:szCs w:val="22"/>
        </w:rPr>
        <w:t>The Applicants assert that the proposed transaction would serve the public interest by facilitating AT&amp;T’s adoption of 5G technology, which, they claim, would benefit consumers by enhancing existing services and enabling the provision of new ones.</w:t>
      </w:r>
      <w:r w:rsidR="00135E9B">
        <w:rPr>
          <w:szCs w:val="22"/>
        </w:rPr>
        <w:t xml:space="preserve">  The Applicants further assert that the proposed transfer of control does not raise spectrum aggregation or competitive concern</w:t>
      </w:r>
      <w:r w:rsidR="00FC7EEA">
        <w:rPr>
          <w:szCs w:val="22"/>
        </w:rPr>
        <w:t>s</w:t>
      </w:r>
      <w:r w:rsidR="00135E9B">
        <w:rPr>
          <w:szCs w:val="22"/>
        </w:rPr>
        <w:t xml:space="preserve">. </w:t>
      </w:r>
    </w:p>
    <w:p w:rsidR="003023E7" w:rsidRDefault="003023E7" w:rsidP="003023E7">
      <w:pPr>
        <w:spacing w:after="120"/>
        <w:ind w:firstLine="720"/>
        <w:rPr>
          <w:rStyle w:val="Normal10"/>
          <w:sz w:val="22"/>
          <w:szCs w:val="22"/>
        </w:rPr>
      </w:pPr>
      <w:r w:rsidRPr="008979AB">
        <w:rPr>
          <w:rStyle w:val="Normal10"/>
          <w:sz w:val="22"/>
          <w:szCs w:val="22"/>
        </w:rPr>
        <w:lastRenderedPageBreak/>
        <w:t xml:space="preserve">Our preliminary review </w:t>
      </w:r>
      <w:r>
        <w:rPr>
          <w:rStyle w:val="Normal10"/>
          <w:sz w:val="22"/>
          <w:szCs w:val="22"/>
        </w:rPr>
        <w:t xml:space="preserve">of the </w:t>
      </w:r>
      <w:r w:rsidR="00E664B9">
        <w:rPr>
          <w:rStyle w:val="Normal10"/>
          <w:sz w:val="22"/>
          <w:szCs w:val="22"/>
        </w:rPr>
        <w:t>Applicants’ spectrum aggregation chart</w:t>
      </w:r>
      <w:r>
        <w:rPr>
          <w:rStyle w:val="Normal10"/>
          <w:sz w:val="22"/>
          <w:szCs w:val="22"/>
        </w:rPr>
        <w:t xml:space="preserve"> </w:t>
      </w:r>
      <w:r w:rsidRPr="008979AB">
        <w:rPr>
          <w:rStyle w:val="Normal10"/>
          <w:sz w:val="22"/>
          <w:szCs w:val="22"/>
        </w:rPr>
        <w:t xml:space="preserve">indicates that AT&amp;T would </w:t>
      </w:r>
      <w:r w:rsidR="00181ED0">
        <w:rPr>
          <w:rStyle w:val="Normal10"/>
          <w:sz w:val="22"/>
          <w:szCs w:val="22"/>
        </w:rPr>
        <w:t xml:space="preserve">acquire </w:t>
      </w:r>
      <w:r w:rsidR="00181ED0">
        <w:rPr>
          <w:szCs w:val="22"/>
        </w:rPr>
        <w:t>from FiberTower</w:t>
      </w:r>
      <w:r w:rsidR="00E664B9">
        <w:rPr>
          <w:szCs w:val="22"/>
        </w:rPr>
        <w:t>,</w:t>
      </w:r>
      <w:r w:rsidR="00377E65">
        <w:rPr>
          <w:rStyle w:val="FootnoteReference"/>
          <w:szCs w:val="22"/>
        </w:rPr>
        <w:footnoteReference w:id="3"/>
      </w:r>
      <w:r w:rsidR="00E664B9">
        <w:rPr>
          <w:szCs w:val="22"/>
        </w:rPr>
        <w:t xml:space="preserve"> on a population-weighted basis,</w:t>
      </w:r>
      <w:r w:rsidR="00181ED0">
        <w:rPr>
          <w:szCs w:val="22"/>
        </w:rPr>
        <w:t xml:space="preserve"> </w:t>
      </w:r>
      <w:r w:rsidR="00EF473D">
        <w:rPr>
          <w:rStyle w:val="Normal10"/>
          <w:sz w:val="22"/>
          <w:szCs w:val="22"/>
        </w:rPr>
        <w:t xml:space="preserve">control </w:t>
      </w:r>
      <w:r w:rsidR="00181ED0">
        <w:rPr>
          <w:rStyle w:val="Normal10"/>
          <w:sz w:val="22"/>
          <w:szCs w:val="22"/>
        </w:rPr>
        <w:t xml:space="preserve">of </w:t>
      </w:r>
      <w:r w:rsidR="00E664B9">
        <w:rPr>
          <w:rStyle w:val="Normal10"/>
          <w:sz w:val="22"/>
          <w:szCs w:val="22"/>
        </w:rPr>
        <w:t xml:space="preserve">7.2 </w:t>
      </w:r>
      <w:r>
        <w:rPr>
          <w:rStyle w:val="Normal10"/>
          <w:sz w:val="22"/>
          <w:szCs w:val="22"/>
        </w:rPr>
        <w:t xml:space="preserve">megahertz to </w:t>
      </w:r>
      <w:r w:rsidR="00E664B9">
        <w:rPr>
          <w:rStyle w:val="Normal10"/>
          <w:sz w:val="22"/>
          <w:szCs w:val="22"/>
        </w:rPr>
        <w:t>796.8</w:t>
      </w:r>
      <w:r w:rsidR="00E664B9" w:rsidRPr="00D72ED4">
        <w:rPr>
          <w:rStyle w:val="Normal10"/>
          <w:sz w:val="22"/>
          <w:szCs w:val="22"/>
        </w:rPr>
        <w:t xml:space="preserve"> </w:t>
      </w:r>
      <w:r w:rsidRPr="00D72ED4">
        <w:rPr>
          <w:rStyle w:val="Normal10"/>
          <w:sz w:val="22"/>
          <w:szCs w:val="22"/>
        </w:rPr>
        <w:t>megahertz</w:t>
      </w:r>
      <w:r w:rsidRPr="008979AB">
        <w:rPr>
          <w:rStyle w:val="Normal10"/>
          <w:sz w:val="22"/>
          <w:szCs w:val="22"/>
        </w:rPr>
        <w:t xml:space="preserve"> </w:t>
      </w:r>
      <w:r>
        <w:rPr>
          <w:szCs w:val="22"/>
        </w:rPr>
        <w:t>of 39 GHz spectrum</w:t>
      </w:r>
      <w:r w:rsidR="00377E65">
        <w:rPr>
          <w:szCs w:val="22"/>
        </w:rPr>
        <w:t xml:space="preserve"> i</w:t>
      </w:r>
      <w:r>
        <w:rPr>
          <w:szCs w:val="22"/>
        </w:rPr>
        <w:t xml:space="preserve">n </w:t>
      </w:r>
      <w:r w:rsidR="00E664B9">
        <w:rPr>
          <w:szCs w:val="22"/>
        </w:rPr>
        <w:t xml:space="preserve">3165 </w:t>
      </w:r>
      <w:r>
        <w:rPr>
          <w:szCs w:val="22"/>
        </w:rPr>
        <w:t xml:space="preserve">counties in all or parts of </w:t>
      </w:r>
      <w:r w:rsidR="00E664B9">
        <w:rPr>
          <w:szCs w:val="22"/>
        </w:rPr>
        <w:t xml:space="preserve">727 </w:t>
      </w:r>
      <w:r>
        <w:rPr>
          <w:szCs w:val="22"/>
        </w:rPr>
        <w:t xml:space="preserve">Cellular Market Areas (CMAs) covering </w:t>
      </w:r>
      <w:r w:rsidR="00E664B9">
        <w:rPr>
          <w:szCs w:val="22"/>
        </w:rPr>
        <w:t>approximately 312 million people, or 99.8</w:t>
      </w:r>
      <w:r>
        <w:rPr>
          <w:szCs w:val="22"/>
        </w:rPr>
        <w:t xml:space="preserve"> percent of the U.S. population</w:t>
      </w:r>
      <w:r w:rsidR="00E664B9">
        <w:rPr>
          <w:szCs w:val="22"/>
        </w:rPr>
        <w:t>, including Puerto Rico</w:t>
      </w:r>
      <w:r w:rsidRPr="00DA2BDC">
        <w:rPr>
          <w:rStyle w:val="Normal10"/>
          <w:sz w:val="22"/>
          <w:szCs w:val="22"/>
        </w:rPr>
        <w:t xml:space="preserve">.  </w:t>
      </w:r>
      <w:r>
        <w:rPr>
          <w:rStyle w:val="Normal10"/>
          <w:sz w:val="22"/>
          <w:szCs w:val="22"/>
        </w:rPr>
        <w:t xml:space="preserve">Post-transaction, AT&amp;T would hold a maximum of </w:t>
      </w:r>
      <w:r w:rsidR="00E664B9">
        <w:rPr>
          <w:rStyle w:val="Normal10"/>
          <w:sz w:val="22"/>
          <w:szCs w:val="22"/>
        </w:rPr>
        <w:t xml:space="preserve">796.8 </w:t>
      </w:r>
      <w:r>
        <w:rPr>
          <w:rStyle w:val="Normal10"/>
          <w:sz w:val="22"/>
          <w:szCs w:val="22"/>
        </w:rPr>
        <w:t xml:space="preserve">megahertz of 39 GHz spectrum.  In no county would AT&amp;T trigger the spectrum threshold of 1250 megahertz established in the </w:t>
      </w:r>
      <w:r w:rsidRPr="00FC7EEA">
        <w:rPr>
          <w:rStyle w:val="Normal10"/>
          <w:i/>
          <w:sz w:val="22"/>
          <w:szCs w:val="22"/>
        </w:rPr>
        <w:t>Spectrum Frontiers R&amp;O</w:t>
      </w:r>
      <w:r>
        <w:rPr>
          <w:rStyle w:val="Normal10"/>
          <w:sz w:val="22"/>
          <w:szCs w:val="22"/>
        </w:rPr>
        <w:t>.</w:t>
      </w:r>
      <w:r>
        <w:rPr>
          <w:rStyle w:val="FootnoteReference"/>
          <w:szCs w:val="22"/>
        </w:rPr>
        <w:footnoteReference w:id="4"/>
      </w:r>
      <w:r>
        <w:rPr>
          <w:rStyle w:val="Normal10"/>
          <w:sz w:val="22"/>
          <w:szCs w:val="22"/>
        </w:rPr>
        <w:t xml:space="preserve">  </w:t>
      </w:r>
    </w:p>
    <w:p w:rsidR="003023E7" w:rsidRDefault="003023E7" w:rsidP="003023E7">
      <w:pPr>
        <w:spacing w:after="120"/>
        <w:ind w:firstLine="720"/>
        <w:rPr>
          <w:rStyle w:val="Normal10"/>
          <w:sz w:val="22"/>
          <w:szCs w:val="22"/>
        </w:rPr>
      </w:pPr>
      <w:r>
        <w:rPr>
          <w:rStyle w:val="Normal10"/>
          <w:sz w:val="22"/>
          <w:szCs w:val="22"/>
        </w:rPr>
        <w:t xml:space="preserve">In addition, </w:t>
      </w:r>
      <w:r w:rsidR="00E664B9">
        <w:rPr>
          <w:rStyle w:val="Normal10"/>
          <w:sz w:val="22"/>
          <w:szCs w:val="22"/>
        </w:rPr>
        <w:t xml:space="preserve">as a result of the proposed transaction, </w:t>
      </w:r>
      <w:r>
        <w:rPr>
          <w:rStyle w:val="Normal10"/>
          <w:sz w:val="22"/>
          <w:szCs w:val="22"/>
        </w:rPr>
        <w:t xml:space="preserve">AT&amp;T would </w:t>
      </w:r>
      <w:r w:rsidR="00181ED0">
        <w:rPr>
          <w:rStyle w:val="Normal10"/>
          <w:sz w:val="22"/>
          <w:szCs w:val="22"/>
        </w:rPr>
        <w:t xml:space="preserve">acquire from FiberTower control of </w:t>
      </w:r>
      <w:r w:rsidR="00E664B9">
        <w:rPr>
          <w:rStyle w:val="Normal10"/>
          <w:sz w:val="22"/>
          <w:szCs w:val="22"/>
        </w:rPr>
        <w:t xml:space="preserve">1 </w:t>
      </w:r>
      <w:r>
        <w:rPr>
          <w:rStyle w:val="Normal10"/>
          <w:sz w:val="22"/>
          <w:szCs w:val="22"/>
        </w:rPr>
        <w:t xml:space="preserve">megahertz to </w:t>
      </w:r>
      <w:r w:rsidR="00E664B9">
        <w:rPr>
          <w:rStyle w:val="Normal10"/>
          <w:sz w:val="22"/>
          <w:szCs w:val="22"/>
        </w:rPr>
        <w:t xml:space="preserve">400 </w:t>
      </w:r>
      <w:r w:rsidRPr="003203DE">
        <w:rPr>
          <w:rStyle w:val="Normal10"/>
          <w:sz w:val="22"/>
          <w:szCs w:val="22"/>
        </w:rPr>
        <w:t xml:space="preserve">megahertz of </w:t>
      </w:r>
      <w:r>
        <w:rPr>
          <w:rStyle w:val="Normal10"/>
          <w:sz w:val="22"/>
          <w:szCs w:val="22"/>
        </w:rPr>
        <w:t xml:space="preserve">24 GHz spectrum </w:t>
      </w:r>
      <w:r>
        <w:rPr>
          <w:szCs w:val="22"/>
        </w:rPr>
        <w:t xml:space="preserve">in </w:t>
      </w:r>
      <w:r w:rsidR="00E664B9">
        <w:rPr>
          <w:szCs w:val="22"/>
        </w:rPr>
        <w:t xml:space="preserve">365 </w:t>
      </w:r>
      <w:r>
        <w:rPr>
          <w:szCs w:val="22"/>
        </w:rPr>
        <w:t xml:space="preserve">counties in all or parts of </w:t>
      </w:r>
      <w:r w:rsidR="00E664B9">
        <w:rPr>
          <w:szCs w:val="22"/>
        </w:rPr>
        <w:t xml:space="preserve">91 </w:t>
      </w:r>
      <w:r>
        <w:rPr>
          <w:szCs w:val="22"/>
        </w:rPr>
        <w:t xml:space="preserve">CMAs covering </w:t>
      </w:r>
      <w:r w:rsidR="00E664B9">
        <w:rPr>
          <w:szCs w:val="22"/>
        </w:rPr>
        <w:t>approximately 160 million people or approximately 51</w:t>
      </w:r>
      <w:r>
        <w:rPr>
          <w:szCs w:val="22"/>
        </w:rPr>
        <w:t xml:space="preserve"> percent of the </w:t>
      </w:r>
      <w:r w:rsidR="00E664B9">
        <w:rPr>
          <w:szCs w:val="22"/>
        </w:rPr>
        <w:t xml:space="preserve">U.S. </w:t>
      </w:r>
      <w:r>
        <w:rPr>
          <w:szCs w:val="22"/>
        </w:rPr>
        <w:t>population</w:t>
      </w:r>
      <w:r w:rsidR="00E664B9">
        <w:rPr>
          <w:szCs w:val="22"/>
        </w:rPr>
        <w:t>, including Puerto Rico</w:t>
      </w:r>
      <w:r w:rsidRPr="003203DE">
        <w:rPr>
          <w:rStyle w:val="Normal10"/>
          <w:sz w:val="22"/>
          <w:szCs w:val="22"/>
        </w:rPr>
        <w:t>.</w:t>
      </w:r>
      <w:r>
        <w:rPr>
          <w:rStyle w:val="Normal10"/>
          <w:sz w:val="22"/>
          <w:szCs w:val="22"/>
        </w:rPr>
        <w:t xml:space="preserve">  </w:t>
      </w:r>
    </w:p>
    <w:p w:rsidR="00144BD1" w:rsidRPr="0089192F" w:rsidRDefault="00144BD1" w:rsidP="00144BD1">
      <w:pPr>
        <w:keepNext/>
        <w:spacing w:after="120"/>
        <w:outlineLvl w:val="0"/>
        <w:rPr>
          <w:rStyle w:val="Normal10"/>
          <w:b/>
          <w:szCs w:val="22"/>
        </w:rPr>
      </w:pPr>
      <w:r>
        <w:rPr>
          <w:rStyle w:val="StyleTimesNewRomanBold11ptBold"/>
        </w:rPr>
        <w:t>ii.</w:t>
      </w:r>
      <w:r>
        <w:rPr>
          <w:rStyle w:val="StyleTimesNewRomanBold11ptBold"/>
        </w:rPr>
        <w:tab/>
        <w:t>Section 310(</w:t>
      </w:r>
      <w:r>
        <w:rPr>
          <w:b/>
          <w:szCs w:val="22"/>
        </w:rPr>
        <w:t>d) APPLICATION</w:t>
      </w:r>
      <w:r w:rsidR="00166A9B">
        <w:rPr>
          <w:b/>
          <w:szCs w:val="22"/>
        </w:rPr>
        <w:t>S</w:t>
      </w:r>
    </w:p>
    <w:p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he application</w:t>
      </w:r>
      <w:r w:rsidR="00203F37">
        <w:rPr>
          <w:rStyle w:val="Normal10"/>
          <w:sz w:val="22"/>
          <w:szCs w:val="22"/>
        </w:rPr>
        <w:t>s</w:t>
      </w:r>
      <w:r w:rsidRPr="00144BD1">
        <w:rPr>
          <w:rStyle w:val="Normal10"/>
          <w:sz w:val="22"/>
          <w:szCs w:val="22"/>
        </w:rPr>
        <w:t xml:space="preserve"> for the assignment of </w:t>
      </w:r>
      <w:r w:rsidRPr="00144BD1">
        <w:rPr>
          <w:szCs w:val="22"/>
        </w:rPr>
        <w:t>license</w:t>
      </w:r>
      <w:r w:rsidR="00203F37">
        <w:rPr>
          <w:szCs w:val="22"/>
        </w:rPr>
        <w:t>s</w:t>
      </w:r>
      <w:r w:rsidRPr="00144BD1">
        <w:rPr>
          <w:szCs w:val="22"/>
        </w:rPr>
        <w:t xml:space="preserve"> </w:t>
      </w:r>
      <w:r w:rsidR="00203F37">
        <w:rPr>
          <w:rStyle w:val="Normal10"/>
          <w:sz w:val="22"/>
          <w:szCs w:val="22"/>
        </w:rPr>
        <w:t>have</w:t>
      </w:r>
      <w:r w:rsidRPr="00144BD1">
        <w:rPr>
          <w:rStyle w:val="Normal10"/>
          <w:sz w:val="22"/>
          <w:szCs w:val="22"/>
        </w:rPr>
        <w:t xml:space="preserve"> the following file number</w:t>
      </w:r>
      <w:r w:rsidR="00203F37">
        <w:rPr>
          <w:rStyle w:val="Normal10"/>
          <w:sz w:val="22"/>
          <w:szCs w:val="22"/>
        </w:rPr>
        <w:t>s</w:t>
      </w:r>
      <w:r w:rsidRPr="00144BD1">
        <w:rPr>
          <w:rStyle w:val="Normal10"/>
          <w:sz w:val="22"/>
          <w:szCs w:val="22"/>
        </w:rPr>
        <w:t>:</w:t>
      </w:r>
    </w:p>
    <w:tbl>
      <w:tblPr>
        <w:tblW w:w="5000" w:type="pct"/>
        <w:tblCellMar>
          <w:left w:w="40" w:type="dxa"/>
          <w:right w:w="40" w:type="dxa"/>
        </w:tblCellMar>
        <w:tblLook w:val="0000" w:firstRow="0" w:lastRow="0" w:firstColumn="0" w:lastColumn="0" w:noHBand="0" w:noVBand="0"/>
      </w:tblPr>
      <w:tblGrid>
        <w:gridCol w:w="1451"/>
        <w:gridCol w:w="3359"/>
        <w:gridCol w:w="3178"/>
        <w:gridCol w:w="1452"/>
      </w:tblGrid>
      <w:tr w:rsidR="00166A9B" w:rsidTr="000C2C86">
        <w:trPr>
          <w:cantSplit/>
          <w:trHeight w:val="173"/>
          <w:tblHeader/>
        </w:trPr>
        <w:tc>
          <w:tcPr>
            <w:tcW w:w="769" w:type="pct"/>
            <w:shd w:val="clear" w:color="C0C0C0" w:fill="auto"/>
          </w:tcPr>
          <w:p w:rsidR="00166A9B" w:rsidRDefault="00166A9B" w:rsidP="000C2C86">
            <w:pPr>
              <w:widowControl w:val="0"/>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rsidR="00166A9B" w:rsidRDefault="00166A9B" w:rsidP="000C2C86">
            <w:pPr>
              <w:widowControl w:val="0"/>
              <w:autoSpaceDE w:val="0"/>
              <w:autoSpaceDN w:val="0"/>
              <w:adjustRightInd w:val="0"/>
              <w:rPr>
                <w:b/>
                <w:color w:val="000000"/>
                <w:szCs w:val="22"/>
                <w:u w:val="single"/>
              </w:rPr>
            </w:pPr>
          </w:p>
        </w:tc>
        <w:tc>
          <w:tcPr>
            <w:tcW w:w="1779" w:type="pct"/>
            <w:shd w:val="clear" w:color="C0C0C0" w:fill="auto"/>
          </w:tcPr>
          <w:p w:rsidR="00166A9B" w:rsidRDefault="00255744" w:rsidP="001500CB">
            <w:pPr>
              <w:widowControl w:val="0"/>
              <w:autoSpaceDE w:val="0"/>
              <w:autoSpaceDN w:val="0"/>
              <w:adjustRightInd w:val="0"/>
              <w:ind w:left="-43"/>
              <w:rPr>
                <w:b/>
                <w:color w:val="000000"/>
                <w:szCs w:val="22"/>
                <w:u w:val="single"/>
              </w:rPr>
            </w:pPr>
            <w:r>
              <w:rPr>
                <w:b/>
                <w:color w:val="000000"/>
                <w:szCs w:val="22"/>
                <w:u w:val="single"/>
              </w:rPr>
              <w:t>Licensee/Assignor</w:t>
            </w:r>
          </w:p>
        </w:tc>
        <w:tc>
          <w:tcPr>
            <w:tcW w:w="1683" w:type="pct"/>
            <w:shd w:val="clear" w:color="C0C0C0" w:fill="auto"/>
          </w:tcPr>
          <w:p w:rsidR="00166A9B" w:rsidRDefault="00255744" w:rsidP="001500CB">
            <w:pPr>
              <w:widowControl w:val="0"/>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rsidR="00166A9B" w:rsidRDefault="00166A9B" w:rsidP="000C2C86">
            <w:pPr>
              <w:widowControl w:val="0"/>
              <w:autoSpaceDE w:val="0"/>
              <w:autoSpaceDN w:val="0"/>
              <w:adjustRightInd w:val="0"/>
              <w:ind w:hanging="40"/>
              <w:rPr>
                <w:b/>
                <w:color w:val="000000"/>
                <w:szCs w:val="22"/>
                <w:u w:val="single"/>
              </w:rPr>
            </w:pPr>
            <w:r>
              <w:rPr>
                <w:b/>
                <w:color w:val="000000"/>
                <w:szCs w:val="22"/>
                <w:u w:val="single"/>
              </w:rPr>
              <w:t>Lead Call Sign</w:t>
            </w:r>
          </w:p>
        </w:tc>
      </w:tr>
      <w:tr w:rsidR="00083285" w:rsidTr="000C2C86">
        <w:trPr>
          <w:cantSplit/>
          <w:trHeight w:val="152"/>
        </w:trPr>
        <w:tc>
          <w:tcPr>
            <w:tcW w:w="769" w:type="pct"/>
            <w:shd w:val="clear" w:color="auto" w:fill="auto"/>
          </w:tcPr>
          <w:p w:rsidR="00083285" w:rsidRPr="00613418" w:rsidRDefault="00083285" w:rsidP="00083285">
            <w:pPr>
              <w:widowControl w:val="0"/>
              <w:autoSpaceDE w:val="0"/>
              <w:autoSpaceDN w:val="0"/>
              <w:adjustRightInd w:val="0"/>
              <w:rPr>
                <w:szCs w:val="22"/>
              </w:rPr>
            </w:pPr>
            <w:r w:rsidRPr="008707BF">
              <w:rPr>
                <w:szCs w:val="22"/>
              </w:rPr>
              <w:t>0007</w:t>
            </w:r>
            <w:r>
              <w:rPr>
                <w:szCs w:val="22"/>
              </w:rPr>
              <w:t>652635</w:t>
            </w:r>
            <w:r w:rsidR="00463694">
              <w:rPr>
                <w:rStyle w:val="FootnoteReference"/>
                <w:szCs w:val="22"/>
              </w:rPr>
              <w:footnoteReference w:id="5"/>
            </w:r>
          </w:p>
        </w:tc>
        <w:tc>
          <w:tcPr>
            <w:tcW w:w="1779" w:type="pct"/>
            <w:shd w:val="clear" w:color="C0C0C0" w:fill="auto"/>
          </w:tcPr>
          <w:p w:rsidR="00083285" w:rsidRPr="00577CEB" w:rsidRDefault="00083285" w:rsidP="00083285">
            <w:pPr>
              <w:widowControl w:val="0"/>
              <w:autoSpaceDE w:val="0"/>
              <w:autoSpaceDN w:val="0"/>
              <w:adjustRightInd w:val="0"/>
              <w:rPr>
                <w:color w:val="000000"/>
                <w:szCs w:val="22"/>
              </w:rPr>
            </w:pPr>
            <w:r>
              <w:rPr>
                <w:color w:val="000000"/>
                <w:szCs w:val="22"/>
              </w:rPr>
              <w:t xml:space="preserve">FiberTower Spectrum Holdings </w:t>
            </w:r>
            <w:r w:rsidRPr="008707BF">
              <w:rPr>
                <w:color w:val="000000"/>
                <w:szCs w:val="22"/>
              </w:rPr>
              <w:t>LLC</w:t>
            </w:r>
          </w:p>
        </w:tc>
        <w:tc>
          <w:tcPr>
            <w:tcW w:w="1683" w:type="pct"/>
            <w:shd w:val="clear" w:color="C0C0C0" w:fill="auto"/>
          </w:tcPr>
          <w:p w:rsidR="00083285" w:rsidRPr="00577CEB" w:rsidRDefault="00083285" w:rsidP="00083285">
            <w:pPr>
              <w:widowControl w:val="0"/>
              <w:autoSpaceDE w:val="0"/>
              <w:autoSpaceDN w:val="0"/>
              <w:adjustRightInd w:val="0"/>
              <w:rPr>
                <w:color w:val="000000"/>
                <w:szCs w:val="22"/>
              </w:rPr>
            </w:pPr>
            <w:r>
              <w:rPr>
                <w:color w:val="000000"/>
                <w:szCs w:val="22"/>
              </w:rPr>
              <w:t>AT&amp;T Mobility Spectrum</w:t>
            </w:r>
            <w:r w:rsidRPr="008707BF">
              <w:rPr>
                <w:color w:val="000000"/>
                <w:szCs w:val="22"/>
              </w:rPr>
              <w:t xml:space="preserve"> LLC</w:t>
            </w:r>
          </w:p>
        </w:tc>
        <w:tc>
          <w:tcPr>
            <w:tcW w:w="769" w:type="pct"/>
            <w:shd w:val="clear" w:color="C0C0C0" w:fill="auto"/>
          </w:tcPr>
          <w:p w:rsidR="00083285" w:rsidRPr="00577CEB" w:rsidRDefault="00083285" w:rsidP="00083285">
            <w:pPr>
              <w:widowControl w:val="0"/>
              <w:autoSpaceDE w:val="0"/>
              <w:autoSpaceDN w:val="0"/>
              <w:adjustRightInd w:val="0"/>
              <w:ind w:left="40" w:hanging="40"/>
              <w:rPr>
                <w:color w:val="000000"/>
                <w:szCs w:val="22"/>
              </w:rPr>
            </w:pPr>
            <w:r>
              <w:rPr>
                <w:color w:val="000000"/>
                <w:szCs w:val="22"/>
              </w:rPr>
              <w:t>WMF846</w:t>
            </w:r>
          </w:p>
        </w:tc>
      </w:tr>
      <w:tr w:rsidR="00083285" w:rsidTr="000C2C86">
        <w:trPr>
          <w:cantSplit/>
          <w:trHeight w:hRule="exact" w:val="144"/>
        </w:trPr>
        <w:tc>
          <w:tcPr>
            <w:tcW w:w="769" w:type="pct"/>
            <w:shd w:val="clear" w:color="auto" w:fill="auto"/>
          </w:tcPr>
          <w:p w:rsidR="00083285" w:rsidRPr="008707BF" w:rsidRDefault="00083285" w:rsidP="00083285">
            <w:pPr>
              <w:widowControl w:val="0"/>
              <w:autoSpaceDE w:val="0"/>
              <w:autoSpaceDN w:val="0"/>
              <w:adjustRightInd w:val="0"/>
              <w:rPr>
                <w:szCs w:val="22"/>
              </w:rPr>
            </w:pPr>
          </w:p>
        </w:tc>
        <w:tc>
          <w:tcPr>
            <w:tcW w:w="1779" w:type="pct"/>
            <w:shd w:val="clear" w:color="C0C0C0" w:fill="auto"/>
          </w:tcPr>
          <w:p w:rsidR="00083285" w:rsidRPr="008707BF" w:rsidRDefault="00083285" w:rsidP="00083285">
            <w:pPr>
              <w:widowControl w:val="0"/>
              <w:autoSpaceDE w:val="0"/>
              <w:autoSpaceDN w:val="0"/>
              <w:adjustRightInd w:val="0"/>
              <w:rPr>
                <w:color w:val="000000"/>
                <w:szCs w:val="22"/>
              </w:rPr>
            </w:pPr>
          </w:p>
        </w:tc>
        <w:tc>
          <w:tcPr>
            <w:tcW w:w="1683" w:type="pct"/>
            <w:shd w:val="clear" w:color="C0C0C0" w:fill="auto"/>
          </w:tcPr>
          <w:p w:rsidR="00083285" w:rsidRPr="008707BF" w:rsidRDefault="00083285" w:rsidP="00083285">
            <w:pPr>
              <w:widowControl w:val="0"/>
              <w:autoSpaceDE w:val="0"/>
              <w:autoSpaceDN w:val="0"/>
              <w:adjustRightInd w:val="0"/>
              <w:rPr>
                <w:color w:val="000000"/>
                <w:szCs w:val="22"/>
              </w:rPr>
            </w:pPr>
          </w:p>
        </w:tc>
        <w:tc>
          <w:tcPr>
            <w:tcW w:w="769" w:type="pct"/>
            <w:shd w:val="clear" w:color="C0C0C0" w:fill="auto"/>
          </w:tcPr>
          <w:p w:rsidR="00083285" w:rsidRPr="008707BF" w:rsidRDefault="00083285" w:rsidP="00083285">
            <w:pPr>
              <w:widowControl w:val="0"/>
              <w:autoSpaceDE w:val="0"/>
              <w:autoSpaceDN w:val="0"/>
              <w:adjustRightInd w:val="0"/>
              <w:ind w:left="40" w:hanging="40"/>
              <w:rPr>
                <w:color w:val="000000"/>
                <w:szCs w:val="22"/>
              </w:rPr>
            </w:pPr>
          </w:p>
        </w:tc>
      </w:tr>
      <w:tr w:rsidR="00083285" w:rsidTr="000C2C86">
        <w:trPr>
          <w:cantSplit/>
          <w:trHeight w:val="152"/>
        </w:trPr>
        <w:tc>
          <w:tcPr>
            <w:tcW w:w="769" w:type="pct"/>
            <w:shd w:val="clear" w:color="auto" w:fill="auto"/>
          </w:tcPr>
          <w:p w:rsidR="00083285" w:rsidRPr="00613418" w:rsidRDefault="00083285" w:rsidP="00083285">
            <w:pPr>
              <w:widowControl w:val="0"/>
              <w:autoSpaceDE w:val="0"/>
              <w:autoSpaceDN w:val="0"/>
              <w:adjustRightInd w:val="0"/>
              <w:rPr>
                <w:szCs w:val="22"/>
              </w:rPr>
            </w:pPr>
            <w:r w:rsidRPr="00EA52A2">
              <w:rPr>
                <w:szCs w:val="22"/>
              </w:rPr>
              <w:t>0007</w:t>
            </w:r>
            <w:r>
              <w:rPr>
                <w:szCs w:val="22"/>
              </w:rPr>
              <w:t>652637</w:t>
            </w:r>
          </w:p>
        </w:tc>
        <w:tc>
          <w:tcPr>
            <w:tcW w:w="1779" w:type="pct"/>
            <w:shd w:val="clear" w:color="C0C0C0" w:fill="auto"/>
          </w:tcPr>
          <w:p w:rsidR="00083285" w:rsidRPr="00577CEB" w:rsidRDefault="00083285" w:rsidP="00083285">
            <w:pPr>
              <w:widowControl w:val="0"/>
              <w:autoSpaceDE w:val="0"/>
              <w:autoSpaceDN w:val="0"/>
              <w:adjustRightInd w:val="0"/>
              <w:rPr>
                <w:color w:val="000000"/>
                <w:szCs w:val="22"/>
              </w:rPr>
            </w:pPr>
            <w:r>
              <w:rPr>
                <w:color w:val="000000"/>
                <w:szCs w:val="22"/>
              </w:rPr>
              <w:t xml:space="preserve">FiberTower Spectrum Holdings </w:t>
            </w:r>
            <w:r w:rsidRPr="00EA52A2">
              <w:rPr>
                <w:color w:val="000000"/>
                <w:szCs w:val="22"/>
              </w:rPr>
              <w:t>LLC</w:t>
            </w:r>
          </w:p>
        </w:tc>
        <w:tc>
          <w:tcPr>
            <w:tcW w:w="1683" w:type="pct"/>
            <w:shd w:val="clear" w:color="C0C0C0" w:fill="auto"/>
          </w:tcPr>
          <w:p w:rsidR="00083285" w:rsidRPr="00577CEB" w:rsidRDefault="00083285" w:rsidP="00083285">
            <w:pPr>
              <w:widowControl w:val="0"/>
              <w:autoSpaceDE w:val="0"/>
              <w:autoSpaceDN w:val="0"/>
              <w:adjustRightInd w:val="0"/>
              <w:rPr>
                <w:color w:val="000000"/>
                <w:szCs w:val="22"/>
              </w:rPr>
            </w:pPr>
            <w:r>
              <w:rPr>
                <w:color w:val="000000"/>
                <w:szCs w:val="22"/>
              </w:rPr>
              <w:t>AT&amp;T Mobility Spectrum</w:t>
            </w:r>
            <w:r w:rsidRPr="00EA52A2">
              <w:rPr>
                <w:color w:val="000000"/>
                <w:szCs w:val="22"/>
              </w:rPr>
              <w:t xml:space="preserve"> LLC</w:t>
            </w:r>
          </w:p>
        </w:tc>
        <w:tc>
          <w:tcPr>
            <w:tcW w:w="769" w:type="pct"/>
            <w:shd w:val="clear" w:color="C0C0C0" w:fill="auto"/>
          </w:tcPr>
          <w:p w:rsidR="00083285" w:rsidRPr="00577CEB" w:rsidRDefault="00083285" w:rsidP="00083285">
            <w:pPr>
              <w:widowControl w:val="0"/>
              <w:autoSpaceDE w:val="0"/>
              <w:autoSpaceDN w:val="0"/>
              <w:adjustRightInd w:val="0"/>
              <w:ind w:left="40" w:hanging="40"/>
              <w:rPr>
                <w:color w:val="000000"/>
                <w:szCs w:val="22"/>
              </w:rPr>
            </w:pPr>
            <w:r>
              <w:rPr>
                <w:color w:val="000000"/>
                <w:szCs w:val="22"/>
              </w:rPr>
              <w:t>WMF850</w:t>
            </w:r>
          </w:p>
        </w:tc>
      </w:tr>
    </w:tbl>
    <w:p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6"/>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7"/>
      </w:r>
    </w:p>
    <w:p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8"/>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9"/>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10"/>
      </w:r>
    </w:p>
    <w:p w:rsidR="00144BD1" w:rsidRDefault="00144BD1" w:rsidP="00144BD1">
      <w:pPr>
        <w:keepNext/>
        <w:spacing w:after="120"/>
        <w:outlineLvl w:val="0"/>
        <w:rPr>
          <w:b/>
          <w:szCs w:val="22"/>
        </w:rPr>
      </w:pPr>
      <w:r>
        <w:rPr>
          <w:b/>
          <w:szCs w:val="22"/>
        </w:rPr>
        <w:t>IV.</w:t>
      </w:r>
      <w:r>
        <w:rPr>
          <w:b/>
          <w:szCs w:val="22"/>
        </w:rPr>
        <w:tab/>
        <w:t>GENERAL INFORMATION</w:t>
      </w:r>
    </w:p>
    <w:p w:rsidR="00144BD1" w:rsidRDefault="00144BD1" w:rsidP="00CF1545">
      <w:pPr>
        <w:spacing w:after="120"/>
        <w:ind w:firstLine="720"/>
        <w:rPr>
          <w:szCs w:val="22"/>
        </w:rPr>
      </w:pPr>
      <w:r>
        <w:rPr>
          <w:szCs w:val="22"/>
        </w:rPr>
        <w:t>The assignment application</w:t>
      </w:r>
      <w:r w:rsidR="00494CFB">
        <w:rPr>
          <w:szCs w:val="22"/>
        </w:rPr>
        <w:t>s have</w:t>
      </w:r>
      <w:r>
        <w:rPr>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w:t>
      </w:r>
    </w:p>
    <w:p w:rsidR="00144BD1" w:rsidRDefault="00144BD1" w:rsidP="00CF1545">
      <w:pPr>
        <w:spacing w:after="120"/>
        <w:ind w:firstLine="720"/>
        <w:rPr>
          <w:b/>
          <w:szCs w:val="22"/>
        </w:rPr>
      </w:pPr>
      <w:r>
        <w:rPr>
          <w:szCs w:val="22"/>
        </w:rPr>
        <w:lastRenderedPageBreak/>
        <w:t>Interested parties must file petitions to deny no later than</w:t>
      </w:r>
      <w:r w:rsidR="004169CC">
        <w:rPr>
          <w:b/>
          <w:szCs w:val="22"/>
        </w:rPr>
        <w:t xml:space="preserve"> March 30</w:t>
      </w:r>
      <w:r w:rsidRPr="00A60F38">
        <w:rPr>
          <w:b/>
          <w:spacing w:val="-2"/>
          <w:szCs w:val="22"/>
        </w:rPr>
        <w:t>, 201</w:t>
      </w:r>
      <w:r w:rsidR="00083285">
        <w:rPr>
          <w:b/>
          <w:spacing w:val="-2"/>
          <w:szCs w:val="22"/>
        </w:rPr>
        <w:t>7</w:t>
      </w:r>
      <w:r>
        <w:rPr>
          <w:szCs w:val="22"/>
        </w:rPr>
        <w:t>.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w:t>
      </w:r>
      <w:r w:rsidR="004169CC">
        <w:rPr>
          <w:szCs w:val="22"/>
        </w:rPr>
        <w:t xml:space="preserve"> </w:t>
      </w:r>
      <w:r w:rsidR="004169CC">
        <w:rPr>
          <w:b/>
          <w:szCs w:val="22"/>
        </w:rPr>
        <w:t>April 6</w:t>
      </w:r>
      <w:r>
        <w:rPr>
          <w:b/>
          <w:spacing w:val="-2"/>
          <w:szCs w:val="22"/>
        </w:rPr>
        <w:t>, 201</w:t>
      </w:r>
      <w:r w:rsidR="00827D00">
        <w:rPr>
          <w:b/>
          <w:spacing w:val="-2"/>
          <w:szCs w:val="22"/>
        </w:rPr>
        <w:t>7</w:t>
      </w:r>
      <w:r>
        <w:rPr>
          <w:szCs w:val="22"/>
        </w:rPr>
        <w:t>.  Replies to such pleadings must be filed no later than</w:t>
      </w:r>
      <w:r w:rsidR="004169CC">
        <w:rPr>
          <w:szCs w:val="22"/>
        </w:rPr>
        <w:t xml:space="preserve"> </w:t>
      </w:r>
      <w:r w:rsidR="004169CC">
        <w:rPr>
          <w:b/>
          <w:szCs w:val="22"/>
        </w:rPr>
        <w:t>April 13</w:t>
      </w:r>
      <w:r>
        <w:rPr>
          <w:b/>
          <w:szCs w:val="22"/>
        </w:rPr>
        <w:t>, 201</w:t>
      </w:r>
      <w:r w:rsidR="00827D00">
        <w:rPr>
          <w:b/>
          <w:szCs w:val="22"/>
        </w:rPr>
        <w:t>7</w:t>
      </w:r>
      <w:r>
        <w:rPr>
          <w:szCs w:val="22"/>
        </w:rPr>
        <w:t xml:space="preserve">.  All filings concerning matters referenced in this Public Notice should refer to </w:t>
      </w:r>
      <w:r w:rsidR="00494CFB">
        <w:rPr>
          <w:szCs w:val="22"/>
        </w:rPr>
        <w:t xml:space="preserve">ULS File Nos. </w:t>
      </w:r>
      <w:r w:rsidR="004A4D87" w:rsidRPr="004A4D87">
        <w:rPr>
          <w:szCs w:val="22"/>
        </w:rPr>
        <w:t>0007</w:t>
      </w:r>
      <w:r w:rsidR="00827D00">
        <w:rPr>
          <w:szCs w:val="22"/>
        </w:rPr>
        <w:t>652635</w:t>
      </w:r>
      <w:r w:rsidR="004A4D87" w:rsidRPr="004A4D87">
        <w:rPr>
          <w:szCs w:val="22"/>
        </w:rPr>
        <w:t xml:space="preserve"> and/or 0007</w:t>
      </w:r>
      <w:r w:rsidR="00827D00">
        <w:rPr>
          <w:szCs w:val="22"/>
        </w:rPr>
        <w:t>652637</w:t>
      </w:r>
      <w:r w:rsidR="004A4D87" w:rsidRPr="004A4D87">
        <w:rPr>
          <w:szCs w:val="22"/>
        </w:rPr>
        <w:t>, as appropriate</w:t>
      </w:r>
      <w:r w:rsidRPr="006C4A65">
        <w:rPr>
          <w:szCs w:val="22"/>
        </w:rPr>
        <w:t>.</w:t>
      </w:r>
    </w:p>
    <w:p w:rsidR="00144BD1" w:rsidRDefault="00144BD1" w:rsidP="00CF1545">
      <w:pPr>
        <w:spacing w:after="120"/>
        <w:ind w:firstLine="720"/>
        <w:rPr>
          <w:b/>
          <w:szCs w:val="22"/>
        </w:rPr>
      </w:pPr>
      <w:r>
        <w:rPr>
          <w:b/>
          <w:spacing w:val="-2"/>
          <w:szCs w:val="22"/>
        </w:rPr>
        <w:t>To allow the Commission to consider fully all substantive issues regarding the application</w:t>
      </w:r>
      <w:r w:rsidR="009A1451">
        <w:rPr>
          <w:b/>
          <w:spacing w:val="-2"/>
          <w:szCs w:val="22"/>
        </w:rPr>
        <w:t>s</w:t>
      </w:r>
      <w:r>
        <w:rPr>
          <w:b/>
          <w:spacing w:val="-2"/>
          <w:szCs w:val="22"/>
        </w:rPr>
        <w:t xml:space="preserve">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11"/>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12"/>
      </w:r>
      <w:r>
        <w:rPr>
          <w:szCs w:val="22"/>
        </w:rPr>
        <w:t xml:space="preserve"> submissions in this matter may be filed electronically through </w:t>
      </w:r>
      <w:r w:rsidR="001A074C">
        <w:rPr>
          <w:szCs w:val="22"/>
        </w:rPr>
        <w:t xml:space="preserve">ULS </w:t>
      </w:r>
      <w:r>
        <w:rPr>
          <w:szCs w:val="22"/>
        </w:rPr>
        <w:t>or by hand delivery to the Commission.</w:t>
      </w:r>
    </w:p>
    <w:p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3"/>
      </w:r>
      <w:r w:rsidRPr="006C4A65">
        <w:rPr>
          <w:szCs w:val="22"/>
        </w:rPr>
        <w:t xml:space="preserve"> </w:t>
      </w:r>
      <w:r>
        <w:rPr>
          <w:szCs w:val="22"/>
        </w:rPr>
        <w:t xml:space="preserve">access </w:t>
      </w:r>
      <w:r w:rsidR="001A074C">
        <w:rPr>
          <w:szCs w:val="22"/>
        </w:rPr>
        <w:t>ULS</w:t>
      </w:r>
      <w:r>
        <w:rPr>
          <w:szCs w:val="22"/>
        </w:rPr>
        <w:t xml:space="preserve"> via the Internet at </w:t>
      </w:r>
      <w:r w:rsidR="001A074C" w:rsidRPr="007D6670">
        <w:rPr>
          <w:szCs w:val="22"/>
        </w:rPr>
        <w:t>http://wireless.fcc.gov/uls/</w:t>
      </w:r>
      <w:r w:rsidR="001A074C" w:rsidRPr="001A074C">
        <w:rPr>
          <w:szCs w:val="22"/>
        </w:rPr>
        <w:t xml:space="preserve"> </w:t>
      </w:r>
      <w:r w:rsidR="001A074C" w:rsidRPr="007D6670">
        <w:rPr>
          <w:szCs w:val="22"/>
        </w:rPr>
        <w:t xml:space="preserve">and click on the “Submit a Pleading” </w:t>
      </w:r>
      <w:r w:rsidR="001A074C">
        <w:rPr>
          <w:szCs w:val="22"/>
        </w:rPr>
        <w:t xml:space="preserve">quick </w:t>
      </w:r>
      <w:r w:rsidR="001A074C" w:rsidRPr="007D6670">
        <w:rPr>
          <w:szCs w:val="22"/>
        </w:rPr>
        <w:t xml:space="preserve">link, complete the administrative information, and upload </w:t>
      </w:r>
      <w:r w:rsidR="001A074C">
        <w:rPr>
          <w:szCs w:val="22"/>
        </w:rPr>
        <w:t>the</w:t>
      </w:r>
      <w:r w:rsidR="001A074C" w:rsidRPr="007D6670">
        <w:rPr>
          <w:szCs w:val="22"/>
        </w:rPr>
        <w:t xml:space="preserve"> pleading.</w:t>
      </w:r>
    </w:p>
    <w:p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w:t>
      </w:r>
      <w:r w:rsidRPr="00D82506">
        <w:rPr>
          <w:rFonts w:cs="TmsRmn"/>
          <w:color w:val="000000"/>
          <w:szCs w:val="22"/>
        </w:rPr>
        <w:t xml:space="preserve">Service first-class, Express, and Priority mail should be </w:t>
      </w:r>
      <w:r w:rsidR="000B654E" w:rsidRPr="00D82506">
        <w:rPr>
          <w:rFonts w:cs="TmsRmn"/>
          <w:color w:val="000000"/>
          <w:szCs w:val="22"/>
        </w:rPr>
        <w:t>addressed to 445 12th Street, SW,</w:t>
      </w:r>
      <w:r w:rsidR="000B654E">
        <w:rPr>
          <w:rFonts w:cs="TmsRmn"/>
          <w:color w:val="000000"/>
          <w:szCs w:val="22"/>
        </w:rPr>
        <w:t xml:space="preserve"> Washington, DC</w:t>
      </w:r>
      <w:r>
        <w:rPr>
          <w:rFonts w:cs="TmsRmn"/>
          <w:color w:val="000000"/>
          <w:szCs w:val="22"/>
        </w:rPr>
        <w:t xml:space="preserve"> 20554.  All filings must be addressed to the Commission’s Secretary, Office of the Secretary, Federal Communications Commission.</w:t>
      </w:r>
    </w:p>
    <w:p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911BAA">
        <w:rPr>
          <w:color w:val="000000"/>
          <w:szCs w:val="22"/>
        </w:rPr>
        <w:t>Nancy Zaczek</w:t>
      </w:r>
      <w:r>
        <w:rPr>
          <w:rFonts w:cs="TmsRmn"/>
          <w:szCs w:val="22"/>
        </w:rPr>
        <w:t xml:space="preserve">, </w:t>
      </w:r>
      <w:r w:rsidR="00911BAA">
        <w:rPr>
          <w:rFonts w:cs="TmsRmn"/>
          <w:szCs w:val="22"/>
        </w:rPr>
        <w:t xml:space="preserve">Broadband </w:t>
      </w:r>
      <w:r>
        <w:rPr>
          <w:szCs w:val="22"/>
        </w:rPr>
        <w:t xml:space="preserve">Division, </w:t>
      </w:r>
      <w:r>
        <w:rPr>
          <w:rFonts w:cs="TmsRmn"/>
          <w:szCs w:val="22"/>
        </w:rPr>
        <w:t xml:space="preserve">Wireless Telecommunications Bureau, at </w:t>
      </w:r>
      <w:r w:rsidR="00911BAA">
        <w:rPr>
          <w:rFonts w:cs="TmsRmn"/>
          <w:szCs w:val="22"/>
        </w:rPr>
        <w:t>nancy.zaczek</w:t>
      </w:r>
      <w:r>
        <w:rPr>
          <w:rFonts w:cs="TmsRmn"/>
          <w:szCs w:val="22"/>
        </w:rPr>
        <w:t>@fcc.gov or (202) 418-</w:t>
      </w:r>
      <w:r w:rsidR="007B76AB">
        <w:rPr>
          <w:szCs w:val="22"/>
        </w:rPr>
        <w:t>2643</w:t>
      </w:r>
      <w:r>
        <w:rPr>
          <w:rFonts w:cs="TmsRmn"/>
          <w:szCs w:val="22"/>
        </w:rPr>
        <w:t xml:space="preserve"> (facsimile);</w:t>
      </w:r>
      <w:r>
        <w:rPr>
          <w:szCs w:val="22"/>
        </w:rPr>
        <w:t xml:space="preserve"> </w:t>
      </w:r>
      <w:r w:rsidR="00D82506">
        <w:rPr>
          <w:szCs w:val="22"/>
        </w:rPr>
        <w:t xml:space="preserve">(2) </w:t>
      </w:r>
      <w:r w:rsidR="00911BAA">
        <w:rPr>
          <w:szCs w:val="22"/>
        </w:rPr>
        <w:t>Linda Ray, Broadband Division,</w:t>
      </w:r>
      <w:r>
        <w:rPr>
          <w:szCs w:val="22"/>
        </w:rPr>
        <w:t xml:space="preserve"> Wireless Telecommunications Bureau, at </w:t>
      </w:r>
      <w:r w:rsidR="00911BAA">
        <w:rPr>
          <w:szCs w:val="22"/>
        </w:rPr>
        <w:t>linda.ray</w:t>
      </w:r>
      <w:r>
        <w:rPr>
          <w:rFonts w:cs="TmsRmn"/>
          <w:szCs w:val="22"/>
        </w:rPr>
        <w:t>@fcc.gov</w:t>
      </w:r>
      <w:r>
        <w:rPr>
          <w:szCs w:val="22"/>
        </w:rPr>
        <w:t xml:space="preserve"> or (202) 418-</w:t>
      </w:r>
      <w:r w:rsidR="007B76AB">
        <w:rPr>
          <w:szCs w:val="22"/>
        </w:rPr>
        <w:t>2643</w:t>
      </w:r>
      <w:r>
        <w:rPr>
          <w:szCs w:val="22"/>
        </w:rPr>
        <w:t xml:space="preserve"> (facsimile)</w:t>
      </w:r>
      <w:r w:rsidR="00D82506">
        <w:rPr>
          <w:szCs w:val="22"/>
        </w:rPr>
        <w:t xml:space="preserve">; and Kate Matraves, Competition and Infrastructure Police Division, Wireless Telecommunications Bureau, at </w:t>
      </w:r>
      <w:hyperlink r:id="rId14" w:history="1">
        <w:r w:rsidR="00D82506" w:rsidRPr="000D5AD8">
          <w:rPr>
            <w:rStyle w:val="Hyperlink"/>
            <w:color w:val="000000" w:themeColor="text1"/>
            <w:szCs w:val="22"/>
            <w:u w:val="none"/>
          </w:rPr>
          <w:t>catherine.matraves@fcc.gov</w:t>
        </w:r>
      </w:hyperlink>
      <w:r w:rsidR="00D82506" w:rsidRPr="000D5AD8">
        <w:rPr>
          <w:color w:val="000000" w:themeColor="text1"/>
          <w:szCs w:val="22"/>
        </w:rPr>
        <w:t xml:space="preserve"> </w:t>
      </w:r>
      <w:r w:rsidR="00D82506">
        <w:rPr>
          <w:szCs w:val="22"/>
        </w:rPr>
        <w:t>or (202) 418-2643 (facsimile).</w:t>
      </w:r>
    </w:p>
    <w:p w:rsidR="00BF7452" w:rsidRDefault="00BF7452" w:rsidP="00CF1545">
      <w:pPr>
        <w:spacing w:after="120"/>
        <w:ind w:firstLine="720"/>
      </w:pPr>
      <w:r>
        <w:rPr>
          <w:color w:val="000000"/>
          <w:szCs w:val="22"/>
        </w:rPr>
        <w:t>The application</w:t>
      </w:r>
      <w:r w:rsidR="009A1451">
        <w:rPr>
          <w:color w:val="000000"/>
          <w:szCs w:val="22"/>
        </w:rPr>
        <w:t>s</w:t>
      </w:r>
      <w:r>
        <w:rPr>
          <w:color w:val="000000"/>
          <w:szCs w:val="22"/>
        </w:rPr>
        <w:t xml:space="preserve">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w:t>
      </w:r>
      <w:r w:rsidR="009A1451">
        <w:rPr>
          <w:color w:val="000000"/>
          <w:szCs w:val="22"/>
        </w:rPr>
        <w:t>s</w:t>
      </w:r>
      <w:r>
        <w:rPr>
          <w:color w:val="000000"/>
          <w:szCs w:val="22"/>
        </w:rPr>
        <w:t xml:space="preserve"> also </w:t>
      </w:r>
      <w:r w:rsidR="009A1451">
        <w:rPr>
          <w:color w:val="000000"/>
          <w:szCs w:val="22"/>
        </w:rPr>
        <w:t>are</w:t>
      </w:r>
      <w:r>
        <w:rPr>
          <w:color w:val="000000"/>
          <w:szCs w:val="22"/>
        </w:rPr>
        <w:t xml:space="preserve">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rsidR="00BF7452" w:rsidRDefault="00BF7452" w:rsidP="00CF1545">
      <w:pPr>
        <w:spacing w:after="120"/>
        <w:ind w:firstLine="720"/>
        <w:rPr>
          <w:szCs w:val="22"/>
        </w:rPr>
      </w:pPr>
      <w:r>
        <w:rPr>
          <w:szCs w:val="22"/>
        </w:rPr>
        <w:t>For further information, contact</w:t>
      </w:r>
      <w:r w:rsidR="00911BAA">
        <w:rPr>
          <w:szCs w:val="22"/>
        </w:rPr>
        <w:t xml:space="preserve"> Linda Ray</w:t>
      </w:r>
      <w:r>
        <w:rPr>
          <w:rFonts w:cs="TmsRmn"/>
          <w:szCs w:val="22"/>
        </w:rPr>
        <w:t xml:space="preserve">, </w:t>
      </w:r>
      <w:r w:rsidR="00911BAA">
        <w:rPr>
          <w:rFonts w:cs="TmsRmn"/>
          <w:szCs w:val="22"/>
        </w:rPr>
        <w:t xml:space="preserve">Broadband </w:t>
      </w:r>
      <w:r>
        <w:rPr>
          <w:szCs w:val="22"/>
        </w:rPr>
        <w:t>Division, Wireless Telecommunications Bureau, at (202) 418-</w:t>
      </w:r>
      <w:r w:rsidR="00911BAA">
        <w:rPr>
          <w:szCs w:val="22"/>
        </w:rPr>
        <w:t>0257</w:t>
      </w:r>
      <w:r>
        <w:rPr>
          <w:szCs w:val="22"/>
        </w:rPr>
        <w:t>.</w:t>
      </w:r>
    </w:p>
    <w:p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2A" w:rsidRDefault="007C2A2A">
      <w:r>
        <w:separator/>
      </w:r>
    </w:p>
  </w:endnote>
  <w:endnote w:type="continuationSeparator" w:id="0">
    <w:p w:rsidR="007C2A2A" w:rsidRDefault="007C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00022FF" w:usb1="C000205B" w:usb2="00000009" w:usb3="00000000" w:csb0="000001DF" w:csb1="00000000"/>
  </w:font>
  <w:font w:name="News Gothic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08" w:rsidRDefault="008D17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9CB" w:rsidRDefault="006C79CB" w:rsidP="006C79CB">
    <w:pPr>
      <w:pStyle w:val="Footer"/>
      <w:jc w:val="center"/>
    </w:pPr>
    <w:r>
      <w:fldChar w:fldCharType="begin"/>
    </w:r>
    <w:r>
      <w:instrText xml:space="preserve"> PAGE   \* MERGEFORMAT </w:instrText>
    </w:r>
    <w:r>
      <w:fldChar w:fldCharType="separate"/>
    </w:r>
    <w:r w:rsidR="001E1B8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08" w:rsidRDefault="008D17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2A" w:rsidRDefault="007C2A2A">
      <w:r>
        <w:separator/>
      </w:r>
    </w:p>
  </w:footnote>
  <w:footnote w:type="continuationSeparator" w:id="0">
    <w:p w:rsidR="007C2A2A" w:rsidRDefault="007C2A2A">
      <w:r>
        <w:continuationSeparator/>
      </w:r>
    </w:p>
  </w:footnote>
  <w:footnote w:id="1">
    <w:p w:rsidR="007A67C8" w:rsidRDefault="007A67C8" w:rsidP="007A67C8">
      <w:pPr>
        <w:pStyle w:val="FootnoteText"/>
      </w:pPr>
      <w:r>
        <w:rPr>
          <w:rStyle w:val="FootnoteReference"/>
        </w:rPr>
        <w:footnoteRef/>
      </w:r>
      <w:r>
        <w:t xml:space="preserve"> 47 U.S.C. § 310(d).  </w:t>
      </w:r>
    </w:p>
  </w:footnote>
  <w:footnote w:id="2">
    <w:p w:rsidR="00691D93" w:rsidRPr="008A1373" w:rsidRDefault="00691D93">
      <w:pPr>
        <w:pStyle w:val="FootnoteText"/>
      </w:pPr>
      <w:r>
        <w:rPr>
          <w:rStyle w:val="FootnoteReference"/>
        </w:rPr>
        <w:footnoteRef/>
      </w:r>
      <w:r>
        <w:t xml:space="preserve"> </w:t>
      </w:r>
      <w:r>
        <w:rPr>
          <w:i/>
        </w:rPr>
        <w:t>FiberTower Spectrum Holdings, LLC v. F</w:t>
      </w:r>
      <w:r w:rsidR="00463694">
        <w:rPr>
          <w:i/>
        </w:rPr>
        <w:t>ederal Communications Commission</w:t>
      </w:r>
      <w:r w:rsidR="008A1373">
        <w:t>, 782 F.3d 692 (D.C Cir. 2015)</w:t>
      </w:r>
      <w:r w:rsidR="0066601D">
        <w:t xml:space="preserve"> (</w:t>
      </w:r>
      <w:r w:rsidR="0066601D">
        <w:rPr>
          <w:i/>
        </w:rPr>
        <w:t>Remand Order)</w:t>
      </w:r>
      <w:r w:rsidR="008A1373">
        <w:t>.</w:t>
      </w:r>
    </w:p>
  </w:footnote>
  <w:footnote w:id="3">
    <w:p w:rsidR="00377E65" w:rsidRDefault="00377E65">
      <w:pPr>
        <w:pStyle w:val="FootnoteText"/>
      </w:pPr>
      <w:r>
        <w:rPr>
          <w:rStyle w:val="FootnoteReference"/>
        </w:rPr>
        <w:footnoteRef/>
      </w:r>
      <w:r>
        <w:t xml:space="preserve"> The ranges of spectrum amounts that AT&amp;T potentially could acquire as a result of the proposed transaction include, as a maximum, spectrum associated with FiberTower licenses that are not currently active and remain subject to the </w:t>
      </w:r>
      <w:r>
        <w:rPr>
          <w:i/>
        </w:rPr>
        <w:t>Remand Order</w:t>
      </w:r>
      <w:r>
        <w:t>.</w:t>
      </w:r>
    </w:p>
  </w:footnote>
  <w:footnote w:id="4">
    <w:p w:rsidR="003023E7" w:rsidRDefault="003023E7">
      <w:pPr>
        <w:pStyle w:val="FootnoteText"/>
      </w:pPr>
      <w:r>
        <w:rPr>
          <w:rStyle w:val="FootnoteReference"/>
        </w:rPr>
        <w:footnoteRef/>
      </w:r>
      <w:r>
        <w:t xml:space="preserve"> </w:t>
      </w:r>
      <w:r w:rsidR="00FC7EEA">
        <w:rPr>
          <w:i/>
        </w:rPr>
        <w:t>Use of Spectrum Bands Above 24GHz for Mobile Radio Services</w:t>
      </w:r>
      <w:r w:rsidR="00FC7EEA">
        <w:t>, GN Docket No. 14-177, et al., Report and Order and Further Notice of Proposed Rulemaking, 31 FCC Rcd 8014, 8081, para. 184 (2016) (</w:t>
      </w:r>
      <w:r w:rsidRPr="00FC7EEA">
        <w:rPr>
          <w:i/>
        </w:rPr>
        <w:t>Spectrum Frontiers R&amp;O</w:t>
      </w:r>
      <w:r w:rsidR="00FC7EEA">
        <w:rPr>
          <w:i/>
        </w:rPr>
        <w:t>).</w:t>
      </w:r>
      <w:r>
        <w:t xml:space="preserve"> </w:t>
      </w:r>
    </w:p>
  </w:footnote>
  <w:footnote w:id="5">
    <w:p w:rsidR="00463694" w:rsidRDefault="00463694">
      <w:pPr>
        <w:pStyle w:val="FootnoteText"/>
      </w:pPr>
      <w:r>
        <w:rPr>
          <w:rStyle w:val="FootnoteReference"/>
        </w:rPr>
        <w:footnoteRef/>
      </w:r>
      <w:r>
        <w:t xml:space="preserve"> The Applicants designated this application as the lead application.</w:t>
      </w:r>
    </w:p>
  </w:footnote>
  <w:footnote w:id="6">
    <w:p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7">
    <w:p w:rsidR="00144BD1" w:rsidRDefault="00144BD1" w:rsidP="00144BD1">
      <w:pPr>
        <w:pStyle w:val="FootnoteText"/>
      </w:pPr>
      <w:r>
        <w:rPr>
          <w:rStyle w:val="FootnoteReference"/>
        </w:rPr>
        <w:footnoteRef/>
      </w:r>
      <w:r>
        <w:t xml:space="preserve"> 47 C.F.R. § 1.1206.</w:t>
      </w:r>
    </w:p>
  </w:footnote>
  <w:footnote w:id="8">
    <w:p w:rsidR="00144BD1" w:rsidRDefault="00144BD1" w:rsidP="00144BD1">
      <w:pPr>
        <w:pStyle w:val="FootnoteText"/>
      </w:pPr>
      <w:r>
        <w:rPr>
          <w:rStyle w:val="FootnoteReference"/>
        </w:rPr>
        <w:footnoteRef/>
      </w:r>
      <w:r>
        <w:t xml:space="preserve"> 47 C.F.R. § 1.1206(b)(1).</w:t>
      </w:r>
    </w:p>
  </w:footnote>
  <w:footnote w:id="9">
    <w:p w:rsidR="00144BD1" w:rsidRDefault="00144BD1" w:rsidP="00144BD1">
      <w:pPr>
        <w:pStyle w:val="FootnoteText"/>
      </w:pPr>
      <w:r>
        <w:rPr>
          <w:rStyle w:val="FootnoteReference"/>
        </w:rPr>
        <w:footnoteRef/>
      </w:r>
      <w:r>
        <w:t xml:space="preserve"> </w:t>
      </w:r>
      <w:r w:rsidR="00946884">
        <w:rPr>
          <w:i/>
        </w:rPr>
        <w:t>I</w:t>
      </w:r>
      <w:r>
        <w:rPr>
          <w:i/>
        </w:rPr>
        <w:t>d</w:t>
      </w:r>
      <w:r>
        <w:t>.</w:t>
      </w:r>
    </w:p>
  </w:footnote>
  <w:footnote w:id="10">
    <w:p w:rsidR="00144BD1" w:rsidRDefault="00144BD1" w:rsidP="00144BD1">
      <w:pPr>
        <w:pStyle w:val="FootnoteText"/>
      </w:pPr>
      <w:r>
        <w:rPr>
          <w:rStyle w:val="FootnoteReference"/>
        </w:rPr>
        <w:footnoteRef/>
      </w:r>
      <w:r>
        <w:t xml:space="preserve"> </w:t>
      </w:r>
      <w:r w:rsidRPr="00984C82">
        <w:t>47</w:t>
      </w:r>
      <w:r>
        <w:t xml:space="preserve"> C.F.R. § 1.1206(b).</w:t>
      </w:r>
    </w:p>
  </w:footnote>
  <w:footnote w:id="11">
    <w:p w:rsidR="00144BD1" w:rsidRDefault="00144BD1" w:rsidP="00144BD1">
      <w:pPr>
        <w:pStyle w:val="FootnoteText"/>
      </w:pPr>
      <w:r>
        <w:rPr>
          <w:rStyle w:val="FootnoteReference"/>
        </w:rPr>
        <w:footnoteRef/>
      </w:r>
      <w:r>
        <w:t xml:space="preserve"> 47 C.F.R. § 1.45(c).</w:t>
      </w:r>
    </w:p>
  </w:footnote>
  <w:footnote w:id="12">
    <w:p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3">
    <w:p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08" w:rsidRDefault="008D17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708" w:rsidRDefault="008D17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33F15589" wp14:editId="4C6B3439">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F15589"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47BF452D" wp14:editId="0FCD9A5B">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5DA741B7" wp14:editId="7490ED35">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A741B7"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6E90163" wp14:editId="63E72BF9">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F98872"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2E4A"/>
    <w:rsid w:val="000265AE"/>
    <w:rsid w:val="00027917"/>
    <w:rsid w:val="0006603C"/>
    <w:rsid w:val="00083285"/>
    <w:rsid w:val="000B654E"/>
    <w:rsid w:val="000C728D"/>
    <w:rsid w:val="000D3979"/>
    <w:rsid w:val="000D5731"/>
    <w:rsid w:val="000D5AD8"/>
    <w:rsid w:val="000E7CE3"/>
    <w:rsid w:val="00112BBE"/>
    <w:rsid w:val="00135E9B"/>
    <w:rsid w:val="001370AC"/>
    <w:rsid w:val="00144BD1"/>
    <w:rsid w:val="001500CB"/>
    <w:rsid w:val="00166A9B"/>
    <w:rsid w:val="0017015E"/>
    <w:rsid w:val="00181ED0"/>
    <w:rsid w:val="001A074C"/>
    <w:rsid w:val="001D2E9E"/>
    <w:rsid w:val="001E1B8D"/>
    <w:rsid w:val="001F1582"/>
    <w:rsid w:val="001F3955"/>
    <w:rsid w:val="00203F37"/>
    <w:rsid w:val="00231A2C"/>
    <w:rsid w:val="00235C25"/>
    <w:rsid w:val="00255744"/>
    <w:rsid w:val="002A4341"/>
    <w:rsid w:val="002B17AD"/>
    <w:rsid w:val="002B6478"/>
    <w:rsid w:val="002E1372"/>
    <w:rsid w:val="002E2AFB"/>
    <w:rsid w:val="002F3210"/>
    <w:rsid w:val="003023E7"/>
    <w:rsid w:val="00310E62"/>
    <w:rsid w:val="003140E9"/>
    <w:rsid w:val="00315633"/>
    <w:rsid w:val="00336875"/>
    <w:rsid w:val="003378B4"/>
    <w:rsid w:val="00354A0A"/>
    <w:rsid w:val="003556E3"/>
    <w:rsid w:val="00377E65"/>
    <w:rsid w:val="003937AE"/>
    <w:rsid w:val="003B3E2C"/>
    <w:rsid w:val="003C5B79"/>
    <w:rsid w:val="003E5410"/>
    <w:rsid w:val="003F0DF3"/>
    <w:rsid w:val="004010F3"/>
    <w:rsid w:val="004169CC"/>
    <w:rsid w:val="00456AF4"/>
    <w:rsid w:val="00460C78"/>
    <w:rsid w:val="00463694"/>
    <w:rsid w:val="00467FDD"/>
    <w:rsid w:val="004859D7"/>
    <w:rsid w:val="00494CFB"/>
    <w:rsid w:val="004967B3"/>
    <w:rsid w:val="004A4D87"/>
    <w:rsid w:val="004A5B3B"/>
    <w:rsid w:val="004C7188"/>
    <w:rsid w:val="004E0875"/>
    <w:rsid w:val="00517D1E"/>
    <w:rsid w:val="005377B1"/>
    <w:rsid w:val="005618BE"/>
    <w:rsid w:val="00596439"/>
    <w:rsid w:val="005D73A0"/>
    <w:rsid w:val="00602577"/>
    <w:rsid w:val="00602DD9"/>
    <w:rsid w:val="00604777"/>
    <w:rsid w:val="006248A9"/>
    <w:rsid w:val="00643A8C"/>
    <w:rsid w:val="00664935"/>
    <w:rsid w:val="0066601D"/>
    <w:rsid w:val="00672CE0"/>
    <w:rsid w:val="00687033"/>
    <w:rsid w:val="00691D93"/>
    <w:rsid w:val="006B0B8D"/>
    <w:rsid w:val="006C4A65"/>
    <w:rsid w:val="006C79CB"/>
    <w:rsid w:val="006E5293"/>
    <w:rsid w:val="00701D32"/>
    <w:rsid w:val="00720EFA"/>
    <w:rsid w:val="007665F9"/>
    <w:rsid w:val="00766C43"/>
    <w:rsid w:val="007871C5"/>
    <w:rsid w:val="007A67C8"/>
    <w:rsid w:val="007B00E4"/>
    <w:rsid w:val="007B3539"/>
    <w:rsid w:val="007B6C44"/>
    <w:rsid w:val="007B76AB"/>
    <w:rsid w:val="007B79E1"/>
    <w:rsid w:val="007C2A2A"/>
    <w:rsid w:val="007E4D75"/>
    <w:rsid w:val="0081025A"/>
    <w:rsid w:val="00827D00"/>
    <w:rsid w:val="008979AB"/>
    <w:rsid w:val="008A1373"/>
    <w:rsid w:val="008B470E"/>
    <w:rsid w:val="008C0C9F"/>
    <w:rsid w:val="008D1708"/>
    <w:rsid w:val="008D1CA6"/>
    <w:rsid w:val="008E235A"/>
    <w:rsid w:val="00911BAA"/>
    <w:rsid w:val="0091371A"/>
    <w:rsid w:val="00923A25"/>
    <w:rsid w:val="009457E7"/>
    <w:rsid w:val="00946884"/>
    <w:rsid w:val="009659BE"/>
    <w:rsid w:val="009A1451"/>
    <w:rsid w:val="009B35EB"/>
    <w:rsid w:val="009F22C4"/>
    <w:rsid w:val="009F23A9"/>
    <w:rsid w:val="009F4951"/>
    <w:rsid w:val="00A11EFC"/>
    <w:rsid w:val="00A12BAB"/>
    <w:rsid w:val="00A3716E"/>
    <w:rsid w:val="00A830C2"/>
    <w:rsid w:val="00AF1531"/>
    <w:rsid w:val="00AF167D"/>
    <w:rsid w:val="00AF3BE2"/>
    <w:rsid w:val="00B10477"/>
    <w:rsid w:val="00B5085D"/>
    <w:rsid w:val="00B63AD7"/>
    <w:rsid w:val="00B76E9B"/>
    <w:rsid w:val="00BB493B"/>
    <w:rsid w:val="00BC0C7D"/>
    <w:rsid w:val="00BC47CF"/>
    <w:rsid w:val="00BF7452"/>
    <w:rsid w:val="00C11519"/>
    <w:rsid w:val="00C14A30"/>
    <w:rsid w:val="00C17FE7"/>
    <w:rsid w:val="00C244DD"/>
    <w:rsid w:val="00C25018"/>
    <w:rsid w:val="00C67D0B"/>
    <w:rsid w:val="00CA6A5F"/>
    <w:rsid w:val="00CA7146"/>
    <w:rsid w:val="00CB3591"/>
    <w:rsid w:val="00CD1473"/>
    <w:rsid w:val="00CD20F2"/>
    <w:rsid w:val="00CD4F0E"/>
    <w:rsid w:val="00CF1545"/>
    <w:rsid w:val="00D07B74"/>
    <w:rsid w:val="00D17DC0"/>
    <w:rsid w:val="00D60EFF"/>
    <w:rsid w:val="00D64966"/>
    <w:rsid w:val="00D82506"/>
    <w:rsid w:val="00DA14B4"/>
    <w:rsid w:val="00DD62EB"/>
    <w:rsid w:val="00DF2F23"/>
    <w:rsid w:val="00E0560A"/>
    <w:rsid w:val="00E664B9"/>
    <w:rsid w:val="00E7081A"/>
    <w:rsid w:val="00E72D84"/>
    <w:rsid w:val="00E779F0"/>
    <w:rsid w:val="00E85F2E"/>
    <w:rsid w:val="00E86F74"/>
    <w:rsid w:val="00E90A31"/>
    <w:rsid w:val="00EA506D"/>
    <w:rsid w:val="00EA60FB"/>
    <w:rsid w:val="00EA784F"/>
    <w:rsid w:val="00EB6FFB"/>
    <w:rsid w:val="00EC34C1"/>
    <w:rsid w:val="00EC3E86"/>
    <w:rsid w:val="00EE25D3"/>
    <w:rsid w:val="00EE70F7"/>
    <w:rsid w:val="00EE71C2"/>
    <w:rsid w:val="00EF473D"/>
    <w:rsid w:val="00F00C1B"/>
    <w:rsid w:val="00F01F23"/>
    <w:rsid w:val="00F161F4"/>
    <w:rsid w:val="00F24B92"/>
    <w:rsid w:val="00F57F7F"/>
    <w:rsid w:val="00F74333"/>
    <w:rsid w:val="00F8410B"/>
    <w:rsid w:val="00FA60A8"/>
    <w:rsid w:val="00FC7EEA"/>
    <w:rsid w:val="00FD1AF2"/>
    <w:rsid w:val="00FE1217"/>
    <w:rsid w:val="00FE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DF2F23"/>
    <w:rPr>
      <w:sz w:val="16"/>
      <w:szCs w:val="16"/>
    </w:rPr>
  </w:style>
  <w:style w:type="paragraph" w:styleId="CommentText">
    <w:name w:val="annotation text"/>
    <w:basedOn w:val="Normal"/>
    <w:link w:val="CommentTextChar"/>
    <w:uiPriority w:val="99"/>
    <w:semiHidden/>
    <w:unhideWhenUsed/>
    <w:rsid w:val="00DF2F23"/>
    <w:rPr>
      <w:sz w:val="20"/>
    </w:rPr>
  </w:style>
  <w:style w:type="character" w:customStyle="1" w:styleId="CommentTextChar">
    <w:name w:val="Comment Text Char"/>
    <w:basedOn w:val="DefaultParagraphFont"/>
    <w:link w:val="CommentText"/>
    <w:uiPriority w:val="99"/>
    <w:semiHidden/>
    <w:rsid w:val="00DF2F23"/>
  </w:style>
  <w:style w:type="paragraph" w:styleId="CommentSubject">
    <w:name w:val="annotation subject"/>
    <w:basedOn w:val="CommentText"/>
    <w:next w:val="CommentText"/>
    <w:link w:val="CommentSubjectChar"/>
    <w:uiPriority w:val="99"/>
    <w:semiHidden/>
    <w:unhideWhenUsed/>
    <w:rsid w:val="00DF2F23"/>
    <w:rPr>
      <w:b/>
      <w:bCs/>
    </w:rPr>
  </w:style>
  <w:style w:type="character" w:customStyle="1" w:styleId="CommentSubjectChar">
    <w:name w:val="Comment Subject Char"/>
    <w:basedOn w:val="CommentTextChar"/>
    <w:link w:val="CommentSubject"/>
    <w:uiPriority w:val="99"/>
    <w:semiHidden/>
    <w:rsid w:val="00DF2F23"/>
    <w:rPr>
      <w:b/>
      <w:bCs/>
    </w:rPr>
  </w:style>
  <w:style w:type="paragraph" w:styleId="Revision">
    <w:name w:val="Revision"/>
    <w:hidden/>
    <w:uiPriority w:val="99"/>
    <w:semiHidden/>
    <w:rsid w:val="00DF2F2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styleId="CommentReference">
    <w:name w:val="annotation reference"/>
    <w:basedOn w:val="DefaultParagraphFont"/>
    <w:uiPriority w:val="99"/>
    <w:semiHidden/>
    <w:unhideWhenUsed/>
    <w:rsid w:val="00DF2F23"/>
    <w:rPr>
      <w:sz w:val="16"/>
      <w:szCs w:val="16"/>
    </w:rPr>
  </w:style>
  <w:style w:type="paragraph" w:styleId="CommentText">
    <w:name w:val="annotation text"/>
    <w:basedOn w:val="Normal"/>
    <w:link w:val="CommentTextChar"/>
    <w:uiPriority w:val="99"/>
    <w:semiHidden/>
    <w:unhideWhenUsed/>
    <w:rsid w:val="00DF2F23"/>
    <w:rPr>
      <w:sz w:val="20"/>
    </w:rPr>
  </w:style>
  <w:style w:type="character" w:customStyle="1" w:styleId="CommentTextChar">
    <w:name w:val="Comment Text Char"/>
    <w:basedOn w:val="DefaultParagraphFont"/>
    <w:link w:val="CommentText"/>
    <w:uiPriority w:val="99"/>
    <w:semiHidden/>
    <w:rsid w:val="00DF2F23"/>
  </w:style>
  <w:style w:type="paragraph" w:styleId="CommentSubject">
    <w:name w:val="annotation subject"/>
    <w:basedOn w:val="CommentText"/>
    <w:next w:val="CommentText"/>
    <w:link w:val="CommentSubjectChar"/>
    <w:uiPriority w:val="99"/>
    <w:semiHidden/>
    <w:unhideWhenUsed/>
    <w:rsid w:val="00DF2F23"/>
    <w:rPr>
      <w:b/>
      <w:bCs/>
    </w:rPr>
  </w:style>
  <w:style w:type="character" w:customStyle="1" w:styleId="CommentSubjectChar">
    <w:name w:val="Comment Subject Char"/>
    <w:basedOn w:val="CommentTextChar"/>
    <w:link w:val="CommentSubject"/>
    <w:uiPriority w:val="99"/>
    <w:semiHidden/>
    <w:rsid w:val="00DF2F23"/>
    <w:rPr>
      <w:b/>
      <w:bCs/>
    </w:rPr>
  </w:style>
  <w:style w:type="paragraph" w:styleId="Revision">
    <w:name w:val="Revision"/>
    <w:hidden/>
    <w:uiPriority w:val="99"/>
    <w:semiHidden/>
    <w:rsid w:val="00DF2F2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atherine.matrave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1322</Words>
  <Characters>7574</Characters>
  <Application>Microsoft Office Word</Application>
  <DocSecurity>0</DocSecurity>
  <Lines>127</Lines>
  <Paragraphs>44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8898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2017-03-16T18:57:00Z</dcterms:created>
  <dcterms:modified xsi:type="dcterms:W3CDTF">2017-03-16T18:57:00Z</dcterms:modified>
  <cp:category> </cp:category>
  <cp:contentStatus> </cp:contentStatus>
</cp:coreProperties>
</file>