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AA0006">
        <w:rPr>
          <w:b/>
          <w:color w:val="000000"/>
        </w:rPr>
        <w:t>DA 17-</w:t>
      </w:r>
      <w:r w:rsidR="0048414D">
        <w:rPr>
          <w:b/>
          <w:color w:val="000000"/>
        </w:rPr>
        <w:t>27</w:t>
      </w:r>
    </w:p>
    <w:p w:rsidR="004F7405" w:rsidRPr="004F7405" w:rsidRDefault="00866E5C" w:rsidP="004F7405">
      <w:pPr>
        <w:widowControl/>
        <w:suppressAutoHyphens/>
        <w:spacing w:after="240"/>
        <w:jc w:val="right"/>
        <w:rPr>
          <w:b/>
          <w:color w:val="000000"/>
        </w:rPr>
      </w:pPr>
      <w:r>
        <w:rPr>
          <w:b/>
          <w:color w:val="000000"/>
        </w:rPr>
        <w:t xml:space="preserve"> </w:t>
      </w:r>
      <w:r w:rsidR="00AA0006">
        <w:rPr>
          <w:b/>
          <w:color w:val="000000"/>
        </w:rPr>
        <w:t xml:space="preserve">Released: </w:t>
      </w:r>
      <w:r w:rsidR="00D12978">
        <w:rPr>
          <w:b/>
          <w:color w:val="000000"/>
        </w:rPr>
        <w:t>January 6</w:t>
      </w:r>
      <w:r w:rsidR="00AA0006">
        <w:rPr>
          <w:b/>
          <w:color w:val="000000"/>
        </w:rPr>
        <w:t>, 2017</w:t>
      </w:r>
    </w:p>
    <w:p w:rsidR="004F7405" w:rsidRPr="004F7405" w:rsidRDefault="004F7405" w:rsidP="008C5D67">
      <w:pPr>
        <w:widowControl/>
        <w:suppressAutoHyphens/>
        <w:jc w:val="center"/>
        <w:rPr>
          <w:b/>
          <w:szCs w:val="22"/>
        </w:rPr>
      </w:pPr>
      <w:r w:rsidRPr="004F7405">
        <w:rPr>
          <w:b/>
          <w:szCs w:val="22"/>
        </w:rPr>
        <w:t xml:space="preserve">DOMESTIC SECTION 214 APPLICATION GRANTED FOR THE TRANSFER OF CONTROL OF </w:t>
      </w:r>
      <w:r w:rsidR="00AA0006">
        <w:rPr>
          <w:b/>
          <w:szCs w:val="22"/>
        </w:rPr>
        <w:t xml:space="preserve">HIBERNIA ATLANTIC U.S. LLC TO GTT COMMUNICATIONS, INC. </w:t>
      </w:r>
    </w:p>
    <w:p w:rsidR="004F7405" w:rsidRPr="004F7405" w:rsidRDefault="004F7405" w:rsidP="004F7405">
      <w:pPr>
        <w:widowControl/>
        <w:suppressAutoHyphens/>
        <w:jc w:val="center"/>
        <w:rPr>
          <w:b/>
          <w:color w:val="000000"/>
          <w:szCs w:val="22"/>
        </w:rPr>
      </w:pPr>
    </w:p>
    <w:p w:rsidR="001761B2" w:rsidRPr="001761B2" w:rsidRDefault="004F7405" w:rsidP="001761B2">
      <w:pPr>
        <w:widowControl/>
        <w:suppressAutoHyphens/>
        <w:spacing w:after="240"/>
        <w:jc w:val="center"/>
        <w:rPr>
          <w:b/>
          <w:color w:val="000000"/>
          <w:szCs w:val="22"/>
        </w:rPr>
      </w:pPr>
      <w:r w:rsidRPr="004F7405">
        <w:rPr>
          <w:b/>
          <w:color w:val="000000"/>
          <w:szCs w:val="22"/>
        </w:rPr>
        <w:t>WC Docket No. 1</w:t>
      </w:r>
      <w:r w:rsidR="00AA0006">
        <w:rPr>
          <w:b/>
          <w:color w:val="000000"/>
          <w:szCs w:val="22"/>
        </w:rPr>
        <w:t>6-388</w:t>
      </w:r>
    </w:p>
    <w:p w:rsidR="001761B2" w:rsidRDefault="001761B2" w:rsidP="00084D40">
      <w:pPr>
        <w:autoSpaceDE w:val="0"/>
        <w:autoSpaceDN w:val="0"/>
        <w:adjustRightInd w:val="0"/>
        <w:ind w:firstLine="720"/>
        <w:rPr>
          <w:snapToGrid/>
          <w:kern w:val="0"/>
          <w:szCs w:val="22"/>
        </w:rPr>
      </w:pPr>
      <w:r w:rsidRPr="001761B2">
        <w:rPr>
          <w:snapToGrid/>
          <w:kern w:val="0"/>
          <w:szCs w:val="22"/>
        </w:rPr>
        <w:t>Murosa Development S.a.r.l. (Murosa), Hibernia Atlantic U.S. LLC (HB Atlantic), and GTT Communications, Inc. (GTT) (collectively Applicants), filed an application pursuant to section 214 of the Communications Act of 1934, as amended, and section 63.03 of the Commission’s rules requesting approval for the transfer of control of HB Atlantic to GTT.</w:t>
      </w:r>
      <w:r w:rsidRPr="001761B2">
        <w:rPr>
          <w:snapToGrid/>
          <w:kern w:val="0"/>
          <w:szCs w:val="22"/>
          <w:vertAlign w:val="superscript"/>
        </w:rPr>
        <w:footnoteReference w:id="2"/>
      </w:r>
    </w:p>
    <w:p w:rsidR="004F7405" w:rsidRPr="004F7405" w:rsidRDefault="004F7405" w:rsidP="00084D40">
      <w:pPr>
        <w:jc w:val="both"/>
        <w:rPr>
          <w:szCs w:val="22"/>
        </w:rPr>
      </w:pPr>
    </w:p>
    <w:p w:rsidR="004F7405" w:rsidRDefault="004F7405" w:rsidP="004F7405">
      <w:pPr>
        <w:ind w:firstLine="720"/>
        <w:rPr>
          <w:snapToGrid/>
          <w:kern w:val="0"/>
          <w:szCs w:val="22"/>
        </w:rPr>
      </w:pPr>
      <w:r w:rsidRPr="004F7405">
        <w:rPr>
          <w:szCs w:val="22"/>
        </w:rPr>
        <w:t xml:space="preserve">On </w:t>
      </w:r>
      <w:r w:rsidR="001761B2">
        <w:rPr>
          <w:szCs w:val="22"/>
        </w:rPr>
        <w:t>November 22</w:t>
      </w:r>
      <w:r w:rsidR="005D7FF0">
        <w:rPr>
          <w:szCs w:val="22"/>
        </w:rPr>
        <w:t>, 2016</w:t>
      </w:r>
      <w:r w:rsidRPr="004F7405">
        <w:rPr>
          <w:szCs w:val="22"/>
        </w:rPr>
        <w:t>, the Wireline Competition Bureau (Bureau) released a Public Notice requesting comment on the Application.</w:t>
      </w:r>
      <w:r w:rsidRPr="004F7405">
        <w:rPr>
          <w:szCs w:val="22"/>
          <w:vertAlign w:val="superscript"/>
        </w:rPr>
        <w:footnoteReference w:id="3"/>
      </w:r>
      <w:r w:rsidRPr="004F7405">
        <w:rPr>
          <w:szCs w:val="22"/>
        </w:rPr>
        <w:t xml:space="preserve">  On </w:t>
      </w:r>
      <w:r w:rsidR="00182653">
        <w:rPr>
          <w:szCs w:val="22"/>
        </w:rPr>
        <w:t>December 6</w:t>
      </w:r>
      <w:r w:rsidR="002D633D">
        <w:rPr>
          <w:szCs w:val="22"/>
        </w:rPr>
        <w:t>, 2016</w:t>
      </w:r>
      <w:r w:rsidRPr="004F7405">
        <w:rPr>
          <w:szCs w:val="22"/>
        </w:rPr>
        <w:t xml:space="preserve">, </w:t>
      </w:r>
      <w:r w:rsidR="00F30F76">
        <w:rPr>
          <w:szCs w:val="22"/>
        </w:rPr>
        <w:t>the U.S. Department of Homeland Security</w:t>
      </w:r>
      <w:r w:rsidR="00F30F76" w:rsidRPr="004F7405">
        <w:rPr>
          <w:szCs w:val="22"/>
        </w:rPr>
        <w:t xml:space="preserve">, </w:t>
      </w:r>
      <w:r w:rsidR="00F30F76">
        <w:rPr>
          <w:szCs w:val="22"/>
        </w:rPr>
        <w:t xml:space="preserve">with the concurrence of </w:t>
      </w:r>
      <w:r w:rsidRPr="004F7405">
        <w:rPr>
          <w:szCs w:val="22"/>
        </w:rPr>
        <w:t xml:space="preserve">the </w:t>
      </w:r>
      <w:r w:rsidR="00F30F76">
        <w:rPr>
          <w:szCs w:val="22"/>
        </w:rPr>
        <w:t xml:space="preserve">U.S. </w:t>
      </w:r>
      <w:r w:rsidRPr="004F7405">
        <w:rPr>
          <w:szCs w:val="22"/>
        </w:rPr>
        <w:t>Department of Justice</w:t>
      </w:r>
      <w:r w:rsidR="00F30F76">
        <w:rPr>
          <w:szCs w:val="22"/>
        </w:rPr>
        <w:t xml:space="preserve"> and</w:t>
      </w:r>
      <w:r w:rsidR="002D633D">
        <w:rPr>
          <w:szCs w:val="22"/>
        </w:rPr>
        <w:t xml:space="preserve"> </w:t>
      </w:r>
      <w:r w:rsidRPr="004F7405">
        <w:rPr>
          <w:szCs w:val="22"/>
        </w:rPr>
        <w:t xml:space="preserve">the U.S. Department of </w:t>
      </w:r>
      <w:r w:rsidR="002D633D">
        <w:rPr>
          <w:szCs w:val="22"/>
        </w:rPr>
        <w:t xml:space="preserve">Defense </w:t>
      </w:r>
      <w:r w:rsidRPr="004F7405">
        <w:rPr>
          <w:szCs w:val="22"/>
        </w:rPr>
        <w:t>(collectively, the Executive Branch Agencies), filed a letter requesting that the Commission defer action on this proceeding while they completed their review of any national security, law enforcement, and public safety issues.</w:t>
      </w:r>
      <w:r w:rsidRPr="004F7405">
        <w:rPr>
          <w:szCs w:val="22"/>
          <w:vertAlign w:val="superscript"/>
        </w:rPr>
        <w:footnoteReference w:id="4"/>
      </w:r>
      <w:r w:rsidRPr="004F7405">
        <w:rPr>
          <w:szCs w:val="22"/>
        </w:rPr>
        <w:t xml:space="preserve">  </w:t>
      </w:r>
      <w:r w:rsidRPr="004F7405">
        <w:rPr>
          <w:color w:val="000000"/>
          <w:szCs w:val="22"/>
        </w:rPr>
        <w:t>We deferred action on the Application in response to the Executive Branch Agencies’ request.</w:t>
      </w:r>
      <w:r w:rsidR="008A4853">
        <w:rPr>
          <w:rStyle w:val="FootnoteReference"/>
          <w:szCs w:val="22"/>
        </w:rPr>
        <w:footnoteReference w:id="5"/>
      </w:r>
      <w:r w:rsidRPr="004F7405">
        <w:rPr>
          <w:snapToGrid/>
          <w:kern w:val="0"/>
          <w:szCs w:val="22"/>
        </w:rPr>
        <w:t xml:space="preserve">  </w:t>
      </w:r>
    </w:p>
    <w:p w:rsidR="00834342" w:rsidRDefault="00834342" w:rsidP="004F7405">
      <w:pPr>
        <w:ind w:firstLine="720"/>
        <w:rPr>
          <w:snapToGrid/>
          <w:kern w:val="0"/>
          <w:szCs w:val="22"/>
        </w:rPr>
      </w:pPr>
    </w:p>
    <w:p w:rsidR="00F958B2" w:rsidRDefault="00834342" w:rsidP="00905293">
      <w:pPr>
        <w:ind w:firstLine="720"/>
        <w:rPr>
          <w:color w:val="000000"/>
          <w:szCs w:val="22"/>
        </w:rPr>
      </w:pPr>
      <w:r w:rsidRPr="00E415F4">
        <w:rPr>
          <w:szCs w:val="22"/>
        </w:rPr>
        <w:t xml:space="preserve">On </w:t>
      </w:r>
      <w:r w:rsidR="00FD6129" w:rsidRPr="00E415F4">
        <w:rPr>
          <w:szCs w:val="22"/>
        </w:rPr>
        <w:t>January 5</w:t>
      </w:r>
      <w:r w:rsidRPr="00E415F4">
        <w:rPr>
          <w:szCs w:val="22"/>
        </w:rPr>
        <w:t>, 201</w:t>
      </w:r>
      <w:r w:rsidR="00082393" w:rsidRPr="00E415F4">
        <w:rPr>
          <w:szCs w:val="22"/>
        </w:rPr>
        <w:t>7</w:t>
      </w:r>
      <w:r w:rsidRPr="00E415F4">
        <w:rPr>
          <w:szCs w:val="22"/>
        </w:rPr>
        <w:t>, the Executive Branch Agencies submitted a Petition to Adopt Conditions to Authorizations and Licenses (Petition).</w:t>
      </w:r>
      <w:r w:rsidRPr="00E415F4">
        <w:rPr>
          <w:szCs w:val="22"/>
          <w:vertAlign w:val="superscript"/>
        </w:rPr>
        <w:footnoteReference w:id="6"/>
      </w:r>
      <w:r w:rsidRPr="00E415F4">
        <w:rPr>
          <w:szCs w:val="22"/>
        </w:rPr>
        <w:t xml:space="preserve">  In the Petition, the Executive Branch Agencies advise the Commission that they have no objection to the Commission approving the authority sought in this proceeding, provided the </w:t>
      </w:r>
      <w:r w:rsidRPr="00E415F4">
        <w:rPr>
          <w:color w:val="000000"/>
          <w:szCs w:val="22"/>
        </w:rPr>
        <w:t xml:space="preserve">Commission </w:t>
      </w:r>
      <w:r w:rsidR="00905293" w:rsidRPr="00E415F4">
        <w:rPr>
          <w:color w:val="000000"/>
          <w:szCs w:val="22"/>
        </w:rPr>
        <w:t xml:space="preserve">conditions its approval on the commitment of GTT </w:t>
      </w:r>
      <w:r w:rsidR="00F958B2">
        <w:rPr>
          <w:color w:val="000000"/>
          <w:szCs w:val="22"/>
        </w:rPr>
        <w:t>“</w:t>
      </w:r>
      <w:r w:rsidR="00905293" w:rsidRPr="00E415F4">
        <w:rPr>
          <w:color w:val="000000"/>
          <w:szCs w:val="22"/>
        </w:rPr>
        <w:t xml:space="preserve">to </w:t>
      </w:r>
      <w:r w:rsidR="00905293" w:rsidRPr="00E415F4">
        <w:rPr>
          <w:color w:val="000000"/>
          <w:szCs w:val="22"/>
        </w:rPr>
        <w:lastRenderedPageBreak/>
        <w:t xml:space="preserve">acknowledge and assume the commitments set forth in the Letter of Assurance dated September 30, 2010, from Hibernia Group ehf, for itself and its subsidiaries, including Hibernia </w:t>
      </w:r>
      <w:r w:rsidR="00381F3E" w:rsidRPr="00E415F4">
        <w:rPr>
          <w:color w:val="000000"/>
          <w:szCs w:val="22"/>
        </w:rPr>
        <w:t>Atlantic U.S. LLC (HB Atlantic</w:t>
      </w:r>
      <w:r w:rsidR="00905293" w:rsidRPr="00E415F4">
        <w:rPr>
          <w:color w:val="000000"/>
          <w:szCs w:val="22"/>
        </w:rPr>
        <w:t>), to the USG Agencies with respect to the Hibernia Atlantic cable system (SCL-LIC-19990804-00012, modifi</w:t>
      </w:r>
      <w:r w:rsidR="00381F3E" w:rsidRPr="00E415F4">
        <w:rPr>
          <w:color w:val="000000"/>
          <w:szCs w:val="22"/>
        </w:rPr>
        <w:t>ed by SCL-MOD-20020412-00022) (2010 LOA</w:t>
      </w:r>
      <w:r w:rsidR="00905293" w:rsidRPr="00E415F4">
        <w:rPr>
          <w:color w:val="000000"/>
          <w:szCs w:val="22"/>
        </w:rPr>
        <w:t>) and a subsequent Letter of Assurance dated December 15, 2014, from KCK Limited, HB Atlantic and certain other</w:t>
      </w:r>
      <w:r w:rsidR="00905293" w:rsidRPr="00E415F4">
        <w:rPr>
          <w:snapToGrid/>
          <w:color w:val="000000"/>
          <w:kern w:val="0"/>
          <w:szCs w:val="22"/>
        </w:rPr>
        <w:t xml:space="preserve"> </w:t>
      </w:r>
      <w:r w:rsidR="00905293" w:rsidRPr="00E415F4">
        <w:rPr>
          <w:color w:val="000000"/>
          <w:szCs w:val="22"/>
        </w:rPr>
        <w:t>affiliated entities, which amended the 2010 LOA, and undertook certain additional commitments to the USG Agencies with respect to the Pr</w:t>
      </w:r>
      <w:r w:rsidR="00381F3E" w:rsidRPr="00E415F4">
        <w:rPr>
          <w:color w:val="000000"/>
          <w:szCs w:val="22"/>
        </w:rPr>
        <w:t>oject Express system (2014 LOA</w:t>
      </w:r>
      <w:r w:rsidR="00905293" w:rsidRPr="00E415F4">
        <w:rPr>
          <w:color w:val="000000"/>
          <w:szCs w:val="22"/>
        </w:rPr>
        <w:t>).</w:t>
      </w:r>
      <w:r w:rsidR="00381F3E" w:rsidRPr="00E415F4">
        <w:rPr>
          <w:color w:val="000000"/>
          <w:szCs w:val="22"/>
        </w:rPr>
        <w:t>”</w:t>
      </w:r>
      <w:r w:rsidRPr="00E415F4">
        <w:rPr>
          <w:szCs w:val="22"/>
          <w:vertAlign w:val="superscript"/>
        </w:rPr>
        <w:footnoteReference w:id="7"/>
      </w:r>
      <w:r w:rsidRPr="00E415F4">
        <w:rPr>
          <w:color w:val="000000"/>
          <w:szCs w:val="22"/>
        </w:rPr>
        <w:t xml:space="preserve">  </w:t>
      </w:r>
      <w:r w:rsidR="00905293" w:rsidRPr="00E415F4">
        <w:rPr>
          <w:color w:val="000000"/>
          <w:szCs w:val="22"/>
        </w:rPr>
        <w:t>The Department of Homeland Security</w:t>
      </w:r>
      <w:r w:rsidRPr="00E415F4">
        <w:rPr>
          <w:color w:val="000000"/>
          <w:szCs w:val="22"/>
        </w:rPr>
        <w:t xml:space="preserve"> filed the </w:t>
      </w:r>
      <w:bookmarkStart w:id="1" w:name="SR;381"/>
      <w:bookmarkEnd w:id="1"/>
      <w:r w:rsidR="00D77109" w:rsidRPr="00E415F4">
        <w:rPr>
          <w:color w:val="000000"/>
          <w:szCs w:val="22"/>
        </w:rPr>
        <w:t xml:space="preserve">Petition, </w:t>
      </w:r>
      <w:r w:rsidR="00905293" w:rsidRPr="00E415F4">
        <w:rPr>
          <w:color w:val="000000"/>
          <w:szCs w:val="22"/>
        </w:rPr>
        <w:t xml:space="preserve">the 2010 </w:t>
      </w:r>
      <w:r w:rsidRPr="00E415F4">
        <w:rPr>
          <w:color w:val="000000"/>
          <w:szCs w:val="22"/>
        </w:rPr>
        <w:t>LOA</w:t>
      </w:r>
      <w:bookmarkStart w:id="2" w:name="SR;383"/>
      <w:bookmarkEnd w:id="2"/>
      <w:r w:rsidR="00D77109" w:rsidRPr="00E415F4">
        <w:rPr>
          <w:color w:val="000000"/>
          <w:szCs w:val="22"/>
        </w:rPr>
        <w:t>,</w:t>
      </w:r>
      <w:r w:rsidRPr="00E415F4">
        <w:rPr>
          <w:color w:val="000000"/>
          <w:szCs w:val="22"/>
        </w:rPr>
        <w:t xml:space="preserve"> </w:t>
      </w:r>
      <w:r w:rsidR="00905293" w:rsidRPr="00E415F4">
        <w:rPr>
          <w:color w:val="000000"/>
          <w:szCs w:val="22"/>
        </w:rPr>
        <w:t xml:space="preserve">and 2014 LOA </w:t>
      </w:r>
      <w:r w:rsidRPr="00E415F4">
        <w:rPr>
          <w:color w:val="000000"/>
          <w:szCs w:val="22"/>
        </w:rPr>
        <w:t>in WC Docket No. 1</w:t>
      </w:r>
      <w:r w:rsidR="00905293" w:rsidRPr="00E415F4">
        <w:rPr>
          <w:color w:val="000000"/>
          <w:szCs w:val="22"/>
        </w:rPr>
        <w:t>6-388</w:t>
      </w:r>
      <w:r w:rsidRPr="00E415F4">
        <w:rPr>
          <w:color w:val="000000"/>
          <w:szCs w:val="22"/>
        </w:rPr>
        <w:t xml:space="preserve"> on</w:t>
      </w:r>
      <w:r w:rsidR="00905293" w:rsidRPr="00E415F4">
        <w:rPr>
          <w:color w:val="000000"/>
          <w:szCs w:val="22"/>
        </w:rPr>
        <w:t xml:space="preserve"> January 5</w:t>
      </w:r>
      <w:r w:rsidRPr="00E415F4">
        <w:rPr>
          <w:color w:val="000000"/>
          <w:szCs w:val="22"/>
        </w:rPr>
        <w:t>, 201</w:t>
      </w:r>
      <w:r w:rsidR="00905293" w:rsidRPr="00E415F4">
        <w:rPr>
          <w:color w:val="000000"/>
          <w:szCs w:val="22"/>
        </w:rPr>
        <w:t>7</w:t>
      </w:r>
      <w:r w:rsidRPr="00E415F4">
        <w:rPr>
          <w:color w:val="000000"/>
          <w:szCs w:val="22"/>
        </w:rPr>
        <w:t xml:space="preserve">.  </w:t>
      </w:r>
    </w:p>
    <w:p w:rsidR="00F958B2" w:rsidRDefault="00F958B2" w:rsidP="00905293">
      <w:pPr>
        <w:ind w:firstLine="720"/>
        <w:rPr>
          <w:color w:val="000000"/>
          <w:szCs w:val="22"/>
        </w:rPr>
      </w:pPr>
    </w:p>
    <w:p w:rsidR="00834342" w:rsidRPr="00E415F4" w:rsidRDefault="00834342" w:rsidP="00905293">
      <w:pPr>
        <w:ind w:firstLine="720"/>
        <w:rPr>
          <w:color w:val="000000"/>
          <w:szCs w:val="22"/>
        </w:rPr>
      </w:pPr>
      <w:r w:rsidRPr="00E415F4">
        <w:rPr>
          <w:color w:val="000000"/>
          <w:szCs w:val="22"/>
        </w:rPr>
        <w:t xml:space="preserve">The Bureau finds, upon consideration of the record, that grant of the Application, subject to compliance with the </w:t>
      </w:r>
      <w:r w:rsidR="00905293" w:rsidRPr="00E415F4">
        <w:rPr>
          <w:color w:val="000000"/>
          <w:szCs w:val="22"/>
        </w:rPr>
        <w:t xml:space="preserve">2010 </w:t>
      </w:r>
      <w:r w:rsidRPr="00E415F4">
        <w:rPr>
          <w:color w:val="000000"/>
          <w:szCs w:val="22"/>
        </w:rPr>
        <w:t>LOA</w:t>
      </w:r>
      <w:bookmarkStart w:id="3" w:name="SR;414"/>
      <w:bookmarkStart w:id="4" w:name="SR;416"/>
      <w:bookmarkEnd w:id="3"/>
      <w:bookmarkEnd w:id="4"/>
      <w:r w:rsidR="00905293" w:rsidRPr="00E415F4">
        <w:rPr>
          <w:color w:val="000000"/>
          <w:szCs w:val="22"/>
        </w:rPr>
        <w:t xml:space="preserve"> and 2014 LOA</w:t>
      </w:r>
      <w:r w:rsidRPr="00E415F4">
        <w:rPr>
          <w:color w:val="000000"/>
          <w:szCs w:val="22"/>
        </w:rPr>
        <w:t>, will serve the public interest, convenience, and necessity.  Consistent with Commission precedent, the Bureau accords the appropriate level of deference to the Executive Branch Agencies' expertise on national security and law enforcement issues.</w:t>
      </w:r>
      <w:bookmarkStart w:id="5" w:name="FN[FN9]"/>
      <w:bookmarkEnd w:id="5"/>
      <w:r w:rsidRPr="00E415F4">
        <w:rPr>
          <w:szCs w:val="22"/>
          <w:vertAlign w:val="superscript"/>
        </w:rPr>
        <w:footnoteReference w:id="8"/>
      </w:r>
      <w:r w:rsidRPr="00E415F4">
        <w:rPr>
          <w:color w:val="000000"/>
          <w:szCs w:val="22"/>
        </w:rPr>
        <w:t xml:space="preserve">  Therefore, pursuant to section 214 of the Act, 47 U.S.C. § 214, and sections 0.91 and 0.291 of</w:t>
      </w:r>
      <w:r w:rsidR="000378FE" w:rsidRPr="00E415F4">
        <w:rPr>
          <w:color w:val="000000"/>
          <w:szCs w:val="22"/>
        </w:rPr>
        <w:t xml:space="preserve"> the Commission's rules, 47 CF</w:t>
      </w:r>
      <w:r w:rsidRPr="00E415F4">
        <w:rPr>
          <w:color w:val="000000"/>
          <w:szCs w:val="22"/>
        </w:rPr>
        <w:t xml:space="preserve">R §§ 0.91, 0.291, the Bureau hereby grants the Application discussed in this Public Notice subject to compliance with the </w:t>
      </w:r>
      <w:r w:rsidR="00905293" w:rsidRPr="00E415F4">
        <w:rPr>
          <w:color w:val="000000"/>
          <w:szCs w:val="22"/>
        </w:rPr>
        <w:t xml:space="preserve">2010 </w:t>
      </w:r>
      <w:r w:rsidRPr="00E415F4">
        <w:rPr>
          <w:color w:val="000000"/>
          <w:szCs w:val="22"/>
        </w:rPr>
        <w:t>LOA</w:t>
      </w:r>
      <w:r w:rsidR="00905293" w:rsidRPr="00E415F4">
        <w:rPr>
          <w:color w:val="000000"/>
          <w:szCs w:val="22"/>
        </w:rPr>
        <w:t xml:space="preserve"> and 2014 LOA</w:t>
      </w:r>
      <w:r w:rsidRPr="00E415F4">
        <w:rPr>
          <w:color w:val="000000"/>
          <w:szCs w:val="22"/>
        </w:rPr>
        <w:t xml:space="preserve"> described above.  </w:t>
      </w:r>
      <w:r w:rsidRPr="00E415F4">
        <w:rPr>
          <w:szCs w:val="22"/>
        </w:rPr>
        <w:t xml:space="preserve">A failure to comply with and/or remain in compliance with any of the provisions of the </w:t>
      </w:r>
      <w:r w:rsidR="00905293" w:rsidRPr="00E415F4">
        <w:rPr>
          <w:szCs w:val="22"/>
        </w:rPr>
        <w:t xml:space="preserve">2010 </w:t>
      </w:r>
      <w:r w:rsidRPr="00E415F4">
        <w:rPr>
          <w:szCs w:val="22"/>
        </w:rPr>
        <w:t xml:space="preserve">LOA </w:t>
      </w:r>
      <w:r w:rsidR="00905293" w:rsidRPr="00E415F4">
        <w:rPr>
          <w:szCs w:val="22"/>
        </w:rPr>
        <w:t xml:space="preserve">and 2014 LOA </w:t>
      </w:r>
      <w:r w:rsidRPr="00E415F4">
        <w:rPr>
          <w:szCs w:val="22"/>
        </w:rPr>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bookmarkStart w:id="6" w:name="sp_999_1"/>
      <w:bookmarkStart w:id="7" w:name="SDU_1"/>
      <w:bookmarkStart w:id="8" w:name="SearchTerm"/>
      <w:bookmarkEnd w:id="6"/>
      <w:bookmarkEnd w:id="7"/>
      <w:r w:rsidRPr="004F7405">
        <w:rPr>
          <w:color w:val="000000"/>
          <w:szCs w:val="22"/>
        </w:rPr>
        <w:t xml:space="preserve">The Bureau </w:t>
      </w:r>
      <w:r w:rsidR="00F958B2">
        <w:rPr>
          <w:color w:val="000000"/>
          <w:szCs w:val="22"/>
        </w:rPr>
        <w:t xml:space="preserve">further </w:t>
      </w:r>
      <w:r w:rsidRPr="004F7405">
        <w:rPr>
          <w:color w:val="000000"/>
          <w:szCs w:val="22"/>
        </w:rPr>
        <w:t>finds, upon consideration of the record, that grant of the Application</w:t>
      </w:r>
      <w:bookmarkEnd w:id="8"/>
      <w:r w:rsidRPr="004F7405">
        <w:rPr>
          <w:color w:val="000000"/>
          <w:szCs w:val="22"/>
        </w:rPr>
        <w:t xml:space="preserve"> will serve the public interest, convenience, and necessity.</w:t>
      </w:r>
      <w:r w:rsidR="00C42190">
        <w:rPr>
          <w:rStyle w:val="FootnoteReference"/>
          <w:szCs w:val="22"/>
        </w:rPr>
        <w:footnoteReference w:id="9"/>
      </w:r>
      <w:r w:rsidRPr="004F7405">
        <w:rPr>
          <w:color w:val="000000"/>
          <w:szCs w:val="22"/>
        </w:rPr>
        <w:t xml:space="preserve">  </w:t>
      </w:r>
      <w:r w:rsidR="0017145C">
        <w:rPr>
          <w:color w:val="000000"/>
          <w:szCs w:val="22"/>
        </w:rPr>
        <w:t>Upon consummation of the transaction, the resulting entity will have a market share in the U.S. interstate interexchange market of less than 10 percent and will provide competitive telephone exchange services or exchange access services (if at all) exclusively in geographic areas served by a dominant local exchange carrier that is not a party to the transaction.  In addition, the Applicants are not dominant with respect to any domestic service.</w:t>
      </w:r>
      <w:r w:rsidR="0017145C">
        <w:rPr>
          <w:rStyle w:val="FootnoteReference"/>
          <w:color w:val="000000"/>
        </w:rPr>
        <w:footnoteReference w:id="10"/>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r w:rsidRPr="004F7405">
        <w:rPr>
          <w:color w:val="000000"/>
          <w:szCs w:val="22"/>
        </w:rPr>
        <w:t>Pursuant to section 1.103 of t</w:t>
      </w:r>
      <w:r w:rsidR="00905293">
        <w:rPr>
          <w:color w:val="000000"/>
          <w:szCs w:val="22"/>
        </w:rPr>
        <w:t>he Commission's rules, 47 CFR</w:t>
      </w:r>
      <w:r w:rsidRPr="004F7405">
        <w:rPr>
          <w:color w:val="000000"/>
          <w:szCs w:val="22"/>
        </w:rPr>
        <w:t xml:space="preserve"> § 1.103, the grant is effective upon release of this Public Notice.</w:t>
      </w:r>
      <w:bookmarkStart w:id="9" w:name="FN[FN11]"/>
      <w:bookmarkEnd w:id="9"/>
      <w:r w:rsidRPr="004F7405">
        <w:rPr>
          <w:color w:val="000000"/>
          <w:szCs w:val="22"/>
        </w:rPr>
        <w:t xml:space="preserve">  Petitions for reconsideration under section 1.106 or applications for review under section 1.115 of t</w:t>
      </w:r>
      <w:r w:rsidR="00905293">
        <w:rPr>
          <w:color w:val="000000"/>
          <w:szCs w:val="22"/>
        </w:rPr>
        <w:t>he Commission's rules, 47 CFR</w:t>
      </w:r>
      <w:r w:rsidRPr="004F7405">
        <w:rPr>
          <w:color w:val="000000"/>
          <w:szCs w:val="22"/>
        </w:rPr>
        <w:t xml:space="preserve"> §§ 1.106, 1.115, may be filed within 30 days of the date of this Public Notice.</w:t>
      </w:r>
      <w:bookmarkStart w:id="10" w:name="FN[FN12]"/>
      <w:bookmarkEnd w:id="10"/>
    </w:p>
    <w:p w:rsidR="004F7405" w:rsidRPr="004F7405" w:rsidRDefault="004F7405" w:rsidP="004F7405">
      <w:pPr>
        <w:ind w:firstLine="720"/>
        <w:rPr>
          <w:color w:val="000000"/>
          <w:szCs w:val="22"/>
        </w:rPr>
      </w:pPr>
      <w:bookmarkStart w:id="11" w:name="sp_999_2"/>
      <w:bookmarkStart w:id="12" w:name="SDU_2"/>
      <w:bookmarkEnd w:id="11"/>
      <w:bookmarkEnd w:id="12"/>
    </w:p>
    <w:p w:rsidR="006A1F49" w:rsidRPr="0073741A" w:rsidRDefault="004F7405" w:rsidP="0073741A">
      <w:pPr>
        <w:ind w:firstLine="720"/>
        <w:rPr>
          <w:color w:val="000000"/>
          <w:szCs w:val="22"/>
        </w:rPr>
      </w:pPr>
      <w:r w:rsidRPr="00834342">
        <w:rPr>
          <w:color w:val="000000"/>
          <w:szCs w:val="22"/>
        </w:rPr>
        <w:lastRenderedPageBreak/>
        <w:t xml:space="preserve">For further information, please contact </w:t>
      </w:r>
      <w:r w:rsidR="00905293">
        <w:rPr>
          <w:color w:val="000000"/>
          <w:szCs w:val="22"/>
        </w:rPr>
        <w:t>Gregory Kwan</w:t>
      </w:r>
      <w:r w:rsidRPr="00834342">
        <w:rPr>
          <w:color w:val="000000"/>
          <w:szCs w:val="22"/>
        </w:rPr>
        <w:t>, Wireline Competition Bureau, Competition</w:t>
      </w:r>
      <w:r w:rsidR="00905293">
        <w:rPr>
          <w:color w:val="000000"/>
          <w:szCs w:val="22"/>
        </w:rPr>
        <w:t xml:space="preserve"> Policy Division, (202) 418-1191</w:t>
      </w:r>
      <w:r w:rsidRPr="00834342">
        <w:rPr>
          <w:color w:val="000000"/>
          <w:szCs w:val="22"/>
        </w:rPr>
        <w:t>.</w:t>
      </w:r>
    </w:p>
    <w:sectPr w:rsidR="006A1F49" w:rsidRPr="0073741A"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3F" w:rsidRDefault="0059123F">
      <w:pPr>
        <w:spacing w:line="20" w:lineRule="exact"/>
      </w:pPr>
    </w:p>
  </w:endnote>
  <w:endnote w:type="continuationSeparator" w:id="0">
    <w:p w:rsidR="0059123F" w:rsidRDefault="0059123F">
      <w:r>
        <w:t xml:space="preserve"> </w:t>
      </w:r>
    </w:p>
  </w:endnote>
  <w:endnote w:type="continuationNotice" w:id="1">
    <w:p w:rsidR="0059123F" w:rsidRDefault="005912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76BC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3F" w:rsidRDefault="0059123F">
      <w:r>
        <w:separator/>
      </w:r>
    </w:p>
  </w:footnote>
  <w:footnote w:type="continuationSeparator" w:id="0">
    <w:p w:rsidR="0059123F" w:rsidRDefault="0059123F" w:rsidP="00C721AC">
      <w:pPr>
        <w:spacing w:before="120"/>
        <w:rPr>
          <w:sz w:val="20"/>
        </w:rPr>
      </w:pPr>
      <w:r>
        <w:rPr>
          <w:sz w:val="20"/>
        </w:rPr>
        <w:t xml:space="preserve">(Continued from previous page)  </w:t>
      </w:r>
      <w:r>
        <w:rPr>
          <w:sz w:val="20"/>
        </w:rPr>
        <w:separator/>
      </w:r>
    </w:p>
  </w:footnote>
  <w:footnote w:type="continuationNotice" w:id="1">
    <w:p w:rsidR="0059123F" w:rsidRDefault="0059123F" w:rsidP="00C721AC">
      <w:pPr>
        <w:jc w:val="right"/>
        <w:rPr>
          <w:sz w:val="20"/>
        </w:rPr>
      </w:pPr>
      <w:r>
        <w:rPr>
          <w:sz w:val="20"/>
        </w:rPr>
        <w:t>(continued….)</w:t>
      </w:r>
    </w:p>
  </w:footnote>
  <w:footnote w:id="2">
    <w:p w:rsidR="00381F3E" w:rsidRPr="00381F3E" w:rsidRDefault="001761B2" w:rsidP="00D12978">
      <w:pPr>
        <w:widowControl/>
        <w:autoSpaceDE w:val="0"/>
        <w:autoSpaceDN w:val="0"/>
        <w:adjustRightInd w:val="0"/>
        <w:spacing w:after="120"/>
        <w:rPr>
          <w:rFonts w:ascii="TimesNewRomanPS-ItalicMT" w:hAnsi="TimesNewRomanPS-ItalicMT" w:cs="TimesNewRomanPS-ItalicMT"/>
          <w:i/>
          <w:iCs/>
          <w:snapToGrid/>
          <w:kern w:val="0"/>
          <w:sz w:val="24"/>
          <w:szCs w:val="24"/>
        </w:rPr>
      </w:pPr>
      <w:r w:rsidRPr="00D50D2B">
        <w:rPr>
          <w:rStyle w:val="FootnoteReference"/>
        </w:rPr>
        <w:footnoteRef/>
      </w:r>
      <w:r w:rsidRPr="00D50D2B">
        <w:rPr>
          <w:sz w:val="20"/>
        </w:rPr>
        <w:t xml:space="preserve"> </w:t>
      </w:r>
      <w:r w:rsidRPr="00045DF5">
        <w:rPr>
          <w:i/>
          <w:sz w:val="20"/>
        </w:rPr>
        <w:t xml:space="preserve">See </w:t>
      </w:r>
      <w:r w:rsidRPr="00210E37">
        <w:rPr>
          <w:sz w:val="20"/>
        </w:rPr>
        <w:t xml:space="preserve">47 U.S.C. § 214; 47 CFR § 63.03.  Applicants also filed applications for the transfer of authorizations associated with international services.  Any action on this domestic section 214 application is without prejudice to Commission action on other related, pending applications.  </w:t>
      </w:r>
      <w:r w:rsidR="00210E37" w:rsidRPr="00210E37">
        <w:rPr>
          <w:sz w:val="20"/>
        </w:rPr>
        <w:t>Applicants filed</w:t>
      </w:r>
      <w:r w:rsidRPr="00210E37">
        <w:rPr>
          <w:sz w:val="20"/>
        </w:rPr>
        <w:t xml:space="preserve"> supplement</w:t>
      </w:r>
      <w:r w:rsidR="00210E37" w:rsidRPr="00210E37">
        <w:rPr>
          <w:sz w:val="20"/>
        </w:rPr>
        <w:t>s</w:t>
      </w:r>
      <w:r w:rsidRPr="00210E37">
        <w:rPr>
          <w:sz w:val="20"/>
        </w:rPr>
        <w:t xml:space="preserve"> to their domestic Sec</w:t>
      </w:r>
      <w:r w:rsidR="00210E37" w:rsidRPr="00210E37">
        <w:rPr>
          <w:sz w:val="20"/>
        </w:rPr>
        <w:t>tion 214 application on November 22</w:t>
      </w:r>
      <w:r w:rsidRPr="00210E37">
        <w:rPr>
          <w:sz w:val="20"/>
        </w:rPr>
        <w:t xml:space="preserve">, </w:t>
      </w:r>
      <w:r w:rsidR="00210E37" w:rsidRPr="00210E37">
        <w:rPr>
          <w:sz w:val="20"/>
        </w:rPr>
        <w:t xml:space="preserve">2016 and November 25, 2016.  </w:t>
      </w:r>
      <w:r w:rsidR="00210E37" w:rsidRPr="00210E37">
        <w:rPr>
          <w:i/>
          <w:sz w:val="20"/>
        </w:rPr>
        <w:t xml:space="preserve">See </w:t>
      </w:r>
      <w:r w:rsidR="00210E37" w:rsidRPr="00210E37">
        <w:rPr>
          <w:sz w:val="20"/>
        </w:rPr>
        <w:t>Letter from Denise N. Smith</w:t>
      </w:r>
      <w:r w:rsidRPr="00210E37">
        <w:rPr>
          <w:sz w:val="20"/>
        </w:rPr>
        <w:t>, Counsel for</w:t>
      </w:r>
      <w:r w:rsidR="00210E37" w:rsidRPr="00210E37">
        <w:rPr>
          <w:i/>
          <w:iCs/>
          <w:snapToGrid/>
          <w:kern w:val="0"/>
          <w:sz w:val="20"/>
        </w:rPr>
        <w:t xml:space="preserve"> </w:t>
      </w:r>
      <w:r w:rsidR="00210E37" w:rsidRPr="004444EF">
        <w:rPr>
          <w:iCs/>
          <w:snapToGrid/>
          <w:kern w:val="0"/>
          <w:sz w:val="20"/>
        </w:rPr>
        <w:t>Murosa Development S.a.r.l., Hibernia Atlantic U.S. LLC, and GTT Communications, Inc</w:t>
      </w:r>
      <w:r w:rsidR="00210E37" w:rsidRPr="00210E37">
        <w:rPr>
          <w:i/>
          <w:iCs/>
          <w:snapToGrid/>
          <w:kern w:val="0"/>
          <w:sz w:val="20"/>
        </w:rPr>
        <w:t>.</w:t>
      </w:r>
      <w:r w:rsidRPr="00210E37">
        <w:rPr>
          <w:sz w:val="20"/>
        </w:rPr>
        <w:t>, to Marlene H. Dortch, Sec</w:t>
      </w:r>
      <w:r w:rsidR="00210E37" w:rsidRPr="00210E37">
        <w:rPr>
          <w:sz w:val="20"/>
        </w:rPr>
        <w:t>retary, FCC, WC Docket No. 16-388</w:t>
      </w:r>
      <w:r w:rsidRPr="00210E37">
        <w:rPr>
          <w:sz w:val="20"/>
        </w:rPr>
        <w:t xml:space="preserve"> (fi</w:t>
      </w:r>
      <w:r w:rsidR="00210E37" w:rsidRPr="00210E37">
        <w:rPr>
          <w:sz w:val="20"/>
        </w:rPr>
        <w:t>led Nov. 22</w:t>
      </w:r>
      <w:r w:rsidRPr="00210E37">
        <w:rPr>
          <w:sz w:val="20"/>
        </w:rPr>
        <w:t>, 2016)</w:t>
      </w:r>
      <w:r w:rsidR="00210E37" w:rsidRPr="00210E37">
        <w:rPr>
          <w:sz w:val="20"/>
        </w:rPr>
        <w:t xml:space="preserve">; Letter from </w:t>
      </w:r>
      <w:r w:rsidR="00210E37" w:rsidRPr="00210E37">
        <w:rPr>
          <w:snapToGrid/>
          <w:kern w:val="0"/>
          <w:sz w:val="20"/>
        </w:rPr>
        <w:t>James P. Prenetta, Jr., General Counsel Hibernia NGS Limited and Anthony Hansel, VP, Deputy General Counsel, GTT Communications, Inc.</w:t>
      </w:r>
      <w:r w:rsidR="004444EF">
        <w:rPr>
          <w:snapToGrid/>
          <w:kern w:val="0"/>
          <w:sz w:val="20"/>
        </w:rPr>
        <w:t>,</w:t>
      </w:r>
      <w:r w:rsidR="00210E37" w:rsidRPr="00210E37">
        <w:rPr>
          <w:snapToGrid/>
          <w:kern w:val="0"/>
          <w:sz w:val="20"/>
        </w:rPr>
        <w:t xml:space="preserve"> to </w:t>
      </w:r>
      <w:r w:rsidR="00210E37" w:rsidRPr="00210E37">
        <w:rPr>
          <w:sz w:val="20"/>
        </w:rPr>
        <w:t>Marlene H. Dortch, Secretary, FCC, WC Docket No. 16-388 (filed Nov. 25, 2016)</w:t>
      </w:r>
      <w:r w:rsidRPr="00210E37">
        <w:rPr>
          <w:sz w:val="20"/>
        </w:rPr>
        <w:t>.</w:t>
      </w:r>
      <w:r w:rsidR="00210E37" w:rsidRPr="00210E37">
        <w:rPr>
          <w:rFonts w:ascii="TimesNewRomanPS-ItalicMT" w:hAnsi="TimesNewRomanPS-ItalicMT" w:cs="TimesNewRomanPS-ItalicMT"/>
          <w:i/>
          <w:iCs/>
          <w:snapToGrid/>
          <w:kern w:val="0"/>
          <w:sz w:val="24"/>
          <w:szCs w:val="24"/>
        </w:rPr>
        <w:t xml:space="preserve"> </w:t>
      </w:r>
    </w:p>
  </w:footnote>
  <w:footnote w:id="3">
    <w:p w:rsidR="001761B2" w:rsidRPr="004444EF" w:rsidRDefault="004F7405" w:rsidP="00D12978">
      <w:pPr>
        <w:pStyle w:val="FootnoteText"/>
      </w:pPr>
      <w:r>
        <w:rPr>
          <w:rStyle w:val="FootnoteReference"/>
        </w:rPr>
        <w:footnoteRef/>
      </w:r>
      <w:r>
        <w:t xml:space="preserve"> </w:t>
      </w:r>
      <w:r w:rsidR="001761B2" w:rsidRPr="001761B2">
        <w:rPr>
          <w:i/>
          <w:szCs w:val="22"/>
        </w:rPr>
        <w:t>Domestic Section 214 Application Filed for the Transfer of Control of</w:t>
      </w:r>
      <w:r w:rsidR="001761B2" w:rsidRPr="001761B2">
        <w:rPr>
          <w:bCs/>
          <w:i/>
          <w:szCs w:val="22"/>
        </w:rPr>
        <w:t xml:space="preserve"> Hibernia Atlantic U</w:t>
      </w:r>
      <w:r w:rsidR="001761B2" w:rsidRPr="001761B2">
        <w:rPr>
          <w:bCs/>
          <w:i/>
        </w:rPr>
        <w:t>.S. LLC</w:t>
      </w:r>
      <w:r w:rsidR="001761B2" w:rsidRPr="004444EF">
        <w:rPr>
          <w:bCs/>
          <w:i/>
        </w:rPr>
        <w:t xml:space="preserve"> </w:t>
      </w:r>
      <w:r w:rsidR="001761B2" w:rsidRPr="001761B2">
        <w:rPr>
          <w:bCs/>
          <w:i/>
        </w:rPr>
        <w:t>to GTT Communications, Inc.</w:t>
      </w:r>
      <w:r w:rsidR="001761B2" w:rsidRPr="001761B2">
        <w:rPr>
          <w:i/>
        </w:rPr>
        <w:t>,</w:t>
      </w:r>
      <w:r w:rsidR="001761B2" w:rsidRPr="001761B2">
        <w:t xml:space="preserve"> </w:t>
      </w:r>
      <w:r w:rsidR="00D20351" w:rsidRPr="004444EF">
        <w:t xml:space="preserve">WC Docket No. 16-388, </w:t>
      </w:r>
      <w:r w:rsidR="001761B2" w:rsidRPr="004444EF">
        <w:t xml:space="preserve">Public Notice, </w:t>
      </w:r>
      <w:r w:rsidR="00D20351" w:rsidRPr="004444EF">
        <w:t xml:space="preserve">DA </w:t>
      </w:r>
      <w:r w:rsidR="004444EF" w:rsidRPr="004444EF">
        <w:t>16-</w:t>
      </w:r>
      <w:r w:rsidR="004444EF">
        <w:t>1</w:t>
      </w:r>
      <w:r w:rsidR="004444EF" w:rsidRPr="004444EF">
        <w:t xml:space="preserve">310 </w:t>
      </w:r>
      <w:r w:rsidR="001761B2" w:rsidRPr="004444EF">
        <w:t xml:space="preserve">(WCB </w:t>
      </w:r>
      <w:r w:rsidR="004444EF" w:rsidRPr="004444EF">
        <w:t xml:space="preserve">Nov. 22, </w:t>
      </w:r>
      <w:r w:rsidR="001761B2" w:rsidRPr="004444EF">
        <w:t>2016)</w:t>
      </w:r>
      <w:r w:rsidR="004444EF">
        <w:rPr>
          <w:color w:val="212121"/>
          <w:shd w:val="clear" w:color="auto" w:fill="FFFFFF"/>
        </w:rPr>
        <w:t>.</w:t>
      </w:r>
    </w:p>
  </w:footnote>
  <w:footnote w:id="4">
    <w:p w:rsidR="004F7405" w:rsidRPr="004444EF" w:rsidRDefault="004F7405" w:rsidP="00D12978">
      <w:pPr>
        <w:pStyle w:val="FootnoteText"/>
      </w:pPr>
      <w:r w:rsidRPr="004444EF">
        <w:rPr>
          <w:rStyle w:val="FootnoteReference"/>
        </w:rPr>
        <w:footnoteRef/>
      </w:r>
      <w:r w:rsidR="00A94510" w:rsidRPr="004444EF">
        <w:t xml:space="preserve"> </w:t>
      </w:r>
      <w:r w:rsidR="00F30F76" w:rsidRPr="004444EF">
        <w:t>Letter from Shawn Cooley, U.S. Department of Homeland Security, to Marlene H. Dortch, Secretary, FCC, WC Docket No. 16-388 (filed Dec. 6, 2016).</w:t>
      </w:r>
    </w:p>
  </w:footnote>
  <w:footnote w:id="5">
    <w:p w:rsidR="008A4853" w:rsidRPr="008A4853" w:rsidRDefault="008A4853">
      <w:pPr>
        <w:pStyle w:val="FootnoteText"/>
      </w:pPr>
      <w:r w:rsidRPr="004444EF">
        <w:rPr>
          <w:rStyle w:val="FootnoteReference"/>
        </w:rPr>
        <w:footnoteRef/>
      </w:r>
      <w:r w:rsidRPr="004444EF">
        <w:t xml:space="preserve"> </w:t>
      </w:r>
      <w:r w:rsidRPr="004444EF">
        <w:rPr>
          <w:i/>
        </w:rPr>
        <w:t>Notice of Removal of Domestic Section 214 Application from Streamlined Treatment</w:t>
      </w:r>
      <w:r w:rsidR="00F30F76" w:rsidRPr="004444EF">
        <w:t>, Public Notice, WC Docket No. 16-388</w:t>
      </w:r>
      <w:r w:rsidR="0068229C" w:rsidRPr="004444EF">
        <w:t xml:space="preserve">, </w:t>
      </w:r>
      <w:r w:rsidR="004444EF" w:rsidRPr="004444EF">
        <w:t>Public Notice, DA 16-</w:t>
      </w:r>
      <w:r w:rsidR="004444EF">
        <w:t>1</w:t>
      </w:r>
      <w:r w:rsidR="004444EF" w:rsidRPr="004444EF">
        <w:t>380</w:t>
      </w:r>
      <w:r w:rsidR="007B0699" w:rsidRPr="004444EF">
        <w:t xml:space="preserve"> (WCB </w:t>
      </w:r>
      <w:r w:rsidR="004444EF" w:rsidRPr="004444EF">
        <w:t xml:space="preserve">Dec. 14, </w:t>
      </w:r>
      <w:r w:rsidR="007B0699" w:rsidRPr="004444EF">
        <w:t>2016)</w:t>
      </w:r>
      <w:r w:rsidR="00224E6A">
        <w:rPr>
          <w:color w:val="000000"/>
        </w:rPr>
        <w:t xml:space="preserve"> </w:t>
      </w:r>
      <w:r w:rsidR="00C92292">
        <w:rPr>
          <w:color w:val="000000"/>
        </w:rPr>
        <w:t xml:space="preserve"> </w:t>
      </w:r>
      <w:r w:rsidR="00A77FF2">
        <w:rPr>
          <w:color w:val="000000"/>
        </w:rPr>
        <w:t xml:space="preserve"> </w:t>
      </w:r>
      <w:r w:rsidR="003867C1">
        <w:rPr>
          <w:color w:val="000000"/>
        </w:rPr>
        <w:t xml:space="preserve"> </w:t>
      </w:r>
      <w:r w:rsidR="007B0699" w:rsidRPr="004444EF">
        <w:t>.</w:t>
      </w:r>
    </w:p>
  </w:footnote>
  <w:footnote w:id="6">
    <w:p w:rsidR="00834342" w:rsidRDefault="00834342" w:rsidP="00834342">
      <w:pPr>
        <w:pStyle w:val="FootnoteText"/>
      </w:pPr>
      <w:r>
        <w:rPr>
          <w:rStyle w:val="FootnoteReference"/>
        </w:rPr>
        <w:footnoteRef/>
      </w:r>
      <w:r>
        <w:t xml:space="preserve"> Petition to Adopt Conditions to Authorizations a</w:t>
      </w:r>
      <w:r w:rsidR="00082393">
        <w:t>nd Licenses, WC Docket No. 16-388</w:t>
      </w:r>
      <w:r>
        <w:t xml:space="preserve"> and File No</w:t>
      </w:r>
      <w:r w:rsidR="00082393">
        <w:t>s</w:t>
      </w:r>
      <w:r>
        <w:t xml:space="preserve">. </w:t>
      </w:r>
      <w:r w:rsidR="00082393">
        <w:t>ITC-T/C-201611-00295 and SCL-T/C-20161111-00021 (filed Jan. 5, 2017</w:t>
      </w:r>
      <w:r>
        <w:t>).</w:t>
      </w:r>
      <w:r w:rsidR="00082393">
        <w:t xml:space="preserve">  </w:t>
      </w:r>
    </w:p>
  </w:footnote>
  <w:footnote w:id="7">
    <w:p w:rsidR="00834342" w:rsidRPr="00F958B2" w:rsidRDefault="00834342" w:rsidP="00834342">
      <w:pPr>
        <w:pStyle w:val="FootnoteText"/>
      </w:pPr>
      <w:r>
        <w:rPr>
          <w:rStyle w:val="FootnoteReference"/>
        </w:rPr>
        <w:footnoteRef/>
      </w:r>
      <w:r>
        <w:t xml:space="preserve"> </w:t>
      </w:r>
      <w:r>
        <w:rPr>
          <w:i/>
        </w:rPr>
        <w:t>Id</w:t>
      </w:r>
      <w:r>
        <w:t>. at 1.</w:t>
      </w:r>
      <w:r w:rsidR="00F958B2">
        <w:t xml:space="preserve">  The Petition refers collectively to the </w:t>
      </w:r>
      <w:r w:rsidR="004E1DBA">
        <w:t xml:space="preserve">U.S. </w:t>
      </w:r>
      <w:r w:rsidR="00F958B2">
        <w:t xml:space="preserve">Department of Homeland Security, </w:t>
      </w:r>
      <w:r w:rsidR="004E1DBA">
        <w:t xml:space="preserve">U.S. </w:t>
      </w:r>
      <w:r w:rsidR="00F958B2">
        <w:t xml:space="preserve">Department of Justice, and </w:t>
      </w:r>
      <w:r w:rsidR="004E1DBA">
        <w:t xml:space="preserve">U.S. </w:t>
      </w:r>
      <w:r w:rsidR="00F958B2">
        <w:t xml:space="preserve">Department of Defense as the “USG Agencies.”  </w:t>
      </w:r>
      <w:r w:rsidR="00F958B2">
        <w:rPr>
          <w:i/>
        </w:rPr>
        <w:t>Id</w:t>
      </w:r>
      <w:r w:rsidR="00F958B2">
        <w:t>.</w:t>
      </w:r>
    </w:p>
  </w:footnote>
  <w:footnote w:id="8">
    <w:p w:rsidR="00834342" w:rsidRDefault="00834342" w:rsidP="00834342">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 w:id="9">
    <w:p w:rsidR="00C42190" w:rsidRDefault="00C42190">
      <w:pPr>
        <w:pStyle w:val="FootnoteText"/>
      </w:pPr>
      <w:r>
        <w:rPr>
          <w:rStyle w:val="FootnoteReference"/>
        </w:rPr>
        <w:footnoteRef/>
      </w:r>
      <w:r>
        <w:t xml:space="preserve"> </w:t>
      </w:r>
      <w:r w:rsidR="00905293">
        <w:t>47 CFR</w:t>
      </w:r>
      <w:r>
        <w:t xml:space="preserve"> § 63.03(b).</w:t>
      </w:r>
    </w:p>
  </w:footnote>
  <w:footnote w:id="10">
    <w:p w:rsidR="0017145C" w:rsidRDefault="0017145C" w:rsidP="0017145C">
      <w:pPr>
        <w:pStyle w:val="FootnoteText"/>
        <w:rPr>
          <w:color w:val="000000"/>
        </w:rPr>
      </w:pPr>
      <w:r>
        <w:rPr>
          <w:rStyle w:val="FootnoteReference"/>
          <w:color w:val="000000"/>
        </w:rPr>
        <w:footnoteRef/>
      </w:r>
      <w:r w:rsidR="00905293">
        <w:rPr>
          <w:color w:val="000000"/>
        </w:rPr>
        <w:t xml:space="preserve"> 47 CFR</w:t>
      </w:r>
      <w:r>
        <w:rPr>
          <w:color w:val="000000"/>
        </w:rPr>
        <w:t xml:space="preserve">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4B" w:rsidRDefault="00C95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4B" w:rsidRDefault="00C95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076BC9"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D47505" w:rsidRPr="00B338A9">
      <w:t>PUBLIC NOTICE</w:t>
    </w:r>
  </w:p>
  <w:p w:rsidR="00D47505" w:rsidRDefault="00076BC9" w:rsidP="00B338A9">
    <w:pPr>
      <w:pStyle w:val="Header"/>
    </w:pPr>
    <w:r>
      <w:rPr>
        <w:noProof/>
      </w:rPr>
      <w:pict>
        <v:line id="Line 4" o:spid="_x0000_s2050" style="position:absolute;z-index:251657216;visibility:visible;mso-position-horizontal:right;mso-position-horizontal-relative:margin" from="1250.4pt,56.7pt" to="1718.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3" w:name="_Hlt233824"/>
                <w:r w:rsidR="007F413A">
                  <w:rPr>
                    <w:rFonts w:ascii="Arial" w:hAnsi="Arial"/>
                    <w:b/>
                    <w:sz w:val="16"/>
                  </w:rPr>
                  <w:fldChar w:fldCharType="begin"/>
                </w:r>
                <w:r w:rsidR="00076BC9">
                  <w:rPr>
                    <w:rFonts w:ascii="Arial" w:hAnsi="Arial"/>
                    <w:b/>
                    <w:sz w:val="16"/>
                  </w:rPr>
                  <w:instrText>HYPERLINK "https://www.fcc.gov/"</w:instrText>
                </w:r>
                <w:r w:rsidR="00076BC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203B5"/>
    <w:rsid w:val="00036039"/>
    <w:rsid w:val="000378FE"/>
    <w:rsid w:val="00037F90"/>
    <w:rsid w:val="00076BC9"/>
    <w:rsid w:val="00082393"/>
    <w:rsid w:val="00084D40"/>
    <w:rsid w:val="000875BF"/>
    <w:rsid w:val="00096D8C"/>
    <w:rsid w:val="000A6F9D"/>
    <w:rsid w:val="000C0B65"/>
    <w:rsid w:val="000E05FE"/>
    <w:rsid w:val="000E3D42"/>
    <w:rsid w:val="000F6BCE"/>
    <w:rsid w:val="001170B5"/>
    <w:rsid w:val="00122BD5"/>
    <w:rsid w:val="00133F79"/>
    <w:rsid w:val="00150D30"/>
    <w:rsid w:val="0017145C"/>
    <w:rsid w:val="001745E1"/>
    <w:rsid w:val="001761B2"/>
    <w:rsid w:val="00182653"/>
    <w:rsid w:val="00184294"/>
    <w:rsid w:val="00192AF3"/>
    <w:rsid w:val="00194A66"/>
    <w:rsid w:val="001C7BBB"/>
    <w:rsid w:val="001D6BCF"/>
    <w:rsid w:val="001E01CA"/>
    <w:rsid w:val="00210E37"/>
    <w:rsid w:val="00224E6A"/>
    <w:rsid w:val="00266CB2"/>
    <w:rsid w:val="00275CF5"/>
    <w:rsid w:val="0028301F"/>
    <w:rsid w:val="00285017"/>
    <w:rsid w:val="002A2D2E"/>
    <w:rsid w:val="002C00E8"/>
    <w:rsid w:val="002D633D"/>
    <w:rsid w:val="00343749"/>
    <w:rsid w:val="00363648"/>
    <w:rsid w:val="003660ED"/>
    <w:rsid w:val="00381F3E"/>
    <w:rsid w:val="003867C1"/>
    <w:rsid w:val="003A783A"/>
    <w:rsid w:val="003B0550"/>
    <w:rsid w:val="003B694F"/>
    <w:rsid w:val="003F171C"/>
    <w:rsid w:val="00412FC5"/>
    <w:rsid w:val="00422276"/>
    <w:rsid w:val="004242F1"/>
    <w:rsid w:val="004444EF"/>
    <w:rsid w:val="00445A00"/>
    <w:rsid w:val="00451B0F"/>
    <w:rsid w:val="00470A5D"/>
    <w:rsid w:val="00481C18"/>
    <w:rsid w:val="0048414D"/>
    <w:rsid w:val="00494058"/>
    <w:rsid w:val="004C2EE3"/>
    <w:rsid w:val="004E1DBA"/>
    <w:rsid w:val="004E4A22"/>
    <w:rsid w:val="004F7405"/>
    <w:rsid w:val="00510A23"/>
    <w:rsid w:val="00511968"/>
    <w:rsid w:val="005550F0"/>
    <w:rsid w:val="0055614C"/>
    <w:rsid w:val="0059123F"/>
    <w:rsid w:val="005921A5"/>
    <w:rsid w:val="005D7FF0"/>
    <w:rsid w:val="005E14C2"/>
    <w:rsid w:val="00607919"/>
    <w:rsid w:val="00607BA5"/>
    <w:rsid w:val="0061180A"/>
    <w:rsid w:val="006166B4"/>
    <w:rsid w:val="00626EB6"/>
    <w:rsid w:val="00655D03"/>
    <w:rsid w:val="0068229C"/>
    <w:rsid w:val="00683388"/>
    <w:rsid w:val="00683F84"/>
    <w:rsid w:val="00690FF6"/>
    <w:rsid w:val="006A1F49"/>
    <w:rsid w:val="006A6A81"/>
    <w:rsid w:val="006B1456"/>
    <w:rsid w:val="006F7393"/>
    <w:rsid w:val="0070224F"/>
    <w:rsid w:val="007115F7"/>
    <w:rsid w:val="0073741A"/>
    <w:rsid w:val="00742E75"/>
    <w:rsid w:val="00774FDC"/>
    <w:rsid w:val="00785689"/>
    <w:rsid w:val="0079754B"/>
    <w:rsid w:val="007A1E6D"/>
    <w:rsid w:val="007B0699"/>
    <w:rsid w:val="007B0EB2"/>
    <w:rsid w:val="007B5773"/>
    <w:rsid w:val="007D0528"/>
    <w:rsid w:val="007D568C"/>
    <w:rsid w:val="007F413A"/>
    <w:rsid w:val="0080132D"/>
    <w:rsid w:val="00810B6F"/>
    <w:rsid w:val="00822CE0"/>
    <w:rsid w:val="00834342"/>
    <w:rsid w:val="00841AB1"/>
    <w:rsid w:val="00866C48"/>
    <w:rsid w:val="00866E5C"/>
    <w:rsid w:val="00881426"/>
    <w:rsid w:val="00890BD3"/>
    <w:rsid w:val="008A4853"/>
    <w:rsid w:val="008C5D67"/>
    <w:rsid w:val="008C68F1"/>
    <w:rsid w:val="00905293"/>
    <w:rsid w:val="00921803"/>
    <w:rsid w:val="00926503"/>
    <w:rsid w:val="009458AA"/>
    <w:rsid w:val="009726D8"/>
    <w:rsid w:val="00982136"/>
    <w:rsid w:val="009B5568"/>
    <w:rsid w:val="009F76DB"/>
    <w:rsid w:val="00A17DB5"/>
    <w:rsid w:val="00A32C3B"/>
    <w:rsid w:val="00A45F4F"/>
    <w:rsid w:val="00A55390"/>
    <w:rsid w:val="00A600A9"/>
    <w:rsid w:val="00A77FF2"/>
    <w:rsid w:val="00A94510"/>
    <w:rsid w:val="00A96C5B"/>
    <w:rsid w:val="00AA0006"/>
    <w:rsid w:val="00AA55B7"/>
    <w:rsid w:val="00AA5B9E"/>
    <w:rsid w:val="00AA7A3F"/>
    <w:rsid w:val="00AB2407"/>
    <w:rsid w:val="00AB53DF"/>
    <w:rsid w:val="00AC424B"/>
    <w:rsid w:val="00AF46DC"/>
    <w:rsid w:val="00B07E5C"/>
    <w:rsid w:val="00B20363"/>
    <w:rsid w:val="00B338A9"/>
    <w:rsid w:val="00B679AB"/>
    <w:rsid w:val="00B76DB8"/>
    <w:rsid w:val="00B811F7"/>
    <w:rsid w:val="00BA5DC6"/>
    <w:rsid w:val="00BA6196"/>
    <w:rsid w:val="00BC2965"/>
    <w:rsid w:val="00BC4A89"/>
    <w:rsid w:val="00BC6D8C"/>
    <w:rsid w:val="00C003DB"/>
    <w:rsid w:val="00C34006"/>
    <w:rsid w:val="00C42190"/>
    <w:rsid w:val="00C426B1"/>
    <w:rsid w:val="00C45CAC"/>
    <w:rsid w:val="00C66160"/>
    <w:rsid w:val="00C721AC"/>
    <w:rsid w:val="00C90D6A"/>
    <w:rsid w:val="00C92292"/>
    <w:rsid w:val="00C95F4B"/>
    <w:rsid w:val="00CA247E"/>
    <w:rsid w:val="00CC72B6"/>
    <w:rsid w:val="00CC776F"/>
    <w:rsid w:val="00D0218D"/>
    <w:rsid w:val="00D12978"/>
    <w:rsid w:val="00D20351"/>
    <w:rsid w:val="00D22E95"/>
    <w:rsid w:val="00D25FB5"/>
    <w:rsid w:val="00D44223"/>
    <w:rsid w:val="00D47505"/>
    <w:rsid w:val="00D77109"/>
    <w:rsid w:val="00DA2529"/>
    <w:rsid w:val="00DB130A"/>
    <w:rsid w:val="00DB2EBB"/>
    <w:rsid w:val="00DC10A1"/>
    <w:rsid w:val="00DC655F"/>
    <w:rsid w:val="00DD0B59"/>
    <w:rsid w:val="00DD7EBD"/>
    <w:rsid w:val="00DE4C8D"/>
    <w:rsid w:val="00DF0810"/>
    <w:rsid w:val="00DF62B6"/>
    <w:rsid w:val="00E07225"/>
    <w:rsid w:val="00E11C94"/>
    <w:rsid w:val="00E2630E"/>
    <w:rsid w:val="00E415F4"/>
    <w:rsid w:val="00E5409F"/>
    <w:rsid w:val="00EB4ACC"/>
    <w:rsid w:val="00EE6488"/>
    <w:rsid w:val="00F021FA"/>
    <w:rsid w:val="00F221D2"/>
    <w:rsid w:val="00F30F76"/>
    <w:rsid w:val="00F315AF"/>
    <w:rsid w:val="00F62E97"/>
    <w:rsid w:val="00F64209"/>
    <w:rsid w:val="00F8591E"/>
    <w:rsid w:val="00F86795"/>
    <w:rsid w:val="00F93BF5"/>
    <w:rsid w:val="00F958B2"/>
    <w:rsid w:val="00FA41B6"/>
    <w:rsid w:val="00FB7AEF"/>
    <w:rsid w:val="00FC4E67"/>
    <w:rsid w:val="00FD6129"/>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17145C"/>
  </w:style>
  <w:style w:type="character" w:styleId="CommentReference">
    <w:name w:val="annotation reference"/>
    <w:semiHidden/>
    <w:unhideWhenUsed/>
    <w:rsid w:val="00D20351"/>
    <w:rPr>
      <w:sz w:val="16"/>
      <w:szCs w:val="16"/>
    </w:rPr>
  </w:style>
  <w:style w:type="paragraph" w:styleId="CommentText">
    <w:name w:val="annotation text"/>
    <w:basedOn w:val="Normal"/>
    <w:link w:val="CommentTextChar"/>
    <w:semiHidden/>
    <w:unhideWhenUsed/>
    <w:rsid w:val="00D20351"/>
    <w:rPr>
      <w:sz w:val="20"/>
    </w:rPr>
  </w:style>
  <w:style w:type="character" w:customStyle="1" w:styleId="CommentTextChar">
    <w:name w:val="Comment Text Char"/>
    <w:link w:val="CommentText"/>
    <w:semiHidden/>
    <w:rsid w:val="00D20351"/>
    <w:rPr>
      <w:snapToGrid w:val="0"/>
      <w:kern w:val="28"/>
    </w:rPr>
  </w:style>
  <w:style w:type="paragraph" w:styleId="CommentSubject">
    <w:name w:val="annotation subject"/>
    <w:basedOn w:val="CommentText"/>
    <w:next w:val="CommentText"/>
    <w:link w:val="CommentSubjectChar"/>
    <w:semiHidden/>
    <w:unhideWhenUsed/>
    <w:rsid w:val="00D20351"/>
    <w:rPr>
      <w:b/>
      <w:bCs/>
    </w:rPr>
  </w:style>
  <w:style w:type="character" w:customStyle="1" w:styleId="CommentSubjectChar">
    <w:name w:val="Comment Subject Char"/>
    <w:link w:val="CommentSubject"/>
    <w:semiHidden/>
    <w:rsid w:val="00D2035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681</Words>
  <Characters>3771</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4473</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2016-08-26T14:25:00Z</cp:lastPrinted>
  <dcterms:created xsi:type="dcterms:W3CDTF">2017-01-06T16:16:00Z</dcterms:created>
  <dcterms:modified xsi:type="dcterms:W3CDTF">2017-01-06T16:16:00Z</dcterms:modified>
  <cp:category> </cp:category>
  <cp:contentStatus> </cp:contentStatus>
</cp:coreProperties>
</file>