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0A2D9" w14:textId="2D1C2959" w:rsidR="004C4A71" w:rsidRPr="004C4A71" w:rsidRDefault="004C4A71" w:rsidP="004C4A71">
      <w:pPr>
        <w:tabs>
          <w:tab w:val="left" w:pos="6480"/>
        </w:tabs>
        <w:ind w:left="5760" w:firstLine="720"/>
        <w:rPr>
          <w:sz w:val="22"/>
          <w:szCs w:val="22"/>
        </w:rPr>
      </w:pPr>
      <w:bookmarkStart w:id="0" w:name="_GoBack"/>
      <w:bookmarkEnd w:id="0"/>
      <w:r w:rsidRPr="004C4A71">
        <w:rPr>
          <w:sz w:val="22"/>
          <w:szCs w:val="22"/>
        </w:rPr>
        <w:t xml:space="preserve">DA </w:t>
      </w:r>
      <w:r w:rsidR="00EA7F54">
        <w:rPr>
          <w:sz w:val="22"/>
          <w:szCs w:val="22"/>
        </w:rPr>
        <w:t>17-307</w:t>
      </w:r>
    </w:p>
    <w:p w14:paraId="47F9B542" w14:textId="03EEBBC5" w:rsidR="004C4A71" w:rsidRDefault="004C4A71" w:rsidP="004C4A71">
      <w:pPr>
        <w:tabs>
          <w:tab w:val="left" w:pos="6480"/>
        </w:tabs>
        <w:ind w:left="5760" w:firstLine="720"/>
        <w:rPr>
          <w:sz w:val="22"/>
          <w:szCs w:val="22"/>
        </w:rPr>
      </w:pPr>
      <w:r w:rsidRPr="004C4A71">
        <w:rPr>
          <w:sz w:val="22"/>
          <w:szCs w:val="22"/>
        </w:rPr>
        <w:t xml:space="preserve">Released:  </w:t>
      </w:r>
      <w:r w:rsidR="00EA7F54">
        <w:rPr>
          <w:sz w:val="22"/>
          <w:szCs w:val="22"/>
        </w:rPr>
        <w:t>March 31, 2017</w:t>
      </w:r>
      <w:r w:rsidRPr="004C4A71">
        <w:rPr>
          <w:sz w:val="22"/>
          <w:szCs w:val="22"/>
        </w:rPr>
        <w:t xml:space="preserve"> </w:t>
      </w:r>
    </w:p>
    <w:p w14:paraId="39ABBAEE" w14:textId="77777777" w:rsidR="004C4A71" w:rsidRDefault="004C4A71" w:rsidP="004C4A71">
      <w:pPr>
        <w:tabs>
          <w:tab w:val="left" w:pos="6480"/>
        </w:tabs>
        <w:ind w:left="5760" w:firstLine="720"/>
        <w:rPr>
          <w:sz w:val="22"/>
          <w:szCs w:val="22"/>
        </w:rPr>
      </w:pPr>
    </w:p>
    <w:p w14:paraId="30DB47E7" w14:textId="51AB74C6" w:rsidR="005A1CF0" w:rsidRPr="00826CB1" w:rsidRDefault="005A1CF0" w:rsidP="004C4A71">
      <w:pPr>
        <w:tabs>
          <w:tab w:val="left" w:pos="6480"/>
        </w:tabs>
        <w:ind w:left="5760" w:firstLine="720"/>
        <w:rPr>
          <w:sz w:val="22"/>
          <w:szCs w:val="22"/>
        </w:rPr>
      </w:pPr>
      <w:r w:rsidRPr="00826CB1">
        <w:rPr>
          <w:sz w:val="22"/>
          <w:szCs w:val="22"/>
        </w:rPr>
        <w:t>In Reply Refer To:</w:t>
      </w:r>
    </w:p>
    <w:p w14:paraId="676239EA" w14:textId="77777777" w:rsidR="005A1CF0" w:rsidRPr="001330FC" w:rsidRDefault="005A1CF0" w:rsidP="005A1CF0">
      <w:pPr>
        <w:tabs>
          <w:tab w:val="left" w:pos="6480"/>
        </w:tabs>
        <w:ind w:firstLine="720"/>
        <w:rPr>
          <w:sz w:val="20"/>
        </w:rPr>
      </w:pPr>
      <w:r w:rsidRPr="00826CB1">
        <w:rPr>
          <w:sz w:val="22"/>
          <w:szCs w:val="22"/>
        </w:rPr>
        <w:tab/>
        <w:t>1800B3</w:t>
      </w:r>
      <w:r w:rsidR="00141F4C">
        <w:rPr>
          <w:sz w:val="22"/>
          <w:szCs w:val="22"/>
        </w:rPr>
        <w:t>-</w:t>
      </w:r>
      <w:r w:rsidR="00C220D6">
        <w:rPr>
          <w:sz w:val="22"/>
          <w:szCs w:val="22"/>
        </w:rPr>
        <w:t>JM</w:t>
      </w:r>
    </w:p>
    <w:p w14:paraId="3E54AD69" w14:textId="77777777" w:rsidR="005A1CF0" w:rsidRPr="00826CB1" w:rsidRDefault="005A1CF0" w:rsidP="005A1CF0">
      <w:pPr>
        <w:tabs>
          <w:tab w:val="left" w:pos="6480"/>
        </w:tabs>
        <w:ind w:firstLine="720"/>
        <w:rPr>
          <w:sz w:val="22"/>
          <w:szCs w:val="22"/>
        </w:rPr>
      </w:pPr>
      <w:r w:rsidRPr="001330FC">
        <w:rPr>
          <w:sz w:val="20"/>
        </w:rPr>
        <w:tab/>
      </w:r>
    </w:p>
    <w:p w14:paraId="518D6218" w14:textId="77777777" w:rsidR="005A1CF0" w:rsidRPr="00BF6E82" w:rsidRDefault="005A1CF0" w:rsidP="005A1CF0">
      <w:pPr>
        <w:tabs>
          <w:tab w:val="left" w:pos="6480"/>
        </w:tabs>
        <w:rPr>
          <w:b/>
          <w:sz w:val="20"/>
          <w:u w:val="single"/>
        </w:rPr>
      </w:pPr>
    </w:p>
    <w:p w14:paraId="37F92177" w14:textId="7DFCA8BE" w:rsidR="00E07DC5" w:rsidRPr="00E07DC5" w:rsidRDefault="00E07DC5" w:rsidP="00E07DC5">
      <w:pPr>
        <w:rPr>
          <w:sz w:val="22"/>
          <w:szCs w:val="22"/>
        </w:rPr>
      </w:pPr>
      <w:r w:rsidRPr="00E07DC5">
        <w:rPr>
          <w:sz w:val="22"/>
          <w:szCs w:val="22"/>
        </w:rPr>
        <w:t>Ernest T. Sanchez</w:t>
      </w:r>
      <w:r w:rsidR="008B4964">
        <w:rPr>
          <w:sz w:val="22"/>
          <w:szCs w:val="22"/>
        </w:rPr>
        <w:t>, Esq.</w:t>
      </w:r>
    </w:p>
    <w:p w14:paraId="6B859789" w14:textId="77777777" w:rsidR="00E07DC5" w:rsidRPr="00E07DC5" w:rsidRDefault="00E07DC5" w:rsidP="00E07DC5">
      <w:pPr>
        <w:rPr>
          <w:sz w:val="22"/>
          <w:szCs w:val="22"/>
        </w:rPr>
      </w:pPr>
      <w:r w:rsidRPr="00E07DC5">
        <w:rPr>
          <w:sz w:val="22"/>
          <w:szCs w:val="22"/>
        </w:rPr>
        <w:t>The Sanchez Law Firm, P.C.</w:t>
      </w:r>
    </w:p>
    <w:p w14:paraId="7F1363A5" w14:textId="77777777" w:rsidR="00E07DC5" w:rsidRPr="00E07DC5" w:rsidRDefault="00E07DC5" w:rsidP="00E07DC5">
      <w:pPr>
        <w:rPr>
          <w:sz w:val="22"/>
          <w:szCs w:val="22"/>
        </w:rPr>
      </w:pPr>
      <w:r w:rsidRPr="00E07DC5">
        <w:rPr>
          <w:sz w:val="22"/>
          <w:szCs w:val="22"/>
        </w:rPr>
        <w:t>1155 F Street NW, Suite 1050</w:t>
      </w:r>
    </w:p>
    <w:p w14:paraId="25E29AF8" w14:textId="77777777" w:rsidR="005A1CF0" w:rsidRPr="00BD68B0" w:rsidRDefault="00E07DC5" w:rsidP="00E07DC5">
      <w:pPr>
        <w:rPr>
          <w:sz w:val="22"/>
          <w:szCs w:val="22"/>
        </w:rPr>
      </w:pPr>
      <w:r w:rsidRPr="00E07DC5">
        <w:rPr>
          <w:sz w:val="22"/>
          <w:szCs w:val="22"/>
        </w:rPr>
        <w:t>Washington, DC 20004</w:t>
      </w:r>
      <w:r w:rsidRPr="00E07DC5">
        <w:rPr>
          <w:sz w:val="22"/>
          <w:szCs w:val="22"/>
        </w:rPr>
        <w:tab/>
      </w:r>
    </w:p>
    <w:p w14:paraId="015FD079" w14:textId="77777777" w:rsidR="005A1CF0" w:rsidRPr="00D76F8A" w:rsidRDefault="005A1CF0" w:rsidP="005A1CF0">
      <w:pPr>
        <w:rPr>
          <w:sz w:val="22"/>
          <w:szCs w:val="22"/>
        </w:rPr>
      </w:pPr>
    </w:p>
    <w:p w14:paraId="53CD6428" w14:textId="6597371E" w:rsidR="00877D93" w:rsidRPr="00D76F8A" w:rsidRDefault="005A1CF0" w:rsidP="00407473">
      <w:pPr>
        <w:tabs>
          <w:tab w:val="left" w:pos="4320"/>
          <w:tab w:val="left" w:pos="4590"/>
        </w:tabs>
        <w:ind w:left="720"/>
        <w:rPr>
          <w:b/>
          <w:sz w:val="22"/>
          <w:szCs w:val="22"/>
        </w:rPr>
      </w:pPr>
      <w:r w:rsidRPr="00D76F8A">
        <w:rPr>
          <w:sz w:val="22"/>
          <w:szCs w:val="22"/>
        </w:rPr>
        <w:t xml:space="preserve">                                                                   </w:t>
      </w:r>
      <w:r w:rsidRPr="00D76F8A">
        <w:rPr>
          <w:sz w:val="22"/>
          <w:szCs w:val="22"/>
        </w:rPr>
        <w:tab/>
      </w:r>
      <w:r w:rsidRPr="00D76F8A">
        <w:rPr>
          <w:b/>
          <w:sz w:val="22"/>
          <w:szCs w:val="22"/>
        </w:rPr>
        <w:t xml:space="preserve">In re:  </w:t>
      </w:r>
      <w:r w:rsidR="00407473">
        <w:rPr>
          <w:b/>
          <w:sz w:val="22"/>
          <w:szCs w:val="22"/>
        </w:rPr>
        <w:t xml:space="preserve">  </w:t>
      </w:r>
      <w:r w:rsidR="000659C2">
        <w:rPr>
          <w:b/>
          <w:sz w:val="22"/>
          <w:szCs w:val="22"/>
        </w:rPr>
        <w:t xml:space="preserve"> </w:t>
      </w:r>
      <w:r w:rsidR="00E07DC5" w:rsidRPr="00C220D6">
        <w:rPr>
          <w:rStyle w:val="Style1"/>
          <w:sz w:val="22"/>
          <w:szCs w:val="22"/>
        </w:rPr>
        <w:t>K258AO</w:t>
      </w:r>
      <w:r w:rsidR="00E126AC" w:rsidRPr="00C220D6">
        <w:rPr>
          <w:b/>
          <w:sz w:val="22"/>
          <w:szCs w:val="22"/>
        </w:rPr>
        <w:t xml:space="preserve">, </w:t>
      </w:r>
      <w:r w:rsidR="00E07DC5" w:rsidRPr="00C220D6">
        <w:rPr>
          <w:rStyle w:val="Style1"/>
          <w:sz w:val="22"/>
          <w:szCs w:val="22"/>
        </w:rPr>
        <w:t>Midland, TX</w:t>
      </w:r>
    </w:p>
    <w:p w14:paraId="09884733" w14:textId="77777777" w:rsidR="00877D93" w:rsidRPr="00D76F8A" w:rsidRDefault="00877D93" w:rsidP="00877D93">
      <w:pPr>
        <w:tabs>
          <w:tab w:val="left" w:pos="5040"/>
        </w:tabs>
        <w:ind w:left="720"/>
        <w:rPr>
          <w:sz w:val="22"/>
          <w:szCs w:val="22"/>
        </w:rPr>
      </w:pPr>
      <w:r w:rsidRPr="00D76F8A">
        <w:rPr>
          <w:sz w:val="22"/>
          <w:szCs w:val="22"/>
        </w:rPr>
        <w:t xml:space="preserve">                                                </w:t>
      </w:r>
      <w:r w:rsidR="00407473">
        <w:rPr>
          <w:sz w:val="22"/>
          <w:szCs w:val="22"/>
        </w:rPr>
        <w:t xml:space="preserve">                                     </w:t>
      </w:r>
      <w:r w:rsidRPr="00D76F8A">
        <w:rPr>
          <w:sz w:val="22"/>
          <w:szCs w:val="22"/>
        </w:rPr>
        <w:t xml:space="preserve">Facility ID No. </w:t>
      </w:r>
      <w:r w:rsidR="00E07DC5">
        <w:rPr>
          <w:sz w:val="22"/>
          <w:szCs w:val="22"/>
        </w:rPr>
        <w:t>18340</w:t>
      </w:r>
    </w:p>
    <w:p w14:paraId="4C202759" w14:textId="77777777" w:rsidR="005A1CF0" w:rsidRDefault="00407473" w:rsidP="00407473">
      <w:pPr>
        <w:tabs>
          <w:tab w:val="left" w:pos="4680"/>
          <w:tab w:val="left" w:pos="5040"/>
        </w:tabs>
        <w:rPr>
          <w:sz w:val="22"/>
          <w:szCs w:val="22"/>
        </w:rPr>
      </w:pPr>
      <w:r>
        <w:rPr>
          <w:sz w:val="22"/>
          <w:szCs w:val="22"/>
        </w:rPr>
        <w:tab/>
        <w:t xml:space="preserve">             </w:t>
      </w:r>
      <w:r w:rsidR="00141F4C">
        <w:rPr>
          <w:sz w:val="22"/>
          <w:szCs w:val="22"/>
        </w:rPr>
        <w:t xml:space="preserve">File No. </w:t>
      </w:r>
      <w:r w:rsidR="00E07DC5">
        <w:rPr>
          <w:sz w:val="22"/>
          <w:szCs w:val="22"/>
        </w:rPr>
        <w:t>BMPFT-20141001CIG</w:t>
      </w:r>
    </w:p>
    <w:p w14:paraId="0892678A" w14:textId="77777777" w:rsidR="005834B6" w:rsidRDefault="005834B6" w:rsidP="00FD5136">
      <w:pPr>
        <w:tabs>
          <w:tab w:val="left" w:pos="4680"/>
          <w:tab w:val="left" w:pos="5040"/>
        </w:tabs>
        <w:ind w:left="5760"/>
        <w:rPr>
          <w:sz w:val="22"/>
          <w:szCs w:val="22"/>
        </w:rPr>
      </w:pPr>
    </w:p>
    <w:p w14:paraId="739AC351" w14:textId="77777777" w:rsidR="005A1CF0" w:rsidRPr="00C220D6" w:rsidRDefault="00E07DC5" w:rsidP="00407473">
      <w:pPr>
        <w:tabs>
          <w:tab w:val="left" w:pos="4680"/>
          <w:tab w:val="left" w:pos="5040"/>
        </w:tabs>
        <w:ind w:left="5400"/>
        <w:rPr>
          <w:b/>
          <w:sz w:val="20"/>
          <w:szCs w:val="22"/>
        </w:rPr>
      </w:pPr>
      <w:r w:rsidRPr="00C220D6">
        <w:rPr>
          <w:rStyle w:val="Style1"/>
          <w:sz w:val="22"/>
        </w:rPr>
        <w:t>Petition for Reconsideration</w:t>
      </w:r>
    </w:p>
    <w:p w14:paraId="1343DE62" w14:textId="77777777" w:rsidR="005A1CF0" w:rsidRPr="005D407D" w:rsidRDefault="005A1CF0" w:rsidP="005A1CF0">
      <w:pPr>
        <w:tabs>
          <w:tab w:val="left" w:pos="4680"/>
          <w:tab w:val="left" w:pos="5040"/>
        </w:tabs>
        <w:rPr>
          <w:sz w:val="22"/>
          <w:szCs w:val="22"/>
        </w:rPr>
      </w:pPr>
      <w:r w:rsidRPr="005D407D">
        <w:rPr>
          <w:sz w:val="22"/>
          <w:szCs w:val="22"/>
        </w:rPr>
        <w:tab/>
      </w:r>
      <w:r w:rsidRPr="005D407D">
        <w:rPr>
          <w:sz w:val="22"/>
          <w:szCs w:val="22"/>
        </w:rPr>
        <w:tab/>
      </w:r>
    </w:p>
    <w:p w14:paraId="2DB71511" w14:textId="77777777" w:rsidR="005A1CF0" w:rsidRPr="00C116A0" w:rsidRDefault="005A1CF0" w:rsidP="006F6EDE">
      <w:pPr>
        <w:tabs>
          <w:tab w:val="left" w:pos="6840"/>
        </w:tabs>
        <w:rPr>
          <w:sz w:val="22"/>
          <w:szCs w:val="22"/>
        </w:rPr>
      </w:pPr>
      <w:r w:rsidRPr="00C116A0">
        <w:rPr>
          <w:sz w:val="22"/>
          <w:szCs w:val="22"/>
        </w:rPr>
        <w:t xml:space="preserve"> Dear</w:t>
      </w:r>
      <w:r w:rsidR="00003CBA" w:rsidRPr="00C116A0">
        <w:rPr>
          <w:sz w:val="22"/>
          <w:szCs w:val="22"/>
        </w:rPr>
        <w:t xml:space="preserve"> </w:t>
      </w:r>
      <w:r w:rsidR="00E07DC5" w:rsidRPr="00C116A0">
        <w:rPr>
          <w:sz w:val="22"/>
          <w:szCs w:val="22"/>
        </w:rPr>
        <w:t>Mr. Sanchez</w:t>
      </w:r>
      <w:r w:rsidR="00407473" w:rsidRPr="00C116A0">
        <w:rPr>
          <w:sz w:val="22"/>
          <w:szCs w:val="22"/>
        </w:rPr>
        <w:t>:</w:t>
      </w:r>
    </w:p>
    <w:p w14:paraId="63B0013E" w14:textId="77777777" w:rsidR="005A1CF0" w:rsidRPr="00C116A0" w:rsidRDefault="005A1CF0" w:rsidP="006F6EDE">
      <w:pPr>
        <w:tabs>
          <w:tab w:val="left" w:pos="4680"/>
          <w:tab w:val="left" w:pos="5337"/>
        </w:tabs>
        <w:rPr>
          <w:sz w:val="22"/>
          <w:szCs w:val="22"/>
        </w:rPr>
      </w:pPr>
    </w:p>
    <w:p w14:paraId="722CA015" w14:textId="3D73A028" w:rsidR="00E07DC5" w:rsidRPr="00C116A0" w:rsidRDefault="00E07DC5" w:rsidP="006F6EDE">
      <w:pPr>
        <w:widowControl/>
        <w:ind w:firstLine="720"/>
        <w:rPr>
          <w:snapToGrid/>
          <w:sz w:val="22"/>
          <w:szCs w:val="22"/>
        </w:rPr>
      </w:pPr>
      <w:r w:rsidRPr="00C116A0">
        <w:rPr>
          <w:snapToGrid/>
          <w:sz w:val="22"/>
          <w:szCs w:val="22"/>
        </w:rPr>
        <w:t xml:space="preserve">The Media Bureau (Bureau) has before it a Petition for Reconsideration (Petition) filed November 16, 2015, by Eastern New Mexico University (ENMU), licensee of </w:t>
      </w:r>
      <w:r w:rsidR="00C73606" w:rsidRPr="00C116A0">
        <w:rPr>
          <w:snapToGrid/>
          <w:sz w:val="22"/>
          <w:szCs w:val="22"/>
        </w:rPr>
        <w:t>t</w:t>
      </w:r>
      <w:r w:rsidRPr="00C116A0">
        <w:rPr>
          <w:snapToGrid/>
          <w:sz w:val="22"/>
          <w:szCs w:val="22"/>
        </w:rPr>
        <w:t>ranslator</w:t>
      </w:r>
      <w:r w:rsidR="00C73606" w:rsidRPr="00C116A0">
        <w:rPr>
          <w:snapToGrid/>
          <w:sz w:val="22"/>
          <w:szCs w:val="22"/>
        </w:rPr>
        <w:t xml:space="preserve"> station</w:t>
      </w:r>
      <w:r w:rsidRPr="00C116A0">
        <w:rPr>
          <w:snapToGrid/>
          <w:sz w:val="22"/>
          <w:szCs w:val="22"/>
        </w:rPr>
        <w:t xml:space="preserve"> K258AO, Midlan</w:t>
      </w:r>
      <w:r w:rsidR="008F17D5" w:rsidRPr="00C116A0">
        <w:rPr>
          <w:snapToGrid/>
          <w:sz w:val="22"/>
          <w:szCs w:val="22"/>
        </w:rPr>
        <w:t>d, Texas</w:t>
      </w:r>
      <w:r w:rsidR="00904642" w:rsidRPr="00C116A0">
        <w:rPr>
          <w:snapToGrid/>
          <w:sz w:val="22"/>
          <w:szCs w:val="22"/>
        </w:rPr>
        <w:t xml:space="preserve"> (</w:t>
      </w:r>
      <w:r w:rsidR="00F507CB" w:rsidRPr="00C116A0">
        <w:rPr>
          <w:snapToGrid/>
          <w:sz w:val="22"/>
          <w:szCs w:val="22"/>
        </w:rPr>
        <w:t>K258AO or the Station</w:t>
      </w:r>
      <w:r w:rsidR="0074314E" w:rsidRPr="00C116A0">
        <w:rPr>
          <w:snapToGrid/>
          <w:sz w:val="22"/>
          <w:szCs w:val="22"/>
        </w:rPr>
        <w:t>)</w:t>
      </w:r>
      <w:r w:rsidRPr="00C116A0">
        <w:rPr>
          <w:snapToGrid/>
          <w:sz w:val="22"/>
          <w:szCs w:val="22"/>
        </w:rPr>
        <w:t xml:space="preserve">.  The Petition seeks reconsideration of the Bureau’s decision via </w:t>
      </w:r>
      <w:r w:rsidRPr="00C116A0">
        <w:rPr>
          <w:i/>
          <w:snapToGrid/>
          <w:sz w:val="22"/>
          <w:szCs w:val="22"/>
        </w:rPr>
        <w:t>Public Notice</w:t>
      </w:r>
      <w:r w:rsidRPr="00C116A0">
        <w:rPr>
          <w:snapToGrid/>
          <w:sz w:val="22"/>
          <w:szCs w:val="22"/>
          <w:vertAlign w:val="superscript"/>
        </w:rPr>
        <w:footnoteReference w:id="1"/>
      </w:r>
      <w:r w:rsidRPr="00C116A0">
        <w:rPr>
          <w:snapToGrid/>
          <w:sz w:val="22"/>
          <w:szCs w:val="22"/>
        </w:rPr>
        <w:t xml:space="preserve"> denying ENMU’s request for waiver of Section 74.1231 of the Commission’s rules (</w:t>
      </w:r>
      <w:r w:rsidR="005425CB" w:rsidRPr="00C116A0">
        <w:rPr>
          <w:snapToGrid/>
          <w:sz w:val="22"/>
          <w:szCs w:val="22"/>
        </w:rPr>
        <w:t>S</w:t>
      </w:r>
      <w:r w:rsidRPr="00C116A0">
        <w:rPr>
          <w:snapToGrid/>
          <w:sz w:val="22"/>
          <w:szCs w:val="22"/>
        </w:rPr>
        <w:t xml:space="preserve">ignal </w:t>
      </w:r>
      <w:r w:rsidR="005425CB" w:rsidRPr="00C116A0">
        <w:rPr>
          <w:snapToGrid/>
          <w:sz w:val="22"/>
          <w:szCs w:val="22"/>
        </w:rPr>
        <w:t>D</w:t>
      </w:r>
      <w:r w:rsidRPr="00C116A0">
        <w:rPr>
          <w:snapToGrid/>
          <w:sz w:val="22"/>
          <w:szCs w:val="22"/>
        </w:rPr>
        <w:t xml:space="preserve">elivery </w:t>
      </w:r>
      <w:r w:rsidR="005425CB" w:rsidRPr="00C116A0">
        <w:rPr>
          <w:snapToGrid/>
          <w:sz w:val="22"/>
          <w:szCs w:val="22"/>
        </w:rPr>
        <w:t>R</w:t>
      </w:r>
      <w:r w:rsidRPr="00C116A0">
        <w:rPr>
          <w:snapToGrid/>
          <w:sz w:val="22"/>
          <w:szCs w:val="22"/>
        </w:rPr>
        <w:t>ule)</w:t>
      </w:r>
      <w:r w:rsidR="0074314E" w:rsidRPr="00C116A0">
        <w:rPr>
          <w:rStyle w:val="FootnoteReference"/>
          <w:rFonts w:ascii="Times New Roman" w:hAnsi="Times New Roman"/>
          <w:snapToGrid/>
          <w:sz w:val="22"/>
          <w:szCs w:val="22"/>
        </w:rPr>
        <w:footnoteReference w:id="2"/>
      </w:r>
      <w:r w:rsidRPr="00C116A0">
        <w:rPr>
          <w:snapToGrid/>
          <w:sz w:val="22"/>
          <w:szCs w:val="22"/>
        </w:rPr>
        <w:t xml:space="preserve"> and dismissing the above </w:t>
      </w:r>
      <w:r w:rsidR="00C220D6" w:rsidRPr="00C116A0">
        <w:rPr>
          <w:snapToGrid/>
          <w:sz w:val="22"/>
          <w:szCs w:val="22"/>
        </w:rPr>
        <w:t>referenced</w:t>
      </w:r>
      <w:r w:rsidRPr="00C116A0">
        <w:rPr>
          <w:snapToGrid/>
          <w:sz w:val="22"/>
          <w:szCs w:val="22"/>
        </w:rPr>
        <w:t xml:space="preserve"> construction permit application</w:t>
      </w:r>
      <w:r w:rsidR="00904642" w:rsidRPr="00C116A0">
        <w:rPr>
          <w:snapToGrid/>
          <w:sz w:val="22"/>
          <w:szCs w:val="22"/>
        </w:rPr>
        <w:t xml:space="preserve"> (Application</w:t>
      </w:r>
      <w:r w:rsidR="00933D37" w:rsidRPr="00C116A0">
        <w:rPr>
          <w:snapToGrid/>
          <w:sz w:val="22"/>
          <w:szCs w:val="22"/>
        </w:rPr>
        <w:t>)</w:t>
      </w:r>
      <w:r w:rsidRPr="00C116A0">
        <w:rPr>
          <w:snapToGrid/>
          <w:sz w:val="22"/>
          <w:szCs w:val="22"/>
        </w:rPr>
        <w:t xml:space="preserve">.  For the reasons set forth below, we </w:t>
      </w:r>
      <w:r w:rsidR="0081353D" w:rsidRPr="00C116A0">
        <w:rPr>
          <w:snapToGrid/>
          <w:sz w:val="22"/>
          <w:szCs w:val="22"/>
        </w:rPr>
        <w:t>admonish ENMU for its violation of the Signal Delivery Rule</w:t>
      </w:r>
      <w:r w:rsidR="00E2644E">
        <w:rPr>
          <w:snapToGrid/>
          <w:sz w:val="22"/>
          <w:szCs w:val="22"/>
        </w:rPr>
        <w:t>, order ENMU to immediately cease delivery of a signal to the Station via satellite</w:t>
      </w:r>
      <w:r w:rsidR="0081353D" w:rsidRPr="00C116A0">
        <w:rPr>
          <w:snapToGrid/>
          <w:sz w:val="22"/>
          <w:szCs w:val="22"/>
        </w:rPr>
        <w:t xml:space="preserve"> and </w:t>
      </w:r>
      <w:r w:rsidRPr="00C116A0">
        <w:rPr>
          <w:snapToGrid/>
          <w:sz w:val="22"/>
          <w:szCs w:val="22"/>
        </w:rPr>
        <w:t>deny the Petition.</w:t>
      </w:r>
      <w:r w:rsidR="00FC72A4" w:rsidRPr="00C116A0">
        <w:rPr>
          <w:snapToGrid/>
          <w:sz w:val="22"/>
          <w:szCs w:val="22"/>
        </w:rPr>
        <w:t xml:space="preserve"> </w:t>
      </w:r>
    </w:p>
    <w:p w14:paraId="1DFE2F46" w14:textId="77777777" w:rsidR="006F6EDE" w:rsidRPr="00C116A0" w:rsidRDefault="006F6EDE" w:rsidP="006F6EDE">
      <w:pPr>
        <w:widowControl/>
        <w:ind w:firstLine="720"/>
        <w:rPr>
          <w:i/>
          <w:snapToGrid/>
          <w:sz w:val="22"/>
          <w:szCs w:val="22"/>
        </w:rPr>
      </w:pPr>
    </w:p>
    <w:p w14:paraId="15ACB73C" w14:textId="0D97AA5C" w:rsidR="006F6EDE" w:rsidRPr="00C116A0" w:rsidRDefault="0063140F" w:rsidP="00C116A0">
      <w:pPr>
        <w:widowControl/>
        <w:ind w:firstLine="720"/>
        <w:rPr>
          <w:snapToGrid/>
          <w:sz w:val="22"/>
          <w:szCs w:val="22"/>
        </w:rPr>
      </w:pPr>
      <w:r w:rsidRPr="00C116A0">
        <w:rPr>
          <w:i/>
          <w:snapToGrid/>
          <w:sz w:val="22"/>
          <w:szCs w:val="22"/>
        </w:rPr>
        <w:t>Background</w:t>
      </w:r>
      <w:r w:rsidR="00762051" w:rsidRPr="00C116A0">
        <w:rPr>
          <w:snapToGrid/>
          <w:sz w:val="22"/>
          <w:szCs w:val="22"/>
        </w:rPr>
        <w:t>.</w:t>
      </w:r>
      <w:r w:rsidR="00E93E1D" w:rsidRPr="00C116A0">
        <w:rPr>
          <w:i/>
          <w:snapToGrid/>
          <w:sz w:val="22"/>
          <w:szCs w:val="22"/>
        </w:rPr>
        <w:t xml:space="preserve">  </w:t>
      </w:r>
      <w:r w:rsidR="0074314E" w:rsidRPr="00C116A0">
        <w:rPr>
          <w:snapToGrid/>
          <w:sz w:val="22"/>
          <w:szCs w:val="22"/>
        </w:rPr>
        <w:t xml:space="preserve">The Station operates on non-reserved channel 259 (99.5 MHz).  </w:t>
      </w:r>
      <w:r w:rsidR="007521D2" w:rsidRPr="00C116A0">
        <w:rPr>
          <w:snapToGrid/>
          <w:sz w:val="22"/>
          <w:szCs w:val="22"/>
        </w:rPr>
        <w:t>From 2001 to</w:t>
      </w:r>
      <w:r w:rsidR="00F0023F" w:rsidRPr="00C116A0">
        <w:rPr>
          <w:snapToGrid/>
          <w:sz w:val="22"/>
          <w:szCs w:val="22"/>
        </w:rPr>
        <w:t xml:space="preserve"> </w:t>
      </w:r>
      <w:r w:rsidR="002D26D6" w:rsidRPr="00C116A0">
        <w:rPr>
          <w:snapToGrid/>
          <w:sz w:val="22"/>
          <w:szCs w:val="22"/>
        </w:rPr>
        <w:t xml:space="preserve">2006, ENMU provided public radio service </w:t>
      </w:r>
      <w:r w:rsidR="00F0023F" w:rsidRPr="00C116A0">
        <w:rPr>
          <w:snapToGrid/>
          <w:sz w:val="22"/>
          <w:szCs w:val="22"/>
        </w:rPr>
        <w:t>via its</w:t>
      </w:r>
      <w:r w:rsidR="002D26D6" w:rsidRPr="00C116A0">
        <w:rPr>
          <w:snapToGrid/>
          <w:sz w:val="22"/>
          <w:szCs w:val="22"/>
        </w:rPr>
        <w:t xml:space="preserve"> full service station KMTH-FM to Midland, Texas </w:t>
      </w:r>
      <w:r w:rsidR="007521D2" w:rsidRPr="00C116A0">
        <w:rPr>
          <w:snapToGrid/>
          <w:sz w:val="22"/>
          <w:szCs w:val="22"/>
        </w:rPr>
        <w:t>through K258AO</w:t>
      </w:r>
      <w:r w:rsidR="002D26D6" w:rsidRPr="00C116A0">
        <w:rPr>
          <w:snapToGrid/>
          <w:sz w:val="22"/>
          <w:szCs w:val="22"/>
        </w:rPr>
        <w:t>, relayed by its Andrews, Texas translator</w:t>
      </w:r>
      <w:r w:rsidR="00B15BAB" w:rsidRPr="00C116A0">
        <w:rPr>
          <w:snapToGrid/>
          <w:sz w:val="22"/>
          <w:szCs w:val="22"/>
        </w:rPr>
        <w:t>,</w:t>
      </w:r>
      <w:r w:rsidR="002D26D6" w:rsidRPr="00C116A0">
        <w:rPr>
          <w:snapToGrid/>
          <w:sz w:val="22"/>
          <w:szCs w:val="22"/>
        </w:rPr>
        <w:t xml:space="preserve"> K215BG. </w:t>
      </w:r>
      <w:r w:rsidR="00FC72A4" w:rsidRPr="00C116A0">
        <w:rPr>
          <w:snapToGrid/>
          <w:sz w:val="22"/>
          <w:szCs w:val="22"/>
        </w:rPr>
        <w:t xml:space="preserve"> </w:t>
      </w:r>
      <w:r w:rsidR="002D26D6" w:rsidRPr="00C116A0">
        <w:rPr>
          <w:snapToGrid/>
          <w:sz w:val="22"/>
          <w:szCs w:val="22"/>
        </w:rPr>
        <w:t>In 2006, a full service station, KVDG-FM, was constructed on channel 215</w:t>
      </w:r>
      <w:r w:rsidR="008B4964" w:rsidRPr="00C116A0">
        <w:rPr>
          <w:snapToGrid/>
          <w:sz w:val="22"/>
          <w:szCs w:val="22"/>
        </w:rPr>
        <w:t xml:space="preserve">.  Its operations interfered with the reception of the K215BG signal at the K258AO transmitter site.  </w:t>
      </w:r>
      <w:r w:rsidR="00F0023F" w:rsidRPr="00C116A0">
        <w:rPr>
          <w:snapToGrid/>
          <w:sz w:val="22"/>
          <w:szCs w:val="22"/>
        </w:rPr>
        <w:t>F</w:t>
      </w:r>
      <w:r w:rsidR="000F2F8E" w:rsidRPr="00C116A0">
        <w:rPr>
          <w:snapToGrid/>
          <w:sz w:val="22"/>
          <w:szCs w:val="22"/>
        </w:rPr>
        <w:t>ollowing several months of consultation, its engineers concluded that satellite delivery was the on</w:t>
      </w:r>
      <w:r w:rsidR="00F0023F" w:rsidRPr="00C116A0">
        <w:rPr>
          <w:snapToGrid/>
          <w:sz w:val="22"/>
          <w:szCs w:val="22"/>
        </w:rPr>
        <w:t>ly viable m</w:t>
      </w:r>
      <w:r w:rsidR="007521D2" w:rsidRPr="00C116A0">
        <w:rPr>
          <w:snapToGrid/>
          <w:sz w:val="22"/>
          <w:szCs w:val="22"/>
        </w:rPr>
        <w:t>eans to continue service to Midland, Texas</w:t>
      </w:r>
      <w:r w:rsidR="00F0023F" w:rsidRPr="00C116A0">
        <w:rPr>
          <w:snapToGrid/>
          <w:sz w:val="22"/>
          <w:szCs w:val="22"/>
        </w:rPr>
        <w:t xml:space="preserve">. </w:t>
      </w:r>
      <w:r w:rsidR="00066598" w:rsidRPr="00C116A0">
        <w:rPr>
          <w:snapToGrid/>
          <w:sz w:val="22"/>
          <w:szCs w:val="22"/>
        </w:rPr>
        <w:t xml:space="preserve"> </w:t>
      </w:r>
      <w:r w:rsidR="007521D2" w:rsidRPr="00C116A0">
        <w:rPr>
          <w:snapToGrid/>
          <w:sz w:val="22"/>
          <w:szCs w:val="22"/>
        </w:rPr>
        <w:t>From 2006 to</w:t>
      </w:r>
      <w:r w:rsidR="00F0023F" w:rsidRPr="00C116A0">
        <w:rPr>
          <w:snapToGrid/>
          <w:sz w:val="22"/>
          <w:szCs w:val="22"/>
        </w:rPr>
        <w:t xml:space="preserve"> 2014, EMNU fed KMTH-FM’s signal via satellite to the </w:t>
      </w:r>
      <w:r w:rsidR="007521D2" w:rsidRPr="00C116A0">
        <w:rPr>
          <w:snapToGrid/>
          <w:sz w:val="22"/>
          <w:szCs w:val="22"/>
        </w:rPr>
        <w:t>K258AO</w:t>
      </w:r>
      <w:r w:rsidR="00F0023F" w:rsidRPr="00C116A0">
        <w:rPr>
          <w:snapToGrid/>
          <w:sz w:val="22"/>
          <w:szCs w:val="22"/>
        </w:rPr>
        <w:t xml:space="preserve"> in violation of the</w:t>
      </w:r>
      <w:r w:rsidR="00D02845" w:rsidRPr="00C116A0">
        <w:rPr>
          <w:snapToGrid/>
          <w:sz w:val="22"/>
          <w:szCs w:val="22"/>
        </w:rPr>
        <w:t xml:space="preserve"> </w:t>
      </w:r>
      <w:r w:rsidR="007B60AA" w:rsidRPr="00C116A0">
        <w:rPr>
          <w:snapToGrid/>
          <w:sz w:val="22"/>
          <w:szCs w:val="22"/>
        </w:rPr>
        <w:t>S</w:t>
      </w:r>
      <w:r w:rsidR="00F0023F" w:rsidRPr="00C116A0">
        <w:rPr>
          <w:snapToGrid/>
          <w:sz w:val="22"/>
          <w:szCs w:val="22"/>
        </w:rPr>
        <w:t xml:space="preserve">ignal </w:t>
      </w:r>
      <w:r w:rsidR="007B60AA" w:rsidRPr="00C116A0">
        <w:rPr>
          <w:snapToGrid/>
          <w:sz w:val="22"/>
          <w:szCs w:val="22"/>
        </w:rPr>
        <w:t>D</w:t>
      </w:r>
      <w:r w:rsidR="00F0023F" w:rsidRPr="00C116A0">
        <w:rPr>
          <w:snapToGrid/>
          <w:sz w:val="22"/>
          <w:szCs w:val="22"/>
        </w:rPr>
        <w:t xml:space="preserve">elivery </w:t>
      </w:r>
      <w:r w:rsidR="007B60AA" w:rsidRPr="00C116A0">
        <w:rPr>
          <w:snapToGrid/>
          <w:sz w:val="22"/>
          <w:szCs w:val="22"/>
        </w:rPr>
        <w:t>R</w:t>
      </w:r>
      <w:r w:rsidR="00F0023F" w:rsidRPr="00C116A0">
        <w:rPr>
          <w:snapToGrid/>
          <w:sz w:val="22"/>
          <w:szCs w:val="22"/>
        </w:rPr>
        <w:t>ule.</w:t>
      </w:r>
      <w:r w:rsidR="0074314E" w:rsidRPr="00C116A0">
        <w:rPr>
          <w:rStyle w:val="FootnoteReference"/>
          <w:rFonts w:ascii="Times New Roman" w:hAnsi="Times New Roman"/>
          <w:snapToGrid/>
          <w:sz w:val="22"/>
          <w:szCs w:val="22"/>
        </w:rPr>
        <w:footnoteReference w:id="3"/>
      </w:r>
    </w:p>
    <w:p w14:paraId="2147E995" w14:textId="5ED8BBE3" w:rsidR="00E00D80" w:rsidRPr="00C116A0" w:rsidRDefault="00E00D80" w:rsidP="006F6EDE">
      <w:pPr>
        <w:widowControl/>
        <w:ind w:firstLine="720"/>
        <w:rPr>
          <w:snapToGrid/>
          <w:sz w:val="22"/>
          <w:szCs w:val="22"/>
        </w:rPr>
      </w:pPr>
      <w:r w:rsidRPr="00C116A0">
        <w:rPr>
          <w:snapToGrid/>
          <w:sz w:val="22"/>
          <w:szCs w:val="22"/>
        </w:rPr>
        <w:lastRenderedPageBreak/>
        <w:t>In April 2013, ENMU filed to renew K258AO’s license, reporting that it would now rebroadcast ENMU Station KENW-FM, but making no mention of signal delivery methods.</w:t>
      </w:r>
      <w:r w:rsidRPr="00C116A0">
        <w:rPr>
          <w:rStyle w:val="FootnoteReference"/>
          <w:rFonts w:ascii="Times New Roman" w:hAnsi="Times New Roman"/>
          <w:snapToGrid/>
          <w:sz w:val="22"/>
          <w:szCs w:val="22"/>
        </w:rPr>
        <w:footnoteReference w:id="4"/>
      </w:r>
      <w:r w:rsidRPr="00C116A0">
        <w:rPr>
          <w:snapToGrid/>
          <w:sz w:val="22"/>
          <w:szCs w:val="22"/>
        </w:rPr>
        <w:t xml:space="preserve">  Unaware that K258AO was being fed by satellite, the staff granted the 2013 Renewal Application on July 26, 2013.</w:t>
      </w:r>
      <w:r w:rsidRPr="00C116A0">
        <w:rPr>
          <w:rStyle w:val="FootnoteReference"/>
          <w:rFonts w:ascii="Times New Roman" w:hAnsi="Times New Roman"/>
          <w:snapToGrid/>
          <w:sz w:val="22"/>
          <w:szCs w:val="22"/>
        </w:rPr>
        <w:footnoteReference w:id="5"/>
      </w:r>
      <w:r w:rsidRPr="00C116A0">
        <w:rPr>
          <w:snapToGrid/>
          <w:sz w:val="22"/>
          <w:szCs w:val="22"/>
        </w:rPr>
        <w:t xml:space="preserve">  </w:t>
      </w:r>
    </w:p>
    <w:p w14:paraId="56A5733F" w14:textId="77777777" w:rsidR="00E00D80" w:rsidRPr="00C116A0" w:rsidRDefault="00E00D80" w:rsidP="006F6EDE">
      <w:pPr>
        <w:widowControl/>
        <w:ind w:firstLine="720"/>
        <w:rPr>
          <w:snapToGrid/>
          <w:sz w:val="22"/>
          <w:szCs w:val="22"/>
        </w:rPr>
      </w:pPr>
    </w:p>
    <w:p w14:paraId="19FBDD8E" w14:textId="5F4EB690" w:rsidR="00E07DC5" w:rsidRPr="00C116A0" w:rsidRDefault="00A30E39" w:rsidP="006F6EDE">
      <w:pPr>
        <w:widowControl/>
        <w:ind w:firstLine="720"/>
        <w:rPr>
          <w:snapToGrid/>
          <w:sz w:val="22"/>
          <w:szCs w:val="22"/>
        </w:rPr>
      </w:pPr>
      <w:r w:rsidRPr="00C116A0">
        <w:rPr>
          <w:snapToGrid/>
          <w:sz w:val="22"/>
          <w:szCs w:val="22"/>
        </w:rPr>
        <w:t>On April 4, 2014, ENMU filed a Min</w:t>
      </w:r>
      <w:r w:rsidR="007521D2" w:rsidRPr="00C116A0">
        <w:rPr>
          <w:snapToGrid/>
          <w:sz w:val="22"/>
          <w:szCs w:val="22"/>
        </w:rPr>
        <w:t>or Change Application</w:t>
      </w:r>
      <w:r w:rsidRPr="00C116A0">
        <w:rPr>
          <w:snapToGrid/>
          <w:sz w:val="22"/>
          <w:szCs w:val="22"/>
        </w:rPr>
        <w:t xml:space="preserve"> for </w:t>
      </w:r>
      <w:r w:rsidR="007521D2" w:rsidRPr="00C116A0">
        <w:rPr>
          <w:snapToGrid/>
          <w:sz w:val="22"/>
          <w:szCs w:val="22"/>
        </w:rPr>
        <w:t>K258AO</w:t>
      </w:r>
      <w:r w:rsidR="00D46BFE" w:rsidRPr="00C116A0">
        <w:rPr>
          <w:snapToGrid/>
          <w:sz w:val="22"/>
          <w:szCs w:val="22"/>
        </w:rPr>
        <w:t>, which</w:t>
      </w:r>
      <w:r w:rsidR="009D76FE" w:rsidRPr="00C116A0">
        <w:rPr>
          <w:snapToGrid/>
          <w:sz w:val="22"/>
          <w:szCs w:val="22"/>
        </w:rPr>
        <w:t xml:space="preserve"> the staff granted on May 6, 2014.</w:t>
      </w:r>
      <w:r w:rsidR="0074314E" w:rsidRPr="00C116A0">
        <w:rPr>
          <w:rStyle w:val="FootnoteReference"/>
          <w:rFonts w:ascii="Times New Roman" w:hAnsi="Times New Roman"/>
          <w:snapToGrid/>
          <w:sz w:val="22"/>
          <w:szCs w:val="22"/>
        </w:rPr>
        <w:footnoteReference w:id="6"/>
      </w:r>
      <w:r w:rsidR="009D76FE" w:rsidRPr="00C116A0">
        <w:rPr>
          <w:snapToGrid/>
          <w:sz w:val="22"/>
          <w:szCs w:val="22"/>
        </w:rPr>
        <w:t xml:space="preserve"> </w:t>
      </w:r>
      <w:r w:rsidR="00D763EC" w:rsidRPr="00C116A0">
        <w:rPr>
          <w:snapToGrid/>
          <w:sz w:val="22"/>
          <w:szCs w:val="22"/>
        </w:rPr>
        <w:t xml:space="preserve"> </w:t>
      </w:r>
      <w:r w:rsidR="009D76FE" w:rsidRPr="00C116A0">
        <w:rPr>
          <w:snapToGrid/>
          <w:sz w:val="22"/>
          <w:szCs w:val="22"/>
        </w:rPr>
        <w:t>The construction permit</w:t>
      </w:r>
      <w:r w:rsidRPr="00C116A0">
        <w:rPr>
          <w:snapToGrid/>
          <w:sz w:val="22"/>
          <w:szCs w:val="22"/>
        </w:rPr>
        <w:t xml:space="preserve"> </w:t>
      </w:r>
      <w:r w:rsidR="009D76FE" w:rsidRPr="00C116A0">
        <w:rPr>
          <w:snapToGrid/>
          <w:sz w:val="22"/>
          <w:szCs w:val="22"/>
        </w:rPr>
        <w:t>contained a special operating condition requiring ENMU</w:t>
      </w:r>
      <w:r w:rsidR="00D763EC" w:rsidRPr="00C116A0">
        <w:rPr>
          <w:snapToGrid/>
          <w:sz w:val="22"/>
          <w:szCs w:val="22"/>
        </w:rPr>
        <w:t>, prior to commencing operation with the facilities authorized therein,</w:t>
      </w:r>
      <w:r w:rsidR="009D76FE" w:rsidRPr="00C116A0">
        <w:rPr>
          <w:snapToGrid/>
          <w:sz w:val="22"/>
          <w:szCs w:val="22"/>
        </w:rPr>
        <w:t xml:space="preserve"> </w:t>
      </w:r>
      <w:r w:rsidR="007521D2" w:rsidRPr="00C116A0">
        <w:rPr>
          <w:snapToGrid/>
          <w:sz w:val="22"/>
          <w:szCs w:val="22"/>
        </w:rPr>
        <w:t>to demonstrate</w:t>
      </w:r>
      <w:r w:rsidR="009D76FE" w:rsidRPr="00C116A0">
        <w:rPr>
          <w:snapToGrid/>
          <w:sz w:val="22"/>
          <w:szCs w:val="22"/>
        </w:rPr>
        <w:t xml:space="preserve"> </w:t>
      </w:r>
      <w:r w:rsidR="007521D2" w:rsidRPr="00C116A0">
        <w:rPr>
          <w:snapToGrid/>
          <w:sz w:val="22"/>
          <w:szCs w:val="22"/>
        </w:rPr>
        <w:t>that K258AO could</w:t>
      </w:r>
      <w:r w:rsidRPr="00C116A0">
        <w:rPr>
          <w:snapToGrid/>
          <w:sz w:val="22"/>
          <w:szCs w:val="22"/>
        </w:rPr>
        <w:t xml:space="preserve"> rebroadcast KMTH-FM in accordance with </w:t>
      </w:r>
      <w:r w:rsidR="00D763EC" w:rsidRPr="00C116A0">
        <w:rPr>
          <w:snapToGrid/>
          <w:sz w:val="22"/>
          <w:szCs w:val="22"/>
        </w:rPr>
        <w:t xml:space="preserve">the </w:t>
      </w:r>
      <w:r w:rsidR="007B60AA" w:rsidRPr="00C116A0">
        <w:rPr>
          <w:snapToGrid/>
          <w:sz w:val="22"/>
          <w:szCs w:val="22"/>
        </w:rPr>
        <w:t>S</w:t>
      </w:r>
      <w:r w:rsidR="00D763EC" w:rsidRPr="00C116A0">
        <w:rPr>
          <w:snapToGrid/>
          <w:sz w:val="22"/>
          <w:szCs w:val="22"/>
        </w:rPr>
        <w:t xml:space="preserve">ignal </w:t>
      </w:r>
      <w:r w:rsidR="007B60AA" w:rsidRPr="00C116A0">
        <w:rPr>
          <w:snapToGrid/>
          <w:sz w:val="22"/>
          <w:szCs w:val="22"/>
        </w:rPr>
        <w:t>D</w:t>
      </w:r>
      <w:r w:rsidR="00D763EC" w:rsidRPr="00C116A0">
        <w:rPr>
          <w:snapToGrid/>
          <w:sz w:val="22"/>
          <w:szCs w:val="22"/>
        </w:rPr>
        <w:t>eliver</w:t>
      </w:r>
      <w:r w:rsidR="006201AB" w:rsidRPr="00C116A0">
        <w:rPr>
          <w:snapToGrid/>
          <w:sz w:val="22"/>
          <w:szCs w:val="22"/>
        </w:rPr>
        <w:t>y</w:t>
      </w:r>
      <w:r w:rsidR="00D763EC" w:rsidRPr="00C116A0">
        <w:rPr>
          <w:snapToGrid/>
          <w:sz w:val="22"/>
          <w:szCs w:val="22"/>
        </w:rPr>
        <w:t xml:space="preserve"> </w:t>
      </w:r>
      <w:r w:rsidR="007B60AA" w:rsidRPr="00C116A0">
        <w:rPr>
          <w:snapToGrid/>
          <w:sz w:val="22"/>
          <w:szCs w:val="22"/>
        </w:rPr>
        <w:t>R</w:t>
      </w:r>
      <w:r w:rsidR="00D763EC" w:rsidRPr="00C116A0">
        <w:rPr>
          <w:snapToGrid/>
          <w:sz w:val="22"/>
          <w:szCs w:val="22"/>
        </w:rPr>
        <w:t>ule</w:t>
      </w:r>
      <w:r w:rsidRPr="00C116A0">
        <w:rPr>
          <w:snapToGrid/>
          <w:sz w:val="22"/>
          <w:szCs w:val="22"/>
        </w:rPr>
        <w:t xml:space="preserve">.  </w:t>
      </w:r>
      <w:r w:rsidR="007521D2" w:rsidRPr="00C116A0">
        <w:rPr>
          <w:snapToGrid/>
          <w:sz w:val="22"/>
          <w:szCs w:val="22"/>
        </w:rPr>
        <w:t xml:space="preserve">Now </w:t>
      </w:r>
      <w:r w:rsidR="00B15BAB" w:rsidRPr="00C116A0">
        <w:rPr>
          <w:snapToGrid/>
          <w:sz w:val="22"/>
          <w:szCs w:val="22"/>
        </w:rPr>
        <w:t>aware</w:t>
      </w:r>
      <w:r w:rsidR="007521D2" w:rsidRPr="00C116A0">
        <w:rPr>
          <w:snapToGrid/>
          <w:sz w:val="22"/>
          <w:szCs w:val="22"/>
        </w:rPr>
        <w:t xml:space="preserve"> of its prior</w:t>
      </w:r>
      <w:r w:rsidR="00D46BFE" w:rsidRPr="00C116A0">
        <w:rPr>
          <w:snapToGrid/>
          <w:sz w:val="22"/>
          <w:szCs w:val="22"/>
        </w:rPr>
        <w:t xml:space="preserve"> violation, ENMU </w:t>
      </w:r>
      <w:r w:rsidRPr="00C116A0">
        <w:rPr>
          <w:snapToGrid/>
          <w:sz w:val="22"/>
          <w:szCs w:val="22"/>
        </w:rPr>
        <w:t xml:space="preserve">filed </w:t>
      </w:r>
      <w:r w:rsidR="00933D37" w:rsidRPr="00C116A0">
        <w:rPr>
          <w:snapToGrid/>
          <w:sz w:val="22"/>
          <w:szCs w:val="22"/>
        </w:rPr>
        <w:t xml:space="preserve">the Application, which sought to correct inaccurate information supplied in the April 2014 Permit Application and included </w:t>
      </w:r>
      <w:r w:rsidRPr="00C116A0">
        <w:rPr>
          <w:snapToGrid/>
          <w:sz w:val="22"/>
          <w:szCs w:val="22"/>
        </w:rPr>
        <w:t xml:space="preserve">a request for waiver of the </w:t>
      </w:r>
      <w:r w:rsidR="007B60AA" w:rsidRPr="00C116A0">
        <w:rPr>
          <w:snapToGrid/>
          <w:sz w:val="22"/>
          <w:szCs w:val="22"/>
        </w:rPr>
        <w:t>S</w:t>
      </w:r>
      <w:r w:rsidRPr="00C116A0">
        <w:rPr>
          <w:snapToGrid/>
          <w:sz w:val="22"/>
          <w:szCs w:val="22"/>
        </w:rPr>
        <w:t xml:space="preserve">ignal </w:t>
      </w:r>
      <w:r w:rsidR="007B60AA" w:rsidRPr="00C116A0">
        <w:rPr>
          <w:snapToGrid/>
          <w:sz w:val="22"/>
          <w:szCs w:val="22"/>
        </w:rPr>
        <w:t>D</w:t>
      </w:r>
      <w:r w:rsidRPr="00C116A0">
        <w:rPr>
          <w:snapToGrid/>
          <w:sz w:val="22"/>
          <w:szCs w:val="22"/>
        </w:rPr>
        <w:t xml:space="preserve">elivery </w:t>
      </w:r>
      <w:r w:rsidR="007B60AA" w:rsidRPr="00C116A0">
        <w:rPr>
          <w:snapToGrid/>
          <w:sz w:val="22"/>
          <w:szCs w:val="22"/>
        </w:rPr>
        <w:t>R</w:t>
      </w:r>
      <w:r w:rsidRPr="00C116A0">
        <w:rPr>
          <w:snapToGrid/>
          <w:sz w:val="22"/>
          <w:szCs w:val="22"/>
        </w:rPr>
        <w:t xml:space="preserve">ule </w:t>
      </w:r>
      <w:r w:rsidR="007521D2" w:rsidRPr="00C116A0">
        <w:rPr>
          <w:snapToGrid/>
          <w:sz w:val="22"/>
          <w:szCs w:val="22"/>
        </w:rPr>
        <w:t xml:space="preserve">to continue to </w:t>
      </w:r>
      <w:r w:rsidR="00A65ED3" w:rsidRPr="00C116A0">
        <w:rPr>
          <w:snapToGrid/>
          <w:sz w:val="22"/>
          <w:szCs w:val="22"/>
        </w:rPr>
        <w:t xml:space="preserve">receive </w:t>
      </w:r>
      <w:r w:rsidR="007521D2" w:rsidRPr="00C116A0">
        <w:rPr>
          <w:snapToGrid/>
          <w:sz w:val="22"/>
          <w:szCs w:val="22"/>
        </w:rPr>
        <w:t>KMTH-FM</w:t>
      </w:r>
      <w:r w:rsidRPr="00C116A0">
        <w:rPr>
          <w:snapToGrid/>
          <w:sz w:val="22"/>
          <w:szCs w:val="22"/>
        </w:rPr>
        <w:t xml:space="preserve"> by satellite</w:t>
      </w:r>
      <w:r w:rsidR="00B15BAB" w:rsidRPr="00C116A0">
        <w:rPr>
          <w:snapToGrid/>
          <w:sz w:val="22"/>
          <w:szCs w:val="22"/>
        </w:rPr>
        <w:t>,</w:t>
      </w:r>
      <w:r w:rsidRPr="00C116A0">
        <w:rPr>
          <w:snapToGrid/>
          <w:sz w:val="22"/>
          <w:szCs w:val="22"/>
        </w:rPr>
        <w:t xml:space="preserve"> rather than over-the-air.</w:t>
      </w:r>
    </w:p>
    <w:p w14:paraId="124AAA14" w14:textId="77777777" w:rsidR="006F6EDE" w:rsidRPr="00C116A0" w:rsidRDefault="00E07DC5" w:rsidP="006F6EDE">
      <w:pPr>
        <w:widowControl/>
        <w:rPr>
          <w:snapToGrid/>
          <w:sz w:val="22"/>
          <w:szCs w:val="22"/>
        </w:rPr>
      </w:pPr>
      <w:r w:rsidRPr="00C116A0">
        <w:rPr>
          <w:snapToGrid/>
          <w:sz w:val="22"/>
          <w:szCs w:val="22"/>
        </w:rPr>
        <w:tab/>
      </w:r>
    </w:p>
    <w:p w14:paraId="6E6F43E9" w14:textId="5E03ED74" w:rsidR="00E07DC5" w:rsidRPr="00C116A0" w:rsidRDefault="00E07DC5" w:rsidP="004C49F5">
      <w:pPr>
        <w:widowControl/>
        <w:ind w:firstLine="720"/>
        <w:rPr>
          <w:snapToGrid/>
          <w:sz w:val="22"/>
          <w:szCs w:val="22"/>
        </w:rPr>
      </w:pPr>
      <w:r w:rsidRPr="00C116A0">
        <w:rPr>
          <w:snapToGrid/>
          <w:sz w:val="22"/>
          <w:szCs w:val="22"/>
        </w:rPr>
        <w:t xml:space="preserve">In its waiver request, ENMU argued that waiver is proper because </w:t>
      </w:r>
      <w:r w:rsidR="007521D2" w:rsidRPr="00C116A0">
        <w:rPr>
          <w:snapToGrid/>
          <w:sz w:val="22"/>
          <w:szCs w:val="22"/>
        </w:rPr>
        <w:t>K258AO</w:t>
      </w:r>
      <w:r w:rsidRPr="00C116A0">
        <w:rPr>
          <w:snapToGrid/>
          <w:sz w:val="22"/>
          <w:szCs w:val="22"/>
        </w:rPr>
        <w:t xml:space="preserve"> meets the conditions set out in Commission Rule 1.925</w:t>
      </w:r>
      <w:r w:rsidR="00C220D6" w:rsidRPr="00C116A0">
        <w:rPr>
          <w:snapToGrid/>
          <w:sz w:val="22"/>
          <w:szCs w:val="22"/>
        </w:rPr>
        <w:t>,</w:t>
      </w:r>
      <w:r w:rsidRPr="00C116A0">
        <w:rPr>
          <w:snapToGrid/>
          <w:sz w:val="22"/>
          <w:szCs w:val="22"/>
          <w:vertAlign w:val="superscript"/>
        </w:rPr>
        <w:footnoteReference w:id="7"/>
      </w:r>
      <w:r w:rsidRPr="00C116A0">
        <w:rPr>
          <w:snapToGrid/>
          <w:sz w:val="22"/>
          <w:szCs w:val="22"/>
        </w:rPr>
        <w:t xml:space="preserve"> and also satisfies a Commission-specific test for translator waivers which includes: (1) a demonstration that the “community is or would be ‘deprived of</w:t>
      </w:r>
      <w:r w:rsidR="00C220D6" w:rsidRPr="00C116A0">
        <w:rPr>
          <w:snapToGrid/>
          <w:sz w:val="22"/>
          <w:szCs w:val="22"/>
        </w:rPr>
        <w:t xml:space="preserve"> </w:t>
      </w:r>
      <w:r w:rsidRPr="00C116A0">
        <w:rPr>
          <w:snapToGrid/>
          <w:sz w:val="22"/>
          <w:szCs w:val="22"/>
        </w:rPr>
        <w:t>…</w:t>
      </w:r>
      <w:r w:rsidR="00C220D6" w:rsidRPr="00C116A0">
        <w:rPr>
          <w:snapToGrid/>
          <w:sz w:val="22"/>
          <w:szCs w:val="22"/>
        </w:rPr>
        <w:t xml:space="preserve"> </w:t>
      </w:r>
      <w:r w:rsidRPr="00C116A0">
        <w:rPr>
          <w:snapToGrid/>
          <w:sz w:val="22"/>
          <w:szCs w:val="22"/>
        </w:rPr>
        <w:t>service due to distance and intervening terrain obstructions,’” and (2) a showing that “waiver, if granted, is unlikely to establish a broadly-applicable precedent that would undermine the purposes of the rule and the distinction drawn by its terms.”</w:t>
      </w:r>
      <w:r w:rsidR="00E93E1D" w:rsidRPr="00C116A0">
        <w:rPr>
          <w:rStyle w:val="FootnoteReference"/>
          <w:rFonts w:ascii="Times New Roman" w:hAnsi="Times New Roman"/>
          <w:snapToGrid/>
          <w:sz w:val="22"/>
          <w:szCs w:val="22"/>
        </w:rPr>
        <w:footnoteReference w:id="8"/>
      </w:r>
      <w:r w:rsidRPr="00C116A0">
        <w:rPr>
          <w:snapToGrid/>
          <w:sz w:val="22"/>
          <w:szCs w:val="22"/>
        </w:rPr>
        <w:t xml:space="preserve"> </w:t>
      </w:r>
      <w:r w:rsidR="007521D2" w:rsidRPr="00C116A0">
        <w:rPr>
          <w:snapToGrid/>
          <w:sz w:val="22"/>
          <w:szCs w:val="22"/>
        </w:rPr>
        <w:t xml:space="preserve"> </w:t>
      </w:r>
      <w:r w:rsidR="008F17D5" w:rsidRPr="00C116A0">
        <w:rPr>
          <w:snapToGrid/>
          <w:sz w:val="22"/>
          <w:szCs w:val="22"/>
        </w:rPr>
        <w:t>ENMU states that its proposal satisfies this test because Midland, Texas is an</w:t>
      </w:r>
      <w:r w:rsidR="002E600B" w:rsidRPr="00C116A0">
        <w:rPr>
          <w:snapToGrid/>
          <w:sz w:val="22"/>
          <w:szCs w:val="22"/>
        </w:rPr>
        <w:t xml:space="preserve"> underserved market with “wide expanses of territory” that make other technical signal delivery options “less feasible and prohibitively expensive,” </w:t>
      </w:r>
      <w:r w:rsidR="00EE2EF9" w:rsidRPr="00C116A0">
        <w:rPr>
          <w:snapToGrid/>
          <w:sz w:val="22"/>
          <w:szCs w:val="22"/>
        </w:rPr>
        <w:t>and ENMU’s</w:t>
      </w:r>
      <w:r w:rsidR="002E600B" w:rsidRPr="00C116A0">
        <w:rPr>
          <w:snapToGrid/>
          <w:sz w:val="22"/>
          <w:szCs w:val="22"/>
        </w:rPr>
        <w:t xml:space="preserve"> </w:t>
      </w:r>
      <w:r w:rsidR="008B4964" w:rsidRPr="00C116A0">
        <w:rPr>
          <w:snapToGrid/>
          <w:sz w:val="22"/>
          <w:szCs w:val="22"/>
        </w:rPr>
        <w:t>n</w:t>
      </w:r>
      <w:r w:rsidR="002E600B" w:rsidRPr="00C116A0">
        <w:rPr>
          <w:snapToGrid/>
          <w:sz w:val="22"/>
          <w:szCs w:val="22"/>
        </w:rPr>
        <w:t>on</w:t>
      </w:r>
      <w:r w:rsidR="008B4964" w:rsidRPr="00C116A0">
        <w:rPr>
          <w:snapToGrid/>
          <w:sz w:val="22"/>
          <w:szCs w:val="22"/>
        </w:rPr>
        <w:t>c</w:t>
      </w:r>
      <w:r w:rsidR="002E600B" w:rsidRPr="00C116A0">
        <w:rPr>
          <w:snapToGrid/>
          <w:sz w:val="22"/>
          <w:szCs w:val="22"/>
        </w:rPr>
        <w:t xml:space="preserve">ommercial </w:t>
      </w:r>
      <w:r w:rsidR="008B4964" w:rsidRPr="00C116A0">
        <w:rPr>
          <w:snapToGrid/>
          <w:sz w:val="22"/>
          <w:szCs w:val="22"/>
        </w:rPr>
        <w:t>e</w:t>
      </w:r>
      <w:r w:rsidR="002E600B" w:rsidRPr="00C116A0">
        <w:rPr>
          <w:snapToGrid/>
          <w:sz w:val="22"/>
          <w:szCs w:val="22"/>
        </w:rPr>
        <w:t>ducation (NCE</w:t>
      </w:r>
      <w:r w:rsidR="009B3580" w:rsidRPr="00C116A0">
        <w:rPr>
          <w:snapToGrid/>
          <w:sz w:val="22"/>
          <w:szCs w:val="22"/>
        </w:rPr>
        <w:t>) status</w:t>
      </w:r>
      <w:r w:rsidR="006201AB" w:rsidRPr="00C116A0">
        <w:rPr>
          <w:snapToGrid/>
          <w:sz w:val="22"/>
          <w:szCs w:val="22"/>
        </w:rPr>
        <w:t xml:space="preserve"> puts it in</w:t>
      </w:r>
      <w:r w:rsidR="002E600B" w:rsidRPr="00C116A0">
        <w:rPr>
          <w:snapToGrid/>
          <w:sz w:val="22"/>
          <w:szCs w:val="22"/>
        </w:rPr>
        <w:t xml:space="preserve"> a relatively unique situation.</w:t>
      </w:r>
      <w:r w:rsidR="00E93E1D" w:rsidRPr="00C116A0">
        <w:rPr>
          <w:rStyle w:val="FootnoteReference"/>
          <w:rFonts w:ascii="Times New Roman" w:hAnsi="Times New Roman"/>
          <w:snapToGrid/>
          <w:sz w:val="22"/>
          <w:szCs w:val="22"/>
        </w:rPr>
        <w:footnoteReference w:id="9"/>
      </w:r>
      <w:r w:rsidR="002E600B" w:rsidRPr="00C116A0">
        <w:rPr>
          <w:snapToGrid/>
          <w:sz w:val="22"/>
          <w:szCs w:val="22"/>
        </w:rPr>
        <w:t xml:space="preserve"> </w:t>
      </w:r>
      <w:r w:rsidR="00E93E1D" w:rsidRPr="00C116A0">
        <w:rPr>
          <w:snapToGrid/>
          <w:sz w:val="22"/>
          <w:szCs w:val="22"/>
        </w:rPr>
        <w:t xml:space="preserve"> </w:t>
      </w:r>
      <w:r w:rsidRPr="00C116A0">
        <w:rPr>
          <w:snapToGrid/>
          <w:sz w:val="22"/>
          <w:szCs w:val="22"/>
        </w:rPr>
        <w:t>ENMU also contended that grant</w:t>
      </w:r>
      <w:r w:rsidR="00B15BAB" w:rsidRPr="00C116A0">
        <w:rPr>
          <w:snapToGrid/>
          <w:sz w:val="22"/>
          <w:szCs w:val="22"/>
        </w:rPr>
        <w:t>ing</w:t>
      </w:r>
      <w:r w:rsidRPr="00C116A0">
        <w:rPr>
          <w:snapToGrid/>
          <w:sz w:val="22"/>
          <w:szCs w:val="22"/>
        </w:rPr>
        <w:t xml:space="preserve"> its waiver request would serve the underlying purpose of the 1988 amendment to the </w:t>
      </w:r>
      <w:r w:rsidR="007B60AA" w:rsidRPr="00C116A0">
        <w:rPr>
          <w:snapToGrid/>
          <w:sz w:val="22"/>
          <w:szCs w:val="22"/>
        </w:rPr>
        <w:t>S</w:t>
      </w:r>
      <w:r w:rsidRPr="00C116A0">
        <w:rPr>
          <w:snapToGrid/>
          <w:sz w:val="22"/>
          <w:szCs w:val="22"/>
        </w:rPr>
        <w:t xml:space="preserve">ignal </w:t>
      </w:r>
      <w:r w:rsidR="007B60AA" w:rsidRPr="00C116A0">
        <w:rPr>
          <w:snapToGrid/>
          <w:sz w:val="22"/>
          <w:szCs w:val="22"/>
        </w:rPr>
        <w:t>D</w:t>
      </w:r>
      <w:r w:rsidRPr="00C116A0">
        <w:rPr>
          <w:snapToGrid/>
          <w:sz w:val="22"/>
          <w:szCs w:val="22"/>
        </w:rPr>
        <w:t xml:space="preserve">elivery </w:t>
      </w:r>
      <w:r w:rsidR="007B60AA" w:rsidRPr="00C116A0">
        <w:rPr>
          <w:snapToGrid/>
          <w:sz w:val="22"/>
          <w:szCs w:val="22"/>
        </w:rPr>
        <w:t>R</w:t>
      </w:r>
      <w:r w:rsidRPr="00C116A0">
        <w:rPr>
          <w:snapToGrid/>
          <w:sz w:val="22"/>
          <w:szCs w:val="22"/>
        </w:rPr>
        <w:t xml:space="preserve">ule.  </w:t>
      </w:r>
      <w:r w:rsidR="00443C72" w:rsidRPr="00C116A0">
        <w:rPr>
          <w:snapToGrid/>
          <w:sz w:val="22"/>
          <w:szCs w:val="22"/>
        </w:rPr>
        <w:t xml:space="preserve">It claims </w:t>
      </w:r>
      <w:r w:rsidR="00974A62" w:rsidRPr="00C116A0">
        <w:rPr>
          <w:snapToGrid/>
          <w:sz w:val="22"/>
          <w:szCs w:val="22"/>
        </w:rPr>
        <w:t>that the</w:t>
      </w:r>
      <w:r w:rsidR="00E93E1D" w:rsidRPr="00C116A0">
        <w:rPr>
          <w:snapToGrid/>
          <w:sz w:val="22"/>
          <w:szCs w:val="22"/>
        </w:rPr>
        <w:t xml:space="preserve"> Station would </w:t>
      </w:r>
      <w:r w:rsidRPr="00C116A0">
        <w:rPr>
          <w:snapToGrid/>
          <w:sz w:val="22"/>
          <w:szCs w:val="22"/>
        </w:rPr>
        <w:t>provid</w:t>
      </w:r>
      <w:r w:rsidR="00E93E1D" w:rsidRPr="00C116A0">
        <w:rPr>
          <w:snapToGrid/>
          <w:sz w:val="22"/>
          <w:szCs w:val="22"/>
        </w:rPr>
        <w:t>e</w:t>
      </w:r>
      <w:r w:rsidRPr="00C116A0">
        <w:rPr>
          <w:snapToGrid/>
          <w:sz w:val="22"/>
          <w:szCs w:val="22"/>
        </w:rPr>
        <w:t xml:space="preserve"> a second </w:t>
      </w:r>
      <w:r w:rsidR="00C73606" w:rsidRPr="00C116A0">
        <w:rPr>
          <w:snapToGrid/>
          <w:sz w:val="22"/>
          <w:szCs w:val="22"/>
        </w:rPr>
        <w:t xml:space="preserve">NCE </w:t>
      </w:r>
      <w:r w:rsidRPr="00C116A0">
        <w:rPr>
          <w:snapToGrid/>
          <w:sz w:val="22"/>
          <w:szCs w:val="22"/>
        </w:rPr>
        <w:t>se</w:t>
      </w:r>
      <w:r w:rsidR="00A46EAE" w:rsidRPr="00C116A0">
        <w:rPr>
          <w:snapToGrid/>
          <w:sz w:val="22"/>
          <w:szCs w:val="22"/>
        </w:rPr>
        <w:t xml:space="preserve">rvice </w:t>
      </w:r>
      <w:r w:rsidRPr="00C116A0">
        <w:rPr>
          <w:snapToGrid/>
          <w:sz w:val="22"/>
          <w:szCs w:val="22"/>
        </w:rPr>
        <w:t xml:space="preserve">and that the </w:t>
      </w:r>
      <w:r w:rsidR="00E93E1D" w:rsidRPr="00C116A0">
        <w:rPr>
          <w:snapToGrid/>
          <w:sz w:val="22"/>
          <w:szCs w:val="22"/>
        </w:rPr>
        <w:t xml:space="preserve">1988 </w:t>
      </w:r>
      <w:r w:rsidR="005425CB" w:rsidRPr="00C116A0">
        <w:rPr>
          <w:snapToGrid/>
          <w:sz w:val="22"/>
          <w:szCs w:val="22"/>
        </w:rPr>
        <w:t>rule change</w:t>
      </w:r>
      <w:r w:rsidRPr="00C116A0">
        <w:rPr>
          <w:snapToGrid/>
          <w:sz w:val="22"/>
          <w:szCs w:val="22"/>
        </w:rPr>
        <w:t xml:space="preserve"> </w:t>
      </w:r>
      <w:r w:rsidR="00C8340F" w:rsidRPr="00C116A0">
        <w:rPr>
          <w:snapToGrid/>
          <w:sz w:val="22"/>
          <w:szCs w:val="22"/>
        </w:rPr>
        <w:t xml:space="preserve">restricting signal delivery </w:t>
      </w:r>
      <w:r w:rsidRPr="00C116A0">
        <w:rPr>
          <w:snapToGrid/>
          <w:sz w:val="22"/>
          <w:szCs w:val="22"/>
        </w:rPr>
        <w:t>was only intended to prevent commercial stations from encroaching upon each other’s</w:t>
      </w:r>
      <w:r w:rsidR="00E76DCB" w:rsidRPr="00C116A0">
        <w:rPr>
          <w:snapToGrid/>
          <w:sz w:val="22"/>
          <w:szCs w:val="22"/>
        </w:rPr>
        <w:t xml:space="preserve"> service</w:t>
      </w:r>
      <w:r w:rsidRPr="00C116A0">
        <w:rPr>
          <w:snapToGrid/>
          <w:sz w:val="22"/>
          <w:szCs w:val="22"/>
        </w:rPr>
        <w:t xml:space="preserve"> areas.</w:t>
      </w:r>
      <w:r w:rsidR="00E93E1D" w:rsidRPr="00C116A0">
        <w:rPr>
          <w:rStyle w:val="FootnoteReference"/>
          <w:rFonts w:ascii="Times New Roman" w:hAnsi="Times New Roman"/>
          <w:snapToGrid/>
          <w:sz w:val="22"/>
          <w:szCs w:val="22"/>
        </w:rPr>
        <w:footnoteReference w:id="10"/>
      </w:r>
      <w:r w:rsidR="00066598" w:rsidRPr="00C116A0">
        <w:rPr>
          <w:snapToGrid/>
          <w:sz w:val="22"/>
          <w:szCs w:val="22"/>
        </w:rPr>
        <w:t xml:space="preserve"> </w:t>
      </w:r>
      <w:r w:rsidRPr="00C116A0">
        <w:rPr>
          <w:snapToGrid/>
          <w:sz w:val="22"/>
          <w:szCs w:val="22"/>
        </w:rPr>
        <w:t xml:space="preserve"> It further asserts that </w:t>
      </w:r>
      <w:r w:rsidR="005425CB" w:rsidRPr="00C116A0">
        <w:rPr>
          <w:snapToGrid/>
          <w:sz w:val="22"/>
          <w:szCs w:val="22"/>
        </w:rPr>
        <w:t xml:space="preserve">the requested waiver is warranted because </w:t>
      </w:r>
      <w:r w:rsidRPr="00C116A0">
        <w:rPr>
          <w:snapToGrid/>
          <w:sz w:val="22"/>
          <w:szCs w:val="22"/>
        </w:rPr>
        <w:t>the expansion of NCE radio has led to overcrowding in the channel 201-220 reserve</w:t>
      </w:r>
      <w:r w:rsidR="00B15BAB" w:rsidRPr="00C116A0">
        <w:rPr>
          <w:snapToGrid/>
          <w:sz w:val="22"/>
          <w:szCs w:val="22"/>
        </w:rPr>
        <w:t>d</w:t>
      </w:r>
      <w:r w:rsidRPr="00C116A0">
        <w:rPr>
          <w:snapToGrid/>
          <w:sz w:val="22"/>
          <w:szCs w:val="22"/>
        </w:rPr>
        <w:t xml:space="preserve"> band</w:t>
      </w:r>
      <w:r w:rsidR="00765A17" w:rsidRPr="00C116A0">
        <w:rPr>
          <w:snapToGrid/>
          <w:sz w:val="22"/>
          <w:szCs w:val="22"/>
        </w:rPr>
        <w:t>, “</w:t>
      </w:r>
      <w:r w:rsidRPr="00C116A0">
        <w:rPr>
          <w:snapToGrid/>
          <w:sz w:val="22"/>
          <w:szCs w:val="22"/>
        </w:rPr>
        <w:t>difficult geographic or topographic features</w:t>
      </w:r>
      <w:r w:rsidR="005425CB" w:rsidRPr="00C116A0">
        <w:rPr>
          <w:snapToGrid/>
          <w:sz w:val="22"/>
          <w:szCs w:val="22"/>
        </w:rPr>
        <w:t xml:space="preserve">” limit service </w:t>
      </w:r>
      <w:r w:rsidRPr="00C116A0">
        <w:rPr>
          <w:snapToGrid/>
          <w:sz w:val="22"/>
          <w:szCs w:val="22"/>
        </w:rPr>
        <w:t xml:space="preserve">to </w:t>
      </w:r>
      <w:r w:rsidR="005425CB" w:rsidRPr="00C116A0">
        <w:rPr>
          <w:snapToGrid/>
          <w:sz w:val="22"/>
          <w:szCs w:val="22"/>
        </w:rPr>
        <w:t>this remote area</w:t>
      </w:r>
      <w:r w:rsidR="000932D8" w:rsidRPr="00C116A0">
        <w:rPr>
          <w:snapToGrid/>
          <w:sz w:val="22"/>
          <w:szCs w:val="22"/>
        </w:rPr>
        <w:t>,</w:t>
      </w:r>
      <w:r w:rsidR="00C8340F" w:rsidRPr="00C116A0">
        <w:rPr>
          <w:snapToGrid/>
          <w:sz w:val="22"/>
          <w:szCs w:val="22"/>
        </w:rPr>
        <w:t xml:space="preserve"> and</w:t>
      </w:r>
      <w:r w:rsidR="000932D8" w:rsidRPr="00C116A0">
        <w:rPr>
          <w:snapToGrid/>
          <w:sz w:val="22"/>
          <w:szCs w:val="22"/>
        </w:rPr>
        <w:t xml:space="preserve"> ENMU</w:t>
      </w:r>
      <w:r w:rsidR="00C8340F" w:rsidRPr="00C116A0">
        <w:rPr>
          <w:snapToGrid/>
          <w:sz w:val="22"/>
          <w:szCs w:val="22"/>
        </w:rPr>
        <w:t xml:space="preserve"> </w:t>
      </w:r>
      <w:r w:rsidR="000932D8" w:rsidRPr="00C116A0">
        <w:rPr>
          <w:snapToGrid/>
          <w:sz w:val="22"/>
          <w:szCs w:val="22"/>
        </w:rPr>
        <w:t xml:space="preserve">has long </w:t>
      </w:r>
      <w:r w:rsidR="000C0C00" w:rsidRPr="00C116A0">
        <w:rPr>
          <w:snapToGrid/>
          <w:sz w:val="22"/>
          <w:szCs w:val="22"/>
        </w:rPr>
        <w:t>provided</w:t>
      </w:r>
      <w:r w:rsidR="000932D8" w:rsidRPr="00C116A0">
        <w:rPr>
          <w:snapToGrid/>
          <w:sz w:val="22"/>
          <w:szCs w:val="22"/>
        </w:rPr>
        <w:t xml:space="preserve"> </w:t>
      </w:r>
      <w:r w:rsidRPr="00C116A0">
        <w:rPr>
          <w:snapToGrid/>
          <w:sz w:val="22"/>
          <w:szCs w:val="22"/>
        </w:rPr>
        <w:t>service in the Midland community.</w:t>
      </w:r>
      <w:r w:rsidR="001C6BE4" w:rsidRPr="00C116A0">
        <w:rPr>
          <w:rStyle w:val="FootnoteReference"/>
          <w:rFonts w:ascii="Times New Roman" w:hAnsi="Times New Roman"/>
          <w:snapToGrid/>
          <w:sz w:val="22"/>
          <w:szCs w:val="22"/>
        </w:rPr>
        <w:footnoteReference w:id="11"/>
      </w:r>
      <w:r w:rsidR="004C49F5" w:rsidRPr="00C116A0">
        <w:rPr>
          <w:snapToGrid/>
          <w:sz w:val="22"/>
          <w:szCs w:val="22"/>
        </w:rPr>
        <w:t xml:space="preserve">  ENMU also alludes to the staff’s grant of the 2013 Renewal Application disclosing its translator arrangement as evidence of EMNU’s candor and the staff’s acceptance of its signal delivery arrangement.</w:t>
      </w:r>
      <w:r w:rsidR="004C49F5" w:rsidRPr="00C116A0">
        <w:rPr>
          <w:snapToGrid/>
          <w:sz w:val="22"/>
          <w:szCs w:val="22"/>
          <w:vertAlign w:val="superscript"/>
        </w:rPr>
        <w:footnoteReference w:id="12"/>
      </w:r>
    </w:p>
    <w:p w14:paraId="0D88FF37" w14:textId="77777777" w:rsidR="006F6EDE" w:rsidRPr="00C116A0" w:rsidRDefault="00E07DC5" w:rsidP="006F6EDE">
      <w:pPr>
        <w:widowControl/>
        <w:rPr>
          <w:snapToGrid/>
          <w:sz w:val="22"/>
          <w:szCs w:val="22"/>
        </w:rPr>
      </w:pPr>
      <w:r w:rsidRPr="00C116A0">
        <w:rPr>
          <w:snapToGrid/>
          <w:sz w:val="22"/>
          <w:szCs w:val="22"/>
        </w:rPr>
        <w:tab/>
      </w:r>
    </w:p>
    <w:p w14:paraId="3D8D2BBE" w14:textId="5BB38D90" w:rsidR="00E07DC5" w:rsidRPr="00C116A0" w:rsidRDefault="00E93E1D" w:rsidP="006F6EDE">
      <w:pPr>
        <w:widowControl/>
        <w:ind w:firstLine="720"/>
        <w:rPr>
          <w:i/>
          <w:snapToGrid/>
          <w:sz w:val="22"/>
          <w:szCs w:val="22"/>
        </w:rPr>
      </w:pPr>
      <w:r w:rsidRPr="00C116A0">
        <w:rPr>
          <w:snapToGrid/>
          <w:sz w:val="22"/>
          <w:szCs w:val="22"/>
        </w:rPr>
        <w:t xml:space="preserve">In the October 20, 2015, </w:t>
      </w:r>
      <w:r w:rsidRPr="00C116A0">
        <w:rPr>
          <w:i/>
          <w:snapToGrid/>
          <w:sz w:val="22"/>
          <w:szCs w:val="22"/>
        </w:rPr>
        <w:t>Public Notice</w:t>
      </w:r>
      <w:r w:rsidRPr="00C116A0">
        <w:rPr>
          <w:snapToGrid/>
          <w:sz w:val="22"/>
          <w:szCs w:val="22"/>
        </w:rPr>
        <w:t>, t</w:t>
      </w:r>
      <w:r w:rsidR="00E07DC5" w:rsidRPr="00C116A0">
        <w:rPr>
          <w:snapToGrid/>
          <w:sz w:val="22"/>
          <w:szCs w:val="22"/>
        </w:rPr>
        <w:t xml:space="preserve">he staff denied ENMU’s </w:t>
      </w:r>
      <w:r w:rsidR="009A224E" w:rsidRPr="00C116A0">
        <w:rPr>
          <w:snapToGrid/>
          <w:sz w:val="22"/>
          <w:szCs w:val="22"/>
        </w:rPr>
        <w:t>wa</w:t>
      </w:r>
      <w:r w:rsidR="00434E87" w:rsidRPr="00C116A0">
        <w:rPr>
          <w:snapToGrid/>
          <w:sz w:val="22"/>
          <w:szCs w:val="22"/>
        </w:rPr>
        <w:t>iver request and dismissed its A</w:t>
      </w:r>
      <w:r w:rsidR="009A224E" w:rsidRPr="00C116A0">
        <w:rPr>
          <w:snapToGrid/>
          <w:sz w:val="22"/>
          <w:szCs w:val="22"/>
        </w:rPr>
        <w:t>pplication</w:t>
      </w:r>
      <w:r w:rsidR="00E07DC5" w:rsidRPr="00C116A0">
        <w:rPr>
          <w:snapToGrid/>
          <w:sz w:val="22"/>
          <w:szCs w:val="22"/>
        </w:rPr>
        <w:t xml:space="preserve">, stating that </w:t>
      </w:r>
      <w:r w:rsidR="009A224E" w:rsidRPr="00C116A0">
        <w:rPr>
          <w:snapToGrid/>
          <w:sz w:val="22"/>
          <w:szCs w:val="22"/>
        </w:rPr>
        <w:t xml:space="preserve">the Commission’s </w:t>
      </w:r>
      <w:r w:rsidR="00E07DC5" w:rsidRPr="00C116A0">
        <w:rPr>
          <w:snapToGrid/>
          <w:sz w:val="22"/>
          <w:szCs w:val="22"/>
        </w:rPr>
        <w:t xml:space="preserve">“prior actions leave no room for waiver of the delivery rule for </w:t>
      </w:r>
      <w:r w:rsidR="00E07DC5" w:rsidRPr="00C116A0">
        <w:rPr>
          <w:snapToGrid/>
          <w:sz w:val="22"/>
          <w:szCs w:val="22"/>
        </w:rPr>
        <w:lastRenderedPageBreak/>
        <w:t xml:space="preserve">the operation of other area translators in the absence of a white area showing,” citing </w:t>
      </w:r>
      <w:r w:rsidR="00E07DC5" w:rsidRPr="00C116A0">
        <w:rPr>
          <w:i/>
          <w:snapToGrid/>
          <w:sz w:val="22"/>
          <w:szCs w:val="22"/>
        </w:rPr>
        <w:t>Peninsula Communications, Inc</w:t>
      </w:r>
      <w:r w:rsidR="00E07DC5" w:rsidRPr="00C116A0">
        <w:rPr>
          <w:snapToGrid/>
          <w:sz w:val="22"/>
          <w:szCs w:val="22"/>
        </w:rPr>
        <w:t>.</w:t>
      </w:r>
      <w:r w:rsidR="00E07DC5" w:rsidRPr="00C116A0">
        <w:rPr>
          <w:snapToGrid/>
          <w:sz w:val="22"/>
          <w:szCs w:val="22"/>
          <w:vertAlign w:val="superscript"/>
        </w:rPr>
        <w:footnoteReference w:id="13"/>
      </w:r>
      <w:r w:rsidR="00E07DC5" w:rsidRPr="00C116A0">
        <w:rPr>
          <w:snapToGrid/>
          <w:sz w:val="22"/>
          <w:szCs w:val="22"/>
        </w:rPr>
        <w:t xml:space="preserve"> and the 1990 Amendment to the rules governing FM translators</w:t>
      </w:r>
      <w:r w:rsidR="009A224E" w:rsidRPr="00C116A0">
        <w:rPr>
          <w:snapToGrid/>
          <w:sz w:val="22"/>
          <w:szCs w:val="22"/>
        </w:rPr>
        <w:t>.</w:t>
      </w:r>
      <w:r w:rsidR="00E07DC5" w:rsidRPr="00C116A0">
        <w:rPr>
          <w:snapToGrid/>
          <w:sz w:val="22"/>
          <w:szCs w:val="22"/>
          <w:vertAlign w:val="superscript"/>
        </w:rPr>
        <w:footnoteReference w:id="14"/>
      </w:r>
    </w:p>
    <w:p w14:paraId="385AC6CA" w14:textId="77777777" w:rsidR="006F6EDE" w:rsidRPr="00C116A0" w:rsidRDefault="006F6EDE" w:rsidP="006F6EDE">
      <w:pPr>
        <w:widowControl/>
        <w:ind w:firstLine="720"/>
        <w:rPr>
          <w:snapToGrid/>
          <w:sz w:val="22"/>
          <w:szCs w:val="22"/>
        </w:rPr>
      </w:pPr>
    </w:p>
    <w:p w14:paraId="6BD3F9A7" w14:textId="3EA2391D" w:rsidR="00E07DC5" w:rsidRPr="00C116A0" w:rsidRDefault="00E07DC5" w:rsidP="006F6EDE">
      <w:pPr>
        <w:widowControl/>
        <w:ind w:firstLine="720"/>
        <w:rPr>
          <w:snapToGrid/>
          <w:sz w:val="22"/>
          <w:szCs w:val="22"/>
        </w:rPr>
      </w:pPr>
      <w:r w:rsidRPr="00C116A0">
        <w:rPr>
          <w:snapToGrid/>
          <w:sz w:val="22"/>
          <w:szCs w:val="22"/>
        </w:rPr>
        <w:t>In the Petition, ENMU argues the Commission’s dismissal was “perfunctory, demonstrating a complete lack of reflection, and a hasty, superficial, and automatic response to the concept of waiver itself.”</w:t>
      </w:r>
      <w:r w:rsidR="0013057B" w:rsidRPr="00C116A0">
        <w:rPr>
          <w:rStyle w:val="FootnoteReference"/>
          <w:rFonts w:ascii="Times New Roman" w:hAnsi="Times New Roman"/>
          <w:snapToGrid/>
          <w:sz w:val="22"/>
          <w:szCs w:val="22"/>
        </w:rPr>
        <w:footnoteReference w:id="15"/>
      </w:r>
      <w:r w:rsidRPr="00C116A0">
        <w:rPr>
          <w:snapToGrid/>
          <w:sz w:val="22"/>
          <w:szCs w:val="22"/>
        </w:rPr>
        <w:t xml:space="preserve">  It </w:t>
      </w:r>
      <w:r w:rsidR="008B4964" w:rsidRPr="00C116A0">
        <w:rPr>
          <w:snapToGrid/>
          <w:sz w:val="22"/>
          <w:szCs w:val="22"/>
        </w:rPr>
        <w:t xml:space="preserve">contends </w:t>
      </w:r>
      <w:r w:rsidRPr="00C116A0">
        <w:rPr>
          <w:snapToGrid/>
          <w:sz w:val="22"/>
          <w:szCs w:val="22"/>
        </w:rPr>
        <w:t xml:space="preserve">that the Commission failed to give its waiver request </w:t>
      </w:r>
      <w:r w:rsidR="0013057B" w:rsidRPr="00C116A0">
        <w:rPr>
          <w:snapToGrid/>
          <w:sz w:val="22"/>
          <w:szCs w:val="22"/>
        </w:rPr>
        <w:t>the</w:t>
      </w:r>
      <w:r w:rsidR="008B4964" w:rsidRPr="00C116A0">
        <w:rPr>
          <w:snapToGrid/>
          <w:sz w:val="22"/>
          <w:szCs w:val="22"/>
        </w:rPr>
        <w:t xml:space="preserve"> required</w:t>
      </w:r>
      <w:r w:rsidR="0013057B" w:rsidRPr="00C116A0">
        <w:rPr>
          <w:snapToGrid/>
          <w:sz w:val="22"/>
          <w:szCs w:val="22"/>
        </w:rPr>
        <w:t xml:space="preserve"> </w:t>
      </w:r>
      <w:r w:rsidRPr="00C116A0">
        <w:rPr>
          <w:snapToGrid/>
          <w:sz w:val="22"/>
          <w:szCs w:val="22"/>
        </w:rPr>
        <w:t>“hard look”</w:t>
      </w:r>
      <w:r w:rsidR="0013057B" w:rsidRPr="00C116A0">
        <w:rPr>
          <w:rStyle w:val="FootnoteReference"/>
          <w:rFonts w:ascii="Times New Roman" w:hAnsi="Times New Roman"/>
          <w:snapToGrid/>
          <w:sz w:val="22"/>
          <w:szCs w:val="22"/>
        </w:rPr>
        <w:footnoteReference w:id="16"/>
      </w:r>
      <w:r w:rsidR="0013057B" w:rsidRPr="00C116A0">
        <w:rPr>
          <w:snapToGrid/>
          <w:sz w:val="22"/>
          <w:szCs w:val="22"/>
        </w:rPr>
        <w:t xml:space="preserve"> </w:t>
      </w:r>
      <w:r w:rsidRPr="00C116A0">
        <w:rPr>
          <w:snapToGrid/>
          <w:sz w:val="22"/>
          <w:szCs w:val="22"/>
        </w:rPr>
        <w:t xml:space="preserve">and that the disposition via </w:t>
      </w:r>
      <w:r w:rsidRPr="00C116A0">
        <w:rPr>
          <w:i/>
          <w:snapToGrid/>
          <w:sz w:val="22"/>
          <w:szCs w:val="22"/>
        </w:rPr>
        <w:t>Public Notice</w:t>
      </w:r>
      <w:r w:rsidRPr="00C116A0">
        <w:rPr>
          <w:snapToGrid/>
          <w:sz w:val="22"/>
          <w:szCs w:val="22"/>
        </w:rPr>
        <w:t xml:space="preserve"> </w:t>
      </w:r>
      <w:r w:rsidR="00427C7B" w:rsidRPr="00C116A0">
        <w:rPr>
          <w:snapToGrid/>
          <w:sz w:val="22"/>
          <w:szCs w:val="22"/>
        </w:rPr>
        <w:t xml:space="preserve">without reasoned explanation </w:t>
      </w:r>
      <w:r w:rsidRPr="00C116A0">
        <w:rPr>
          <w:snapToGrid/>
          <w:sz w:val="22"/>
          <w:szCs w:val="22"/>
        </w:rPr>
        <w:t>was arbitrary and capricious</w:t>
      </w:r>
      <w:r w:rsidR="0013057B" w:rsidRPr="00C116A0">
        <w:rPr>
          <w:snapToGrid/>
          <w:sz w:val="22"/>
          <w:szCs w:val="22"/>
        </w:rPr>
        <w:t xml:space="preserve"> in violation of the Administrative Procedure Act</w:t>
      </w:r>
      <w:r w:rsidR="007B60AA" w:rsidRPr="00C116A0">
        <w:rPr>
          <w:snapToGrid/>
          <w:sz w:val="22"/>
          <w:szCs w:val="22"/>
        </w:rPr>
        <w:t xml:space="preserve"> (APA)</w:t>
      </w:r>
      <w:r w:rsidRPr="00C116A0">
        <w:rPr>
          <w:snapToGrid/>
          <w:sz w:val="22"/>
          <w:szCs w:val="22"/>
        </w:rPr>
        <w:t>.</w:t>
      </w:r>
      <w:r w:rsidR="0013057B" w:rsidRPr="00C116A0">
        <w:rPr>
          <w:rStyle w:val="FootnoteReference"/>
          <w:rFonts w:ascii="Times New Roman" w:hAnsi="Times New Roman"/>
          <w:snapToGrid/>
          <w:sz w:val="22"/>
          <w:szCs w:val="22"/>
        </w:rPr>
        <w:footnoteReference w:id="17"/>
      </w:r>
      <w:r w:rsidR="007972B7" w:rsidRPr="00C116A0">
        <w:rPr>
          <w:snapToGrid/>
          <w:sz w:val="22"/>
          <w:szCs w:val="22"/>
        </w:rPr>
        <w:t xml:space="preserve">  ENMU also argues that the Commission failed to </w:t>
      </w:r>
      <w:r w:rsidR="007E31F9" w:rsidRPr="00C116A0">
        <w:rPr>
          <w:snapToGrid/>
          <w:sz w:val="22"/>
          <w:szCs w:val="22"/>
        </w:rPr>
        <w:t>note</w:t>
      </w:r>
      <w:r w:rsidR="007972B7" w:rsidRPr="00C116A0">
        <w:rPr>
          <w:snapToGrid/>
          <w:sz w:val="22"/>
          <w:szCs w:val="22"/>
        </w:rPr>
        <w:t xml:space="preserve"> </w:t>
      </w:r>
      <w:r w:rsidR="00C73606" w:rsidRPr="00C116A0">
        <w:rPr>
          <w:snapToGrid/>
          <w:sz w:val="22"/>
          <w:szCs w:val="22"/>
        </w:rPr>
        <w:t xml:space="preserve">the Station’s </w:t>
      </w:r>
      <w:r w:rsidR="007972B7" w:rsidRPr="00C116A0">
        <w:rPr>
          <w:snapToGrid/>
          <w:sz w:val="22"/>
          <w:szCs w:val="22"/>
        </w:rPr>
        <w:t>NCE translator status.</w:t>
      </w:r>
      <w:r w:rsidR="007972B7" w:rsidRPr="00C116A0">
        <w:rPr>
          <w:rStyle w:val="FootnoteReference"/>
          <w:rFonts w:ascii="Times New Roman" w:hAnsi="Times New Roman"/>
          <w:snapToGrid/>
          <w:sz w:val="22"/>
          <w:szCs w:val="22"/>
        </w:rPr>
        <w:footnoteReference w:id="18"/>
      </w:r>
      <w:r w:rsidR="007E31F9" w:rsidRPr="00C116A0">
        <w:rPr>
          <w:snapToGrid/>
          <w:sz w:val="22"/>
          <w:szCs w:val="22"/>
        </w:rPr>
        <w:t xml:space="preserve"> </w:t>
      </w:r>
      <w:r w:rsidR="007972B7" w:rsidRPr="00C116A0">
        <w:rPr>
          <w:snapToGrid/>
          <w:sz w:val="22"/>
          <w:szCs w:val="22"/>
        </w:rPr>
        <w:t xml:space="preserve"> ENMU asserts </w:t>
      </w:r>
      <w:r w:rsidR="007E31F9" w:rsidRPr="00C116A0">
        <w:rPr>
          <w:snapToGrid/>
          <w:sz w:val="22"/>
          <w:szCs w:val="22"/>
        </w:rPr>
        <w:t>that as an NCE translator it</w:t>
      </w:r>
      <w:r w:rsidR="007972B7" w:rsidRPr="00C116A0">
        <w:rPr>
          <w:snapToGrid/>
          <w:sz w:val="22"/>
          <w:szCs w:val="22"/>
        </w:rPr>
        <w:t xml:space="preserve"> does not compete economically with commercial stations, and thus would not undermine the </w:t>
      </w:r>
      <w:r w:rsidR="007B60AA" w:rsidRPr="00C116A0">
        <w:rPr>
          <w:snapToGrid/>
          <w:sz w:val="22"/>
          <w:szCs w:val="22"/>
        </w:rPr>
        <w:t>S</w:t>
      </w:r>
      <w:r w:rsidR="007972B7" w:rsidRPr="00C116A0">
        <w:rPr>
          <w:snapToGrid/>
          <w:sz w:val="22"/>
          <w:szCs w:val="22"/>
        </w:rPr>
        <w:t xml:space="preserve">ignal </w:t>
      </w:r>
      <w:r w:rsidR="007B60AA" w:rsidRPr="00C116A0">
        <w:rPr>
          <w:snapToGrid/>
          <w:sz w:val="22"/>
          <w:szCs w:val="22"/>
        </w:rPr>
        <w:t>D</w:t>
      </w:r>
      <w:r w:rsidR="007972B7" w:rsidRPr="00C116A0">
        <w:rPr>
          <w:snapToGrid/>
          <w:sz w:val="22"/>
          <w:szCs w:val="22"/>
        </w:rPr>
        <w:t xml:space="preserve">elivery </w:t>
      </w:r>
      <w:r w:rsidR="007B60AA" w:rsidRPr="00C116A0">
        <w:rPr>
          <w:snapToGrid/>
          <w:sz w:val="22"/>
          <w:szCs w:val="22"/>
        </w:rPr>
        <w:t>R</w:t>
      </w:r>
      <w:r w:rsidR="007972B7" w:rsidRPr="00C116A0">
        <w:rPr>
          <w:snapToGrid/>
          <w:sz w:val="22"/>
          <w:szCs w:val="22"/>
        </w:rPr>
        <w:t>ule</w:t>
      </w:r>
      <w:r w:rsidR="00C73606" w:rsidRPr="00C116A0">
        <w:rPr>
          <w:snapToGrid/>
          <w:sz w:val="22"/>
          <w:szCs w:val="22"/>
        </w:rPr>
        <w:t>’s rationale</w:t>
      </w:r>
      <w:r w:rsidR="007972B7" w:rsidRPr="00C116A0">
        <w:rPr>
          <w:snapToGrid/>
          <w:sz w:val="22"/>
          <w:szCs w:val="22"/>
        </w:rPr>
        <w:t>.</w:t>
      </w:r>
      <w:r w:rsidR="00434E87" w:rsidRPr="00C116A0">
        <w:rPr>
          <w:rStyle w:val="FootnoteReference"/>
          <w:rFonts w:ascii="Times New Roman" w:hAnsi="Times New Roman"/>
          <w:snapToGrid/>
          <w:sz w:val="22"/>
          <w:szCs w:val="22"/>
        </w:rPr>
        <w:footnoteReference w:id="19"/>
      </w:r>
      <w:r w:rsidR="0013057B" w:rsidRPr="00C116A0">
        <w:rPr>
          <w:snapToGrid/>
          <w:sz w:val="22"/>
          <w:szCs w:val="22"/>
        </w:rPr>
        <w:t xml:space="preserve">  </w:t>
      </w:r>
    </w:p>
    <w:p w14:paraId="0A2768D3" w14:textId="77777777" w:rsidR="006F6EDE" w:rsidRPr="002A03CE" w:rsidRDefault="006F6EDE" w:rsidP="006F6EDE">
      <w:pPr>
        <w:widowControl/>
        <w:ind w:firstLine="720"/>
        <w:rPr>
          <w:snapToGrid/>
          <w:sz w:val="22"/>
          <w:szCs w:val="22"/>
        </w:rPr>
      </w:pPr>
    </w:p>
    <w:p w14:paraId="0A4BA12D" w14:textId="0BDAA5D7" w:rsidR="00E07DC5" w:rsidRPr="00C116A0" w:rsidRDefault="0063140F" w:rsidP="006F6EDE">
      <w:pPr>
        <w:widowControl/>
        <w:ind w:firstLine="720"/>
        <w:rPr>
          <w:snapToGrid/>
          <w:sz w:val="22"/>
          <w:szCs w:val="22"/>
        </w:rPr>
      </w:pPr>
      <w:r w:rsidRPr="00C116A0">
        <w:rPr>
          <w:i/>
          <w:snapToGrid/>
          <w:sz w:val="22"/>
          <w:szCs w:val="22"/>
        </w:rPr>
        <w:t>Discussion.</w:t>
      </w:r>
      <w:r w:rsidRPr="00C116A0">
        <w:rPr>
          <w:snapToGrid/>
          <w:sz w:val="22"/>
          <w:szCs w:val="22"/>
        </w:rPr>
        <w:t xml:space="preserve">  </w:t>
      </w:r>
      <w:r w:rsidR="005D7F70" w:rsidRPr="00C116A0">
        <w:rPr>
          <w:snapToGrid/>
          <w:sz w:val="22"/>
          <w:szCs w:val="22"/>
          <w:u w:val="single"/>
        </w:rPr>
        <w:t>Petition for Reconsideration</w:t>
      </w:r>
      <w:r w:rsidR="004C49F5" w:rsidRPr="00C116A0">
        <w:rPr>
          <w:i/>
          <w:snapToGrid/>
          <w:sz w:val="22"/>
          <w:szCs w:val="22"/>
        </w:rPr>
        <w:t>.</w:t>
      </w:r>
      <w:r w:rsidR="00E93E1D" w:rsidRPr="00C116A0">
        <w:rPr>
          <w:snapToGrid/>
          <w:sz w:val="22"/>
          <w:szCs w:val="22"/>
        </w:rPr>
        <w:t xml:space="preserve">  </w:t>
      </w:r>
      <w:r w:rsidR="0060064C" w:rsidRPr="00C116A0">
        <w:rPr>
          <w:snapToGrid/>
          <w:sz w:val="22"/>
          <w:szCs w:val="22"/>
        </w:rPr>
        <w:t>The Commission will c</w:t>
      </w:r>
      <w:r w:rsidR="00E07DC5" w:rsidRPr="00C116A0">
        <w:rPr>
          <w:snapToGrid/>
          <w:sz w:val="22"/>
          <w:szCs w:val="22"/>
        </w:rPr>
        <w:t xml:space="preserve">onsider a petition for reconsideration </w:t>
      </w:r>
      <w:r w:rsidR="0060064C" w:rsidRPr="00C116A0">
        <w:rPr>
          <w:snapToGrid/>
          <w:sz w:val="22"/>
          <w:szCs w:val="22"/>
        </w:rPr>
        <w:t xml:space="preserve">only if </w:t>
      </w:r>
      <w:r w:rsidR="00E07DC5" w:rsidRPr="00C116A0">
        <w:rPr>
          <w:snapToGrid/>
          <w:sz w:val="22"/>
          <w:szCs w:val="22"/>
        </w:rPr>
        <w:t>the petitioner show</w:t>
      </w:r>
      <w:r w:rsidR="004C4BAC" w:rsidRPr="00C116A0">
        <w:rPr>
          <w:snapToGrid/>
          <w:sz w:val="22"/>
          <w:szCs w:val="22"/>
        </w:rPr>
        <w:t>s</w:t>
      </w:r>
      <w:r w:rsidR="00E07DC5" w:rsidRPr="00C116A0">
        <w:rPr>
          <w:snapToGrid/>
          <w:sz w:val="22"/>
          <w:szCs w:val="22"/>
        </w:rPr>
        <w:t xml:space="preserve"> either a material error in the Commission’s original order or raise</w:t>
      </w:r>
      <w:r w:rsidR="008B4964" w:rsidRPr="00C116A0">
        <w:rPr>
          <w:snapToGrid/>
          <w:sz w:val="22"/>
          <w:szCs w:val="22"/>
        </w:rPr>
        <w:t>s</w:t>
      </w:r>
      <w:r w:rsidR="00E07DC5" w:rsidRPr="00C116A0">
        <w:rPr>
          <w:snapToGrid/>
          <w:sz w:val="22"/>
          <w:szCs w:val="22"/>
        </w:rPr>
        <w:t xml:space="preserve"> new facts or changed circumstances not known or existing at the time of petitioner’s last opportunity to present such matters.</w:t>
      </w:r>
      <w:r w:rsidR="00E07DC5" w:rsidRPr="00C116A0">
        <w:rPr>
          <w:snapToGrid/>
          <w:sz w:val="22"/>
          <w:szCs w:val="22"/>
          <w:vertAlign w:val="superscript"/>
        </w:rPr>
        <w:footnoteReference w:id="20"/>
      </w:r>
      <w:r w:rsidR="00E07DC5" w:rsidRPr="00C116A0">
        <w:rPr>
          <w:snapToGrid/>
          <w:sz w:val="22"/>
          <w:szCs w:val="22"/>
        </w:rPr>
        <w:t xml:space="preserve">  </w:t>
      </w:r>
      <w:r w:rsidR="00CE6B7C" w:rsidRPr="00C116A0">
        <w:rPr>
          <w:sz w:val="22"/>
          <w:szCs w:val="22"/>
        </w:rPr>
        <w:t>A petition for reconsideration that simply reiterates arguments previously considered and rejected will be denied.</w:t>
      </w:r>
      <w:r w:rsidR="00CE6B7C" w:rsidRPr="00C116A0">
        <w:rPr>
          <w:rStyle w:val="FootnoteReference"/>
          <w:rFonts w:ascii="Times New Roman" w:hAnsi="Times New Roman"/>
          <w:sz w:val="22"/>
          <w:szCs w:val="22"/>
        </w:rPr>
        <w:footnoteReference w:id="21"/>
      </w:r>
      <w:r w:rsidR="00CE6B7C" w:rsidRPr="00C116A0">
        <w:rPr>
          <w:sz w:val="22"/>
          <w:szCs w:val="22"/>
        </w:rPr>
        <w:t xml:space="preserve">  </w:t>
      </w:r>
      <w:r w:rsidR="00E07DC5" w:rsidRPr="00C116A0">
        <w:rPr>
          <w:snapToGrid/>
          <w:sz w:val="22"/>
          <w:szCs w:val="22"/>
        </w:rPr>
        <w:t>ENMU has failed to meet this burden.</w:t>
      </w:r>
    </w:p>
    <w:p w14:paraId="12275653" w14:textId="77777777" w:rsidR="006F6EDE" w:rsidRPr="00C116A0" w:rsidRDefault="006F6EDE" w:rsidP="006F6EDE">
      <w:pPr>
        <w:widowControl/>
        <w:ind w:firstLine="720"/>
        <w:rPr>
          <w:snapToGrid/>
          <w:sz w:val="22"/>
          <w:szCs w:val="22"/>
        </w:rPr>
      </w:pPr>
    </w:p>
    <w:p w14:paraId="716416FA" w14:textId="7B4D79A0" w:rsidR="00523A90" w:rsidRPr="00C116A0" w:rsidRDefault="00523A90" w:rsidP="006F6EDE">
      <w:pPr>
        <w:widowControl/>
        <w:ind w:firstLine="720"/>
        <w:rPr>
          <w:snapToGrid/>
          <w:sz w:val="22"/>
          <w:szCs w:val="22"/>
        </w:rPr>
      </w:pPr>
      <w:r w:rsidRPr="00C116A0">
        <w:rPr>
          <w:snapToGrid/>
          <w:sz w:val="22"/>
          <w:szCs w:val="22"/>
        </w:rPr>
        <w:t>With respect to</w:t>
      </w:r>
      <w:r w:rsidR="00965069" w:rsidRPr="00C116A0">
        <w:rPr>
          <w:snapToGrid/>
          <w:sz w:val="22"/>
          <w:szCs w:val="22"/>
        </w:rPr>
        <w:t xml:space="preserve"> the adequacy of </w:t>
      </w:r>
      <w:r w:rsidR="00581621" w:rsidRPr="00C116A0">
        <w:rPr>
          <w:snapToGrid/>
          <w:sz w:val="22"/>
          <w:szCs w:val="22"/>
        </w:rPr>
        <w:t xml:space="preserve">the </w:t>
      </w:r>
      <w:r w:rsidR="00A65ED3" w:rsidRPr="00C116A0">
        <w:rPr>
          <w:snapToGrid/>
          <w:sz w:val="22"/>
          <w:szCs w:val="22"/>
        </w:rPr>
        <w:t>staff’s action on the waiver request</w:t>
      </w:r>
      <w:r w:rsidR="00965069" w:rsidRPr="00C116A0">
        <w:rPr>
          <w:snapToGrid/>
          <w:sz w:val="22"/>
          <w:szCs w:val="22"/>
        </w:rPr>
        <w:t>,</w:t>
      </w:r>
      <w:r w:rsidR="00581621" w:rsidRPr="00C116A0">
        <w:rPr>
          <w:snapToGrid/>
          <w:sz w:val="22"/>
          <w:szCs w:val="22"/>
        </w:rPr>
        <w:t xml:space="preserve"> </w:t>
      </w:r>
      <w:r w:rsidR="00AE7E61" w:rsidRPr="00C116A0">
        <w:rPr>
          <w:snapToGrid/>
          <w:sz w:val="22"/>
          <w:szCs w:val="22"/>
        </w:rPr>
        <w:t>courts will not overturn waiver denials unless the agency’s reasons are “so insubstantial as to render that denial an abuse of discretion.”</w:t>
      </w:r>
      <w:r w:rsidR="00AE7E61" w:rsidRPr="00C116A0">
        <w:rPr>
          <w:rStyle w:val="FootnoteReference"/>
          <w:rFonts w:ascii="Times New Roman" w:hAnsi="Times New Roman"/>
          <w:snapToGrid/>
          <w:sz w:val="22"/>
          <w:szCs w:val="22"/>
        </w:rPr>
        <w:footnoteReference w:id="22"/>
      </w:r>
      <w:r w:rsidR="00AE7E61" w:rsidRPr="00C116A0">
        <w:rPr>
          <w:snapToGrid/>
          <w:sz w:val="22"/>
          <w:szCs w:val="22"/>
        </w:rPr>
        <w:t xml:space="preserve">  An</w:t>
      </w:r>
      <w:r w:rsidR="00581621" w:rsidRPr="00C116A0">
        <w:rPr>
          <w:snapToGrid/>
          <w:sz w:val="22"/>
          <w:szCs w:val="22"/>
        </w:rPr>
        <w:t xml:space="preserve"> agency's </w:t>
      </w:r>
      <w:r w:rsidR="00AE7E61" w:rsidRPr="00C116A0">
        <w:rPr>
          <w:snapToGrid/>
          <w:sz w:val="22"/>
          <w:szCs w:val="22"/>
        </w:rPr>
        <w:t>“</w:t>
      </w:r>
      <w:r w:rsidR="00581621" w:rsidRPr="00C116A0">
        <w:rPr>
          <w:snapToGrid/>
          <w:sz w:val="22"/>
          <w:szCs w:val="22"/>
        </w:rPr>
        <w:t xml:space="preserve">strict </w:t>
      </w:r>
      <w:r w:rsidR="00AE7E61" w:rsidRPr="00C116A0">
        <w:rPr>
          <w:snapToGrid/>
          <w:sz w:val="22"/>
          <w:szCs w:val="22"/>
        </w:rPr>
        <w:t>adherence to a general rule” may be justified</w:t>
      </w:r>
      <w:r w:rsidR="005D7AF7" w:rsidRPr="00C116A0">
        <w:rPr>
          <w:snapToGrid/>
          <w:sz w:val="22"/>
          <w:szCs w:val="22"/>
        </w:rPr>
        <w:t xml:space="preserve"> </w:t>
      </w:r>
      <w:r w:rsidR="00AE7E61" w:rsidRPr="00C116A0">
        <w:rPr>
          <w:snapToGrid/>
          <w:sz w:val="22"/>
          <w:szCs w:val="22"/>
        </w:rPr>
        <w:t>–</w:t>
      </w:r>
      <w:r w:rsidR="005D7AF7" w:rsidRPr="00C116A0">
        <w:rPr>
          <w:snapToGrid/>
          <w:sz w:val="22"/>
          <w:szCs w:val="22"/>
        </w:rPr>
        <w:t xml:space="preserve"> </w:t>
      </w:r>
      <w:r w:rsidR="00581621" w:rsidRPr="00C116A0">
        <w:rPr>
          <w:snapToGrid/>
          <w:sz w:val="22"/>
          <w:szCs w:val="22"/>
        </w:rPr>
        <w:t>even if</w:t>
      </w:r>
      <w:r w:rsidR="008A19BF" w:rsidRPr="00C116A0">
        <w:rPr>
          <w:snapToGrid/>
          <w:sz w:val="22"/>
          <w:szCs w:val="22"/>
        </w:rPr>
        <w:t xml:space="preserve"> that </w:t>
      </w:r>
      <w:r w:rsidR="00AE7E61" w:rsidRPr="00C116A0">
        <w:rPr>
          <w:snapToGrid/>
          <w:sz w:val="22"/>
          <w:szCs w:val="22"/>
        </w:rPr>
        <w:t xml:space="preserve">application </w:t>
      </w:r>
      <w:r w:rsidR="008A19BF" w:rsidRPr="00C116A0">
        <w:rPr>
          <w:snapToGrid/>
          <w:sz w:val="22"/>
          <w:szCs w:val="22"/>
        </w:rPr>
        <w:t>presents some hardship in individual cases.</w:t>
      </w:r>
      <w:r w:rsidR="008A19BF" w:rsidRPr="00C116A0">
        <w:rPr>
          <w:rStyle w:val="FootnoteReference"/>
          <w:rFonts w:ascii="Times New Roman" w:hAnsi="Times New Roman"/>
          <w:snapToGrid/>
          <w:sz w:val="22"/>
          <w:szCs w:val="22"/>
        </w:rPr>
        <w:footnoteReference w:id="23"/>
      </w:r>
      <w:r w:rsidR="0009630D" w:rsidRPr="00C116A0">
        <w:rPr>
          <w:snapToGrid/>
          <w:sz w:val="22"/>
          <w:szCs w:val="22"/>
        </w:rPr>
        <w:t xml:space="preserve">  </w:t>
      </w:r>
      <w:r w:rsidR="00176F65" w:rsidRPr="00C116A0">
        <w:rPr>
          <w:snapToGrid/>
          <w:sz w:val="22"/>
          <w:szCs w:val="22"/>
        </w:rPr>
        <w:t xml:space="preserve">The </w:t>
      </w:r>
      <w:r w:rsidR="00176F65" w:rsidRPr="00C116A0">
        <w:rPr>
          <w:i/>
          <w:snapToGrid/>
          <w:sz w:val="22"/>
          <w:szCs w:val="22"/>
        </w:rPr>
        <w:t>Public Notice</w:t>
      </w:r>
      <w:r w:rsidR="00176F65" w:rsidRPr="00C116A0">
        <w:rPr>
          <w:snapToGrid/>
          <w:sz w:val="22"/>
          <w:szCs w:val="22"/>
        </w:rPr>
        <w:t xml:space="preserve"> disposition explains </w:t>
      </w:r>
      <w:r w:rsidR="00A65ED3" w:rsidRPr="00C116A0">
        <w:rPr>
          <w:snapToGrid/>
          <w:sz w:val="22"/>
          <w:szCs w:val="22"/>
        </w:rPr>
        <w:t xml:space="preserve">clearly </w:t>
      </w:r>
      <w:r w:rsidR="00176F65" w:rsidRPr="00C116A0">
        <w:rPr>
          <w:snapToGrid/>
          <w:sz w:val="22"/>
          <w:szCs w:val="22"/>
        </w:rPr>
        <w:t xml:space="preserve">that </w:t>
      </w:r>
      <w:r w:rsidR="00A65ED3" w:rsidRPr="00C116A0">
        <w:rPr>
          <w:snapToGrid/>
          <w:sz w:val="22"/>
          <w:szCs w:val="22"/>
        </w:rPr>
        <w:t xml:space="preserve">Commission pronouncements regarding </w:t>
      </w:r>
      <w:r w:rsidR="00176F65" w:rsidRPr="00C116A0">
        <w:rPr>
          <w:snapToGrid/>
          <w:sz w:val="22"/>
          <w:szCs w:val="22"/>
        </w:rPr>
        <w:t xml:space="preserve">the </w:t>
      </w:r>
      <w:r w:rsidR="006E4336" w:rsidRPr="00C116A0">
        <w:rPr>
          <w:snapToGrid/>
          <w:sz w:val="22"/>
          <w:szCs w:val="22"/>
        </w:rPr>
        <w:t>S</w:t>
      </w:r>
      <w:r w:rsidR="00176F65" w:rsidRPr="00C116A0">
        <w:rPr>
          <w:snapToGrid/>
          <w:sz w:val="22"/>
          <w:szCs w:val="22"/>
        </w:rPr>
        <w:t xml:space="preserve">ignal </w:t>
      </w:r>
      <w:r w:rsidR="006E4336" w:rsidRPr="00C116A0">
        <w:rPr>
          <w:snapToGrid/>
          <w:sz w:val="22"/>
          <w:szCs w:val="22"/>
        </w:rPr>
        <w:t>D</w:t>
      </w:r>
      <w:r w:rsidR="00176F65" w:rsidRPr="00C116A0">
        <w:rPr>
          <w:snapToGrid/>
          <w:sz w:val="22"/>
          <w:szCs w:val="22"/>
        </w:rPr>
        <w:t xml:space="preserve">elivery </w:t>
      </w:r>
      <w:r w:rsidR="006E4336" w:rsidRPr="00C116A0">
        <w:rPr>
          <w:snapToGrid/>
          <w:sz w:val="22"/>
          <w:szCs w:val="22"/>
        </w:rPr>
        <w:t>R</w:t>
      </w:r>
      <w:r w:rsidR="00176F65" w:rsidRPr="00C116A0">
        <w:rPr>
          <w:snapToGrid/>
          <w:sz w:val="22"/>
          <w:szCs w:val="22"/>
        </w:rPr>
        <w:t xml:space="preserve">ule do not allow for waiver in </w:t>
      </w:r>
      <w:r w:rsidR="00A65ED3" w:rsidRPr="00C116A0">
        <w:rPr>
          <w:snapToGrid/>
          <w:sz w:val="22"/>
          <w:szCs w:val="22"/>
        </w:rPr>
        <w:t>the absence of a “white area” showing</w:t>
      </w:r>
      <w:r w:rsidR="00176F65" w:rsidRPr="00C116A0">
        <w:rPr>
          <w:snapToGrid/>
          <w:sz w:val="22"/>
          <w:szCs w:val="22"/>
        </w:rPr>
        <w:t xml:space="preserve"> and cites to prior decisions supporting </w:t>
      </w:r>
      <w:r w:rsidR="00620F04" w:rsidRPr="00C116A0">
        <w:rPr>
          <w:snapToGrid/>
          <w:sz w:val="22"/>
          <w:szCs w:val="22"/>
        </w:rPr>
        <w:t>that</w:t>
      </w:r>
      <w:r w:rsidR="00176F65" w:rsidRPr="00C116A0">
        <w:rPr>
          <w:snapToGrid/>
          <w:sz w:val="22"/>
          <w:szCs w:val="22"/>
        </w:rPr>
        <w:t xml:space="preserve"> conclusion.</w:t>
      </w:r>
      <w:r w:rsidR="00620F04" w:rsidRPr="00C116A0">
        <w:rPr>
          <w:rStyle w:val="FootnoteReference"/>
          <w:rFonts w:ascii="Times New Roman" w:hAnsi="Times New Roman"/>
          <w:snapToGrid/>
          <w:sz w:val="22"/>
          <w:szCs w:val="22"/>
        </w:rPr>
        <w:footnoteReference w:id="24"/>
      </w:r>
      <w:r w:rsidR="00620F04" w:rsidRPr="00C116A0">
        <w:rPr>
          <w:snapToGrid/>
          <w:sz w:val="22"/>
          <w:szCs w:val="22"/>
        </w:rPr>
        <w:t xml:space="preserve"> </w:t>
      </w:r>
      <w:r w:rsidR="00A65ED3" w:rsidRPr="00C116A0">
        <w:rPr>
          <w:snapToGrid/>
          <w:sz w:val="22"/>
          <w:szCs w:val="22"/>
        </w:rPr>
        <w:t xml:space="preserve"> </w:t>
      </w:r>
      <w:r w:rsidR="006E4336" w:rsidRPr="00C116A0">
        <w:rPr>
          <w:snapToGrid/>
          <w:sz w:val="22"/>
          <w:szCs w:val="22"/>
        </w:rPr>
        <w:t>There is no requirement that the staff’s analysis be a minimum length.</w:t>
      </w:r>
      <w:r w:rsidR="006E4336" w:rsidRPr="00C116A0">
        <w:rPr>
          <w:snapToGrid/>
          <w:sz w:val="22"/>
          <w:szCs w:val="22"/>
          <w:vertAlign w:val="superscript"/>
        </w:rPr>
        <w:footnoteReference w:id="25"/>
      </w:r>
      <w:r w:rsidR="006E4336" w:rsidRPr="00C116A0">
        <w:rPr>
          <w:snapToGrid/>
          <w:sz w:val="22"/>
          <w:szCs w:val="22"/>
        </w:rPr>
        <w:t xml:space="preserve">  Moreover, we have specifically held that public notice comments may sufficiently address the merits of a petitioner’s argument.</w:t>
      </w:r>
      <w:r w:rsidR="006E4336" w:rsidRPr="00C116A0">
        <w:rPr>
          <w:snapToGrid/>
          <w:sz w:val="22"/>
          <w:szCs w:val="22"/>
          <w:vertAlign w:val="superscript"/>
        </w:rPr>
        <w:footnoteReference w:id="26"/>
      </w:r>
      <w:r w:rsidR="006E4336" w:rsidRPr="00C116A0">
        <w:rPr>
          <w:snapToGrid/>
          <w:sz w:val="22"/>
          <w:szCs w:val="22"/>
        </w:rPr>
        <w:t xml:space="preserve">  Accordingly, we find the </w:t>
      </w:r>
      <w:r w:rsidR="006E4336" w:rsidRPr="00C116A0">
        <w:rPr>
          <w:i/>
          <w:snapToGrid/>
          <w:sz w:val="22"/>
          <w:szCs w:val="22"/>
        </w:rPr>
        <w:t>Public Notice</w:t>
      </w:r>
      <w:r w:rsidR="004C4E1E" w:rsidRPr="00C116A0">
        <w:rPr>
          <w:snapToGrid/>
          <w:sz w:val="22"/>
          <w:szCs w:val="22"/>
        </w:rPr>
        <w:t>’s concise statement of the reasons for the staff action was sufficient.</w:t>
      </w:r>
      <w:r w:rsidR="006E4336" w:rsidRPr="00C116A0">
        <w:rPr>
          <w:snapToGrid/>
          <w:sz w:val="22"/>
          <w:szCs w:val="22"/>
          <w:vertAlign w:val="superscript"/>
        </w:rPr>
        <w:footnoteReference w:id="27"/>
      </w:r>
      <w:r w:rsidR="006E4336" w:rsidRPr="00C116A0">
        <w:rPr>
          <w:snapToGrid/>
          <w:sz w:val="22"/>
          <w:szCs w:val="22"/>
        </w:rPr>
        <w:t xml:space="preserve">  </w:t>
      </w:r>
    </w:p>
    <w:p w14:paraId="24ED22BF" w14:textId="77777777" w:rsidR="006F6EDE" w:rsidRPr="00C116A0" w:rsidRDefault="006F6EDE" w:rsidP="006F6EDE">
      <w:pPr>
        <w:widowControl/>
        <w:ind w:firstLine="720"/>
        <w:rPr>
          <w:snapToGrid/>
          <w:sz w:val="22"/>
          <w:szCs w:val="22"/>
        </w:rPr>
      </w:pPr>
    </w:p>
    <w:p w14:paraId="1272F1C0" w14:textId="073E8BCE" w:rsidR="00E07DC5" w:rsidRPr="00C116A0" w:rsidRDefault="00FC3BA4" w:rsidP="006F6EDE">
      <w:pPr>
        <w:widowControl/>
        <w:ind w:firstLine="720"/>
        <w:rPr>
          <w:snapToGrid/>
          <w:sz w:val="22"/>
          <w:szCs w:val="22"/>
        </w:rPr>
      </w:pPr>
      <w:r w:rsidRPr="00C116A0">
        <w:rPr>
          <w:snapToGrid/>
          <w:sz w:val="22"/>
          <w:szCs w:val="22"/>
        </w:rPr>
        <w:t>Additionally, t</w:t>
      </w:r>
      <w:r w:rsidR="00E07DC5" w:rsidRPr="00C116A0">
        <w:rPr>
          <w:snapToGrid/>
          <w:sz w:val="22"/>
          <w:szCs w:val="22"/>
        </w:rPr>
        <w:t>he Petition fails to show any material error in the dismissal.  The Commission’s rules may be waived only for good cause shown.</w:t>
      </w:r>
      <w:r w:rsidR="00E07DC5" w:rsidRPr="00C116A0">
        <w:rPr>
          <w:snapToGrid/>
          <w:sz w:val="22"/>
          <w:szCs w:val="22"/>
          <w:vertAlign w:val="superscript"/>
        </w:rPr>
        <w:footnoteReference w:id="28"/>
      </w:r>
      <w:r w:rsidR="00E07DC5" w:rsidRPr="00C116A0">
        <w:rPr>
          <w:snapToGrid/>
          <w:sz w:val="22"/>
          <w:szCs w:val="22"/>
        </w:rPr>
        <w:t xml:space="preserve">  Petitioner is correct that the Commission must give waiver request</w:t>
      </w:r>
      <w:r w:rsidR="00B15BAB" w:rsidRPr="00C116A0">
        <w:rPr>
          <w:snapToGrid/>
          <w:sz w:val="22"/>
          <w:szCs w:val="22"/>
        </w:rPr>
        <w:t>s</w:t>
      </w:r>
      <w:r w:rsidR="00E07DC5" w:rsidRPr="00C116A0">
        <w:rPr>
          <w:snapToGrid/>
          <w:sz w:val="22"/>
          <w:szCs w:val="22"/>
        </w:rPr>
        <w:t xml:space="preserve"> “a hard look,” but overlooks the </w:t>
      </w:r>
      <w:r w:rsidR="00051D66" w:rsidRPr="00C116A0">
        <w:rPr>
          <w:snapToGrid/>
          <w:sz w:val="22"/>
          <w:szCs w:val="22"/>
        </w:rPr>
        <w:t>high hurdle</w:t>
      </w:r>
      <w:r w:rsidR="00E07DC5" w:rsidRPr="00C116A0">
        <w:rPr>
          <w:snapToGrid/>
          <w:sz w:val="22"/>
          <w:szCs w:val="22"/>
        </w:rPr>
        <w:t xml:space="preserve"> </w:t>
      </w:r>
      <w:r w:rsidR="008B4964" w:rsidRPr="00C116A0">
        <w:rPr>
          <w:snapToGrid/>
          <w:sz w:val="22"/>
          <w:szCs w:val="22"/>
        </w:rPr>
        <w:t xml:space="preserve">such </w:t>
      </w:r>
      <w:r w:rsidR="00E07DC5" w:rsidRPr="00C116A0">
        <w:rPr>
          <w:snapToGrid/>
          <w:sz w:val="22"/>
          <w:szCs w:val="22"/>
        </w:rPr>
        <w:t>request</w:t>
      </w:r>
      <w:r w:rsidR="00B15BAB" w:rsidRPr="00C116A0">
        <w:rPr>
          <w:snapToGrid/>
          <w:sz w:val="22"/>
          <w:szCs w:val="22"/>
        </w:rPr>
        <w:t>s</w:t>
      </w:r>
      <w:r w:rsidR="00E07DC5" w:rsidRPr="00C116A0">
        <w:rPr>
          <w:snapToGrid/>
          <w:sz w:val="22"/>
          <w:szCs w:val="22"/>
        </w:rPr>
        <w:t xml:space="preserve"> must overcome.</w:t>
      </w:r>
      <w:r w:rsidR="00E07DC5" w:rsidRPr="00C116A0">
        <w:rPr>
          <w:snapToGrid/>
          <w:sz w:val="22"/>
          <w:szCs w:val="22"/>
          <w:vertAlign w:val="superscript"/>
        </w:rPr>
        <w:footnoteReference w:id="29"/>
      </w:r>
      <w:r w:rsidR="00E07DC5" w:rsidRPr="00C116A0">
        <w:rPr>
          <w:snapToGrid/>
          <w:sz w:val="22"/>
          <w:szCs w:val="22"/>
        </w:rPr>
        <w:t xml:space="preserve">  An applicant must support its waiver with a compelling showing,</w:t>
      </w:r>
      <w:r w:rsidR="00E07DC5" w:rsidRPr="00C116A0">
        <w:rPr>
          <w:snapToGrid/>
          <w:sz w:val="22"/>
          <w:szCs w:val="22"/>
          <w:vertAlign w:val="superscript"/>
        </w:rPr>
        <w:footnoteReference w:id="30"/>
      </w:r>
      <w:r w:rsidR="00E07DC5" w:rsidRPr="00C116A0">
        <w:rPr>
          <w:snapToGrid/>
          <w:sz w:val="22"/>
          <w:szCs w:val="22"/>
        </w:rPr>
        <w:t xml:space="preserve"> and waiver is appropriate only if both</w:t>
      </w:r>
      <w:r w:rsidR="0035757A" w:rsidRPr="00C116A0">
        <w:rPr>
          <w:snapToGrid/>
          <w:sz w:val="22"/>
          <w:szCs w:val="22"/>
        </w:rPr>
        <w:t>:</w:t>
      </w:r>
      <w:r w:rsidR="00E07DC5" w:rsidRPr="00C116A0">
        <w:rPr>
          <w:snapToGrid/>
          <w:sz w:val="22"/>
          <w:szCs w:val="22"/>
        </w:rPr>
        <w:t xml:space="preserve"> (1) special circumstances warrant a deviation from the general rule, and (2) such deviation better serves the public interest.</w:t>
      </w:r>
      <w:r w:rsidR="00E07DC5" w:rsidRPr="00C116A0">
        <w:rPr>
          <w:snapToGrid/>
          <w:sz w:val="22"/>
          <w:szCs w:val="22"/>
          <w:vertAlign w:val="superscript"/>
        </w:rPr>
        <w:footnoteReference w:id="31"/>
      </w:r>
      <w:r w:rsidR="00E07DC5" w:rsidRPr="00C116A0">
        <w:rPr>
          <w:snapToGrid/>
          <w:sz w:val="22"/>
          <w:szCs w:val="22"/>
        </w:rPr>
        <w:t xml:space="preserve">  </w:t>
      </w:r>
    </w:p>
    <w:p w14:paraId="4B804016" w14:textId="77777777" w:rsidR="006F6EDE" w:rsidRPr="00C116A0" w:rsidRDefault="006F6EDE" w:rsidP="006F6EDE">
      <w:pPr>
        <w:ind w:firstLine="720"/>
        <w:rPr>
          <w:snapToGrid/>
          <w:sz w:val="22"/>
          <w:szCs w:val="22"/>
        </w:rPr>
      </w:pPr>
    </w:p>
    <w:p w14:paraId="5EB10147" w14:textId="79CB06A0" w:rsidR="00E07DC5" w:rsidRPr="00C116A0" w:rsidRDefault="00B15BAB" w:rsidP="006F6EDE">
      <w:pPr>
        <w:ind w:firstLine="720"/>
        <w:rPr>
          <w:snapToGrid/>
          <w:sz w:val="22"/>
          <w:szCs w:val="22"/>
        </w:rPr>
      </w:pPr>
      <w:r w:rsidRPr="00C116A0">
        <w:rPr>
          <w:snapToGrid/>
          <w:sz w:val="22"/>
          <w:szCs w:val="22"/>
        </w:rPr>
        <w:t xml:space="preserve">ENMU has failed to demonstrate </w:t>
      </w:r>
      <w:r w:rsidR="00A4377C" w:rsidRPr="00C116A0">
        <w:rPr>
          <w:snapToGrid/>
          <w:sz w:val="22"/>
          <w:szCs w:val="22"/>
        </w:rPr>
        <w:t>“</w:t>
      </w:r>
      <w:r w:rsidRPr="00C116A0">
        <w:rPr>
          <w:snapToGrid/>
          <w:sz w:val="22"/>
          <w:szCs w:val="22"/>
        </w:rPr>
        <w:t>special circumstances</w:t>
      </w:r>
      <w:r w:rsidR="00A4377C" w:rsidRPr="00C116A0">
        <w:rPr>
          <w:snapToGrid/>
          <w:sz w:val="22"/>
          <w:szCs w:val="22"/>
        </w:rPr>
        <w:t>”</w:t>
      </w:r>
      <w:r w:rsidRPr="00C116A0">
        <w:rPr>
          <w:snapToGrid/>
          <w:sz w:val="22"/>
          <w:szCs w:val="22"/>
        </w:rPr>
        <w:t xml:space="preserve"> that </w:t>
      </w:r>
      <w:r w:rsidR="00311895" w:rsidRPr="00C116A0">
        <w:rPr>
          <w:snapToGrid/>
          <w:sz w:val="22"/>
          <w:szCs w:val="22"/>
        </w:rPr>
        <w:t xml:space="preserve">would </w:t>
      </w:r>
      <w:r w:rsidRPr="00C116A0">
        <w:rPr>
          <w:snapToGrid/>
          <w:sz w:val="22"/>
          <w:szCs w:val="22"/>
        </w:rPr>
        <w:t xml:space="preserve">warrant deviation from the Commission’s general rule. </w:t>
      </w:r>
      <w:r w:rsidR="00505542" w:rsidRPr="00C116A0">
        <w:rPr>
          <w:snapToGrid/>
          <w:sz w:val="22"/>
          <w:szCs w:val="22"/>
        </w:rPr>
        <w:t xml:space="preserve"> </w:t>
      </w:r>
      <w:r w:rsidRPr="00C116A0">
        <w:rPr>
          <w:snapToGrid/>
          <w:sz w:val="22"/>
          <w:szCs w:val="22"/>
        </w:rPr>
        <w:t>By amending the FM translator rules, the Commission sought to tailor the rules to more closely reflect translator’s original secondary role.</w:t>
      </w:r>
      <w:r w:rsidRPr="00C116A0">
        <w:rPr>
          <w:snapToGrid/>
          <w:sz w:val="22"/>
          <w:szCs w:val="22"/>
          <w:vertAlign w:val="superscript"/>
        </w:rPr>
        <w:footnoteReference w:id="32"/>
      </w:r>
      <w:r w:rsidRPr="00C116A0">
        <w:rPr>
          <w:snapToGrid/>
          <w:sz w:val="22"/>
          <w:szCs w:val="22"/>
        </w:rPr>
        <w:t xml:space="preserve">  The Commission concluded that waiver of Section 74.1231(b) should be available only upon a showing of service to a “white area,” that is, an area outside the coverage contour of any full-time aural broadcast service.</w:t>
      </w:r>
      <w:r w:rsidRPr="00C116A0">
        <w:rPr>
          <w:snapToGrid/>
          <w:sz w:val="22"/>
          <w:szCs w:val="22"/>
          <w:vertAlign w:val="superscript"/>
        </w:rPr>
        <w:footnoteReference w:id="33"/>
      </w:r>
      <w:r w:rsidRPr="00C116A0">
        <w:rPr>
          <w:snapToGrid/>
          <w:sz w:val="22"/>
          <w:szCs w:val="22"/>
        </w:rPr>
        <w:t xml:space="preserve">  </w:t>
      </w:r>
      <w:r w:rsidR="00D26F1B" w:rsidRPr="00C116A0">
        <w:rPr>
          <w:snapToGrid/>
          <w:sz w:val="22"/>
          <w:szCs w:val="22"/>
        </w:rPr>
        <w:t>No such area is involved here, as t</w:t>
      </w:r>
      <w:r w:rsidR="006D7636" w:rsidRPr="00C116A0">
        <w:rPr>
          <w:snapToGrid/>
          <w:sz w:val="22"/>
          <w:szCs w:val="22"/>
        </w:rPr>
        <w:t xml:space="preserve">he staff’s analysis indicates that </w:t>
      </w:r>
      <w:r w:rsidR="006D7636" w:rsidRPr="00C116A0">
        <w:rPr>
          <w:sz w:val="22"/>
          <w:szCs w:val="22"/>
        </w:rPr>
        <w:t xml:space="preserve">there are at least </w:t>
      </w:r>
      <w:r w:rsidR="00B1717A" w:rsidRPr="00C116A0">
        <w:rPr>
          <w:sz w:val="22"/>
          <w:szCs w:val="22"/>
        </w:rPr>
        <w:t>three</w:t>
      </w:r>
      <w:r w:rsidR="006D7636" w:rsidRPr="00C116A0">
        <w:rPr>
          <w:sz w:val="22"/>
          <w:szCs w:val="22"/>
        </w:rPr>
        <w:t xml:space="preserve"> NCE full service stations and 10 </w:t>
      </w:r>
      <w:r w:rsidR="008B4964" w:rsidRPr="00C116A0">
        <w:rPr>
          <w:sz w:val="22"/>
          <w:szCs w:val="22"/>
        </w:rPr>
        <w:t>c</w:t>
      </w:r>
      <w:r w:rsidR="006D7636" w:rsidRPr="00C116A0">
        <w:rPr>
          <w:sz w:val="22"/>
          <w:szCs w:val="22"/>
        </w:rPr>
        <w:t xml:space="preserve">ommercial full service stations that fully encompass the area served by the Station.  </w:t>
      </w:r>
      <w:r w:rsidRPr="00C116A0">
        <w:rPr>
          <w:snapToGrid/>
          <w:sz w:val="22"/>
          <w:szCs w:val="22"/>
        </w:rPr>
        <w:t xml:space="preserve">The </w:t>
      </w:r>
      <w:r w:rsidR="00D26F1B" w:rsidRPr="00C116A0">
        <w:rPr>
          <w:snapToGrid/>
          <w:sz w:val="22"/>
          <w:szCs w:val="22"/>
        </w:rPr>
        <w:t xml:space="preserve">Bureau </w:t>
      </w:r>
      <w:r w:rsidRPr="00C116A0">
        <w:rPr>
          <w:snapToGrid/>
          <w:sz w:val="22"/>
          <w:szCs w:val="22"/>
        </w:rPr>
        <w:t xml:space="preserve">has expressly refused to accept arguments that waiver </w:t>
      </w:r>
      <w:r w:rsidR="00D26F1B" w:rsidRPr="00C116A0">
        <w:rPr>
          <w:snapToGrid/>
          <w:sz w:val="22"/>
          <w:szCs w:val="22"/>
        </w:rPr>
        <w:t xml:space="preserve">of Section 74. 1231(b) </w:t>
      </w:r>
      <w:r w:rsidRPr="00C116A0">
        <w:rPr>
          <w:snapToGrid/>
          <w:sz w:val="22"/>
          <w:szCs w:val="22"/>
        </w:rPr>
        <w:t>may be based on “either provision of a second service to a ‘gray’ area or the provision of an additional service to an underserved area which received fewer than five aural services.”</w:t>
      </w:r>
      <w:r w:rsidRPr="00C116A0">
        <w:rPr>
          <w:snapToGrid/>
          <w:sz w:val="22"/>
          <w:szCs w:val="22"/>
          <w:vertAlign w:val="superscript"/>
        </w:rPr>
        <w:footnoteReference w:id="34"/>
      </w:r>
      <w:r w:rsidR="00550888" w:rsidRPr="00C116A0">
        <w:rPr>
          <w:snapToGrid/>
          <w:sz w:val="22"/>
          <w:szCs w:val="22"/>
        </w:rPr>
        <w:t xml:space="preserve"> </w:t>
      </w:r>
      <w:r w:rsidR="00311895" w:rsidRPr="00C116A0">
        <w:rPr>
          <w:snapToGrid/>
          <w:sz w:val="22"/>
          <w:szCs w:val="22"/>
        </w:rPr>
        <w:t xml:space="preserve"> </w:t>
      </w:r>
      <w:r w:rsidR="00C8340F" w:rsidRPr="00C116A0">
        <w:rPr>
          <w:snapToGrid/>
          <w:sz w:val="22"/>
          <w:szCs w:val="22"/>
        </w:rPr>
        <w:t>We find that the Application’s dismissal fully accords with precedent</w:t>
      </w:r>
      <w:r w:rsidR="004C4E1E" w:rsidRPr="00C116A0">
        <w:rPr>
          <w:snapToGrid/>
          <w:sz w:val="22"/>
          <w:szCs w:val="22"/>
        </w:rPr>
        <w:t xml:space="preserve"> and therefore that ENMU’s contention that the action was arbitrary and capricious is meritless</w:t>
      </w:r>
      <w:r w:rsidR="00C8340F" w:rsidRPr="00C116A0">
        <w:rPr>
          <w:snapToGrid/>
          <w:sz w:val="22"/>
          <w:szCs w:val="22"/>
        </w:rPr>
        <w:t>.</w:t>
      </w:r>
    </w:p>
    <w:p w14:paraId="3C91060A" w14:textId="77777777" w:rsidR="00D26F1B" w:rsidRPr="00C116A0" w:rsidRDefault="00D26F1B" w:rsidP="006F6EDE">
      <w:pPr>
        <w:ind w:firstLine="720"/>
        <w:rPr>
          <w:snapToGrid/>
          <w:sz w:val="22"/>
          <w:szCs w:val="22"/>
        </w:rPr>
      </w:pPr>
    </w:p>
    <w:p w14:paraId="3989F5A1" w14:textId="4FFC8287" w:rsidR="00E07DC5" w:rsidRPr="00C116A0" w:rsidRDefault="00E07DC5" w:rsidP="006F6EDE">
      <w:pPr>
        <w:widowControl/>
        <w:ind w:firstLine="720"/>
        <w:rPr>
          <w:snapToGrid/>
          <w:sz w:val="22"/>
          <w:szCs w:val="22"/>
        </w:rPr>
      </w:pPr>
      <w:r w:rsidRPr="00C116A0">
        <w:rPr>
          <w:snapToGrid/>
          <w:sz w:val="22"/>
          <w:szCs w:val="22"/>
        </w:rPr>
        <w:t xml:space="preserve">We also reject ENMU’s claim that denial would frustrate the purposes of the </w:t>
      </w:r>
      <w:r w:rsidR="007B60AA" w:rsidRPr="00C116A0">
        <w:rPr>
          <w:snapToGrid/>
          <w:sz w:val="22"/>
          <w:szCs w:val="22"/>
        </w:rPr>
        <w:t>S</w:t>
      </w:r>
      <w:r w:rsidRPr="00C116A0">
        <w:rPr>
          <w:snapToGrid/>
          <w:sz w:val="22"/>
          <w:szCs w:val="22"/>
        </w:rPr>
        <w:t xml:space="preserve">ignal </w:t>
      </w:r>
      <w:r w:rsidR="007B60AA" w:rsidRPr="00C116A0">
        <w:rPr>
          <w:snapToGrid/>
          <w:sz w:val="22"/>
          <w:szCs w:val="22"/>
        </w:rPr>
        <w:t>D</w:t>
      </w:r>
      <w:r w:rsidRPr="00C116A0">
        <w:rPr>
          <w:snapToGrid/>
          <w:sz w:val="22"/>
          <w:szCs w:val="22"/>
        </w:rPr>
        <w:t xml:space="preserve">elivery </w:t>
      </w:r>
      <w:r w:rsidR="007B60AA" w:rsidRPr="00C116A0">
        <w:rPr>
          <w:snapToGrid/>
          <w:sz w:val="22"/>
          <w:szCs w:val="22"/>
        </w:rPr>
        <w:t>R</w:t>
      </w:r>
      <w:r w:rsidRPr="00C116A0">
        <w:rPr>
          <w:snapToGrid/>
          <w:sz w:val="22"/>
          <w:szCs w:val="22"/>
        </w:rPr>
        <w:t>ule.</w:t>
      </w:r>
      <w:r w:rsidR="00B1717A" w:rsidRPr="00C116A0">
        <w:rPr>
          <w:snapToGrid/>
          <w:sz w:val="22"/>
          <w:szCs w:val="22"/>
        </w:rPr>
        <w:t xml:space="preserve">  B</w:t>
      </w:r>
      <w:r w:rsidRPr="00C116A0">
        <w:rPr>
          <w:kern w:val="28"/>
          <w:sz w:val="22"/>
          <w:szCs w:val="22"/>
        </w:rPr>
        <w:t>y allowing NCE FM translators in the reserve</w:t>
      </w:r>
      <w:r w:rsidR="00CF74CB" w:rsidRPr="00C116A0">
        <w:rPr>
          <w:kern w:val="28"/>
          <w:sz w:val="22"/>
          <w:szCs w:val="22"/>
        </w:rPr>
        <w:t>d</w:t>
      </w:r>
      <w:r w:rsidRPr="00C116A0">
        <w:rPr>
          <w:kern w:val="28"/>
          <w:sz w:val="22"/>
          <w:szCs w:val="22"/>
        </w:rPr>
        <w:t xml:space="preserve"> band to use alternative signal delivery methods, the Commission sought to serve the public interest by “facilitating improvements in the quality of signals” such translators rebroadcast and enabling them to reach larger numbers of listeners who desire NCE service</w:t>
      </w:r>
      <w:r w:rsidR="00AE7A92" w:rsidRPr="00C116A0">
        <w:rPr>
          <w:kern w:val="28"/>
          <w:sz w:val="22"/>
          <w:szCs w:val="22"/>
        </w:rPr>
        <w:t xml:space="preserve"> -- </w:t>
      </w:r>
      <w:r w:rsidRPr="00C116A0">
        <w:rPr>
          <w:kern w:val="28"/>
          <w:sz w:val="22"/>
          <w:szCs w:val="22"/>
        </w:rPr>
        <w:t>including those in more remote geographic areas, while not altering translator’s secondary status.</w:t>
      </w:r>
      <w:r w:rsidRPr="00C116A0">
        <w:rPr>
          <w:kern w:val="28"/>
          <w:sz w:val="22"/>
          <w:szCs w:val="22"/>
          <w:vertAlign w:val="superscript"/>
        </w:rPr>
        <w:footnoteReference w:id="35"/>
      </w:r>
      <w:r w:rsidRPr="00C116A0">
        <w:rPr>
          <w:kern w:val="28"/>
          <w:sz w:val="22"/>
          <w:szCs w:val="22"/>
        </w:rPr>
        <w:t xml:space="preserve">  </w:t>
      </w:r>
      <w:r w:rsidRPr="00C116A0">
        <w:rPr>
          <w:snapToGrid/>
          <w:sz w:val="22"/>
          <w:szCs w:val="22"/>
        </w:rPr>
        <w:t>This limited restriction, applicable only to NCE stations in the reserve</w:t>
      </w:r>
      <w:r w:rsidR="00A4377C" w:rsidRPr="00C116A0">
        <w:rPr>
          <w:snapToGrid/>
          <w:sz w:val="22"/>
          <w:szCs w:val="22"/>
        </w:rPr>
        <w:t>d</w:t>
      </w:r>
      <w:r w:rsidRPr="00C116A0">
        <w:rPr>
          <w:snapToGrid/>
          <w:sz w:val="22"/>
          <w:szCs w:val="22"/>
        </w:rPr>
        <w:t xml:space="preserve"> band, remains consistent with translator policy.</w:t>
      </w:r>
    </w:p>
    <w:p w14:paraId="5DB9167E" w14:textId="77777777" w:rsidR="006F6EDE" w:rsidRPr="00C116A0" w:rsidRDefault="006F6EDE">
      <w:pPr>
        <w:widowControl/>
        <w:ind w:firstLine="720"/>
        <w:rPr>
          <w:snapToGrid/>
          <w:sz w:val="22"/>
          <w:szCs w:val="22"/>
        </w:rPr>
      </w:pPr>
    </w:p>
    <w:p w14:paraId="7CA0FD59" w14:textId="61D453F8" w:rsidR="00524276" w:rsidRPr="002A03CE" w:rsidRDefault="0063140F">
      <w:pPr>
        <w:widowControl/>
        <w:ind w:firstLine="720"/>
        <w:rPr>
          <w:rFonts w:eastAsia="Calibri"/>
          <w:snapToGrid/>
          <w:sz w:val="22"/>
          <w:szCs w:val="22"/>
        </w:rPr>
      </w:pPr>
      <w:r w:rsidRPr="00C116A0">
        <w:rPr>
          <w:rFonts w:eastAsia="Calibri"/>
          <w:snapToGrid/>
          <w:sz w:val="22"/>
          <w:szCs w:val="22"/>
          <w:u w:val="single"/>
        </w:rPr>
        <w:t>Violation</w:t>
      </w:r>
      <w:r w:rsidRPr="00C116A0">
        <w:rPr>
          <w:rFonts w:eastAsia="Calibri"/>
          <w:snapToGrid/>
          <w:sz w:val="22"/>
          <w:szCs w:val="22"/>
        </w:rPr>
        <w:t xml:space="preserve">.  </w:t>
      </w:r>
      <w:r w:rsidR="00B1717A" w:rsidRPr="00C116A0">
        <w:rPr>
          <w:rFonts w:eastAsia="Calibri"/>
          <w:snapToGrid/>
          <w:sz w:val="22"/>
          <w:szCs w:val="22"/>
        </w:rPr>
        <w:t>The</w:t>
      </w:r>
      <w:r w:rsidR="00E07DC5" w:rsidRPr="00C116A0">
        <w:rPr>
          <w:rFonts w:eastAsia="Calibri"/>
          <w:snapToGrid/>
          <w:sz w:val="22"/>
          <w:szCs w:val="22"/>
        </w:rPr>
        <w:t xml:space="preserve"> </w:t>
      </w:r>
      <w:r w:rsidR="007B60AA" w:rsidRPr="00C116A0">
        <w:rPr>
          <w:rFonts w:eastAsia="Calibri"/>
          <w:snapToGrid/>
          <w:sz w:val="22"/>
          <w:szCs w:val="22"/>
        </w:rPr>
        <w:t>S</w:t>
      </w:r>
      <w:r w:rsidR="00E07DC5" w:rsidRPr="00C116A0">
        <w:rPr>
          <w:rFonts w:eastAsia="Calibri"/>
          <w:snapToGrid/>
          <w:sz w:val="22"/>
          <w:szCs w:val="22"/>
        </w:rPr>
        <w:t xml:space="preserve">ignal </w:t>
      </w:r>
      <w:r w:rsidR="007B60AA" w:rsidRPr="00C116A0">
        <w:rPr>
          <w:rFonts w:eastAsia="Calibri"/>
          <w:snapToGrid/>
          <w:sz w:val="22"/>
          <w:szCs w:val="22"/>
        </w:rPr>
        <w:t>D</w:t>
      </w:r>
      <w:r w:rsidR="00E07DC5" w:rsidRPr="00C116A0">
        <w:rPr>
          <w:rFonts w:eastAsia="Calibri"/>
          <w:snapToGrid/>
          <w:sz w:val="22"/>
          <w:szCs w:val="22"/>
        </w:rPr>
        <w:t xml:space="preserve">elivery </w:t>
      </w:r>
      <w:r w:rsidR="007B60AA" w:rsidRPr="00C116A0">
        <w:rPr>
          <w:rFonts w:eastAsia="Calibri"/>
          <w:snapToGrid/>
          <w:sz w:val="22"/>
          <w:szCs w:val="22"/>
        </w:rPr>
        <w:t>R</w:t>
      </w:r>
      <w:r w:rsidR="00E07DC5" w:rsidRPr="00C116A0">
        <w:rPr>
          <w:rFonts w:eastAsia="Calibri"/>
          <w:snapToGrid/>
          <w:sz w:val="22"/>
          <w:szCs w:val="22"/>
        </w:rPr>
        <w:t>ule remains applicable to all translators in the commercial band, including NCE translators</w:t>
      </w:r>
      <w:r w:rsidR="009D3532" w:rsidRPr="00C116A0">
        <w:rPr>
          <w:rFonts w:eastAsia="Calibri"/>
          <w:snapToGrid/>
          <w:sz w:val="22"/>
          <w:szCs w:val="22"/>
        </w:rPr>
        <w:t xml:space="preserve"> and translators located in remote</w:t>
      </w:r>
      <w:r w:rsidR="00A4377C" w:rsidRPr="00C116A0">
        <w:rPr>
          <w:rFonts w:eastAsia="Calibri"/>
          <w:snapToGrid/>
          <w:sz w:val="22"/>
          <w:szCs w:val="22"/>
        </w:rPr>
        <w:t xml:space="preserve"> or topographic</w:t>
      </w:r>
      <w:r w:rsidR="00C8340F" w:rsidRPr="00C116A0">
        <w:rPr>
          <w:rFonts w:eastAsia="Calibri"/>
          <w:snapToGrid/>
          <w:sz w:val="22"/>
          <w:szCs w:val="22"/>
        </w:rPr>
        <w:t>ally challenging</w:t>
      </w:r>
      <w:r w:rsidR="009D3532" w:rsidRPr="00C116A0">
        <w:rPr>
          <w:rFonts w:eastAsia="Calibri"/>
          <w:snapToGrid/>
          <w:sz w:val="22"/>
          <w:szCs w:val="22"/>
        </w:rPr>
        <w:t xml:space="preserve"> areas</w:t>
      </w:r>
      <w:r w:rsidR="00493EB4" w:rsidRPr="00C116A0">
        <w:rPr>
          <w:rFonts w:eastAsia="Calibri"/>
          <w:snapToGrid/>
          <w:sz w:val="22"/>
          <w:szCs w:val="22"/>
        </w:rPr>
        <w:t>.</w:t>
      </w:r>
      <w:r w:rsidR="008F1A4F" w:rsidRPr="00C116A0">
        <w:rPr>
          <w:rFonts w:eastAsia="Calibri"/>
          <w:snapToGrid/>
          <w:sz w:val="22"/>
          <w:szCs w:val="22"/>
        </w:rPr>
        <w:t xml:space="preserve"> </w:t>
      </w:r>
      <w:r w:rsidR="00F9394B" w:rsidRPr="00C116A0">
        <w:rPr>
          <w:rFonts w:eastAsia="Calibri"/>
          <w:snapToGrid/>
          <w:sz w:val="22"/>
          <w:szCs w:val="22"/>
        </w:rPr>
        <w:t xml:space="preserve"> </w:t>
      </w:r>
      <w:r w:rsidR="0070635E" w:rsidRPr="00C116A0">
        <w:rPr>
          <w:rFonts w:eastAsia="Calibri"/>
          <w:snapToGrid/>
          <w:sz w:val="22"/>
          <w:szCs w:val="22"/>
        </w:rPr>
        <w:t xml:space="preserve">ENMU has not demonstrated </w:t>
      </w:r>
      <w:r w:rsidR="00C8340F" w:rsidRPr="00C116A0">
        <w:rPr>
          <w:rFonts w:eastAsia="Calibri"/>
          <w:snapToGrid/>
          <w:sz w:val="22"/>
          <w:szCs w:val="22"/>
        </w:rPr>
        <w:t>special circumstances</w:t>
      </w:r>
      <w:r w:rsidR="0070635E" w:rsidRPr="00C116A0">
        <w:rPr>
          <w:rFonts w:eastAsia="Calibri"/>
          <w:snapToGrid/>
          <w:sz w:val="22"/>
          <w:szCs w:val="22"/>
        </w:rPr>
        <w:t xml:space="preserve"> warranting deviation from the rule, and </w:t>
      </w:r>
      <w:r w:rsidR="00C719DE" w:rsidRPr="00C116A0">
        <w:rPr>
          <w:rFonts w:eastAsia="Calibri"/>
          <w:snapToGrid/>
          <w:sz w:val="22"/>
          <w:szCs w:val="22"/>
        </w:rPr>
        <w:t>we emphatically reject the notion that ENMU’s decade-long flouting of the Signal Delivery Rule provides any basis for the relief it seeks.</w:t>
      </w:r>
      <w:r w:rsidR="00C142F4" w:rsidRPr="00C116A0">
        <w:rPr>
          <w:rFonts w:eastAsia="Calibri"/>
          <w:snapToGrid/>
          <w:sz w:val="22"/>
          <w:szCs w:val="22"/>
        </w:rPr>
        <w:t xml:space="preserve">  </w:t>
      </w:r>
      <w:r w:rsidR="00C142F4" w:rsidRPr="00C116A0">
        <w:rPr>
          <w:sz w:val="22"/>
          <w:szCs w:val="22"/>
        </w:rPr>
        <w:t xml:space="preserve">Although we would be justified in issuing a </w:t>
      </w:r>
      <w:r w:rsidR="00C142F4" w:rsidRPr="00C116A0">
        <w:rPr>
          <w:i/>
          <w:sz w:val="22"/>
          <w:szCs w:val="22"/>
        </w:rPr>
        <w:t xml:space="preserve">Notice of Apparent Liability </w:t>
      </w:r>
      <w:r w:rsidR="00C142F4" w:rsidRPr="00C116A0">
        <w:rPr>
          <w:sz w:val="22"/>
          <w:szCs w:val="22"/>
        </w:rPr>
        <w:t>for this unauthorized operation,</w:t>
      </w:r>
      <w:r w:rsidR="00C142F4" w:rsidRPr="002A03CE">
        <w:rPr>
          <w:rStyle w:val="FootnoteReference"/>
          <w:rFonts w:ascii="Times New Roman" w:hAnsi="Times New Roman"/>
          <w:sz w:val="22"/>
          <w:szCs w:val="22"/>
        </w:rPr>
        <w:footnoteReference w:id="36"/>
      </w:r>
      <w:r w:rsidR="00BA2E28" w:rsidRPr="002A03CE">
        <w:rPr>
          <w:sz w:val="22"/>
          <w:szCs w:val="22"/>
        </w:rPr>
        <w:t xml:space="preserve"> on the facts of this case where the staff </w:t>
      </w:r>
      <w:r w:rsidR="00BA2E28" w:rsidRPr="002A03CE">
        <w:rPr>
          <w:i/>
          <w:sz w:val="22"/>
          <w:szCs w:val="22"/>
        </w:rPr>
        <w:t xml:space="preserve">Public Notice </w:t>
      </w:r>
      <w:r w:rsidR="00BA2E28" w:rsidRPr="002A03CE">
        <w:rPr>
          <w:sz w:val="22"/>
          <w:szCs w:val="22"/>
        </w:rPr>
        <w:t>denying the waiver request and dismissing the Application did not specifically order ENMU to cease the unlawful satellite feed,</w:t>
      </w:r>
      <w:r w:rsidR="007656C3" w:rsidRPr="002A03CE">
        <w:rPr>
          <w:rStyle w:val="FootnoteReference"/>
          <w:rFonts w:ascii="Times New Roman" w:hAnsi="Times New Roman"/>
          <w:sz w:val="22"/>
          <w:szCs w:val="22"/>
        </w:rPr>
        <w:footnoteReference w:id="37"/>
      </w:r>
      <w:r w:rsidR="00BA2E28" w:rsidRPr="00C116A0">
        <w:rPr>
          <w:sz w:val="22"/>
          <w:szCs w:val="22"/>
        </w:rPr>
        <w:t xml:space="preserve"> we will instead admonish ENMU for its </w:t>
      </w:r>
      <w:r w:rsidR="00012118" w:rsidRPr="00C116A0">
        <w:rPr>
          <w:sz w:val="22"/>
          <w:szCs w:val="22"/>
        </w:rPr>
        <w:t>violation of the Signal Delivery Rule</w:t>
      </w:r>
      <w:r w:rsidR="00BA2E28" w:rsidRPr="00C116A0">
        <w:rPr>
          <w:sz w:val="22"/>
          <w:szCs w:val="22"/>
        </w:rPr>
        <w:t xml:space="preserve">. </w:t>
      </w:r>
      <w:r w:rsidR="007656C3" w:rsidRPr="00C116A0">
        <w:rPr>
          <w:sz w:val="22"/>
          <w:szCs w:val="22"/>
        </w:rPr>
        <w:t xml:space="preserve"> </w:t>
      </w:r>
      <w:r w:rsidR="002142DF">
        <w:rPr>
          <w:sz w:val="22"/>
          <w:szCs w:val="22"/>
        </w:rPr>
        <w:t>We order ENMU to immediately cease the use of a satellite feed to the Station.  A</w:t>
      </w:r>
      <w:r w:rsidR="007656C3" w:rsidRPr="002A03CE">
        <w:rPr>
          <w:sz w:val="22"/>
          <w:szCs w:val="22"/>
        </w:rPr>
        <w:t xml:space="preserve">ny further transmissions by the Station </w:t>
      </w:r>
      <w:r w:rsidR="00012118" w:rsidRPr="002A03CE">
        <w:rPr>
          <w:sz w:val="22"/>
          <w:szCs w:val="22"/>
        </w:rPr>
        <w:t xml:space="preserve">using that signal delivery methodology </w:t>
      </w:r>
      <w:r w:rsidR="002142DF">
        <w:rPr>
          <w:sz w:val="22"/>
          <w:szCs w:val="22"/>
        </w:rPr>
        <w:t xml:space="preserve">not permitted under the rules </w:t>
      </w:r>
      <w:r w:rsidR="007656C3" w:rsidRPr="002A03CE">
        <w:rPr>
          <w:sz w:val="22"/>
          <w:szCs w:val="22"/>
        </w:rPr>
        <w:t xml:space="preserve">will subject </w:t>
      </w:r>
      <w:r w:rsidR="00DC7A50" w:rsidRPr="002A03CE">
        <w:rPr>
          <w:sz w:val="22"/>
          <w:szCs w:val="22"/>
        </w:rPr>
        <w:t xml:space="preserve">ENMU </w:t>
      </w:r>
      <w:r w:rsidR="007656C3" w:rsidRPr="002A03CE">
        <w:rPr>
          <w:sz w:val="22"/>
          <w:szCs w:val="22"/>
        </w:rPr>
        <w:t xml:space="preserve">to further enforcement action.   </w:t>
      </w:r>
    </w:p>
    <w:p w14:paraId="20A0C082" w14:textId="77777777" w:rsidR="006F6EDE" w:rsidRPr="002A03CE" w:rsidRDefault="006F6EDE" w:rsidP="006F6EDE">
      <w:pPr>
        <w:widowControl/>
        <w:ind w:firstLine="720"/>
        <w:rPr>
          <w:i/>
          <w:snapToGrid/>
          <w:sz w:val="22"/>
          <w:szCs w:val="22"/>
        </w:rPr>
      </w:pPr>
    </w:p>
    <w:p w14:paraId="02E66918" w14:textId="77777777" w:rsidR="005D7F70" w:rsidRPr="002A03CE" w:rsidRDefault="00C2762F" w:rsidP="005D7F70">
      <w:pPr>
        <w:widowControl/>
        <w:ind w:firstLine="720"/>
        <w:rPr>
          <w:snapToGrid/>
          <w:sz w:val="22"/>
          <w:szCs w:val="22"/>
        </w:rPr>
      </w:pPr>
      <w:r w:rsidRPr="002A03CE">
        <w:rPr>
          <w:i/>
          <w:snapToGrid/>
          <w:sz w:val="22"/>
          <w:szCs w:val="22"/>
        </w:rPr>
        <w:t>Conclusion/Actions.</w:t>
      </w:r>
      <w:r w:rsidRPr="002A03CE">
        <w:rPr>
          <w:snapToGrid/>
          <w:sz w:val="22"/>
          <w:szCs w:val="22"/>
        </w:rPr>
        <w:t xml:space="preserve">  </w:t>
      </w:r>
      <w:r w:rsidR="005D7F70" w:rsidRPr="002A03CE">
        <w:rPr>
          <w:snapToGrid/>
          <w:sz w:val="22"/>
          <w:szCs w:val="22"/>
        </w:rPr>
        <w:t xml:space="preserve">For the reasons discussed above, we find that ENMU has not shown a material error in the staff’s original dismissal, nor has it raised new or previously unknown facts that otherwise warrant reconsideration.  The staff’s disposition of the waiver request was not arbitrary and capricious, and ENMU has failed to show that there are any special circumstances that would warrant a deviation from Section 74.1231(b) requirements.  </w:t>
      </w:r>
    </w:p>
    <w:p w14:paraId="5C5A5D7D" w14:textId="77777777" w:rsidR="005D7F70" w:rsidRPr="002A03CE" w:rsidRDefault="005D7F70" w:rsidP="005D7F70">
      <w:pPr>
        <w:widowControl/>
        <w:ind w:firstLine="720"/>
        <w:rPr>
          <w:snapToGrid/>
          <w:sz w:val="22"/>
          <w:szCs w:val="22"/>
        </w:rPr>
      </w:pPr>
    </w:p>
    <w:p w14:paraId="16FEE3A9" w14:textId="29A6349A" w:rsidR="005D7F70" w:rsidRPr="002A03CE" w:rsidRDefault="001B4502" w:rsidP="006A3A26">
      <w:pPr>
        <w:pStyle w:val="ParaNum"/>
        <w:numPr>
          <w:ilvl w:val="0"/>
          <w:numId w:val="0"/>
        </w:numPr>
        <w:spacing w:after="0"/>
        <w:ind w:firstLine="720"/>
        <w:rPr>
          <w:snapToGrid/>
          <w:szCs w:val="22"/>
        </w:rPr>
      </w:pPr>
      <w:r w:rsidRPr="002A03CE">
        <w:rPr>
          <w:snapToGrid/>
          <w:szCs w:val="22"/>
        </w:rPr>
        <w:t>Accordingly, IT IS ORDERED</w:t>
      </w:r>
      <w:r w:rsidR="000C122F" w:rsidRPr="002A03CE">
        <w:rPr>
          <w:snapToGrid/>
          <w:szCs w:val="22"/>
        </w:rPr>
        <w:t>,</w:t>
      </w:r>
      <w:r w:rsidRPr="002A03CE">
        <w:rPr>
          <w:snapToGrid/>
          <w:szCs w:val="22"/>
        </w:rPr>
        <w:t xml:space="preserve"> that </w:t>
      </w:r>
      <w:r w:rsidR="005D7F70" w:rsidRPr="002A03CE">
        <w:rPr>
          <w:snapToGrid/>
          <w:szCs w:val="22"/>
        </w:rPr>
        <w:t>ENMU IS HEREBY ADMONISHED for its apparent violation of Section 74.1231(b) of the Rules</w:t>
      </w:r>
      <w:r w:rsidR="002142DF">
        <w:rPr>
          <w:snapToGrid/>
          <w:szCs w:val="22"/>
        </w:rPr>
        <w:t xml:space="preserve">.  IT IS FURTHER ORDERED, that ENMU cease the delivery of a signal to K258AO via satellite.  </w:t>
      </w:r>
    </w:p>
    <w:p w14:paraId="4CC9D9A6" w14:textId="77777777" w:rsidR="000C122F" w:rsidRPr="002A03CE" w:rsidRDefault="000C122F" w:rsidP="002A03CE">
      <w:pPr>
        <w:pStyle w:val="ParaNum"/>
        <w:numPr>
          <w:ilvl w:val="0"/>
          <w:numId w:val="0"/>
        </w:numPr>
        <w:spacing w:after="0"/>
        <w:ind w:firstLine="720"/>
        <w:rPr>
          <w:szCs w:val="22"/>
        </w:rPr>
      </w:pPr>
    </w:p>
    <w:p w14:paraId="78F71995" w14:textId="3D37E1C1" w:rsidR="00E07DC5" w:rsidRPr="002A03CE" w:rsidRDefault="00E07DC5">
      <w:pPr>
        <w:widowControl/>
        <w:ind w:firstLine="720"/>
        <w:rPr>
          <w:snapToGrid/>
          <w:sz w:val="22"/>
          <w:szCs w:val="22"/>
        </w:rPr>
      </w:pPr>
      <w:r w:rsidRPr="002A03CE">
        <w:rPr>
          <w:snapToGrid/>
          <w:sz w:val="22"/>
          <w:szCs w:val="22"/>
        </w:rPr>
        <w:t xml:space="preserve">IT IS </w:t>
      </w:r>
      <w:r w:rsidR="000C122F" w:rsidRPr="002A03CE">
        <w:rPr>
          <w:snapToGrid/>
          <w:sz w:val="22"/>
          <w:szCs w:val="22"/>
        </w:rPr>
        <w:t xml:space="preserve">FURTHER </w:t>
      </w:r>
      <w:r w:rsidRPr="002A03CE">
        <w:rPr>
          <w:snapToGrid/>
          <w:sz w:val="22"/>
          <w:szCs w:val="22"/>
        </w:rPr>
        <w:t>ORDERED that the Petition for Reconsideration filed on November 16, 2015</w:t>
      </w:r>
      <w:r w:rsidR="001C7CD7" w:rsidRPr="002A03CE">
        <w:rPr>
          <w:snapToGrid/>
          <w:sz w:val="22"/>
          <w:szCs w:val="22"/>
        </w:rPr>
        <w:t>,</w:t>
      </w:r>
      <w:r w:rsidRPr="002A03CE">
        <w:rPr>
          <w:snapToGrid/>
          <w:sz w:val="22"/>
          <w:szCs w:val="22"/>
        </w:rPr>
        <w:t xml:space="preserve"> by</w:t>
      </w:r>
      <w:r w:rsidR="001C7CD7" w:rsidRPr="002A03CE">
        <w:rPr>
          <w:snapToGrid/>
          <w:sz w:val="22"/>
          <w:szCs w:val="22"/>
        </w:rPr>
        <w:t xml:space="preserve"> Eastern New Mexico University, </w:t>
      </w:r>
      <w:r w:rsidRPr="002A03CE">
        <w:rPr>
          <w:snapToGrid/>
          <w:sz w:val="22"/>
          <w:szCs w:val="22"/>
        </w:rPr>
        <w:t xml:space="preserve">IS DENIED.  </w:t>
      </w:r>
    </w:p>
    <w:p w14:paraId="3A9D6B21" w14:textId="77777777" w:rsidR="00E07DC5" w:rsidRPr="002A03CE" w:rsidRDefault="00E07DC5" w:rsidP="00E07DC5">
      <w:pPr>
        <w:keepNext/>
        <w:keepLines/>
        <w:widowControl/>
        <w:tabs>
          <w:tab w:val="left" w:pos="0"/>
          <w:tab w:val="left" w:pos="5400"/>
          <w:tab w:val="left" w:pos="5628"/>
          <w:tab w:val="left" w:pos="6288"/>
          <w:tab w:val="left" w:pos="6600"/>
          <w:tab w:val="left" w:pos="7200"/>
        </w:tabs>
        <w:suppressAutoHyphens/>
        <w:rPr>
          <w:snapToGrid/>
          <w:sz w:val="22"/>
          <w:szCs w:val="22"/>
        </w:rPr>
      </w:pPr>
      <w:r w:rsidRPr="002A03CE">
        <w:rPr>
          <w:snapToGrid/>
          <w:sz w:val="22"/>
          <w:szCs w:val="22"/>
        </w:rPr>
        <w:fldChar w:fldCharType="begin"/>
      </w:r>
      <w:r w:rsidRPr="002A03CE">
        <w:rPr>
          <w:snapToGrid/>
          <w:sz w:val="22"/>
          <w:szCs w:val="22"/>
        </w:rPr>
        <w:instrText xml:space="preserve">PRIVATE </w:instrText>
      </w:r>
      <w:r w:rsidRPr="002A03CE">
        <w:rPr>
          <w:snapToGrid/>
          <w:sz w:val="22"/>
          <w:szCs w:val="22"/>
        </w:rPr>
        <w:fldChar w:fldCharType="end"/>
      </w:r>
    </w:p>
    <w:p w14:paraId="4423B086" w14:textId="77777777" w:rsidR="005A1CF0" w:rsidRPr="002A03CE" w:rsidRDefault="00E07DC5" w:rsidP="00DF5C2E">
      <w:pPr>
        <w:tabs>
          <w:tab w:val="left" w:pos="0"/>
          <w:tab w:val="left" w:pos="5400"/>
          <w:tab w:val="left" w:pos="5628"/>
          <w:tab w:val="left" w:pos="6288"/>
          <w:tab w:val="left" w:pos="6600"/>
          <w:tab w:val="left" w:pos="7200"/>
        </w:tabs>
        <w:suppressAutoHyphens/>
        <w:rPr>
          <w:sz w:val="22"/>
          <w:szCs w:val="22"/>
        </w:rPr>
      </w:pPr>
      <w:r w:rsidRPr="002A03CE">
        <w:rPr>
          <w:snapToGrid/>
          <w:sz w:val="22"/>
          <w:szCs w:val="22"/>
        </w:rPr>
        <w:tab/>
      </w:r>
      <w:r w:rsidRPr="002A03CE">
        <w:rPr>
          <w:snapToGrid/>
          <w:sz w:val="22"/>
          <w:szCs w:val="22"/>
        </w:rPr>
        <w:tab/>
      </w:r>
    </w:p>
    <w:p w14:paraId="2837CEDC" w14:textId="77777777" w:rsidR="005A1CF0" w:rsidRPr="002A03CE" w:rsidRDefault="005A1CF0" w:rsidP="005A1CF0">
      <w:pPr>
        <w:pStyle w:val="BodyText"/>
        <w:ind w:left="5040"/>
        <w:rPr>
          <w:sz w:val="22"/>
          <w:szCs w:val="22"/>
        </w:rPr>
      </w:pPr>
      <w:r w:rsidRPr="002A03CE">
        <w:rPr>
          <w:sz w:val="22"/>
          <w:szCs w:val="22"/>
        </w:rPr>
        <w:t>Sincerely,</w:t>
      </w:r>
    </w:p>
    <w:p w14:paraId="0007A106" w14:textId="77777777" w:rsidR="005A1CF0" w:rsidRPr="002A03CE" w:rsidRDefault="005A1CF0" w:rsidP="005A1CF0">
      <w:pPr>
        <w:pStyle w:val="BodyText"/>
        <w:rPr>
          <w:sz w:val="22"/>
          <w:szCs w:val="22"/>
        </w:rPr>
      </w:pPr>
    </w:p>
    <w:p w14:paraId="3FB90127" w14:textId="77777777" w:rsidR="005A1CF0" w:rsidRPr="002A03CE" w:rsidRDefault="005A1CF0" w:rsidP="005A1CF0">
      <w:pPr>
        <w:pStyle w:val="BodyText"/>
        <w:rPr>
          <w:sz w:val="22"/>
          <w:szCs w:val="22"/>
        </w:rPr>
      </w:pPr>
    </w:p>
    <w:p w14:paraId="376E01D2" w14:textId="77777777" w:rsidR="005A1CF0" w:rsidRPr="002A03CE" w:rsidRDefault="005A1CF0" w:rsidP="005A1CF0">
      <w:pPr>
        <w:pStyle w:val="BodyText"/>
        <w:rPr>
          <w:sz w:val="22"/>
          <w:szCs w:val="22"/>
        </w:rPr>
      </w:pPr>
    </w:p>
    <w:p w14:paraId="1248B5CD" w14:textId="77777777" w:rsidR="005A1CF0" w:rsidRPr="002A03CE" w:rsidRDefault="005A1CF0" w:rsidP="005A1CF0">
      <w:pPr>
        <w:pStyle w:val="BodyText"/>
        <w:rPr>
          <w:sz w:val="22"/>
          <w:szCs w:val="22"/>
        </w:rPr>
      </w:pPr>
      <w:r w:rsidRPr="002A03CE">
        <w:rPr>
          <w:sz w:val="22"/>
          <w:szCs w:val="22"/>
        </w:rPr>
        <w:tab/>
      </w:r>
      <w:r w:rsidRPr="002A03CE">
        <w:rPr>
          <w:sz w:val="22"/>
          <w:szCs w:val="22"/>
        </w:rPr>
        <w:tab/>
      </w:r>
      <w:r w:rsidRPr="002A03CE">
        <w:rPr>
          <w:sz w:val="22"/>
          <w:szCs w:val="22"/>
        </w:rPr>
        <w:tab/>
      </w:r>
      <w:r w:rsidRPr="002A03CE">
        <w:rPr>
          <w:sz w:val="22"/>
          <w:szCs w:val="22"/>
        </w:rPr>
        <w:tab/>
      </w:r>
      <w:r w:rsidRPr="002A03CE">
        <w:rPr>
          <w:sz w:val="22"/>
          <w:szCs w:val="22"/>
        </w:rPr>
        <w:tab/>
      </w:r>
      <w:r w:rsidRPr="002A03CE">
        <w:rPr>
          <w:sz w:val="22"/>
          <w:szCs w:val="22"/>
        </w:rPr>
        <w:tab/>
      </w:r>
      <w:r w:rsidRPr="002A03CE">
        <w:rPr>
          <w:sz w:val="22"/>
          <w:szCs w:val="22"/>
        </w:rPr>
        <w:tab/>
        <w:t>Peter H. Doyle</w:t>
      </w:r>
    </w:p>
    <w:p w14:paraId="0A732B27" w14:textId="77777777" w:rsidR="005A1CF0" w:rsidRPr="002A03CE" w:rsidRDefault="005A1CF0" w:rsidP="005A1CF0">
      <w:pPr>
        <w:pStyle w:val="BodyText"/>
        <w:rPr>
          <w:sz w:val="22"/>
          <w:szCs w:val="22"/>
        </w:rPr>
      </w:pPr>
      <w:r w:rsidRPr="002A03CE">
        <w:rPr>
          <w:sz w:val="22"/>
          <w:szCs w:val="22"/>
        </w:rPr>
        <w:tab/>
      </w:r>
      <w:r w:rsidRPr="002A03CE">
        <w:rPr>
          <w:sz w:val="22"/>
          <w:szCs w:val="22"/>
        </w:rPr>
        <w:tab/>
      </w:r>
      <w:r w:rsidRPr="002A03CE">
        <w:rPr>
          <w:sz w:val="22"/>
          <w:szCs w:val="22"/>
        </w:rPr>
        <w:tab/>
      </w:r>
      <w:r w:rsidRPr="002A03CE">
        <w:rPr>
          <w:sz w:val="22"/>
          <w:szCs w:val="22"/>
        </w:rPr>
        <w:tab/>
      </w:r>
      <w:r w:rsidRPr="002A03CE">
        <w:rPr>
          <w:sz w:val="22"/>
          <w:szCs w:val="22"/>
        </w:rPr>
        <w:tab/>
      </w:r>
      <w:r w:rsidRPr="002A03CE">
        <w:rPr>
          <w:sz w:val="22"/>
          <w:szCs w:val="22"/>
        </w:rPr>
        <w:tab/>
      </w:r>
      <w:r w:rsidRPr="002A03CE">
        <w:rPr>
          <w:sz w:val="22"/>
          <w:szCs w:val="22"/>
        </w:rPr>
        <w:tab/>
        <w:t>Chief, Audio Division</w:t>
      </w:r>
    </w:p>
    <w:p w14:paraId="0425514B" w14:textId="23DC7983" w:rsidR="00E47C02" w:rsidRPr="002A03CE" w:rsidRDefault="005A1CF0" w:rsidP="006A3A26">
      <w:pPr>
        <w:ind w:left="2160" w:firstLine="720"/>
        <w:rPr>
          <w:sz w:val="22"/>
          <w:szCs w:val="22"/>
        </w:rPr>
      </w:pPr>
      <w:r w:rsidRPr="002A03CE">
        <w:rPr>
          <w:sz w:val="22"/>
          <w:szCs w:val="22"/>
        </w:rPr>
        <w:tab/>
      </w:r>
      <w:r w:rsidRPr="002A03CE">
        <w:rPr>
          <w:sz w:val="22"/>
          <w:szCs w:val="22"/>
        </w:rPr>
        <w:tab/>
      </w:r>
      <w:r w:rsidRPr="002A03CE">
        <w:rPr>
          <w:sz w:val="22"/>
          <w:szCs w:val="22"/>
        </w:rPr>
        <w:tab/>
        <w:t>Media Bureau</w:t>
      </w:r>
    </w:p>
    <w:sectPr w:rsidR="00E47C02" w:rsidRPr="002A03CE" w:rsidSect="00BF6E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E00D3" w14:textId="77777777" w:rsidR="004315FF" w:rsidRDefault="004315FF" w:rsidP="00DE5E79">
      <w:r>
        <w:separator/>
      </w:r>
    </w:p>
  </w:endnote>
  <w:endnote w:type="continuationSeparator" w:id="0">
    <w:p w14:paraId="27277F2D" w14:textId="77777777" w:rsidR="004315FF" w:rsidRDefault="004315FF" w:rsidP="00DE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B487" w14:textId="77777777"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38984" w14:textId="77777777" w:rsidR="00BF6E58" w:rsidRDefault="00B26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3EC" w14:textId="77777777"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7F5">
      <w:rPr>
        <w:rStyle w:val="PageNumber"/>
        <w:noProof/>
      </w:rPr>
      <w:t>2</w:t>
    </w:r>
    <w:r>
      <w:rPr>
        <w:rStyle w:val="PageNumber"/>
      </w:rPr>
      <w:fldChar w:fldCharType="end"/>
    </w:r>
  </w:p>
  <w:p w14:paraId="0D491EEC" w14:textId="77777777" w:rsidR="00BF6E58" w:rsidRDefault="00B267F5">
    <w:pPr>
      <w:spacing w:before="140" w:line="100" w:lineRule="exact"/>
      <w:rPr>
        <w:sz w:val="10"/>
      </w:rPr>
    </w:pPr>
  </w:p>
  <w:p w14:paraId="49340153" w14:textId="77777777" w:rsidR="00BF6E58" w:rsidRDefault="00B267F5">
    <w:pPr>
      <w:suppressAutoHyphens/>
      <w:spacing w:line="227" w:lineRule="auto"/>
      <w:jc w:val="both"/>
    </w:pPr>
  </w:p>
  <w:p w14:paraId="6B23B2D4" w14:textId="77777777" w:rsidR="00BF6E58" w:rsidRDefault="00B267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3BBB" w14:textId="77777777" w:rsidR="00A4272B" w:rsidRDefault="00A42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D65A" w14:textId="77777777" w:rsidR="004315FF" w:rsidRDefault="004315FF" w:rsidP="00DE5E79">
      <w:r>
        <w:separator/>
      </w:r>
    </w:p>
  </w:footnote>
  <w:footnote w:type="continuationSeparator" w:id="0">
    <w:p w14:paraId="02A0CAE9" w14:textId="77777777" w:rsidR="004315FF" w:rsidRDefault="004315FF" w:rsidP="00DE5E79">
      <w:r>
        <w:continuationSeparator/>
      </w:r>
    </w:p>
  </w:footnote>
  <w:footnote w:id="1">
    <w:p w14:paraId="1046D1FD" w14:textId="21B9E700" w:rsidR="00E07DC5" w:rsidRPr="00C116A0" w:rsidRDefault="00E07DC5" w:rsidP="00E07DC5">
      <w:pPr>
        <w:pStyle w:val="FootnoteText"/>
      </w:pPr>
      <w:r w:rsidRPr="00C116A0">
        <w:rPr>
          <w:rStyle w:val="FootnoteReference"/>
          <w:rFonts w:ascii="Times New Roman" w:hAnsi="Times New Roman"/>
        </w:rPr>
        <w:footnoteRef/>
      </w:r>
      <w:r w:rsidRPr="00C116A0">
        <w:t xml:space="preserve"> </w:t>
      </w:r>
      <w:r w:rsidR="00FC72A4" w:rsidRPr="00C116A0">
        <w:rPr>
          <w:i/>
        </w:rPr>
        <w:t xml:space="preserve">See </w:t>
      </w:r>
      <w:r w:rsidRPr="00C116A0">
        <w:t>Public Notice, Report No. 48594 “Broadcast Actions” (</w:t>
      </w:r>
      <w:r w:rsidR="0074508A" w:rsidRPr="00C116A0">
        <w:t>r</w:t>
      </w:r>
      <w:r w:rsidRPr="00C116A0">
        <w:t>el</w:t>
      </w:r>
      <w:r w:rsidR="0074508A" w:rsidRPr="00C116A0">
        <w:t xml:space="preserve">. </w:t>
      </w:r>
      <w:r w:rsidR="00C220D6" w:rsidRPr="00C116A0">
        <w:t>Oct. 20, 2015</w:t>
      </w:r>
      <w:r w:rsidRPr="00C116A0">
        <w:t>)</w:t>
      </w:r>
      <w:r w:rsidR="004B0A5B" w:rsidRPr="00C116A0">
        <w:t xml:space="preserve"> (</w:t>
      </w:r>
      <w:r w:rsidR="004B0A5B" w:rsidRPr="00C116A0">
        <w:rPr>
          <w:i/>
        </w:rPr>
        <w:t>Public Notice</w:t>
      </w:r>
      <w:r w:rsidR="004B0A5B" w:rsidRPr="00C116A0">
        <w:t>)</w:t>
      </w:r>
      <w:r w:rsidRPr="00C116A0">
        <w:t>.</w:t>
      </w:r>
      <w:r w:rsidR="00180985" w:rsidRPr="00C116A0">
        <w:t xml:space="preserve">  The </w:t>
      </w:r>
      <w:r w:rsidR="00180985" w:rsidRPr="00C116A0">
        <w:rPr>
          <w:i/>
        </w:rPr>
        <w:t xml:space="preserve">Public Notice </w:t>
      </w:r>
      <w:r w:rsidR="00180985" w:rsidRPr="00C116A0">
        <w:t>denied ENMU’s waiver request and dismissed the Application, but did not specifically order ENMU to cease unlawful satellite feed.</w:t>
      </w:r>
    </w:p>
  </w:footnote>
  <w:footnote w:id="2">
    <w:p w14:paraId="07F2A032" w14:textId="77777777" w:rsidR="0074314E" w:rsidRPr="00C116A0" w:rsidRDefault="0074314E">
      <w:pPr>
        <w:pStyle w:val="FootnoteText"/>
      </w:pPr>
      <w:r w:rsidRPr="00C116A0">
        <w:rPr>
          <w:rStyle w:val="FootnoteReference"/>
          <w:rFonts w:ascii="Times New Roman" w:hAnsi="Times New Roman"/>
        </w:rPr>
        <w:footnoteRef/>
      </w:r>
      <w:r w:rsidRPr="00C116A0">
        <w:t xml:space="preserve"> 47 CFR § 74.1231(b)</w:t>
      </w:r>
      <w:r w:rsidR="00D763EC" w:rsidRPr="00C116A0">
        <w:t>, which limits an FM translator station operating in the non-reserved FM band to over-the-air reception of its primary station.</w:t>
      </w:r>
    </w:p>
  </w:footnote>
  <w:footnote w:id="3">
    <w:p w14:paraId="01F84402" w14:textId="7D4541E6" w:rsidR="0074314E" w:rsidRPr="00C116A0" w:rsidRDefault="0074314E">
      <w:pPr>
        <w:pStyle w:val="FootnoteText"/>
      </w:pPr>
      <w:r w:rsidRPr="00C116A0">
        <w:rPr>
          <w:rStyle w:val="FootnoteReference"/>
          <w:rFonts w:ascii="Times New Roman" w:hAnsi="Times New Roman"/>
        </w:rPr>
        <w:footnoteRef/>
      </w:r>
      <w:r w:rsidRPr="00C116A0">
        <w:t xml:space="preserve"> ENMU indicates that “[a]t no point during this exploration of alternatives did anyone bring Rule 74.1231 to the attention of ENMU or its engineers, so station management and engineers were unaware that satellite transmission was not permitted because the translator – although broadcasting noncommercial programming – was located on the non-reserved band.”  ENMU Waiver </w:t>
      </w:r>
      <w:r w:rsidR="005425CB" w:rsidRPr="00C116A0">
        <w:t>R</w:t>
      </w:r>
      <w:r w:rsidRPr="00C116A0">
        <w:t>equest at 4.</w:t>
      </w:r>
    </w:p>
  </w:footnote>
  <w:footnote w:id="4">
    <w:p w14:paraId="3BACED99" w14:textId="77777777" w:rsidR="00E00D80" w:rsidRPr="00C116A0" w:rsidRDefault="00E00D80" w:rsidP="00E00D80">
      <w:pPr>
        <w:pStyle w:val="FootnoteText"/>
      </w:pPr>
      <w:r w:rsidRPr="00C116A0">
        <w:rPr>
          <w:rStyle w:val="FootnoteReference"/>
          <w:rFonts w:ascii="Times New Roman" w:hAnsi="Times New Roman"/>
        </w:rPr>
        <w:footnoteRef/>
      </w:r>
      <w:r w:rsidRPr="00C116A0">
        <w:t xml:space="preserve"> BRFT-20130314AC, Section V, Item 2.b. (2013 Renewal Application).</w:t>
      </w:r>
    </w:p>
  </w:footnote>
  <w:footnote w:id="5">
    <w:p w14:paraId="7423E344" w14:textId="77777777" w:rsidR="00E00D80" w:rsidRPr="00C116A0" w:rsidRDefault="00E00D80" w:rsidP="00E00D80">
      <w:pPr>
        <w:pStyle w:val="FootnoteText"/>
      </w:pPr>
      <w:r w:rsidRPr="00C116A0">
        <w:rPr>
          <w:rStyle w:val="FootnoteReference"/>
          <w:rFonts w:ascii="Times New Roman" w:hAnsi="Times New Roman"/>
        </w:rPr>
        <w:footnoteRef/>
      </w:r>
      <w:r w:rsidRPr="00C116A0">
        <w:t xml:space="preserve"> </w:t>
      </w:r>
      <w:r w:rsidRPr="00C116A0">
        <w:rPr>
          <w:i/>
        </w:rPr>
        <w:t xml:space="preserve">Broadcast Actions, </w:t>
      </w:r>
      <w:r w:rsidRPr="00C116A0">
        <w:t>Public Notice, Report No. 48042 (rel. Jul. 31, 2013).</w:t>
      </w:r>
    </w:p>
  </w:footnote>
  <w:footnote w:id="6">
    <w:p w14:paraId="2C55A9CA" w14:textId="75B663F5" w:rsidR="0074314E" w:rsidRPr="00C116A0" w:rsidRDefault="0074314E">
      <w:pPr>
        <w:pStyle w:val="FootnoteText"/>
      </w:pPr>
      <w:r w:rsidRPr="00C116A0">
        <w:rPr>
          <w:rStyle w:val="FootnoteReference"/>
          <w:rFonts w:ascii="Times New Roman" w:hAnsi="Times New Roman"/>
        </w:rPr>
        <w:footnoteRef/>
      </w:r>
      <w:r w:rsidRPr="00C116A0">
        <w:t xml:space="preserve"> BPFT-20140404ABG</w:t>
      </w:r>
      <w:r w:rsidR="00933D37" w:rsidRPr="00C116A0">
        <w:t xml:space="preserve"> (April 2014 Permit Application)</w:t>
      </w:r>
      <w:r w:rsidRPr="00C116A0">
        <w:t>.</w:t>
      </w:r>
    </w:p>
  </w:footnote>
  <w:footnote w:id="7">
    <w:p w14:paraId="58814CCD" w14:textId="6DD9F32B" w:rsidR="00E07DC5" w:rsidRPr="00C116A0" w:rsidRDefault="00E07DC5" w:rsidP="00E07DC5">
      <w:pPr>
        <w:pStyle w:val="FootnoteText"/>
      </w:pPr>
      <w:r w:rsidRPr="00C116A0">
        <w:rPr>
          <w:rStyle w:val="FootnoteReference"/>
          <w:rFonts w:ascii="Times New Roman" w:hAnsi="Times New Roman"/>
        </w:rPr>
        <w:footnoteRef/>
      </w:r>
      <w:r w:rsidRPr="00C116A0">
        <w:t xml:space="preserve"> Rule 1.925 reads: (i) The underlying purpose of the rule(s) would not be served or would be frustrated by application to the instant case, and that a grant of the requested waiver would be in the public interest; or</w:t>
      </w:r>
      <w:r w:rsidR="00904642" w:rsidRPr="00C116A0">
        <w:t xml:space="preserve"> </w:t>
      </w:r>
      <w:r w:rsidRPr="00C116A0">
        <w:t>(ii) In view of unique or unusual factual circumstances of the instant case, application of the rule(s) would be inequitable, unduly burdensome or contrary to the public interest, or the applicant has no reasonable alternative.</w:t>
      </w:r>
      <w:r w:rsidR="00904642" w:rsidRPr="00C116A0">
        <w:t xml:space="preserve">  </w:t>
      </w:r>
      <w:r w:rsidRPr="00C116A0">
        <w:t>47 CFR § 1.925</w:t>
      </w:r>
      <w:r w:rsidR="00022236" w:rsidRPr="00C116A0">
        <w:t xml:space="preserve">.   </w:t>
      </w:r>
    </w:p>
  </w:footnote>
  <w:footnote w:id="8">
    <w:p w14:paraId="5B3147D0" w14:textId="4DE7DEA7" w:rsidR="00E93E1D" w:rsidRPr="00C116A0" w:rsidRDefault="00E93E1D">
      <w:pPr>
        <w:pStyle w:val="FootnoteText"/>
      </w:pPr>
      <w:r w:rsidRPr="00C116A0">
        <w:rPr>
          <w:rStyle w:val="FootnoteReference"/>
          <w:rFonts w:ascii="Times New Roman" w:hAnsi="Times New Roman"/>
        </w:rPr>
        <w:footnoteRef/>
      </w:r>
      <w:r w:rsidRPr="00C116A0">
        <w:t xml:space="preserve"> </w:t>
      </w:r>
      <w:r w:rsidR="00A46EAE" w:rsidRPr="00C116A0">
        <w:t>ENMU Waiver Request at 21.</w:t>
      </w:r>
    </w:p>
  </w:footnote>
  <w:footnote w:id="9">
    <w:p w14:paraId="205A432B" w14:textId="15776AF3" w:rsidR="00E93E1D" w:rsidRPr="00C116A0" w:rsidRDefault="00E93E1D">
      <w:pPr>
        <w:pStyle w:val="FootnoteText"/>
      </w:pPr>
      <w:r w:rsidRPr="00C116A0">
        <w:rPr>
          <w:rStyle w:val="FootnoteReference"/>
          <w:rFonts w:ascii="Times New Roman" w:hAnsi="Times New Roman"/>
        </w:rPr>
        <w:footnoteRef/>
      </w:r>
      <w:r w:rsidRPr="00C116A0">
        <w:t xml:space="preserve"> </w:t>
      </w:r>
      <w:r w:rsidR="00A46EAE" w:rsidRPr="00C116A0">
        <w:rPr>
          <w:i/>
        </w:rPr>
        <w:t>Id.</w:t>
      </w:r>
    </w:p>
  </w:footnote>
  <w:footnote w:id="10">
    <w:p w14:paraId="7E976F61" w14:textId="5FD85F66" w:rsidR="00E93E1D" w:rsidRPr="00C116A0" w:rsidRDefault="00E93E1D">
      <w:pPr>
        <w:pStyle w:val="FootnoteText"/>
      </w:pPr>
      <w:r w:rsidRPr="00C116A0">
        <w:rPr>
          <w:rStyle w:val="FootnoteReference"/>
          <w:rFonts w:ascii="Times New Roman" w:hAnsi="Times New Roman"/>
        </w:rPr>
        <w:footnoteRef/>
      </w:r>
      <w:r w:rsidR="00974A62" w:rsidRPr="00C116A0">
        <w:t xml:space="preserve"> ENMU Waiver Request at 12; </w:t>
      </w:r>
      <w:r w:rsidR="00974A62" w:rsidRPr="00C116A0">
        <w:rPr>
          <w:i/>
        </w:rPr>
        <w:t>Amendment of Part 74 of the Commission's Rules to Provide for Satellite and Terrestrial Microwave Feeds to Noncommercial Educational FM Translators,</w:t>
      </w:r>
      <w:r w:rsidR="00974A62" w:rsidRPr="00C116A0">
        <w:t xml:space="preserve"> Report and Order, 3 FCC Rcd 2196, 2198 (1988)</w:t>
      </w:r>
      <w:r w:rsidR="00A46EAE" w:rsidRPr="00C116A0">
        <w:t xml:space="preserve"> </w:t>
      </w:r>
      <w:r w:rsidR="00A46EAE" w:rsidRPr="00C116A0">
        <w:rPr>
          <w:i/>
        </w:rPr>
        <w:t>(NCE Translator)</w:t>
      </w:r>
      <w:r w:rsidR="00974A62" w:rsidRPr="00C116A0">
        <w:t>.</w:t>
      </w:r>
    </w:p>
  </w:footnote>
  <w:footnote w:id="11">
    <w:p w14:paraId="60EA6C5C" w14:textId="4FEB9E32" w:rsidR="001C6BE4" w:rsidRPr="00C116A0" w:rsidRDefault="001C6BE4">
      <w:pPr>
        <w:pStyle w:val="FootnoteText"/>
      </w:pPr>
      <w:r w:rsidRPr="00C116A0">
        <w:rPr>
          <w:rStyle w:val="FootnoteReference"/>
          <w:rFonts w:ascii="Times New Roman" w:hAnsi="Times New Roman"/>
        </w:rPr>
        <w:footnoteRef/>
      </w:r>
      <w:r w:rsidRPr="00C116A0">
        <w:t xml:space="preserve"> ENMU Waiver Request at 14, 21-22.</w:t>
      </w:r>
    </w:p>
  </w:footnote>
  <w:footnote w:id="12">
    <w:p w14:paraId="44F9C990" w14:textId="77777777" w:rsidR="004C49F5" w:rsidRPr="00C116A0" w:rsidRDefault="004C49F5" w:rsidP="004C49F5">
      <w:pPr>
        <w:pStyle w:val="FootnoteText"/>
      </w:pPr>
      <w:r w:rsidRPr="00C116A0">
        <w:rPr>
          <w:rStyle w:val="FootnoteReference"/>
          <w:rFonts w:ascii="Times New Roman" w:hAnsi="Times New Roman"/>
        </w:rPr>
        <w:footnoteRef/>
      </w:r>
      <w:r w:rsidRPr="00C116A0">
        <w:t xml:space="preserve"> ENMU Waiver Request at 6.</w:t>
      </w:r>
    </w:p>
  </w:footnote>
  <w:footnote w:id="13">
    <w:p w14:paraId="736C452A" w14:textId="23198975" w:rsidR="00E07DC5" w:rsidRPr="00C116A0" w:rsidRDefault="00E07DC5" w:rsidP="00E07DC5">
      <w:pPr>
        <w:pStyle w:val="FootnoteText"/>
      </w:pPr>
      <w:r w:rsidRPr="00C116A0">
        <w:rPr>
          <w:rStyle w:val="FootnoteReference"/>
          <w:rFonts w:ascii="Times New Roman" w:hAnsi="Times New Roman"/>
        </w:rPr>
        <w:footnoteRef/>
      </w:r>
      <w:r w:rsidRPr="00C116A0">
        <w:t xml:space="preserve"> </w:t>
      </w:r>
      <w:r w:rsidRPr="00C116A0">
        <w:rPr>
          <w:i/>
        </w:rPr>
        <w:t>Peninsula Commc'ns, Inc.,</w:t>
      </w:r>
      <w:r w:rsidRPr="00C116A0">
        <w:t xml:space="preserve"> Memor</w:t>
      </w:r>
      <w:r w:rsidR="00620A53" w:rsidRPr="00C116A0">
        <w:t>andum Opinion and Order, 13 FCC</w:t>
      </w:r>
      <w:r w:rsidRPr="00C116A0">
        <w:t xml:space="preserve"> Rcd 23992 (1998)</w:t>
      </w:r>
      <w:r w:rsidR="00D82B24" w:rsidRPr="00C116A0">
        <w:t xml:space="preserve"> </w:t>
      </w:r>
      <w:r w:rsidR="001C6BE4" w:rsidRPr="00C116A0">
        <w:t xml:space="preserve">(finding, in part, that waiver of the Signal Delivery Rule for four Alaska translators was not warranted upon a finding of no white spaces) </w:t>
      </w:r>
      <w:r w:rsidR="00D82B24" w:rsidRPr="00C116A0">
        <w:t>(</w:t>
      </w:r>
      <w:r w:rsidR="00D82B24" w:rsidRPr="00C116A0">
        <w:rPr>
          <w:i/>
        </w:rPr>
        <w:t>Peninsula)</w:t>
      </w:r>
      <w:r w:rsidRPr="00C116A0">
        <w:t>.</w:t>
      </w:r>
    </w:p>
  </w:footnote>
  <w:footnote w:id="14">
    <w:p w14:paraId="1BA6544C" w14:textId="02930058" w:rsidR="00E07DC5" w:rsidRPr="00C116A0" w:rsidRDefault="00E07DC5" w:rsidP="00E07DC5">
      <w:pPr>
        <w:pStyle w:val="FootnoteText"/>
      </w:pPr>
      <w:r w:rsidRPr="00C116A0">
        <w:rPr>
          <w:rStyle w:val="FootnoteReference"/>
          <w:rFonts w:ascii="Times New Roman" w:hAnsi="Times New Roman"/>
        </w:rPr>
        <w:footnoteRef/>
      </w:r>
      <w:r w:rsidRPr="00C116A0">
        <w:t xml:space="preserve"> </w:t>
      </w:r>
      <w:r w:rsidRPr="00C116A0">
        <w:rPr>
          <w:i/>
        </w:rPr>
        <w:t>Amendment of Part 74 of the FM Commission's Rules Concerning Translator Stations</w:t>
      </w:r>
      <w:r w:rsidRPr="00C116A0">
        <w:t>, 5 FCC Rcd 7212 (1990)</w:t>
      </w:r>
      <w:r w:rsidR="00B35607" w:rsidRPr="00C116A0">
        <w:t xml:space="preserve"> (clarifying the Commission’s position that waiver of Section 74.1231(b) “should be available only upon a showing of service to a ‘white area’”</w:t>
      </w:r>
      <w:r w:rsidR="000C0C00" w:rsidRPr="00C116A0">
        <w:t>).</w:t>
      </w:r>
    </w:p>
  </w:footnote>
  <w:footnote w:id="15">
    <w:p w14:paraId="4C17C252" w14:textId="3B98760F" w:rsidR="0013057B" w:rsidRPr="00C116A0" w:rsidRDefault="0013057B">
      <w:pPr>
        <w:pStyle w:val="FootnoteText"/>
      </w:pPr>
      <w:r w:rsidRPr="00C116A0">
        <w:rPr>
          <w:rStyle w:val="FootnoteReference"/>
          <w:rFonts w:ascii="Times New Roman" w:hAnsi="Times New Roman"/>
        </w:rPr>
        <w:footnoteRef/>
      </w:r>
      <w:r w:rsidRPr="00C116A0">
        <w:t xml:space="preserve"> </w:t>
      </w:r>
      <w:r w:rsidR="00950A7A" w:rsidRPr="00C116A0">
        <w:t>ENMU Petition for Reconsideration at 1.</w:t>
      </w:r>
    </w:p>
  </w:footnote>
  <w:footnote w:id="16">
    <w:p w14:paraId="6535D2D8" w14:textId="487FF89F" w:rsidR="0013057B" w:rsidRPr="00C116A0" w:rsidRDefault="0013057B">
      <w:pPr>
        <w:pStyle w:val="FootnoteText"/>
      </w:pPr>
      <w:r w:rsidRPr="00C116A0">
        <w:rPr>
          <w:rStyle w:val="FootnoteReference"/>
          <w:rFonts w:ascii="Times New Roman" w:hAnsi="Times New Roman"/>
        </w:rPr>
        <w:footnoteRef/>
      </w:r>
      <w:r w:rsidRPr="00C116A0">
        <w:t xml:space="preserve"> </w:t>
      </w:r>
      <w:r w:rsidR="00A76013" w:rsidRPr="00C116A0">
        <w:rPr>
          <w:i/>
        </w:rPr>
        <w:t>Id.</w:t>
      </w:r>
      <w:r w:rsidR="00346C00" w:rsidRPr="00C116A0">
        <w:t xml:space="preserve"> at 2</w:t>
      </w:r>
      <w:r w:rsidR="00D82B24" w:rsidRPr="00C116A0">
        <w:t>, citing</w:t>
      </w:r>
      <w:r w:rsidR="00346C00" w:rsidRPr="00C116A0">
        <w:t xml:space="preserve"> </w:t>
      </w:r>
      <w:r w:rsidR="00346C00" w:rsidRPr="00C116A0">
        <w:rPr>
          <w:i/>
        </w:rPr>
        <w:t xml:space="preserve">KCST-TV v. FCC, </w:t>
      </w:r>
      <w:r w:rsidR="00346C00" w:rsidRPr="00C116A0">
        <w:t>699 F.2d 1185 (D.C. Cir. 1983).</w:t>
      </w:r>
      <w:r w:rsidRPr="00C116A0">
        <w:t xml:space="preserve"> </w:t>
      </w:r>
    </w:p>
  </w:footnote>
  <w:footnote w:id="17">
    <w:p w14:paraId="4F984CB9" w14:textId="335C4F06" w:rsidR="0013057B" w:rsidRPr="00C116A0" w:rsidRDefault="0013057B">
      <w:pPr>
        <w:pStyle w:val="FootnoteText"/>
      </w:pPr>
      <w:r w:rsidRPr="00C116A0">
        <w:rPr>
          <w:rStyle w:val="FootnoteReference"/>
          <w:rFonts w:ascii="Times New Roman" w:hAnsi="Times New Roman"/>
        </w:rPr>
        <w:footnoteRef/>
      </w:r>
      <w:r w:rsidRPr="00C116A0">
        <w:t xml:space="preserve"> </w:t>
      </w:r>
      <w:r w:rsidR="001C51F1" w:rsidRPr="00C116A0">
        <w:t>ENMU Petition for Reconsideration at 4</w:t>
      </w:r>
      <w:r w:rsidR="00D82B24" w:rsidRPr="00C116A0">
        <w:t>, citing</w:t>
      </w:r>
      <w:r w:rsidR="001C51F1" w:rsidRPr="00C116A0">
        <w:t xml:space="preserve"> 5 U.S.C. § 706(2</w:t>
      </w:r>
      <w:r w:rsidR="00CD1E1D" w:rsidRPr="00C116A0">
        <w:t>)(</w:t>
      </w:r>
      <w:r w:rsidR="001C51F1" w:rsidRPr="00C116A0">
        <w:t>A).</w:t>
      </w:r>
    </w:p>
  </w:footnote>
  <w:footnote w:id="18">
    <w:p w14:paraId="485A00E7" w14:textId="4A006672" w:rsidR="007972B7" w:rsidRPr="00C116A0" w:rsidRDefault="007972B7">
      <w:pPr>
        <w:pStyle w:val="FootnoteText"/>
      </w:pPr>
      <w:r w:rsidRPr="00C116A0">
        <w:rPr>
          <w:rStyle w:val="FootnoteReference"/>
          <w:rFonts w:ascii="Times New Roman" w:hAnsi="Times New Roman"/>
        </w:rPr>
        <w:footnoteRef/>
      </w:r>
      <w:r w:rsidRPr="00C116A0">
        <w:t xml:space="preserve"> ENMU Petition for Reconsideration at 7-9.</w:t>
      </w:r>
    </w:p>
  </w:footnote>
  <w:footnote w:id="19">
    <w:p w14:paraId="14094A68" w14:textId="7AD08EE9" w:rsidR="00434E87" w:rsidRPr="00C116A0" w:rsidRDefault="00434E87">
      <w:pPr>
        <w:pStyle w:val="FootnoteText"/>
      </w:pPr>
      <w:r w:rsidRPr="00C116A0">
        <w:rPr>
          <w:rStyle w:val="FootnoteReference"/>
          <w:rFonts w:ascii="Times New Roman" w:hAnsi="Times New Roman"/>
        </w:rPr>
        <w:footnoteRef/>
      </w:r>
      <w:r w:rsidRPr="00C116A0">
        <w:t xml:space="preserve"> </w:t>
      </w:r>
      <w:r w:rsidRPr="00C116A0">
        <w:rPr>
          <w:i/>
        </w:rPr>
        <w:t>Id</w:t>
      </w:r>
      <w:r w:rsidRPr="00C116A0">
        <w:t>.</w:t>
      </w:r>
    </w:p>
  </w:footnote>
  <w:footnote w:id="20">
    <w:p w14:paraId="56FC9AC9" w14:textId="537C4EC5" w:rsidR="00E07DC5" w:rsidRPr="00C116A0" w:rsidRDefault="00E07DC5" w:rsidP="00E07DC5">
      <w:pPr>
        <w:pStyle w:val="FootnoteText"/>
      </w:pPr>
      <w:r w:rsidRPr="00C116A0">
        <w:rPr>
          <w:rStyle w:val="FootnoteReference"/>
          <w:rFonts w:ascii="Times New Roman" w:hAnsi="Times New Roman"/>
        </w:rPr>
        <w:footnoteRef/>
      </w:r>
      <w:r w:rsidRPr="00C116A0">
        <w:t xml:space="preserve"> 47 CFR § 1.106</w:t>
      </w:r>
      <w:r w:rsidR="00AE7E61" w:rsidRPr="00C116A0">
        <w:t>(c)</w:t>
      </w:r>
      <w:r w:rsidR="00CE6B7C" w:rsidRPr="00C116A0">
        <w:t>.</w:t>
      </w:r>
      <w:r w:rsidRPr="00C116A0">
        <w:t xml:space="preserve">  </w:t>
      </w:r>
    </w:p>
  </w:footnote>
  <w:footnote w:id="21">
    <w:p w14:paraId="5AB45FC2" w14:textId="23F2DC03" w:rsidR="00CE6B7C" w:rsidRPr="00C116A0" w:rsidRDefault="00CE6B7C" w:rsidP="00CE6B7C">
      <w:pPr>
        <w:pStyle w:val="FootnoteText"/>
      </w:pPr>
      <w:r w:rsidRPr="00C116A0">
        <w:rPr>
          <w:rStyle w:val="FootnoteReference"/>
          <w:rFonts w:ascii="Times New Roman" w:hAnsi="Times New Roman"/>
        </w:rPr>
        <w:footnoteRef/>
      </w:r>
      <w:r w:rsidRPr="00C116A0">
        <w:t xml:space="preserve"> </w:t>
      </w:r>
      <w:r w:rsidRPr="00C116A0">
        <w:rPr>
          <w:i/>
        </w:rPr>
        <w:t>WWIZ, Inc.</w:t>
      </w:r>
      <w:r w:rsidRPr="00C116A0">
        <w:t>, Memorandum Opinion and Order, 37 FCC 685, 686</w:t>
      </w:r>
      <w:r w:rsidR="007B0368" w:rsidRPr="00C116A0">
        <w:t>, para</w:t>
      </w:r>
      <w:r w:rsidR="00D53CB1" w:rsidRPr="00C116A0">
        <w:t>. 2</w:t>
      </w:r>
      <w:r w:rsidRPr="00C116A0">
        <w:t xml:space="preserve"> (1964), </w:t>
      </w:r>
      <w:r w:rsidRPr="00C116A0">
        <w:rPr>
          <w:i/>
        </w:rPr>
        <w:t>aff’d sub nom.</w:t>
      </w:r>
      <w:r w:rsidRPr="00C116A0">
        <w:t xml:space="preserve"> </w:t>
      </w:r>
      <w:r w:rsidRPr="00C116A0">
        <w:rPr>
          <w:i/>
        </w:rPr>
        <w:t>Lorain Journal Co. v. FCC</w:t>
      </w:r>
      <w:r w:rsidRPr="00C116A0">
        <w:t xml:space="preserve">, 351 F.2d 824 (D.C. Cir. 1965), </w:t>
      </w:r>
      <w:r w:rsidRPr="00C116A0">
        <w:rPr>
          <w:i/>
        </w:rPr>
        <w:t>cert. denied</w:t>
      </w:r>
      <w:r w:rsidRPr="00C116A0">
        <w:t xml:space="preserve">, 387 U.S. 967 (1966); </w:t>
      </w:r>
      <w:r w:rsidRPr="00C116A0">
        <w:rPr>
          <w:i/>
        </w:rPr>
        <w:t xml:space="preserve">Board of Trustees, Davis &amp; Elkins College, </w:t>
      </w:r>
      <w:r w:rsidRPr="00C116A0">
        <w:t xml:space="preserve">Memorandum and Order, 26 FCC Rcd 15555, 1556, para. 5 (MB 2011). </w:t>
      </w:r>
    </w:p>
  </w:footnote>
  <w:footnote w:id="22">
    <w:p w14:paraId="513015B6" w14:textId="77777777" w:rsidR="00AE7E61" w:rsidRPr="00C116A0" w:rsidRDefault="00AE7E61" w:rsidP="00AE7E61">
      <w:pPr>
        <w:pStyle w:val="FootnoteText"/>
      </w:pPr>
      <w:r w:rsidRPr="00C116A0">
        <w:rPr>
          <w:rStyle w:val="FootnoteReference"/>
          <w:rFonts w:ascii="Times New Roman" w:hAnsi="Times New Roman"/>
        </w:rPr>
        <w:footnoteRef/>
      </w:r>
      <w:r w:rsidRPr="00C116A0">
        <w:t xml:space="preserve"> </w:t>
      </w:r>
      <w:r w:rsidRPr="00C116A0">
        <w:rPr>
          <w:i/>
          <w:iCs/>
        </w:rPr>
        <w:t>Green Country Mobilephone, Inc. v. FCC,</w:t>
      </w:r>
      <w:r w:rsidRPr="00C116A0">
        <w:t> 765 F.2d 235, 238 (D.C. Cir. 1985) (quoting </w:t>
      </w:r>
      <w:r w:rsidRPr="00C116A0">
        <w:rPr>
          <w:i/>
          <w:iCs/>
        </w:rPr>
        <w:t>Thomas Radio Co. v. FCC,</w:t>
      </w:r>
      <w:r w:rsidRPr="00C116A0">
        <w:t> 716 F.2d 921, 924 (D.C. Cir. 1983)).</w:t>
      </w:r>
    </w:p>
  </w:footnote>
  <w:footnote w:id="23">
    <w:p w14:paraId="5A49E190" w14:textId="4F38E53D" w:rsidR="008A19BF" w:rsidRPr="00C116A0" w:rsidRDefault="008A19BF">
      <w:pPr>
        <w:pStyle w:val="FootnoteText"/>
      </w:pPr>
      <w:r w:rsidRPr="00C116A0">
        <w:rPr>
          <w:rStyle w:val="FootnoteReference"/>
          <w:rFonts w:ascii="Times New Roman" w:hAnsi="Times New Roman"/>
        </w:rPr>
        <w:footnoteRef/>
      </w:r>
      <w:r w:rsidRPr="00C116A0">
        <w:t xml:space="preserve"> </w:t>
      </w:r>
      <w:r w:rsidR="00187A8C" w:rsidRPr="00C116A0">
        <w:rPr>
          <w:i/>
        </w:rPr>
        <w:t>BellSouth Corp. v. FCC</w:t>
      </w:r>
      <w:r w:rsidR="00187A8C" w:rsidRPr="00C116A0">
        <w:t>, 162 F.3d 1215</w:t>
      </w:r>
      <w:r w:rsidR="00AE7E61" w:rsidRPr="00C116A0">
        <w:t>, 1225</w:t>
      </w:r>
      <w:r w:rsidR="00187A8C" w:rsidRPr="00C116A0">
        <w:t xml:space="preserve"> (D.C. Cir. 199</w:t>
      </w:r>
      <w:r w:rsidR="00B1717A" w:rsidRPr="00C116A0">
        <w:t>9</w:t>
      </w:r>
      <w:r w:rsidR="00187A8C" w:rsidRPr="00C116A0">
        <w:t>)</w:t>
      </w:r>
      <w:r w:rsidR="00AE7E61" w:rsidRPr="00C116A0">
        <w:t xml:space="preserve"> (citing </w:t>
      </w:r>
      <w:r w:rsidR="00AE7E61" w:rsidRPr="00C116A0">
        <w:rPr>
          <w:i/>
          <w:iCs/>
        </w:rPr>
        <w:t>Turro v. FCC,</w:t>
      </w:r>
      <w:r w:rsidR="00AE7E61" w:rsidRPr="00C116A0">
        <w:t> 859 F.2d 1498, 1500 (D.C. Cir. 1988)); </w:t>
      </w:r>
      <w:r w:rsidR="00AE7E61" w:rsidRPr="00C116A0">
        <w:rPr>
          <w:i/>
          <w:iCs/>
        </w:rPr>
        <w:t>see also FCC v. WNCN Listeners Guild,</w:t>
      </w:r>
      <w:r w:rsidR="00AE7E61" w:rsidRPr="00C116A0">
        <w:t> 450 U.S. 582, 601 n. 44 (1981); </w:t>
      </w:r>
      <w:r w:rsidR="00AE7E61" w:rsidRPr="00C116A0">
        <w:rPr>
          <w:i/>
          <w:iCs/>
        </w:rPr>
        <w:t>Thomas Radio,</w:t>
      </w:r>
      <w:r w:rsidR="00AE7E61" w:rsidRPr="00C116A0">
        <w:t> 716 F.2d at 925 &amp; n. 20.</w:t>
      </w:r>
    </w:p>
  </w:footnote>
  <w:footnote w:id="24">
    <w:p w14:paraId="0364137D" w14:textId="3B94A6FD" w:rsidR="00620F04" w:rsidRPr="00C116A0" w:rsidRDefault="00620F04">
      <w:pPr>
        <w:pStyle w:val="FootnoteText"/>
      </w:pPr>
      <w:r w:rsidRPr="00C116A0">
        <w:rPr>
          <w:rStyle w:val="FootnoteReference"/>
          <w:rFonts w:ascii="Times New Roman" w:hAnsi="Times New Roman"/>
        </w:rPr>
        <w:footnoteRef/>
      </w:r>
      <w:r w:rsidRPr="00C116A0">
        <w:t xml:space="preserve"> </w:t>
      </w:r>
      <w:r w:rsidR="00CD1E1D" w:rsidRPr="00C116A0">
        <w:rPr>
          <w:i/>
        </w:rPr>
        <w:t>See Public Notice</w:t>
      </w:r>
      <w:r w:rsidR="00CD1E1D" w:rsidRPr="00C116A0">
        <w:t xml:space="preserve">, </w:t>
      </w:r>
      <w:r w:rsidR="00CD1E1D" w:rsidRPr="00C116A0">
        <w:rPr>
          <w:i/>
        </w:rPr>
        <w:t>supra</w:t>
      </w:r>
      <w:r w:rsidR="00CD1E1D" w:rsidRPr="00C116A0">
        <w:t xml:space="preserve"> note 1.</w:t>
      </w:r>
    </w:p>
  </w:footnote>
  <w:footnote w:id="25">
    <w:p w14:paraId="422BD4E3" w14:textId="77777777" w:rsidR="006E4336" w:rsidRPr="00C116A0" w:rsidRDefault="006E4336" w:rsidP="006E4336">
      <w:pPr>
        <w:pStyle w:val="FootnoteText"/>
      </w:pPr>
      <w:r w:rsidRPr="00C116A0">
        <w:rPr>
          <w:rStyle w:val="FootnoteReference"/>
          <w:rFonts w:ascii="Times New Roman" w:hAnsi="Times New Roman"/>
        </w:rPr>
        <w:footnoteRef/>
      </w:r>
      <w:r w:rsidRPr="00C116A0">
        <w:t xml:space="preserve"> </w:t>
      </w:r>
      <w:r w:rsidRPr="00C116A0">
        <w:rPr>
          <w:i/>
          <w:iCs/>
        </w:rPr>
        <w:t>Pamplin Broadcasting, Inc.,</w:t>
      </w:r>
      <w:r w:rsidRPr="00C116A0">
        <w:t> Memorandum Opinion and Order, 23 FCC Rcd 649, 653, para. 10 (2008).</w:t>
      </w:r>
    </w:p>
  </w:footnote>
  <w:footnote w:id="26">
    <w:p w14:paraId="2692E9F3" w14:textId="526B5046" w:rsidR="006E4336" w:rsidRPr="00C116A0" w:rsidRDefault="006E4336" w:rsidP="006E4336">
      <w:pPr>
        <w:pStyle w:val="FootnoteText"/>
      </w:pPr>
      <w:r w:rsidRPr="00C116A0">
        <w:rPr>
          <w:rStyle w:val="FootnoteReference"/>
          <w:rFonts w:ascii="Times New Roman" w:hAnsi="Times New Roman"/>
        </w:rPr>
        <w:footnoteRef/>
      </w:r>
      <w:r w:rsidRPr="00C116A0">
        <w:t xml:space="preserve"> </w:t>
      </w:r>
      <w:r w:rsidRPr="00C116A0">
        <w:rPr>
          <w:i/>
        </w:rPr>
        <w:t>See</w:t>
      </w:r>
      <w:r w:rsidRPr="00C116A0">
        <w:t xml:space="preserve"> </w:t>
      </w:r>
      <w:r w:rsidRPr="00C116A0">
        <w:rPr>
          <w:i/>
        </w:rPr>
        <w:t>Letter to Lawrence Bernstein, Esq.</w:t>
      </w:r>
      <w:r w:rsidRPr="00C116A0">
        <w:t>, 24 FCC Rcd 7400, 7403 (2009) (</w:t>
      </w:r>
      <w:r w:rsidRPr="00C116A0">
        <w:rPr>
          <w:bCs/>
          <w:i/>
          <w:iCs/>
        </w:rPr>
        <w:t>citing Wendell and Associates,</w:t>
      </w:r>
      <w:r w:rsidRPr="00C116A0">
        <w:rPr>
          <w:bCs/>
          <w:iCs/>
        </w:rPr>
        <w:t xml:space="preserve"> Memorandum Opinion and Order,</w:t>
      </w:r>
      <w:r w:rsidRPr="00C116A0">
        <w:rPr>
          <w:bCs/>
          <w:i/>
          <w:iCs/>
        </w:rPr>
        <w:t> </w:t>
      </w:r>
      <w:r w:rsidRPr="00C116A0">
        <w:rPr>
          <w:bCs/>
          <w:iCs/>
        </w:rPr>
        <w:t>14 FCC Rcd 1671,</w:t>
      </w:r>
      <w:r w:rsidRPr="00C116A0">
        <w:rPr>
          <w:bCs/>
        </w:rPr>
        <w:t> 1679, para. 22 (1998)</w:t>
      </w:r>
      <w:r w:rsidRPr="00C116A0">
        <w:t>(</w:t>
      </w:r>
      <w:r w:rsidRPr="00C116A0">
        <w:rPr>
          <w:bCs/>
        </w:rPr>
        <w:t>“It is clear from the staff's order that it considered [the objector's] pleadings, which is all that was required”</w:t>
      </w:r>
      <w:r w:rsidRPr="00C116A0">
        <w:t>) (</w:t>
      </w:r>
      <w:r w:rsidRPr="00C116A0">
        <w:rPr>
          <w:i/>
        </w:rPr>
        <w:t>Wendell</w:t>
      </w:r>
      <w:r w:rsidRPr="00C116A0">
        <w:t>)).</w:t>
      </w:r>
    </w:p>
  </w:footnote>
  <w:footnote w:id="27">
    <w:p w14:paraId="6D25CED0" w14:textId="79F36DDC" w:rsidR="006E4336" w:rsidRPr="00C116A0" w:rsidRDefault="006E4336" w:rsidP="006E4336">
      <w:pPr>
        <w:pStyle w:val="FootnoteText"/>
        <w:rPr>
          <w:iCs/>
        </w:rPr>
      </w:pPr>
      <w:r w:rsidRPr="00C116A0">
        <w:rPr>
          <w:rStyle w:val="FootnoteReference"/>
          <w:rFonts w:ascii="Times New Roman" w:hAnsi="Times New Roman"/>
        </w:rPr>
        <w:footnoteRef/>
      </w:r>
      <w:r w:rsidRPr="00C116A0">
        <w:t xml:space="preserve"> </w:t>
      </w:r>
      <w:r w:rsidRPr="00C116A0">
        <w:rPr>
          <w:i/>
          <w:iCs/>
        </w:rPr>
        <w:t>See, e.g., </w:t>
      </w:r>
      <w:r w:rsidRPr="00C116A0">
        <w:rPr>
          <w:bCs/>
          <w:i/>
          <w:iCs/>
        </w:rPr>
        <w:t xml:space="preserve">Wendell, </w:t>
      </w:r>
      <w:r w:rsidRPr="00C116A0">
        <w:rPr>
          <w:bCs/>
          <w:iCs/>
        </w:rPr>
        <w:t xml:space="preserve">14 FCC Rcd at 1679, para. 22 </w:t>
      </w:r>
      <w:r w:rsidRPr="00C116A0">
        <w:rPr>
          <w:iCs/>
        </w:rPr>
        <w:t>(in addressing a petition to deny, the staff need issue only a “concise statement” of the reasons for denying the petition);</w:t>
      </w:r>
      <w:r w:rsidRPr="00C116A0">
        <w:rPr>
          <w:i/>
          <w:iCs/>
        </w:rPr>
        <w:t> CMP Houston-KC, LLC, </w:t>
      </w:r>
      <w:r w:rsidRPr="00C116A0">
        <w:rPr>
          <w:iCs/>
        </w:rPr>
        <w:t>Memorandum Opinion and Order, 23 FCC Rcd 10656, 10660, para. 11 (2008) (Commission rejects complaint that the staff did not address the merits of appellants' arguments);</w:t>
      </w:r>
      <w:r w:rsidRPr="00C116A0">
        <w:rPr>
          <w:i/>
          <w:iCs/>
        </w:rPr>
        <w:t> M2Z Networks, Inc. v. FCC</w:t>
      </w:r>
      <w:r w:rsidRPr="00C116A0">
        <w:rPr>
          <w:iCs/>
        </w:rPr>
        <w:t>, 558 F.3d 554, 560 (D.C. Cir. 2009) (appeals court found that it was adequate for the Commission to name a factor -- maintaining competitive market conditions -- and give two reasons why the application would undermine that factor).</w:t>
      </w:r>
    </w:p>
  </w:footnote>
  <w:footnote w:id="28">
    <w:p w14:paraId="33CAED2F" w14:textId="2D39498B" w:rsidR="00E07DC5" w:rsidRPr="00C116A0" w:rsidRDefault="00E07DC5" w:rsidP="00E07DC5">
      <w:pPr>
        <w:pStyle w:val="FootnoteText"/>
      </w:pPr>
      <w:r w:rsidRPr="00C116A0">
        <w:rPr>
          <w:rStyle w:val="FootnoteReference"/>
          <w:rFonts w:ascii="Times New Roman" w:hAnsi="Times New Roman"/>
        </w:rPr>
        <w:footnoteRef/>
      </w:r>
      <w:r w:rsidRPr="00C116A0">
        <w:t xml:space="preserve"> 47 CFR § 1.3.</w:t>
      </w:r>
      <w:r w:rsidR="00AE7E61" w:rsidRPr="00C116A0">
        <w:t xml:space="preserve"> </w:t>
      </w:r>
      <w:r w:rsidR="00B1717A" w:rsidRPr="00C116A0">
        <w:t xml:space="preserve"> </w:t>
      </w:r>
      <w:r w:rsidR="00AE7E61" w:rsidRPr="00C116A0">
        <w:t>Petitioner incorrectly cites the standard for wireless radio services, 47 C.F.R. § 1.925.</w:t>
      </w:r>
    </w:p>
  </w:footnote>
  <w:footnote w:id="29">
    <w:p w14:paraId="0AF9E797" w14:textId="77777777" w:rsidR="00E07DC5" w:rsidRPr="00C116A0" w:rsidRDefault="00E07DC5" w:rsidP="00E07DC5">
      <w:pPr>
        <w:pStyle w:val="FootnoteText"/>
        <w:rPr>
          <w:i/>
        </w:rPr>
      </w:pPr>
      <w:r w:rsidRPr="00C116A0">
        <w:rPr>
          <w:rStyle w:val="FootnoteReference"/>
          <w:rFonts w:ascii="Times New Roman" w:hAnsi="Times New Roman"/>
        </w:rPr>
        <w:footnoteRef/>
      </w:r>
      <w:r w:rsidRPr="00C116A0">
        <w:t xml:space="preserve"> </w:t>
      </w:r>
      <w:r w:rsidRPr="00C116A0">
        <w:rPr>
          <w:i/>
        </w:rPr>
        <w:t xml:space="preserve">WAIT Radio v. FCC, </w:t>
      </w:r>
      <w:r w:rsidRPr="00C116A0">
        <w:t>418 F.2d 1153, 1157 (D.C. Cir. 1969) (subsequent history omitted).</w:t>
      </w:r>
    </w:p>
  </w:footnote>
  <w:footnote w:id="30">
    <w:p w14:paraId="30363238" w14:textId="6715146B" w:rsidR="00E07DC5" w:rsidRPr="00C116A0" w:rsidRDefault="00E07DC5" w:rsidP="00E07DC5">
      <w:pPr>
        <w:pStyle w:val="FootnoteText"/>
      </w:pPr>
      <w:r w:rsidRPr="00C116A0">
        <w:rPr>
          <w:rStyle w:val="FootnoteReference"/>
          <w:rFonts w:ascii="Times New Roman" w:hAnsi="Times New Roman"/>
        </w:rPr>
        <w:footnoteRef/>
      </w:r>
      <w:r w:rsidRPr="00C116A0">
        <w:t xml:space="preserve"> </w:t>
      </w:r>
      <w:r w:rsidRPr="00C116A0">
        <w:rPr>
          <w:i/>
        </w:rPr>
        <w:t>Greater Media Radio Co., Inc.,</w:t>
      </w:r>
      <w:r w:rsidRPr="00C116A0">
        <w:t xml:space="preserve"> Memorandum Opinion and Order, 15 FCC Rcd 7090</w:t>
      </w:r>
      <w:r w:rsidR="00D53CB1" w:rsidRPr="00C116A0">
        <w:t>, 7094, para. 9</w:t>
      </w:r>
      <w:r w:rsidRPr="00C116A0">
        <w:t xml:space="preserve"> (1999) (citing </w:t>
      </w:r>
      <w:r w:rsidRPr="00C116A0">
        <w:rPr>
          <w:i/>
        </w:rPr>
        <w:t>Stoner Broadcasting System, Inc</w:t>
      </w:r>
      <w:r w:rsidRPr="00C116A0">
        <w:t>., Memorandum Opinion and Order, 49 FCC 2d 1011, 1012</w:t>
      </w:r>
      <w:r w:rsidR="00320B5D" w:rsidRPr="00C116A0">
        <w:t>, para. 5</w:t>
      </w:r>
      <w:r w:rsidRPr="00C116A0">
        <w:t xml:space="preserve"> (1974)).</w:t>
      </w:r>
    </w:p>
  </w:footnote>
  <w:footnote w:id="31">
    <w:p w14:paraId="2A31682F" w14:textId="76805EEF" w:rsidR="00E07DC5" w:rsidRPr="00C116A0" w:rsidRDefault="00E07DC5" w:rsidP="00E07DC5">
      <w:pPr>
        <w:pStyle w:val="FootnoteText"/>
      </w:pPr>
      <w:r w:rsidRPr="00C116A0">
        <w:rPr>
          <w:rStyle w:val="FootnoteReference"/>
          <w:rFonts w:ascii="Times New Roman" w:hAnsi="Times New Roman"/>
        </w:rPr>
        <w:footnoteRef/>
      </w:r>
      <w:r w:rsidRPr="00C116A0">
        <w:t xml:space="preserve"> </w:t>
      </w:r>
      <w:r w:rsidRPr="00C116A0">
        <w:rPr>
          <w:i/>
        </w:rPr>
        <w:t>NetworkIP, LLC v. FCC,</w:t>
      </w:r>
      <w:r w:rsidRPr="00C116A0">
        <w:t xml:space="preserve"> 548 F.3d 116, 125-128 (D.C. Cir. 2008); </w:t>
      </w:r>
      <w:r w:rsidRPr="00C116A0">
        <w:rPr>
          <w:i/>
        </w:rPr>
        <w:t>Northeast Cellular Telephone Co. v. FCC</w:t>
      </w:r>
      <w:r w:rsidRPr="00C116A0">
        <w:t>, 897 F.2d 1164, 1166</w:t>
      </w:r>
      <w:r w:rsidR="00D53CB1" w:rsidRPr="00C116A0">
        <w:t>, para. 5</w:t>
      </w:r>
      <w:r w:rsidRPr="00C116A0">
        <w:t xml:space="preserve"> (D.C. Cir. 1990).</w:t>
      </w:r>
    </w:p>
  </w:footnote>
  <w:footnote w:id="32">
    <w:p w14:paraId="169B0CC7" w14:textId="5E500884" w:rsidR="00B15BAB" w:rsidRPr="00C116A0" w:rsidRDefault="00B15BAB" w:rsidP="00B15BAB">
      <w:pPr>
        <w:pStyle w:val="FootnoteText"/>
      </w:pPr>
      <w:r w:rsidRPr="00C116A0">
        <w:rPr>
          <w:rStyle w:val="FootnoteReference"/>
          <w:rFonts w:ascii="Times New Roman" w:hAnsi="Times New Roman"/>
        </w:rPr>
        <w:footnoteRef/>
      </w:r>
      <w:r w:rsidRPr="00C116A0">
        <w:t xml:space="preserve"> </w:t>
      </w:r>
      <w:r w:rsidR="00D82B24" w:rsidRPr="00C116A0">
        <w:rPr>
          <w:i/>
        </w:rPr>
        <w:t xml:space="preserve">See </w:t>
      </w:r>
      <w:r w:rsidRPr="00C116A0">
        <w:rPr>
          <w:i/>
        </w:rPr>
        <w:t>Peninsula</w:t>
      </w:r>
      <w:r w:rsidR="00D53CB1" w:rsidRPr="00C116A0">
        <w:t>, 13</w:t>
      </w:r>
      <w:r w:rsidR="00D82B24" w:rsidRPr="00C116A0">
        <w:t xml:space="preserve"> FCC Rcd at 23993</w:t>
      </w:r>
      <w:r w:rsidR="000835AD" w:rsidRPr="00C116A0">
        <w:t>, para. 2,</w:t>
      </w:r>
      <w:r w:rsidR="00D82B24" w:rsidRPr="00C116A0">
        <w:t xml:space="preserve"> n.</w:t>
      </w:r>
      <w:r w:rsidRPr="00C116A0">
        <w:t>3.</w:t>
      </w:r>
    </w:p>
  </w:footnote>
  <w:footnote w:id="33">
    <w:p w14:paraId="5545FC84" w14:textId="150A15A6" w:rsidR="00B15BAB" w:rsidRPr="00C116A0" w:rsidRDefault="00B15BAB" w:rsidP="00B15BAB">
      <w:pPr>
        <w:spacing w:after="120" w:line="259" w:lineRule="auto"/>
        <w:rPr>
          <w:sz w:val="20"/>
        </w:rPr>
      </w:pPr>
      <w:r w:rsidRPr="00C116A0">
        <w:rPr>
          <w:rStyle w:val="FootnoteReference"/>
          <w:rFonts w:ascii="Times New Roman" w:hAnsi="Times New Roman"/>
        </w:rPr>
        <w:footnoteRef/>
      </w:r>
      <w:r w:rsidRPr="00C116A0">
        <w:rPr>
          <w:sz w:val="20"/>
        </w:rPr>
        <w:t xml:space="preserve"> </w:t>
      </w:r>
      <w:r w:rsidRPr="00C116A0">
        <w:rPr>
          <w:i/>
          <w:sz w:val="20"/>
        </w:rPr>
        <w:t>Amendment of Part 74 of the FM Commission's Rules Concerning Translator Stations</w:t>
      </w:r>
      <w:r w:rsidRPr="00C116A0">
        <w:rPr>
          <w:sz w:val="20"/>
        </w:rPr>
        <w:t>, 5 FCC Rcd 7212, 7216</w:t>
      </w:r>
      <w:r w:rsidR="005646C1" w:rsidRPr="00C116A0">
        <w:rPr>
          <w:sz w:val="20"/>
        </w:rPr>
        <w:t>, para. 23</w:t>
      </w:r>
      <w:r w:rsidRPr="00C116A0">
        <w:rPr>
          <w:sz w:val="20"/>
        </w:rPr>
        <w:t xml:space="preserve"> (1990) (</w:t>
      </w:r>
      <w:r w:rsidRPr="00C116A0">
        <w:rPr>
          <w:i/>
          <w:sz w:val="20"/>
        </w:rPr>
        <w:t>FM Translator Stations)</w:t>
      </w:r>
      <w:r w:rsidRPr="00C116A0">
        <w:rPr>
          <w:sz w:val="20"/>
        </w:rPr>
        <w:t>.</w:t>
      </w:r>
    </w:p>
  </w:footnote>
  <w:footnote w:id="34">
    <w:p w14:paraId="78F54611" w14:textId="73197135" w:rsidR="00B15BAB" w:rsidRPr="00C116A0" w:rsidRDefault="00B15BAB" w:rsidP="00B15BAB">
      <w:pPr>
        <w:pStyle w:val="FootnoteText"/>
      </w:pPr>
      <w:r w:rsidRPr="00C116A0">
        <w:rPr>
          <w:rStyle w:val="FootnoteReference"/>
          <w:rFonts w:ascii="Times New Roman" w:hAnsi="Times New Roman"/>
        </w:rPr>
        <w:footnoteRef/>
      </w:r>
      <w:r w:rsidRPr="00C116A0">
        <w:t xml:space="preserve"> </w:t>
      </w:r>
      <w:r w:rsidRPr="00C116A0">
        <w:rPr>
          <w:i/>
          <w:iCs/>
        </w:rPr>
        <w:t>Letter to Kevin C. Boyle, Esq.,</w:t>
      </w:r>
      <w:r w:rsidRPr="00C116A0">
        <w:t> 11 FCC Rcd 2348, 2350 (MMB 1996).</w:t>
      </w:r>
    </w:p>
    <w:p w14:paraId="748DEC83" w14:textId="6B613FB0" w:rsidR="00B15BAB" w:rsidRPr="00C116A0" w:rsidRDefault="00B15BAB" w:rsidP="00B15BAB">
      <w:pPr>
        <w:pStyle w:val="FootnoteText"/>
      </w:pPr>
      <w:r w:rsidRPr="00C116A0">
        <w:rPr>
          <w:i/>
        </w:rPr>
        <w:t>See</w:t>
      </w:r>
      <w:r w:rsidRPr="00C116A0">
        <w:t xml:space="preserve"> </w:t>
      </w:r>
      <w:r w:rsidRPr="00C116A0">
        <w:rPr>
          <w:i/>
        </w:rPr>
        <w:t>Amendment of Part 74 of the Commission's Rules Concerning FM Translator Stations</w:t>
      </w:r>
      <w:r w:rsidRPr="00C116A0">
        <w:t>, 8 FCC Rcd 5093, 94-95</w:t>
      </w:r>
      <w:r w:rsidR="005646C1" w:rsidRPr="00C116A0">
        <w:t>, para. 9</w:t>
      </w:r>
      <w:r w:rsidRPr="00C116A0">
        <w:t xml:space="preserve"> (1993). </w:t>
      </w:r>
    </w:p>
  </w:footnote>
  <w:footnote w:id="35">
    <w:p w14:paraId="6CEBA5A2" w14:textId="5707FA2B" w:rsidR="00E07DC5" w:rsidRPr="00C116A0" w:rsidRDefault="00E07DC5" w:rsidP="00E07DC5">
      <w:pPr>
        <w:pStyle w:val="FootnoteText"/>
      </w:pPr>
      <w:r w:rsidRPr="00C116A0">
        <w:rPr>
          <w:rStyle w:val="FootnoteReference"/>
          <w:rFonts w:ascii="Times New Roman" w:hAnsi="Times New Roman"/>
          <w:i/>
        </w:rPr>
        <w:footnoteRef/>
      </w:r>
      <w:r w:rsidRPr="00C116A0">
        <w:rPr>
          <w:i/>
        </w:rPr>
        <w:t xml:space="preserve"> </w:t>
      </w:r>
      <w:r w:rsidR="00950A7A" w:rsidRPr="00C116A0">
        <w:rPr>
          <w:i/>
        </w:rPr>
        <w:t>NCE Translator</w:t>
      </w:r>
      <w:r w:rsidR="00950A7A" w:rsidRPr="00C116A0">
        <w:t>, 3 FCC Rcd at 2196</w:t>
      </w:r>
      <w:r w:rsidR="005A019C" w:rsidRPr="00C116A0">
        <w:t>, para 1</w:t>
      </w:r>
      <w:r w:rsidRPr="00C116A0">
        <w:t>.</w:t>
      </w:r>
    </w:p>
  </w:footnote>
  <w:footnote w:id="36">
    <w:p w14:paraId="4D6FF981" w14:textId="7F266ED7" w:rsidR="00C142F4" w:rsidRPr="002A03CE" w:rsidRDefault="00C142F4" w:rsidP="00C142F4">
      <w:pPr>
        <w:pStyle w:val="FootnoteText"/>
      </w:pPr>
      <w:r w:rsidRPr="00C116A0">
        <w:rPr>
          <w:rStyle w:val="FootnoteReference"/>
          <w:rFonts w:ascii="Times New Roman" w:hAnsi="Times New Roman"/>
        </w:rPr>
        <w:footnoteRef/>
      </w:r>
      <w:r w:rsidRPr="00C116A0">
        <w:t xml:space="preserve"> </w:t>
      </w:r>
      <w:r w:rsidRPr="00C116A0">
        <w:rPr>
          <w:i/>
        </w:rPr>
        <w:t xml:space="preserve">See, e.g., </w:t>
      </w:r>
      <w:r w:rsidR="00BA2E28" w:rsidRPr="00C116A0">
        <w:rPr>
          <w:rStyle w:val="Hyperlink"/>
          <w:i/>
          <w:iCs/>
          <w:color w:val="auto"/>
          <w:u w:val="none"/>
        </w:rPr>
        <w:t>Peninsula Communications, Inc.</w:t>
      </w:r>
      <w:r w:rsidR="00BA2E28" w:rsidRPr="00C116A0">
        <w:rPr>
          <w:rStyle w:val="Hyperlink"/>
          <w:iCs/>
          <w:color w:val="auto"/>
          <w:u w:val="none"/>
        </w:rPr>
        <w:t xml:space="preserve">, Notice of Apparent Liability and Order, 16 FCC Rcd 16124 (2001) (licensee that continued translator operations subsequent to Commission order to terminate such operations issued a $140,000 Notice of </w:t>
      </w:r>
      <w:r w:rsidR="00DC7A50" w:rsidRPr="00C116A0">
        <w:rPr>
          <w:rStyle w:val="Hyperlink"/>
          <w:iCs/>
          <w:color w:val="auto"/>
          <w:u w:val="none"/>
        </w:rPr>
        <w:t>A</w:t>
      </w:r>
      <w:r w:rsidR="00BA2E28" w:rsidRPr="00C116A0">
        <w:rPr>
          <w:rStyle w:val="Hyperlink"/>
          <w:iCs/>
          <w:color w:val="auto"/>
          <w:u w:val="none"/>
        </w:rPr>
        <w:t xml:space="preserve">pparent </w:t>
      </w:r>
      <w:r w:rsidR="00DC7A50" w:rsidRPr="00C116A0">
        <w:rPr>
          <w:rStyle w:val="Hyperlink"/>
          <w:iCs/>
          <w:color w:val="auto"/>
          <w:u w:val="none"/>
        </w:rPr>
        <w:t>L</w:t>
      </w:r>
      <w:r w:rsidR="00BA2E28" w:rsidRPr="00C116A0">
        <w:rPr>
          <w:rStyle w:val="Hyperlink"/>
          <w:iCs/>
          <w:color w:val="auto"/>
          <w:u w:val="none"/>
        </w:rPr>
        <w:t>iability);</w:t>
      </w:r>
      <w:r w:rsidR="00C116A0" w:rsidRPr="002A03CE">
        <w:rPr>
          <w:color w:val="212121"/>
        </w:rPr>
        <w:t xml:space="preserve"> </w:t>
      </w:r>
      <w:r w:rsidR="00C116A0" w:rsidRPr="002A03CE">
        <w:rPr>
          <w:i/>
        </w:rPr>
        <w:t>Application of E-String Wireless, Ltd.</w:t>
      </w:r>
      <w:r w:rsidR="00C116A0" w:rsidRPr="002A03CE">
        <w:t xml:space="preserve">, Memorandum Order and Opinion and Notice of Apparent Liability for Forfeiture, 31 FCC Rcd 133, 139, para. 17 (MB 2016) (assessing a $4,000 forfeiture for an FM translator station operating in </w:t>
      </w:r>
      <w:r w:rsidR="00FD137F">
        <w:t>violation</w:t>
      </w:r>
      <w:r w:rsidR="00C116A0" w:rsidRPr="002A03CE">
        <w:t xml:space="preserve"> of Section 73.1745(a))</w:t>
      </w:r>
      <w:r w:rsidRPr="002A03CE">
        <w:rPr>
          <w:color w:val="212121"/>
        </w:rPr>
        <w:t>.</w:t>
      </w:r>
    </w:p>
  </w:footnote>
  <w:footnote w:id="37">
    <w:p w14:paraId="442B0651" w14:textId="49556DDB" w:rsidR="007656C3" w:rsidRPr="007656C3" w:rsidRDefault="007656C3">
      <w:pPr>
        <w:pStyle w:val="FootnoteText"/>
      </w:pPr>
      <w:r w:rsidRPr="002A03CE">
        <w:rPr>
          <w:rStyle w:val="FootnoteReference"/>
          <w:rFonts w:ascii="Times New Roman" w:hAnsi="Times New Roman"/>
        </w:rPr>
        <w:footnoteRef/>
      </w:r>
      <w:r w:rsidRPr="002A03CE">
        <w:t xml:space="preserve"> </w:t>
      </w:r>
      <w:r w:rsidRPr="002A03CE">
        <w:rPr>
          <w:i/>
        </w:rPr>
        <w:t xml:space="preserve">See </w:t>
      </w:r>
      <w:r w:rsidRPr="002A03CE">
        <w:t xml:space="preserve">n.1, </w:t>
      </w:r>
      <w:r w:rsidRPr="002A03CE">
        <w:rPr>
          <w:i/>
        </w:rPr>
        <w:t>supra</w:t>
      </w:r>
      <w:r w:rsidRPr="002A03CE">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C0B4" w14:textId="77777777" w:rsidR="00A4272B" w:rsidRDefault="00A42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CA5D" w14:textId="77777777" w:rsidR="00BF6E58" w:rsidRDefault="00B267F5">
    <w:pPr>
      <w:tabs>
        <w:tab w:val="center" w:pos="4680"/>
        <w:tab w:val="right" w:pos="9360"/>
      </w:tabs>
      <w:suppressAutoHyphens/>
      <w:spacing w:line="227" w:lineRule="auto"/>
      <w:jc w:val="both"/>
      <w:rPr>
        <w:rFonts w:ascii="Calisto MT" w:hAnsi="Calisto MT"/>
        <w:spacing w:val="-2"/>
      </w:rPr>
    </w:pPr>
  </w:p>
  <w:p w14:paraId="666401BD" w14:textId="77777777" w:rsidR="00BF6E58" w:rsidRDefault="00B267F5">
    <w:pPr>
      <w:tabs>
        <w:tab w:val="left" w:pos="-720"/>
      </w:tabs>
      <w:suppressAutoHyphens/>
      <w:spacing w:line="19" w:lineRule="exact"/>
      <w:jc w:val="both"/>
      <w:rPr>
        <w:sz w:val="10"/>
      </w:rPr>
    </w:pPr>
  </w:p>
  <w:p w14:paraId="25A39318" w14:textId="77777777" w:rsidR="00BF6E58" w:rsidRDefault="00B267F5">
    <w:pPr>
      <w:tabs>
        <w:tab w:val="left" w:pos="-720"/>
      </w:tabs>
      <w:suppressAutoHyphens/>
      <w:spacing w:line="19" w:lineRule="exact"/>
      <w:jc w:val="both"/>
      <w:rPr>
        <w:sz w:val="10"/>
      </w:rPr>
    </w:pPr>
  </w:p>
  <w:p w14:paraId="0F4EB49F" w14:textId="77777777" w:rsidR="00BF6E58" w:rsidRDefault="00B267F5">
    <w:pPr>
      <w:tabs>
        <w:tab w:val="left" w:pos="-720"/>
      </w:tabs>
      <w:suppressAutoHyphens/>
      <w:spacing w:line="19" w:lineRule="exact"/>
      <w:jc w:val="both"/>
      <w:rPr>
        <w:sz w:val="10"/>
      </w:rPr>
    </w:pPr>
  </w:p>
  <w:p w14:paraId="5973F461" w14:textId="77777777" w:rsidR="00BF6E58" w:rsidRDefault="00B267F5">
    <w:pPr>
      <w:tabs>
        <w:tab w:val="left" w:pos="-720"/>
      </w:tabs>
      <w:suppressAutoHyphens/>
      <w:spacing w:line="19" w:lineRule="exact"/>
      <w:jc w:val="both"/>
      <w:rPr>
        <w:sz w:val="10"/>
      </w:rPr>
    </w:pPr>
  </w:p>
  <w:p w14:paraId="5073050E" w14:textId="77777777" w:rsidR="00BF6E58" w:rsidRDefault="00B267F5">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8B07" w14:textId="77777777" w:rsidR="00BF6E58" w:rsidRPr="00504897" w:rsidRDefault="00B267F5">
    <w:pPr>
      <w:pStyle w:val="Heading2"/>
      <w:spacing w:line="240" w:lineRule="auto"/>
      <w:rPr>
        <w:rFonts w:ascii="CG Times" w:hAnsi="CG Times"/>
        <w:b/>
        <w:color w:val="000000"/>
        <w:szCs w:val="24"/>
      </w:rPr>
    </w:pPr>
    <w:r>
      <w:rPr>
        <w:rFonts w:ascii="CG Times" w:hAnsi="CG Times"/>
        <w:b/>
        <w:noProof/>
        <w:snapToGrid/>
        <w:color w:val="000000"/>
        <w:szCs w:val="24"/>
      </w:rPr>
      <w:pict w14:anchorId="44BFE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8pt;margin-top:2pt;width:69.3pt;height:64.8pt;z-index:251658240;visibility:visible;mso-wrap-edited:f" o:allowincell="f" filled="t" fillcolor="#3cc">
          <v:imagedata r:id="rId1" o:title="" gain="69719f"/>
        </v:shape>
        <o:OLEObject Type="Embed" ProgID="Word.Picture.8" ShapeID="_x0000_s2051" DrawAspect="Content" ObjectID="_1552389735" r:id="rId2"/>
      </w:pict>
    </w:r>
    <w:r w:rsidR="0092040F" w:rsidRPr="00504897">
      <w:rPr>
        <w:rFonts w:ascii="CG Times" w:hAnsi="CG Times"/>
        <w:b/>
        <w:color w:val="000000"/>
        <w:szCs w:val="24"/>
      </w:rPr>
      <w:t>Federal Communications Commission</w:t>
    </w:r>
  </w:p>
  <w:p w14:paraId="5CC96E99" w14:textId="77777777" w:rsidR="00BF6E58" w:rsidRPr="00504897" w:rsidRDefault="0092040F">
    <w:pPr>
      <w:jc w:val="center"/>
      <w:rPr>
        <w:rFonts w:ascii="CG Times" w:hAnsi="CG Times"/>
        <w:b/>
        <w:color w:val="000000"/>
        <w:spacing w:val="-2"/>
        <w:sz w:val="28"/>
      </w:rPr>
    </w:pPr>
    <w:r w:rsidRPr="00504897">
      <w:rPr>
        <w:rFonts w:ascii="CG Times" w:hAnsi="CG Times"/>
        <w:b/>
        <w:color w:val="000000"/>
        <w:spacing w:val="-2"/>
        <w:szCs w:val="24"/>
      </w:rPr>
      <w:t>Washington, D.C. 20554</w:t>
    </w:r>
  </w:p>
  <w:sdt>
    <w:sdtPr>
      <w:rPr>
        <w:rStyle w:val="Style1"/>
      </w:rPr>
      <w:alias w:val="Date"/>
      <w:tag w:val="Date"/>
      <w:id w:val="-218359185"/>
      <w:placeholder>
        <w:docPart w:val="84DAFB467D374900A25926CB54ABC85E"/>
      </w:placeholder>
      <w:date w:fullDate="2017-03-31T00:00:00Z">
        <w:dateFormat w:val="MMMM d, yyyy"/>
        <w:lid w:val="en-US"/>
        <w:storeMappedDataAs w:val="dateTime"/>
        <w:calendar w:val="gregorian"/>
      </w:date>
    </w:sdtPr>
    <w:sdtEndPr>
      <w:rPr>
        <w:rStyle w:val="Style1"/>
      </w:rPr>
    </w:sdtEndPr>
    <w:sdtContent>
      <w:p w14:paraId="36A4C25E" w14:textId="6298375E" w:rsidR="00BF6E58" w:rsidRDefault="00CB0E56">
        <w:pPr>
          <w:jc w:val="center"/>
          <w:rPr>
            <w:color w:val="000000"/>
            <w:spacing w:val="-2"/>
            <w:sz w:val="22"/>
          </w:rPr>
        </w:pPr>
        <w:r>
          <w:rPr>
            <w:rStyle w:val="Style1"/>
          </w:rPr>
          <w:t>March 31, 2017</w:t>
        </w:r>
      </w:p>
    </w:sdtContent>
  </w:sdt>
  <w:p w14:paraId="69C1615E" w14:textId="77777777" w:rsidR="00BF6E58" w:rsidRDefault="00B267F5" w:rsidP="00BF6E58">
    <w:pPr>
      <w:rPr>
        <w:spacing w:val="-2"/>
        <w:sz w:val="22"/>
        <w:szCs w:val="22"/>
      </w:rPr>
    </w:pPr>
  </w:p>
  <w:p w14:paraId="3AC14F75" w14:textId="77777777" w:rsidR="00BF6E58" w:rsidRDefault="00B267F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D1"/>
    <w:multiLevelType w:val="hybridMultilevel"/>
    <w:tmpl w:val="90E29B8C"/>
    <w:lvl w:ilvl="0" w:tplc="1D025C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30F62"/>
    <w:multiLevelType w:val="hybridMultilevel"/>
    <w:tmpl w:val="4D7E380A"/>
    <w:lvl w:ilvl="0" w:tplc="020A71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376C2"/>
    <w:multiLevelType w:val="hybridMultilevel"/>
    <w:tmpl w:val="4D6CA96E"/>
    <w:lvl w:ilvl="0" w:tplc="F886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4">
    <w:nsid w:val="668971C8"/>
    <w:multiLevelType w:val="hybridMultilevel"/>
    <w:tmpl w:val="BD807D2E"/>
    <w:lvl w:ilvl="0" w:tplc="7F7C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C5"/>
    <w:rsid w:val="00003CBA"/>
    <w:rsid w:val="0000758F"/>
    <w:rsid w:val="00012118"/>
    <w:rsid w:val="00012853"/>
    <w:rsid w:val="00015BD9"/>
    <w:rsid w:val="00022013"/>
    <w:rsid w:val="00022236"/>
    <w:rsid w:val="00034D92"/>
    <w:rsid w:val="0004128E"/>
    <w:rsid w:val="00041977"/>
    <w:rsid w:val="00042D42"/>
    <w:rsid w:val="00042E1B"/>
    <w:rsid w:val="00047815"/>
    <w:rsid w:val="0005133A"/>
    <w:rsid w:val="00051D66"/>
    <w:rsid w:val="00053B86"/>
    <w:rsid w:val="000624CA"/>
    <w:rsid w:val="000659C2"/>
    <w:rsid w:val="00066598"/>
    <w:rsid w:val="00070FCF"/>
    <w:rsid w:val="0008000F"/>
    <w:rsid w:val="00082358"/>
    <w:rsid w:val="000835AD"/>
    <w:rsid w:val="00087CDE"/>
    <w:rsid w:val="00091CF8"/>
    <w:rsid w:val="000932D8"/>
    <w:rsid w:val="0009630D"/>
    <w:rsid w:val="000A0EEF"/>
    <w:rsid w:val="000A1BB8"/>
    <w:rsid w:val="000A37DE"/>
    <w:rsid w:val="000B0118"/>
    <w:rsid w:val="000B690E"/>
    <w:rsid w:val="000C0C00"/>
    <w:rsid w:val="000C122F"/>
    <w:rsid w:val="000C17E2"/>
    <w:rsid w:val="000C4D57"/>
    <w:rsid w:val="000C5C94"/>
    <w:rsid w:val="000C619E"/>
    <w:rsid w:val="000D401B"/>
    <w:rsid w:val="000E6F11"/>
    <w:rsid w:val="000E798B"/>
    <w:rsid w:val="000F1FE7"/>
    <w:rsid w:val="000F2F8E"/>
    <w:rsid w:val="000F400A"/>
    <w:rsid w:val="000F53CC"/>
    <w:rsid w:val="00101AA7"/>
    <w:rsid w:val="00107965"/>
    <w:rsid w:val="00126366"/>
    <w:rsid w:val="00130105"/>
    <w:rsid w:val="0013057B"/>
    <w:rsid w:val="001333BF"/>
    <w:rsid w:val="00134547"/>
    <w:rsid w:val="00136843"/>
    <w:rsid w:val="00136D33"/>
    <w:rsid w:val="00137E5E"/>
    <w:rsid w:val="00140611"/>
    <w:rsid w:val="00141F4C"/>
    <w:rsid w:val="00142DE0"/>
    <w:rsid w:val="00143955"/>
    <w:rsid w:val="001538FE"/>
    <w:rsid w:val="001545B9"/>
    <w:rsid w:val="001565CA"/>
    <w:rsid w:val="0015710F"/>
    <w:rsid w:val="001613C9"/>
    <w:rsid w:val="00163DC2"/>
    <w:rsid w:val="001674FC"/>
    <w:rsid w:val="001708D8"/>
    <w:rsid w:val="001746A7"/>
    <w:rsid w:val="00174C40"/>
    <w:rsid w:val="00176F65"/>
    <w:rsid w:val="001773E5"/>
    <w:rsid w:val="00180985"/>
    <w:rsid w:val="00180AAE"/>
    <w:rsid w:val="00187A8C"/>
    <w:rsid w:val="0019332E"/>
    <w:rsid w:val="00194666"/>
    <w:rsid w:val="001A1612"/>
    <w:rsid w:val="001A4257"/>
    <w:rsid w:val="001B28FC"/>
    <w:rsid w:val="001B4502"/>
    <w:rsid w:val="001B47E9"/>
    <w:rsid w:val="001B66EF"/>
    <w:rsid w:val="001C057C"/>
    <w:rsid w:val="001C32DC"/>
    <w:rsid w:val="001C458A"/>
    <w:rsid w:val="001C481D"/>
    <w:rsid w:val="001C51F1"/>
    <w:rsid w:val="001C655A"/>
    <w:rsid w:val="001C6BE4"/>
    <w:rsid w:val="001C7CD7"/>
    <w:rsid w:val="001D0EC7"/>
    <w:rsid w:val="001D24A8"/>
    <w:rsid w:val="001F319E"/>
    <w:rsid w:val="001F3C59"/>
    <w:rsid w:val="001F4B25"/>
    <w:rsid w:val="001F53F9"/>
    <w:rsid w:val="001F6D38"/>
    <w:rsid w:val="00201064"/>
    <w:rsid w:val="0020206F"/>
    <w:rsid w:val="00206D48"/>
    <w:rsid w:val="002073F7"/>
    <w:rsid w:val="002142DF"/>
    <w:rsid w:val="00214561"/>
    <w:rsid w:val="00220F78"/>
    <w:rsid w:val="00224DD0"/>
    <w:rsid w:val="00231138"/>
    <w:rsid w:val="002411DD"/>
    <w:rsid w:val="0024615B"/>
    <w:rsid w:val="00247119"/>
    <w:rsid w:val="0024766A"/>
    <w:rsid w:val="00254090"/>
    <w:rsid w:val="00256682"/>
    <w:rsid w:val="00261967"/>
    <w:rsid w:val="00263563"/>
    <w:rsid w:val="00265D4E"/>
    <w:rsid w:val="0027253D"/>
    <w:rsid w:val="00272AF0"/>
    <w:rsid w:val="00282254"/>
    <w:rsid w:val="00285DB8"/>
    <w:rsid w:val="00286436"/>
    <w:rsid w:val="00294D17"/>
    <w:rsid w:val="002A03CE"/>
    <w:rsid w:val="002A3A3E"/>
    <w:rsid w:val="002A51D0"/>
    <w:rsid w:val="002A7D51"/>
    <w:rsid w:val="002B33D3"/>
    <w:rsid w:val="002D26D6"/>
    <w:rsid w:val="002D6A6A"/>
    <w:rsid w:val="002D7B4C"/>
    <w:rsid w:val="002D7DDA"/>
    <w:rsid w:val="002E600B"/>
    <w:rsid w:val="0030097C"/>
    <w:rsid w:val="00302503"/>
    <w:rsid w:val="00310174"/>
    <w:rsid w:val="003103E2"/>
    <w:rsid w:val="00311895"/>
    <w:rsid w:val="00320B5D"/>
    <w:rsid w:val="003225F0"/>
    <w:rsid w:val="00323E49"/>
    <w:rsid w:val="00330C08"/>
    <w:rsid w:val="00340958"/>
    <w:rsid w:val="00342313"/>
    <w:rsid w:val="00344CA0"/>
    <w:rsid w:val="00346C00"/>
    <w:rsid w:val="00347EE5"/>
    <w:rsid w:val="0035757A"/>
    <w:rsid w:val="00357D30"/>
    <w:rsid w:val="00362AB0"/>
    <w:rsid w:val="0037110B"/>
    <w:rsid w:val="0037772A"/>
    <w:rsid w:val="00392984"/>
    <w:rsid w:val="003979BE"/>
    <w:rsid w:val="003A3A72"/>
    <w:rsid w:val="003B59B8"/>
    <w:rsid w:val="003C6E5D"/>
    <w:rsid w:val="003D1300"/>
    <w:rsid w:val="003D1D72"/>
    <w:rsid w:val="003D38F5"/>
    <w:rsid w:val="003D4953"/>
    <w:rsid w:val="003D6B6F"/>
    <w:rsid w:val="003F0A77"/>
    <w:rsid w:val="003F2285"/>
    <w:rsid w:val="0040489E"/>
    <w:rsid w:val="00404A2A"/>
    <w:rsid w:val="00407473"/>
    <w:rsid w:val="00411D1B"/>
    <w:rsid w:val="004134DE"/>
    <w:rsid w:val="004152ED"/>
    <w:rsid w:val="00422CE3"/>
    <w:rsid w:val="00427C7B"/>
    <w:rsid w:val="004315FF"/>
    <w:rsid w:val="00434E87"/>
    <w:rsid w:val="00436669"/>
    <w:rsid w:val="00443C72"/>
    <w:rsid w:val="0044495C"/>
    <w:rsid w:val="0045079A"/>
    <w:rsid w:val="00465902"/>
    <w:rsid w:val="004728F3"/>
    <w:rsid w:val="00476BB2"/>
    <w:rsid w:val="00493725"/>
    <w:rsid w:val="00493EB4"/>
    <w:rsid w:val="00494216"/>
    <w:rsid w:val="00494EAA"/>
    <w:rsid w:val="004A5C71"/>
    <w:rsid w:val="004A7EE0"/>
    <w:rsid w:val="004B0291"/>
    <w:rsid w:val="004B0A5B"/>
    <w:rsid w:val="004B3D55"/>
    <w:rsid w:val="004B63D4"/>
    <w:rsid w:val="004C49F5"/>
    <w:rsid w:val="004C4A71"/>
    <w:rsid w:val="004C4BAC"/>
    <w:rsid w:val="004C4D7F"/>
    <w:rsid w:val="004C4E1E"/>
    <w:rsid w:val="004D026A"/>
    <w:rsid w:val="004D1E20"/>
    <w:rsid w:val="004D280C"/>
    <w:rsid w:val="004D511C"/>
    <w:rsid w:val="004D6759"/>
    <w:rsid w:val="004E13A9"/>
    <w:rsid w:val="004E18C1"/>
    <w:rsid w:val="004F43CE"/>
    <w:rsid w:val="00504897"/>
    <w:rsid w:val="00505542"/>
    <w:rsid w:val="00512E81"/>
    <w:rsid w:val="00513308"/>
    <w:rsid w:val="00523A90"/>
    <w:rsid w:val="00524276"/>
    <w:rsid w:val="00526333"/>
    <w:rsid w:val="00527768"/>
    <w:rsid w:val="00536B6B"/>
    <w:rsid w:val="005425CB"/>
    <w:rsid w:val="00542C49"/>
    <w:rsid w:val="00544166"/>
    <w:rsid w:val="0054492F"/>
    <w:rsid w:val="00544B21"/>
    <w:rsid w:val="005459F8"/>
    <w:rsid w:val="00546FFA"/>
    <w:rsid w:val="00547C2C"/>
    <w:rsid w:val="00550888"/>
    <w:rsid w:val="00556A2B"/>
    <w:rsid w:val="00557BAD"/>
    <w:rsid w:val="005646C1"/>
    <w:rsid w:val="0056590D"/>
    <w:rsid w:val="005745EF"/>
    <w:rsid w:val="00581621"/>
    <w:rsid w:val="005834B6"/>
    <w:rsid w:val="005937D7"/>
    <w:rsid w:val="005A019C"/>
    <w:rsid w:val="005A1CF0"/>
    <w:rsid w:val="005A3A94"/>
    <w:rsid w:val="005B189C"/>
    <w:rsid w:val="005C2D6E"/>
    <w:rsid w:val="005C6A7C"/>
    <w:rsid w:val="005D407D"/>
    <w:rsid w:val="005D7AF7"/>
    <w:rsid w:val="005D7F70"/>
    <w:rsid w:val="005F3A37"/>
    <w:rsid w:val="005F5198"/>
    <w:rsid w:val="005F581E"/>
    <w:rsid w:val="005F6B6F"/>
    <w:rsid w:val="0060064C"/>
    <w:rsid w:val="0060135A"/>
    <w:rsid w:val="00602923"/>
    <w:rsid w:val="00613658"/>
    <w:rsid w:val="006201AB"/>
    <w:rsid w:val="00620A53"/>
    <w:rsid w:val="00620F04"/>
    <w:rsid w:val="00627072"/>
    <w:rsid w:val="0063140F"/>
    <w:rsid w:val="00631A89"/>
    <w:rsid w:val="006540B7"/>
    <w:rsid w:val="00656B66"/>
    <w:rsid w:val="00662424"/>
    <w:rsid w:val="00666CE1"/>
    <w:rsid w:val="00667DA3"/>
    <w:rsid w:val="006814DA"/>
    <w:rsid w:val="00682E31"/>
    <w:rsid w:val="00684012"/>
    <w:rsid w:val="006A3A26"/>
    <w:rsid w:val="006A3E62"/>
    <w:rsid w:val="006B108D"/>
    <w:rsid w:val="006B26A7"/>
    <w:rsid w:val="006B7804"/>
    <w:rsid w:val="006B7FA0"/>
    <w:rsid w:val="006C1725"/>
    <w:rsid w:val="006C4231"/>
    <w:rsid w:val="006C4A14"/>
    <w:rsid w:val="006C6791"/>
    <w:rsid w:val="006D7636"/>
    <w:rsid w:val="006E128B"/>
    <w:rsid w:val="006E3675"/>
    <w:rsid w:val="006E3AF1"/>
    <w:rsid w:val="006E4336"/>
    <w:rsid w:val="006E46F6"/>
    <w:rsid w:val="006F259A"/>
    <w:rsid w:val="006F6EDE"/>
    <w:rsid w:val="0070635E"/>
    <w:rsid w:val="007257A6"/>
    <w:rsid w:val="00733D52"/>
    <w:rsid w:val="007378CF"/>
    <w:rsid w:val="00740E18"/>
    <w:rsid w:val="00742038"/>
    <w:rsid w:val="0074314E"/>
    <w:rsid w:val="0074508A"/>
    <w:rsid w:val="007521D2"/>
    <w:rsid w:val="00752679"/>
    <w:rsid w:val="0075508F"/>
    <w:rsid w:val="00756F39"/>
    <w:rsid w:val="00762051"/>
    <w:rsid w:val="00762D7C"/>
    <w:rsid w:val="00763B66"/>
    <w:rsid w:val="007656C3"/>
    <w:rsid w:val="0076573D"/>
    <w:rsid w:val="00765A17"/>
    <w:rsid w:val="00771A46"/>
    <w:rsid w:val="0077599A"/>
    <w:rsid w:val="00776968"/>
    <w:rsid w:val="007828C8"/>
    <w:rsid w:val="00782B3C"/>
    <w:rsid w:val="00782DFF"/>
    <w:rsid w:val="00793F60"/>
    <w:rsid w:val="007971DC"/>
    <w:rsid w:val="007972B7"/>
    <w:rsid w:val="007A5F15"/>
    <w:rsid w:val="007B0368"/>
    <w:rsid w:val="007B0610"/>
    <w:rsid w:val="007B44A2"/>
    <w:rsid w:val="007B60AA"/>
    <w:rsid w:val="007C19B3"/>
    <w:rsid w:val="007C2C8D"/>
    <w:rsid w:val="007C2FFE"/>
    <w:rsid w:val="007C4294"/>
    <w:rsid w:val="007C79FB"/>
    <w:rsid w:val="007C7FE1"/>
    <w:rsid w:val="007D188F"/>
    <w:rsid w:val="007D3813"/>
    <w:rsid w:val="007D4EB1"/>
    <w:rsid w:val="007E01BB"/>
    <w:rsid w:val="007E31F9"/>
    <w:rsid w:val="007E4B86"/>
    <w:rsid w:val="007F2959"/>
    <w:rsid w:val="007F7EC1"/>
    <w:rsid w:val="0080577C"/>
    <w:rsid w:val="00806E9C"/>
    <w:rsid w:val="00810780"/>
    <w:rsid w:val="008107D4"/>
    <w:rsid w:val="00811565"/>
    <w:rsid w:val="00812A68"/>
    <w:rsid w:val="0081353D"/>
    <w:rsid w:val="00816977"/>
    <w:rsid w:val="00817999"/>
    <w:rsid w:val="00826CB1"/>
    <w:rsid w:val="008301F7"/>
    <w:rsid w:val="00830993"/>
    <w:rsid w:val="0083143B"/>
    <w:rsid w:val="00831CFE"/>
    <w:rsid w:val="00833054"/>
    <w:rsid w:val="00842060"/>
    <w:rsid w:val="0085133B"/>
    <w:rsid w:val="00867A34"/>
    <w:rsid w:val="008751C6"/>
    <w:rsid w:val="00877D93"/>
    <w:rsid w:val="00892F27"/>
    <w:rsid w:val="008A0F7C"/>
    <w:rsid w:val="008A19BF"/>
    <w:rsid w:val="008A2A90"/>
    <w:rsid w:val="008A3DAC"/>
    <w:rsid w:val="008A4C7D"/>
    <w:rsid w:val="008A5837"/>
    <w:rsid w:val="008B3E35"/>
    <w:rsid w:val="008B4964"/>
    <w:rsid w:val="008B4BDC"/>
    <w:rsid w:val="008C1026"/>
    <w:rsid w:val="008C2CC0"/>
    <w:rsid w:val="008D2845"/>
    <w:rsid w:val="008E08F9"/>
    <w:rsid w:val="008E2529"/>
    <w:rsid w:val="008E4553"/>
    <w:rsid w:val="008E477B"/>
    <w:rsid w:val="008E4F70"/>
    <w:rsid w:val="008E735F"/>
    <w:rsid w:val="008E7402"/>
    <w:rsid w:val="008F124A"/>
    <w:rsid w:val="008F17D5"/>
    <w:rsid w:val="008F1A4F"/>
    <w:rsid w:val="00904642"/>
    <w:rsid w:val="0092040F"/>
    <w:rsid w:val="009250D8"/>
    <w:rsid w:val="0092591D"/>
    <w:rsid w:val="00933D37"/>
    <w:rsid w:val="00943117"/>
    <w:rsid w:val="00946AD0"/>
    <w:rsid w:val="00950A7A"/>
    <w:rsid w:val="00952364"/>
    <w:rsid w:val="00956255"/>
    <w:rsid w:val="00957D4A"/>
    <w:rsid w:val="0096145A"/>
    <w:rsid w:val="00965069"/>
    <w:rsid w:val="00972258"/>
    <w:rsid w:val="00974A62"/>
    <w:rsid w:val="00974C3C"/>
    <w:rsid w:val="009774D0"/>
    <w:rsid w:val="00977F6F"/>
    <w:rsid w:val="00983950"/>
    <w:rsid w:val="00983FB7"/>
    <w:rsid w:val="009939E8"/>
    <w:rsid w:val="00995D89"/>
    <w:rsid w:val="00997DEA"/>
    <w:rsid w:val="009A224E"/>
    <w:rsid w:val="009B3580"/>
    <w:rsid w:val="009B7C4A"/>
    <w:rsid w:val="009C03F3"/>
    <w:rsid w:val="009C4A06"/>
    <w:rsid w:val="009D0D9F"/>
    <w:rsid w:val="009D3532"/>
    <w:rsid w:val="009D4F17"/>
    <w:rsid w:val="009D6D00"/>
    <w:rsid w:val="009D76FE"/>
    <w:rsid w:val="009D7B1A"/>
    <w:rsid w:val="009E4CBB"/>
    <w:rsid w:val="009E50F4"/>
    <w:rsid w:val="009E75F2"/>
    <w:rsid w:val="009E7C1A"/>
    <w:rsid w:val="009F097A"/>
    <w:rsid w:val="00A00449"/>
    <w:rsid w:val="00A027DB"/>
    <w:rsid w:val="00A04AC0"/>
    <w:rsid w:val="00A164D6"/>
    <w:rsid w:val="00A264CB"/>
    <w:rsid w:val="00A26A72"/>
    <w:rsid w:val="00A30E39"/>
    <w:rsid w:val="00A34539"/>
    <w:rsid w:val="00A416AB"/>
    <w:rsid w:val="00A4272B"/>
    <w:rsid w:val="00A4377C"/>
    <w:rsid w:val="00A4415F"/>
    <w:rsid w:val="00A46EAE"/>
    <w:rsid w:val="00A47B6D"/>
    <w:rsid w:val="00A53E1D"/>
    <w:rsid w:val="00A55D3A"/>
    <w:rsid w:val="00A632C0"/>
    <w:rsid w:val="00A65ED3"/>
    <w:rsid w:val="00A724DC"/>
    <w:rsid w:val="00A7439D"/>
    <w:rsid w:val="00A76013"/>
    <w:rsid w:val="00A82A67"/>
    <w:rsid w:val="00A84C5B"/>
    <w:rsid w:val="00A85CED"/>
    <w:rsid w:val="00A90AD0"/>
    <w:rsid w:val="00A941D1"/>
    <w:rsid w:val="00AA0C4E"/>
    <w:rsid w:val="00AB3552"/>
    <w:rsid w:val="00AB434D"/>
    <w:rsid w:val="00AB551F"/>
    <w:rsid w:val="00AB6A52"/>
    <w:rsid w:val="00AC38C9"/>
    <w:rsid w:val="00AD0F3C"/>
    <w:rsid w:val="00AD7CF1"/>
    <w:rsid w:val="00AE6389"/>
    <w:rsid w:val="00AE707E"/>
    <w:rsid w:val="00AE7A92"/>
    <w:rsid w:val="00AE7E61"/>
    <w:rsid w:val="00AF25CF"/>
    <w:rsid w:val="00AF415F"/>
    <w:rsid w:val="00AF769D"/>
    <w:rsid w:val="00B013E4"/>
    <w:rsid w:val="00B0557A"/>
    <w:rsid w:val="00B07B0F"/>
    <w:rsid w:val="00B14142"/>
    <w:rsid w:val="00B15BAB"/>
    <w:rsid w:val="00B1717A"/>
    <w:rsid w:val="00B210EB"/>
    <w:rsid w:val="00B2118A"/>
    <w:rsid w:val="00B21BF1"/>
    <w:rsid w:val="00B2225C"/>
    <w:rsid w:val="00B267F5"/>
    <w:rsid w:val="00B32503"/>
    <w:rsid w:val="00B33311"/>
    <w:rsid w:val="00B347AE"/>
    <w:rsid w:val="00B35607"/>
    <w:rsid w:val="00B47A4C"/>
    <w:rsid w:val="00B634BB"/>
    <w:rsid w:val="00B72380"/>
    <w:rsid w:val="00B811CD"/>
    <w:rsid w:val="00B83121"/>
    <w:rsid w:val="00B834CB"/>
    <w:rsid w:val="00B8372F"/>
    <w:rsid w:val="00B85E10"/>
    <w:rsid w:val="00B94BF9"/>
    <w:rsid w:val="00B967C9"/>
    <w:rsid w:val="00BA2E28"/>
    <w:rsid w:val="00BA318D"/>
    <w:rsid w:val="00BA3EF8"/>
    <w:rsid w:val="00BA553D"/>
    <w:rsid w:val="00BB4EE0"/>
    <w:rsid w:val="00BB52F7"/>
    <w:rsid w:val="00BB7E82"/>
    <w:rsid w:val="00BC190E"/>
    <w:rsid w:val="00BD68B0"/>
    <w:rsid w:val="00BE6948"/>
    <w:rsid w:val="00BF123A"/>
    <w:rsid w:val="00C042D0"/>
    <w:rsid w:val="00C04F1C"/>
    <w:rsid w:val="00C116A0"/>
    <w:rsid w:val="00C1217A"/>
    <w:rsid w:val="00C12B90"/>
    <w:rsid w:val="00C142F4"/>
    <w:rsid w:val="00C220D6"/>
    <w:rsid w:val="00C25BA6"/>
    <w:rsid w:val="00C2749A"/>
    <w:rsid w:val="00C2762F"/>
    <w:rsid w:val="00C34168"/>
    <w:rsid w:val="00C4140F"/>
    <w:rsid w:val="00C41848"/>
    <w:rsid w:val="00C43C0A"/>
    <w:rsid w:val="00C5616B"/>
    <w:rsid w:val="00C577C2"/>
    <w:rsid w:val="00C63236"/>
    <w:rsid w:val="00C6371B"/>
    <w:rsid w:val="00C661BD"/>
    <w:rsid w:val="00C679E2"/>
    <w:rsid w:val="00C70DE7"/>
    <w:rsid w:val="00C719DE"/>
    <w:rsid w:val="00C73606"/>
    <w:rsid w:val="00C81AA5"/>
    <w:rsid w:val="00C8340F"/>
    <w:rsid w:val="00C87C06"/>
    <w:rsid w:val="00C929D2"/>
    <w:rsid w:val="00CA01C7"/>
    <w:rsid w:val="00CA1882"/>
    <w:rsid w:val="00CA796E"/>
    <w:rsid w:val="00CB0E56"/>
    <w:rsid w:val="00CC5E5B"/>
    <w:rsid w:val="00CD1E1D"/>
    <w:rsid w:val="00CD1EC6"/>
    <w:rsid w:val="00CD28FD"/>
    <w:rsid w:val="00CD4E42"/>
    <w:rsid w:val="00CD6ACF"/>
    <w:rsid w:val="00CE11EA"/>
    <w:rsid w:val="00CE12ED"/>
    <w:rsid w:val="00CE1EB5"/>
    <w:rsid w:val="00CE20D7"/>
    <w:rsid w:val="00CE22EA"/>
    <w:rsid w:val="00CE6B7C"/>
    <w:rsid w:val="00CF1BC9"/>
    <w:rsid w:val="00CF44AD"/>
    <w:rsid w:val="00CF74CB"/>
    <w:rsid w:val="00CF7641"/>
    <w:rsid w:val="00D015FD"/>
    <w:rsid w:val="00D01965"/>
    <w:rsid w:val="00D02845"/>
    <w:rsid w:val="00D26F1B"/>
    <w:rsid w:val="00D27559"/>
    <w:rsid w:val="00D32885"/>
    <w:rsid w:val="00D37475"/>
    <w:rsid w:val="00D403AF"/>
    <w:rsid w:val="00D44A6F"/>
    <w:rsid w:val="00D46BFE"/>
    <w:rsid w:val="00D53CB1"/>
    <w:rsid w:val="00D5510E"/>
    <w:rsid w:val="00D63BB3"/>
    <w:rsid w:val="00D72206"/>
    <w:rsid w:val="00D734A6"/>
    <w:rsid w:val="00D763EC"/>
    <w:rsid w:val="00D7731A"/>
    <w:rsid w:val="00D804A1"/>
    <w:rsid w:val="00D8069F"/>
    <w:rsid w:val="00D80CFA"/>
    <w:rsid w:val="00D816DA"/>
    <w:rsid w:val="00D82B24"/>
    <w:rsid w:val="00D82D7D"/>
    <w:rsid w:val="00D872E4"/>
    <w:rsid w:val="00D90236"/>
    <w:rsid w:val="00D933D1"/>
    <w:rsid w:val="00D93A62"/>
    <w:rsid w:val="00D9416E"/>
    <w:rsid w:val="00D9620C"/>
    <w:rsid w:val="00D9638C"/>
    <w:rsid w:val="00DA621E"/>
    <w:rsid w:val="00DB3EB0"/>
    <w:rsid w:val="00DB4E31"/>
    <w:rsid w:val="00DC3001"/>
    <w:rsid w:val="00DC3AA8"/>
    <w:rsid w:val="00DC55BE"/>
    <w:rsid w:val="00DC7A50"/>
    <w:rsid w:val="00DD0852"/>
    <w:rsid w:val="00DD0DAA"/>
    <w:rsid w:val="00DD29C7"/>
    <w:rsid w:val="00DE0E5F"/>
    <w:rsid w:val="00DE408A"/>
    <w:rsid w:val="00DE5E79"/>
    <w:rsid w:val="00DF3226"/>
    <w:rsid w:val="00DF4787"/>
    <w:rsid w:val="00DF5C2E"/>
    <w:rsid w:val="00E004E5"/>
    <w:rsid w:val="00E00D80"/>
    <w:rsid w:val="00E064D7"/>
    <w:rsid w:val="00E078A8"/>
    <w:rsid w:val="00E07B6E"/>
    <w:rsid w:val="00E07DC5"/>
    <w:rsid w:val="00E126AC"/>
    <w:rsid w:val="00E14275"/>
    <w:rsid w:val="00E15396"/>
    <w:rsid w:val="00E15B66"/>
    <w:rsid w:val="00E202D0"/>
    <w:rsid w:val="00E2644E"/>
    <w:rsid w:val="00E32245"/>
    <w:rsid w:val="00E34D9A"/>
    <w:rsid w:val="00E4320E"/>
    <w:rsid w:val="00E4532C"/>
    <w:rsid w:val="00E47C02"/>
    <w:rsid w:val="00E507CA"/>
    <w:rsid w:val="00E51198"/>
    <w:rsid w:val="00E76DCB"/>
    <w:rsid w:val="00E80676"/>
    <w:rsid w:val="00E80D54"/>
    <w:rsid w:val="00E82352"/>
    <w:rsid w:val="00E85C45"/>
    <w:rsid w:val="00E92677"/>
    <w:rsid w:val="00E93E1D"/>
    <w:rsid w:val="00E97407"/>
    <w:rsid w:val="00EA222F"/>
    <w:rsid w:val="00EA451F"/>
    <w:rsid w:val="00EA48CE"/>
    <w:rsid w:val="00EA7F54"/>
    <w:rsid w:val="00EB2772"/>
    <w:rsid w:val="00EB4794"/>
    <w:rsid w:val="00EC190E"/>
    <w:rsid w:val="00EC2A43"/>
    <w:rsid w:val="00EC6AC1"/>
    <w:rsid w:val="00EE2EF9"/>
    <w:rsid w:val="00EE381C"/>
    <w:rsid w:val="00EE4BA2"/>
    <w:rsid w:val="00EE631F"/>
    <w:rsid w:val="00EF19FB"/>
    <w:rsid w:val="00EF1A2D"/>
    <w:rsid w:val="00EF3AE7"/>
    <w:rsid w:val="00EF6D70"/>
    <w:rsid w:val="00F0023F"/>
    <w:rsid w:val="00F017F1"/>
    <w:rsid w:val="00F02BFF"/>
    <w:rsid w:val="00F13D65"/>
    <w:rsid w:val="00F144D3"/>
    <w:rsid w:val="00F16681"/>
    <w:rsid w:val="00F1714A"/>
    <w:rsid w:val="00F2215D"/>
    <w:rsid w:val="00F22217"/>
    <w:rsid w:val="00F27AF1"/>
    <w:rsid w:val="00F32678"/>
    <w:rsid w:val="00F33E8B"/>
    <w:rsid w:val="00F34E58"/>
    <w:rsid w:val="00F35809"/>
    <w:rsid w:val="00F41F37"/>
    <w:rsid w:val="00F4556A"/>
    <w:rsid w:val="00F47688"/>
    <w:rsid w:val="00F507CB"/>
    <w:rsid w:val="00F519EA"/>
    <w:rsid w:val="00F52372"/>
    <w:rsid w:val="00F53246"/>
    <w:rsid w:val="00F536A5"/>
    <w:rsid w:val="00F6086C"/>
    <w:rsid w:val="00F60EE2"/>
    <w:rsid w:val="00F61B8E"/>
    <w:rsid w:val="00F61FF1"/>
    <w:rsid w:val="00F71923"/>
    <w:rsid w:val="00F762EE"/>
    <w:rsid w:val="00F82086"/>
    <w:rsid w:val="00F86F50"/>
    <w:rsid w:val="00F91375"/>
    <w:rsid w:val="00F9394B"/>
    <w:rsid w:val="00F95451"/>
    <w:rsid w:val="00F96333"/>
    <w:rsid w:val="00FA6DF5"/>
    <w:rsid w:val="00FB139B"/>
    <w:rsid w:val="00FB4150"/>
    <w:rsid w:val="00FB5640"/>
    <w:rsid w:val="00FB7113"/>
    <w:rsid w:val="00FC16F5"/>
    <w:rsid w:val="00FC3BA4"/>
    <w:rsid w:val="00FC3D13"/>
    <w:rsid w:val="00FC72A4"/>
    <w:rsid w:val="00FD137F"/>
    <w:rsid w:val="00FD1D24"/>
    <w:rsid w:val="00FD2E8E"/>
    <w:rsid w:val="00FD5136"/>
    <w:rsid w:val="00FE3B5B"/>
    <w:rsid w:val="00FE3C3A"/>
    <w:rsid w:val="00FE4CB1"/>
    <w:rsid w:val="00FF1E66"/>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1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paragraph" w:styleId="Heading3">
    <w:name w:val="heading 3"/>
    <w:basedOn w:val="Normal"/>
    <w:next w:val="Normal"/>
    <w:link w:val="Heading3Char"/>
    <w:uiPriority w:val="9"/>
    <w:semiHidden/>
    <w:unhideWhenUsed/>
    <w:qFormat/>
    <w:rsid w:val="00187A8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uiPriority w:val="99"/>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Style 4"/>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apple-converted-space">
    <w:name w:val="apple-converted-space"/>
    <w:rsid w:val="00E07DC5"/>
  </w:style>
  <w:style w:type="character" w:customStyle="1" w:styleId="Heading3Char">
    <w:name w:val="Heading 3 Char"/>
    <w:basedOn w:val="DefaultParagraphFont"/>
    <w:link w:val="Heading3"/>
    <w:uiPriority w:val="9"/>
    <w:semiHidden/>
    <w:rsid w:val="00187A8C"/>
    <w:rPr>
      <w:rFonts w:asciiTheme="majorHAnsi" w:eastAsiaTheme="majorEastAsia" w:hAnsiTheme="majorHAnsi" w:cstheme="majorBidi"/>
      <w:snapToGrid w:val="0"/>
      <w:color w:val="243F60" w:themeColor="accent1" w:themeShade="7F"/>
      <w:sz w:val="24"/>
      <w:szCs w:val="24"/>
    </w:rPr>
  </w:style>
  <w:style w:type="paragraph" w:styleId="Revision">
    <w:name w:val="Revision"/>
    <w:hidden/>
    <w:uiPriority w:val="99"/>
    <w:semiHidden/>
    <w:rsid w:val="00CD1E1D"/>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paragraph" w:styleId="Heading3">
    <w:name w:val="heading 3"/>
    <w:basedOn w:val="Normal"/>
    <w:next w:val="Normal"/>
    <w:link w:val="Heading3Char"/>
    <w:uiPriority w:val="9"/>
    <w:semiHidden/>
    <w:unhideWhenUsed/>
    <w:qFormat/>
    <w:rsid w:val="00187A8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uiPriority w:val="99"/>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Style 4"/>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apple-converted-space">
    <w:name w:val="apple-converted-space"/>
    <w:rsid w:val="00E07DC5"/>
  </w:style>
  <w:style w:type="character" w:customStyle="1" w:styleId="Heading3Char">
    <w:name w:val="Heading 3 Char"/>
    <w:basedOn w:val="DefaultParagraphFont"/>
    <w:link w:val="Heading3"/>
    <w:uiPriority w:val="9"/>
    <w:semiHidden/>
    <w:rsid w:val="00187A8C"/>
    <w:rPr>
      <w:rFonts w:asciiTheme="majorHAnsi" w:eastAsiaTheme="majorEastAsia" w:hAnsiTheme="majorHAnsi" w:cstheme="majorBidi"/>
      <w:snapToGrid w:val="0"/>
      <w:color w:val="243F60" w:themeColor="accent1" w:themeShade="7F"/>
      <w:sz w:val="24"/>
      <w:szCs w:val="24"/>
    </w:rPr>
  </w:style>
  <w:style w:type="paragraph" w:styleId="Revision">
    <w:name w:val="Revision"/>
    <w:hidden/>
    <w:uiPriority w:val="99"/>
    <w:semiHidden/>
    <w:rsid w:val="00CD1E1D"/>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9331">
      <w:bodyDiv w:val="1"/>
      <w:marLeft w:val="0"/>
      <w:marRight w:val="0"/>
      <w:marTop w:val="0"/>
      <w:marBottom w:val="0"/>
      <w:divBdr>
        <w:top w:val="none" w:sz="0" w:space="0" w:color="auto"/>
        <w:left w:val="none" w:sz="0" w:space="0" w:color="auto"/>
        <w:bottom w:val="none" w:sz="0" w:space="0" w:color="auto"/>
        <w:right w:val="none" w:sz="0" w:space="0" w:color="auto"/>
      </w:divBdr>
    </w:div>
    <w:div w:id="1333292531">
      <w:bodyDiv w:val="1"/>
      <w:marLeft w:val="0"/>
      <w:marRight w:val="0"/>
      <w:marTop w:val="0"/>
      <w:marBottom w:val="0"/>
      <w:divBdr>
        <w:top w:val="none" w:sz="0" w:space="0" w:color="auto"/>
        <w:left w:val="none" w:sz="0" w:space="0" w:color="auto"/>
        <w:bottom w:val="none" w:sz="0" w:space="0" w:color="auto"/>
        <w:right w:val="none" w:sz="0" w:space="0" w:color="auto"/>
      </w:divBdr>
    </w:div>
    <w:div w:id="1516142506">
      <w:bodyDiv w:val="1"/>
      <w:marLeft w:val="0"/>
      <w:marRight w:val="0"/>
      <w:marTop w:val="0"/>
      <w:marBottom w:val="0"/>
      <w:divBdr>
        <w:top w:val="none" w:sz="0" w:space="0" w:color="auto"/>
        <w:left w:val="none" w:sz="0" w:space="0" w:color="auto"/>
        <w:bottom w:val="none" w:sz="0" w:space="0" w:color="auto"/>
        <w:right w:val="none" w:sz="0" w:space="0" w:color="auto"/>
      </w:divBdr>
      <w:divsChild>
        <w:div w:id="1583638594">
          <w:marLeft w:val="0"/>
          <w:marRight w:val="0"/>
          <w:marTop w:val="0"/>
          <w:marBottom w:val="0"/>
          <w:divBdr>
            <w:top w:val="none" w:sz="0" w:space="0" w:color="auto"/>
            <w:left w:val="none" w:sz="0" w:space="0" w:color="auto"/>
            <w:bottom w:val="none" w:sz="0" w:space="0" w:color="auto"/>
            <w:right w:val="none" w:sz="0" w:space="0" w:color="auto"/>
          </w:divBdr>
          <w:divsChild>
            <w:div w:id="16398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chael.Wagner\AppData\Local\Microsoft\Windows\Temporary%20Internet%20Files\Content.Outlook\BV17ILQQ\MB-AD%20Letter%20Template%20(DA%20-%20pu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DAFB467D374900A25926CB54ABC85E"/>
        <w:category>
          <w:name w:val="General"/>
          <w:gallery w:val="placeholder"/>
        </w:category>
        <w:types>
          <w:type w:val="bbPlcHdr"/>
        </w:types>
        <w:behaviors>
          <w:behavior w:val="content"/>
        </w:behaviors>
        <w:guid w:val="{A5CA55A7-2854-45CB-AE41-112DABE34AC0}"/>
      </w:docPartPr>
      <w:docPartBody>
        <w:p w:rsidR="00574961" w:rsidRDefault="00574961">
          <w:pPr>
            <w:pStyle w:val="84DAFB467D374900A25926CB54ABC85E"/>
          </w:pPr>
          <w:r w:rsidRPr="00534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61"/>
    <w:rsid w:val="00114672"/>
    <w:rsid w:val="002B59EA"/>
    <w:rsid w:val="004A6950"/>
    <w:rsid w:val="00524ECC"/>
    <w:rsid w:val="00574961"/>
    <w:rsid w:val="00687259"/>
    <w:rsid w:val="00C87D88"/>
    <w:rsid w:val="00F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259"/>
    <w:rPr>
      <w:color w:val="808080"/>
    </w:rPr>
  </w:style>
  <w:style w:type="paragraph" w:customStyle="1" w:styleId="84DAFB467D374900A25926CB54ABC85E">
    <w:name w:val="84DAFB467D374900A25926CB54ABC85E"/>
  </w:style>
  <w:style w:type="paragraph" w:customStyle="1" w:styleId="9FCDC1BC19A7470EB98239CFA6F1E64D">
    <w:name w:val="9FCDC1BC19A7470EB98239CFA6F1E64D"/>
  </w:style>
  <w:style w:type="paragraph" w:customStyle="1" w:styleId="11D475E64DEC41F1BC3BAF967581B4B8">
    <w:name w:val="11D475E64DEC41F1BC3BAF967581B4B8"/>
    <w:rsid w:val="00687259"/>
  </w:style>
  <w:style w:type="paragraph" w:customStyle="1" w:styleId="8E5CE64F17044878B18FCB7B6CBC1EFD">
    <w:name w:val="8E5CE64F17044878B18FCB7B6CBC1EFD"/>
    <w:rsid w:val="006872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259"/>
    <w:rPr>
      <w:color w:val="808080"/>
    </w:rPr>
  </w:style>
  <w:style w:type="paragraph" w:customStyle="1" w:styleId="84DAFB467D374900A25926CB54ABC85E">
    <w:name w:val="84DAFB467D374900A25926CB54ABC85E"/>
  </w:style>
  <w:style w:type="paragraph" w:customStyle="1" w:styleId="9FCDC1BC19A7470EB98239CFA6F1E64D">
    <w:name w:val="9FCDC1BC19A7470EB98239CFA6F1E64D"/>
  </w:style>
  <w:style w:type="paragraph" w:customStyle="1" w:styleId="11D475E64DEC41F1BC3BAF967581B4B8">
    <w:name w:val="11D475E64DEC41F1BC3BAF967581B4B8"/>
    <w:rsid w:val="00687259"/>
  </w:style>
  <w:style w:type="paragraph" w:customStyle="1" w:styleId="8E5CE64F17044878B18FCB7B6CBC1EFD">
    <w:name w:val="8E5CE64F17044878B18FCB7B6CBC1EFD"/>
    <w:rsid w:val="00687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(DA - pub)</Template>
  <TotalTime>0</TotalTime>
  <Pages>3</Pages>
  <Words>1674</Words>
  <Characters>9283</Characters>
  <Application>Microsoft Office Word</Application>
  <DocSecurity>0</DocSecurity>
  <Lines>157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2017-03-30T13:04:00Z</cp:lastPrinted>
  <dcterms:created xsi:type="dcterms:W3CDTF">2017-03-30T18:36:00Z</dcterms:created>
  <dcterms:modified xsi:type="dcterms:W3CDTF">2017-03-30T18:36:00Z</dcterms:modified>
  <cp:category> </cp:category>
  <cp:contentStatus> </cp:contentStatus>
</cp:coreProperties>
</file>