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7B487" w14:textId="77777777" w:rsidR="00886C23" w:rsidRDefault="00D5417F" w:rsidP="00D5417F">
      <w:pPr>
        <w:pStyle w:val="Title"/>
        <w:ind w:left="3600"/>
        <w:jc w:val="both"/>
      </w:pPr>
      <w:bookmarkStart w:id="0" w:name="_GoBack"/>
      <w:bookmarkEnd w:id="0"/>
      <w:r>
        <w:t xml:space="preserve">          </w:t>
      </w:r>
      <w:r w:rsidR="00416834">
        <w:t xml:space="preserve"> </w:t>
      </w:r>
      <w:r w:rsidR="00886C23">
        <w:t>Before the</w:t>
      </w:r>
    </w:p>
    <w:p w14:paraId="2485610F" w14:textId="77777777" w:rsidR="00886C23" w:rsidRDefault="00886C23">
      <w:pPr>
        <w:pStyle w:val="Title"/>
      </w:pPr>
      <w:r>
        <w:t>Federal Communications Commission</w:t>
      </w:r>
    </w:p>
    <w:p w14:paraId="2BE930E7" w14:textId="77777777" w:rsidR="00886C23" w:rsidRDefault="00886C23">
      <w:pPr>
        <w:pStyle w:val="Title"/>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14:paraId="2C05C717" w14:textId="77777777" w:rsidR="00886C23" w:rsidRDefault="00886C23">
      <w:pPr>
        <w:pStyle w:val="EndnoteText"/>
        <w:tabs>
          <w:tab w:val="left" w:pos="-720"/>
        </w:tabs>
        <w:suppressAutoHyphens/>
        <w:spacing w:after="0" w:line="227" w:lineRule="auto"/>
        <w:rPr>
          <w:spacing w:val="-2"/>
        </w:rPr>
      </w:pPr>
    </w:p>
    <w:p w14:paraId="74B38788" w14:textId="77777777" w:rsidR="00886C23" w:rsidRDefault="00886C23">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886C23" w14:paraId="722FD53B" w14:textId="77777777">
        <w:tc>
          <w:tcPr>
            <w:tcW w:w="4698" w:type="dxa"/>
          </w:tcPr>
          <w:p w14:paraId="30C1F53C" w14:textId="77777777" w:rsidR="00124044" w:rsidRDefault="00124044">
            <w:pPr>
              <w:tabs>
                <w:tab w:val="center" w:pos="4680"/>
              </w:tabs>
              <w:suppressAutoHyphens/>
              <w:rPr>
                <w:spacing w:val="-2"/>
              </w:rPr>
            </w:pPr>
          </w:p>
          <w:p w14:paraId="266365DE" w14:textId="77777777" w:rsidR="00886C23" w:rsidRDefault="00886C23">
            <w:pPr>
              <w:tabs>
                <w:tab w:val="center" w:pos="4680"/>
              </w:tabs>
              <w:suppressAutoHyphens/>
              <w:rPr>
                <w:spacing w:val="-2"/>
              </w:rPr>
            </w:pPr>
            <w:r>
              <w:rPr>
                <w:spacing w:val="-2"/>
              </w:rPr>
              <w:t>In the Matter of:</w:t>
            </w:r>
          </w:p>
          <w:p w14:paraId="4E47BA0F" w14:textId="77777777" w:rsidR="00886C23" w:rsidRDefault="00886C23">
            <w:pPr>
              <w:tabs>
                <w:tab w:val="center" w:pos="4680"/>
              </w:tabs>
              <w:suppressAutoHyphens/>
              <w:rPr>
                <w:spacing w:val="-2"/>
              </w:rPr>
            </w:pPr>
          </w:p>
          <w:p w14:paraId="30B9A512" w14:textId="77777777" w:rsidR="00886C23" w:rsidRDefault="00E3676F">
            <w:pPr>
              <w:tabs>
                <w:tab w:val="center" w:pos="4680"/>
              </w:tabs>
              <w:suppressAutoHyphens/>
              <w:rPr>
                <w:spacing w:val="-2"/>
              </w:rPr>
            </w:pPr>
            <w:r>
              <w:rPr>
                <w:spacing w:val="-2"/>
              </w:rPr>
              <w:t>Victory Television Network, Inc.</w:t>
            </w:r>
          </w:p>
          <w:p w14:paraId="5CFE724A" w14:textId="77777777" w:rsidR="00662FBE" w:rsidRDefault="00662FBE">
            <w:pPr>
              <w:tabs>
                <w:tab w:val="center" w:pos="4680"/>
              </w:tabs>
              <w:suppressAutoHyphens/>
              <w:rPr>
                <w:spacing w:val="-2"/>
              </w:rPr>
            </w:pPr>
          </w:p>
          <w:p w14:paraId="2873570D" w14:textId="21A6D36F" w:rsidR="00662FBE" w:rsidRDefault="00796EA3" w:rsidP="007362D4">
            <w:pPr>
              <w:tabs>
                <w:tab w:val="center" w:pos="4680"/>
              </w:tabs>
              <w:suppressAutoHyphens/>
            </w:pPr>
            <w:r>
              <w:rPr>
                <w:spacing w:val="-2"/>
              </w:rPr>
              <w:t xml:space="preserve">For </w:t>
            </w:r>
            <w:r w:rsidR="00AD733B">
              <w:rPr>
                <w:spacing w:val="-2"/>
              </w:rPr>
              <w:t>Modi</w:t>
            </w:r>
            <w:r w:rsidR="00A03B07">
              <w:rPr>
                <w:spacing w:val="-2"/>
              </w:rPr>
              <w:t>ficatio</w:t>
            </w:r>
            <w:r w:rsidR="00C969BF">
              <w:rPr>
                <w:spacing w:val="-2"/>
              </w:rPr>
              <w:t xml:space="preserve">n of </w:t>
            </w:r>
            <w:r w:rsidR="00662FBE">
              <w:rPr>
                <w:spacing w:val="-2"/>
              </w:rPr>
              <w:t>the</w:t>
            </w:r>
            <w:r w:rsidR="00021525">
              <w:rPr>
                <w:spacing w:val="-2"/>
              </w:rPr>
              <w:t xml:space="preserve"> </w:t>
            </w:r>
            <w:r w:rsidR="00E3676F">
              <w:rPr>
                <w:spacing w:val="-2"/>
              </w:rPr>
              <w:t xml:space="preserve">Satellite Television Market </w:t>
            </w:r>
            <w:r w:rsidR="007362D4">
              <w:rPr>
                <w:spacing w:val="-2"/>
              </w:rPr>
              <w:t>of</w:t>
            </w:r>
            <w:r w:rsidR="00E3676F">
              <w:rPr>
                <w:spacing w:val="-2"/>
              </w:rPr>
              <w:t xml:space="preserve"> KVTJ-DT, Jonesboro, Arkansas</w:t>
            </w:r>
          </w:p>
        </w:tc>
        <w:tc>
          <w:tcPr>
            <w:tcW w:w="630" w:type="dxa"/>
          </w:tcPr>
          <w:p w14:paraId="6BDF6337" w14:textId="77777777" w:rsidR="00886C23" w:rsidRDefault="00886C23">
            <w:pPr>
              <w:tabs>
                <w:tab w:val="center" w:pos="4680"/>
              </w:tabs>
              <w:suppressAutoHyphens/>
              <w:rPr>
                <w:b/>
                <w:spacing w:val="-2"/>
              </w:rPr>
            </w:pPr>
            <w:r>
              <w:rPr>
                <w:b/>
                <w:spacing w:val="-2"/>
              </w:rPr>
              <w:t>)</w:t>
            </w:r>
          </w:p>
          <w:p w14:paraId="73EE187B" w14:textId="77777777" w:rsidR="00886C23" w:rsidRDefault="00886C23">
            <w:pPr>
              <w:tabs>
                <w:tab w:val="center" w:pos="4680"/>
              </w:tabs>
              <w:suppressAutoHyphens/>
              <w:rPr>
                <w:b/>
                <w:spacing w:val="-2"/>
              </w:rPr>
            </w:pPr>
            <w:r>
              <w:rPr>
                <w:b/>
                <w:spacing w:val="-2"/>
              </w:rPr>
              <w:t>)</w:t>
            </w:r>
          </w:p>
          <w:p w14:paraId="102E2F48" w14:textId="77777777" w:rsidR="00886C23" w:rsidRDefault="00886C23">
            <w:pPr>
              <w:tabs>
                <w:tab w:val="center" w:pos="4680"/>
              </w:tabs>
              <w:suppressAutoHyphens/>
              <w:rPr>
                <w:b/>
                <w:spacing w:val="-2"/>
              </w:rPr>
            </w:pPr>
            <w:r>
              <w:rPr>
                <w:b/>
                <w:spacing w:val="-2"/>
              </w:rPr>
              <w:t>)</w:t>
            </w:r>
          </w:p>
          <w:p w14:paraId="56D895BA" w14:textId="77777777" w:rsidR="00886C23" w:rsidRDefault="00886C23">
            <w:pPr>
              <w:tabs>
                <w:tab w:val="center" w:pos="4680"/>
              </w:tabs>
              <w:suppressAutoHyphens/>
              <w:rPr>
                <w:b/>
                <w:spacing w:val="-2"/>
              </w:rPr>
            </w:pPr>
            <w:r>
              <w:rPr>
                <w:b/>
                <w:spacing w:val="-2"/>
              </w:rPr>
              <w:t>)</w:t>
            </w:r>
          </w:p>
          <w:p w14:paraId="4DF4DFBB" w14:textId="77777777" w:rsidR="00886C23" w:rsidRDefault="00886C23">
            <w:pPr>
              <w:tabs>
                <w:tab w:val="center" w:pos="4680"/>
              </w:tabs>
              <w:suppressAutoHyphens/>
              <w:rPr>
                <w:b/>
                <w:spacing w:val="-2"/>
              </w:rPr>
            </w:pPr>
            <w:r>
              <w:rPr>
                <w:b/>
                <w:spacing w:val="-2"/>
              </w:rPr>
              <w:t>)</w:t>
            </w:r>
          </w:p>
          <w:p w14:paraId="4637D6A2" w14:textId="77777777" w:rsidR="00886C23" w:rsidRDefault="00886C23">
            <w:pPr>
              <w:tabs>
                <w:tab w:val="center" w:pos="4680"/>
              </w:tabs>
              <w:suppressAutoHyphens/>
              <w:rPr>
                <w:b/>
                <w:spacing w:val="-2"/>
              </w:rPr>
            </w:pPr>
            <w:r>
              <w:rPr>
                <w:b/>
                <w:spacing w:val="-2"/>
              </w:rPr>
              <w:t>)</w:t>
            </w:r>
          </w:p>
          <w:p w14:paraId="6731EC8D" w14:textId="77777777" w:rsidR="00886C23" w:rsidRDefault="002661FA">
            <w:pPr>
              <w:tabs>
                <w:tab w:val="center" w:pos="4680"/>
              </w:tabs>
              <w:suppressAutoHyphens/>
              <w:rPr>
                <w:b/>
                <w:spacing w:val="-2"/>
              </w:rPr>
            </w:pPr>
            <w:r>
              <w:rPr>
                <w:b/>
                <w:spacing w:val="-2"/>
              </w:rPr>
              <w:t>)</w:t>
            </w:r>
          </w:p>
          <w:p w14:paraId="014CC60D" w14:textId="77777777" w:rsidR="002661FA" w:rsidRDefault="002661FA">
            <w:pPr>
              <w:tabs>
                <w:tab w:val="center" w:pos="4680"/>
              </w:tabs>
              <w:suppressAutoHyphens/>
              <w:rPr>
                <w:b/>
                <w:spacing w:val="-2"/>
              </w:rPr>
            </w:pPr>
            <w:r>
              <w:rPr>
                <w:b/>
                <w:spacing w:val="-2"/>
              </w:rPr>
              <w:t>)</w:t>
            </w:r>
          </w:p>
        </w:tc>
        <w:tc>
          <w:tcPr>
            <w:tcW w:w="4248" w:type="dxa"/>
          </w:tcPr>
          <w:p w14:paraId="7956989E" w14:textId="77777777" w:rsidR="00886C23" w:rsidRDefault="00886C23">
            <w:pPr>
              <w:tabs>
                <w:tab w:val="center" w:pos="4680"/>
              </w:tabs>
              <w:suppressAutoHyphens/>
              <w:rPr>
                <w:spacing w:val="-2"/>
              </w:rPr>
            </w:pPr>
          </w:p>
          <w:p w14:paraId="0A29D293" w14:textId="77777777" w:rsidR="00886C23" w:rsidRDefault="00886C23">
            <w:pPr>
              <w:tabs>
                <w:tab w:val="center" w:pos="4680"/>
              </w:tabs>
              <w:suppressAutoHyphens/>
              <w:rPr>
                <w:spacing w:val="-2"/>
              </w:rPr>
            </w:pPr>
          </w:p>
          <w:p w14:paraId="65643F87" w14:textId="77777777" w:rsidR="00124044" w:rsidRDefault="00124044">
            <w:pPr>
              <w:tabs>
                <w:tab w:val="center" w:pos="4680"/>
              </w:tabs>
              <w:suppressAutoHyphens/>
              <w:rPr>
                <w:spacing w:val="-2"/>
              </w:rPr>
            </w:pPr>
          </w:p>
          <w:p w14:paraId="01800315" w14:textId="77777777" w:rsidR="00886C23" w:rsidRDefault="00662FBE">
            <w:pPr>
              <w:tabs>
                <w:tab w:val="center" w:pos="4680"/>
              </w:tabs>
              <w:suppressAutoHyphens/>
              <w:rPr>
                <w:spacing w:val="-2"/>
              </w:rPr>
            </w:pPr>
            <w:r>
              <w:rPr>
                <w:spacing w:val="-2"/>
              </w:rPr>
              <w:t>MB Docket No. 1</w:t>
            </w:r>
            <w:r w:rsidR="00E3676F">
              <w:rPr>
                <w:spacing w:val="-2"/>
              </w:rPr>
              <w:t>6</w:t>
            </w:r>
            <w:r>
              <w:rPr>
                <w:spacing w:val="-2"/>
              </w:rPr>
              <w:t>-</w:t>
            </w:r>
            <w:r w:rsidR="00E3676F">
              <w:rPr>
                <w:spacing w:val="-2"/>
              </w:rPr>
              <w:t>416</w:t>
            </w:r>
            <w:r w:rsidR="00021525">
              <w:rPr>
                <w:spacing w:val="-2"/>
              </w:rPr>
              <w:t>,</w:t>
            </w:r>
            <w:r>
              <w:rPr>
                <w:spacing w:val="-2"/>
              </w:rPr>
              <w:t xml:space="preserve"> CSR </w:t>
            </w:r>
            <w:r w:rsidR="00E3676F">
              <w:rPr>
                <w:spacing w:val="-2"/>
              </w:rPr>
              <w:t>8931</w:t>
            </w:r>
            <w:r>
              <w:rPr>
                <w:spacing w:val="-2"/>
              </w:rPr>
              <w:t>-A</w:t>
            </w:r>
          </w:p>
          <w:p w14:paraId="27030084" w14:textId="77777777" w:rsidR="00886C23" w:rsidRDefault="00886C23">
            <w:pPr>
              <w:tabs>
                <w:tab w:val="center" w:pos="4680"/>
              </w:tabs>
              <w:suppressAutoHyphens/>
              <w:rPr>
                <w:spacing w:val="-2"/>
              </w:rPr>
            </w:pPr>
          </w:p>
          <w:p w14:paraId="39379129" w14:textId="77777777" w:rsidR="00886C23" w:rsidRDefault="00886C23">
            <w:pPr>
              <w:tabs>
                <w:tab w:val="center" w:pos="4680"/>
              </w:tabs>
              <w:suppressAutoHyphens/>
              <w:rPr>
                <w:spacing w:val="-2"/>
              </w:rPr>
            </w:pPr>
          </w:p>
          <w:p w14:paraId="23C8A2A2" w14:textId="77777777" w:rsidR="00886C23" w:rsidRDefault="00886C23">
            <w:pPr>
              <w:tabs>
                <w:tab w:val="center" w:pos="4680"/>
              </w:tabs>
              <w:suppressAutoHyphens/>
              <w:rPr>
                <w:spacing w:val="-2"/>
              </w:rPr>
            </w:pPr>
          </w:p>
          <w:p w14:paraId="6313DCA4" w14:textId="77777777" w:rsidR="00886C23" w:rsidRDefault="00886C23">
            <w:pPr>
              <w:tabs>
                <w:tab w:val="center" w:pos="4680"/>
              </w:tabs>
              <w:suppressAutoHyphens/>
              <w:rPr>
                <w:spacing w:val="-2"/>
              </w:rPr>
            </w:pPr>
          </w:p>
          <w:p w14:paraId="0C047DD6" w14:textId="77777777" w:rsidR="00886C23" w:rsidRDefault="00886C23">
            <w:pPr>
              <w:tabs>
                <w:tab w:val="center" w:pos="4680"/>
              </w:tabs>
              <w:suppressAutoHyphens/>
              <w:rPr>
                <w:spacing w:val="-2"/>
              </w:rPr>
            </w:pPr>
          </w:p>
          <w:p w14:paraId="22C4C7C0" w14:textId="77777777" w:rsidR="00886C23" w:rsidRDefault="00886C23">
            <w:pPr>
              <w:tabs>
                <w:tab w:val="center" w:pos="4680"/>
              </w:tabs>
              <w:suppressAutoHyphens/>
              <w:rPr>
                <w:spacing w:val="-2"/>
              </w:rPr>
            </w:pPr>
          </w:p>
        </w:tc>
      </w:tr>
    </w:tbl>
    <w:p w14:paraId="30143963" w14:textId="77777777" w:rsidR="00886C23" w:rsidRDefault="00E3676F">
      <w:pPr>
        <w:pStyle w:val="Title"/>
      </w:pPr>
      <w:r>
        <w:t>ORDER</w:t>
      </w:r>
    </w:p>
    <w:p w14:paraId="12EA55AC" w14:textId="77777777" w:rsidR="00886C23" w:rsidRDefault="00886C23">
      <w:pPr>
        <w:pStyle w:val="FootnoteText"/>
      </w:pPr>
    </w:p>
    <w:p w14:paraId="42E55EA2" w14:textId="27F81262" w:rsidR="00886C23" w:rsidRDefault="00886C23">
      <w:pPr>
        <w:tabs>
          <w:tab w:val="left" w:pos="720"/>
          <w:tab w:val="left" w:pos="5760"/>
        </w:tabs>
        <w:suppressAutoHyphens/>
        <w:spacing w:line="227" w:lineRule="auto"/>
        <w:rPr>
          <w:b/>
          <w:spacing w:val="-2"/>
        </w:rPr>
      </w:pPr>
      <w:r>
        <w:rPr>
          <w:b/>
          <w:spacing w:val="-2"/>
        </w:rPr>
        <w:t xml:space="preserve">Adopted:  </w:t>
      </w:r>
      <w:r w:rsidR="0017193C">
        <w:rPr>
          <w:b/>
          <w:spacing w:val="-2"/>
        </w:rPr>
        <w:t>April 3</w:t>
      </w:r>
      <w:r w:rsidR="004E11DE">
        <w:rPr>
          <w:b/>
          <w:spacing w:val="-2"/>
        </w:rPr>
        <w:t>, 201</w:t>
      </w:r>
      <w:r w:rsidR="002661FA">
        <w:rPr>
          <w:b/>
          <w:spacing w:val="-2"/>
        </w:rPr>
        <w:t>7</w:t>
      </w:r>
      <w:r w:rsidR="004E11DE">
        <w:rPr>
          <w:b/>
          <w:spacing w:val="-2"/>
        </w:rPr>
        <w:tab/>
        <w:t xml:space="preserve">         </w:t>
      </w:r>
      <w:r w:rsidR="004E65D0">
        <w:rPr>
          <w:b/>
          <w:spacing w:val="-2"/>
        </w:rPr>
        <w:t xml:space="preserve"> </w:t>
      </w:r>
      <w:r w:rsidR="004B5852">
        <w:rPr>
          <w:b/>
          <w:spacing w:val="-2"/>
        </w:rPr>
        <w:t xml:space="preserve">   </w:t>
      </w:r>
      <w:r>
        <w:rPr>
          <w:b/>
          <w:spacing w:val="-2"/>
        </w:rPr>
        <w:t xml:space="preserve">Released:  </w:t>
      </w:r>
      <w:r w:rsidR="0017193C">
        <w:rPr>
          <w:b/>
          <w:spacing w:val="-2"/>
        </w:rPr>
        <w:t>April 4</w:t>
      </w:r>
      <w:r w:rsidR="004E11DE">
        <w:rPr>
          <w:b/>
          <w:spacing w:val="-2"/>
        </w:rPr>
        <w:t>, 201</w:t>
      </w:r>
      <w:r w:rsidR="002661FA">
        <w:rPr>
          <w:b/>
          <w:spacing w:val="-2"/>
        </w:rPr>
        <w:t>7</w:t>
      </w:r>
    </w:p>
    <w:p w14:paraId="746C3AB3" w14:textId="77777777" w:rsidR="00886C23" w:rsidRDefault="00886C23"/>
    <w:p w14:paraId="7714DAA9" w14:textId="77777777" w:rsidR="00886C23" w:rsidRDefault="00A73690">
      <w:pPr>
        <w:rPr>
          <w:spacing w:val="-2"/>
        </w:rPr>
      </w:pPr>
      <w:r>
        <w:t xml:space="preserve">By the </w:t>
      </w:r>
      <w:r w:rsidR="009E3D0D">
        <w:t xml:space="preserve">Senior </w:t>
      </w:r>
      <w:r w:rsidR="00AD537A">
        <w:t xml:space="preserve">Deputy </w:t>
      </w:r>
      <w:r>
        <w:t xml:space="preserve">Chief, Policy Division, Media </w:t>
      </w:r>
      <w:r w:rsidR="00886C23">
        <w:rPr>
          <w:spacing w:val="-2"/>
        </w:rPr>
        <w:t>Bureau:</w:t>
      </w:r>
    </w:p>
    <w:p w14:paraId="76158C7D" w14:textId="77777777" w:rsidR="00886C23" w:rsidRDefault="00886C23">
      <w:pPr>
        <w:rPr>
          <w:spacing w:val="-2"/>
        </w:rPr>
      </w:pPr>
    </w:p>
    <w:p w14:paraId="33BB846F" w14:textId="77777777" w:rsidR="00886C23" w:rsidRDefault="00886C23">
      <w:pPr>
        <w:pStyle w:val="Heading1"/>
      </w:pPr>
      <w:r>
        <w:t>INTRODUCTION</w:t>
      </w:r>
    </w:p>
    <w:p w14:paraId="3BD454E4" w14:textId="76B2D592" w:rsidR="00B76712" w:rsidRPr="00B76712" w:rsidRDefault="00B51D2C" w:rsidP="0049729D">
      <w:pPr>
        <w:pStyle w:val="ParaNum"/>
        <w:jc w:val="left"/>
      </w:pPr>
      <w:r>
        <w:t xml:space="preserve">Victory Television Network, Inc. (“Petitioner” or “VTN”), filed the above-captioned Petition seeking to </w:t>
      </w:r>
      <w:r w:rsidR="007C27D0">
        <w:t>modify the local satellite carriage television market of KVTJ-DT, Jonesboro, Arkansas</w:t>
      </w:r>
      <w:r w:rsidR="00B35A26">
        <w:t xml:space="preserve"> (Facility ID No. 2784) (“KVTJ” or the “Station”)</w:t>
      </w:r>
      <w:r w:rsidR="003B2AF0">
        <w:t>, currently assigned to the Jonesboro, Arkansas Designated Market Area (“DMA”)</w:t>
      </w:r>
      <w:r w:rsidR="007362D4">
        <w:t>,</w:t>
      </w:r>
      <w:r w:rsidR="003B2AF0">
        <w:t xml:space="preserve"> to </w:t>
      </w:r>
      <w:r w:rsidR="00B35A26">
        <w:t>include the following communities in Arkansas</w:t>
      </w:r>
      <w:r w:rsidR="003B2AF0">
        <w:t>: Crittenden County, Cross County, Mississippi County, Poinsett County, and Saint Francis County, currently assigned to the Memphis, Tennessee DMA, and the following communities in Missouri: Dunklin County and Pemiscot County, currently assigned to the Paducah, KY-Cape Girardeau, MO-Harrisburg, IL DMA (collectively, the “Satellite Communities”).</w:t>
      </w:r>
      <w:r w:rsidR="00ED601B">
        <w:rPr>
          <w:rStyle w:val="FootnoteReference"/>
        </w:rPr>
        <w:footnoteReference w:id="2"/>
      </w:r>
      <w:r w:rsidR="0049729D">
        <w:t xml:space="preserve">  We find that VTN’s Petition is lacking in two significant areas</w:t>
      </w:r>
      <w:r w:rsidR="002C4D01">
        <w:t xml:space="preserve"> – an engineering analysis demonstrating over-the-air coverage by the </w:t>
      </w:r>
      <w:r w:rsidR="008E64BD">
        <w:t>S</w:t>
      </w:r>
      <w:r w:rsidR="002C4D01">
        <w:t xml:space="preserve">tation of the relevant </w:t>
      </w:r>
      <w:r w:rsidR="008E64BD">
        <w:t>Satellite C</w:t>
      </w:r>
      <w:r w:rsidR="002C4D01">
        <w:t>ommunities</w:t>
      </w:r>
      <w:r w:rsidR="00000AA4">
        <w:t>,</w:t>
      </w:r>
      <w:r w:rsidR="002C4D01">
        <w:t xml:space="preserve"> and evidence demonstrating ratings/viewing patterns.  The evidence submitted by VTN is not sufficient to </w:t>
      </w:r>
      <w:r w:rsidR="00000AA4">
        <w:t>consider</w:t>
      </w:r>
      <w:r w:rsidR="002C4D01">
        <w:t xml:space="preserve"> the Petition</w:t>
      </w:r>
      <w:r w:rsidR="00000AA4">
        <w:t>, and we therefore</w:t>
      </w:r>
      <w:r w:rsidR="002C4D01">
        <w:t xml:space="preserve"> dismiss VTN’s Petition without prejudice.  </w:t>
      </w:r>
      <w:r w:rsidR="00697769">
        <w:t>We also, however, invite VTN to re-file</w:t>
      </w:r>
      <w:r w:rsidR="00000AA4">
        <w:t xml:space="preserve"> its petition</w:t>
      </w:r>
      <w:r w:rsidR="00892183">
        <w:t xml:space="preserve"> with</w:t>
      </w:r>
      <w:r w:rsidR="00697769">
        <w:t xml:space="preserve"> </w:t>
      </w:r>
      <w:r w:rsidR="00000AA4">
        <w:t>the</w:t>
      </w:r>
      <w:r w:rsidR="00697769">
        <w:t xml:space="preserve"> </w:t>
      </w:r>
      <w:r w:rsidR="00000AA4">
        <w:t xml:space="preserve">necessary </w:t>
      </w:r>
      <w:r w:rsidR="00697769">
        <w:t>additional evidence</w:t>
      </w:r>
      <w:r w:rsidR="00000AA4">
        <w:t>.</w:t>
      </w:r>
      <w:r w:rsidR="00DC5AAA">
        <w:rPr>
          <w:rStyle w:val="FootnoteReference"/>
        </w:rPr>
        <w:footnoteReference w:id="3"/>
      </w:r>
      <w:r w:rsidR="002C4D01">
        <w:t xml:space="preserve"> </w:t>
      </w:r>
      <w:r w:rsidR="0049729D">
        <w:t xml:space="preserve">     </w:t>
      </w:r>
      <w:r w:rsidR="003B2AF0">
        <w:t xml:space="preserve">     </w:t>
      </w:r>
      <w:r w:rsidR="006B5B0C">
        <w:t xml:space="preserve">   </w:t>
      </w:r>
      <w:r w:rsidR="003976BD">
        <w:t xml:space="preserve">  </w:t>
      </w:r>
      <w:r w:rsidR="00EF18D4">
        <w:t xml:space="preserve">  </w:t>
      </w:r>
    </w:p>
    <w:p w14:paraId="123DC48E" w14:textId="45B82BD6" w:rsidR="00886C23" w:rsidRDefault="00E232CB" w:rsidP="004C6A72">
      <w:pPr>
        <w:pStyle w:val="Heading1"/>
        <w:jc w:val="left"/>
      </w:pPr>
      <w:bookmarkStart w:id="1" w:name="co_tablefootnote_11_1"/>
      <w:bookmarkEnd w:id="1"/>
      <w:r>
        <w:t>BACKGROUND</w:t>
      </w:r>
    </w:p>
    <w:p w14:paraId="1B4DE185" w14:textId="726CA83E" w:rsidR="00E232CB" w:rsidRDefault="009019D8" w:rsidP="00136906">
      <w:pPr>
        <w:pStyle w:val="ParaNum"/>
        <w:jc w:val="left"/>
      </w:pPr>
      <w:r w:rsidRPr="006714E8">
        <w:t xml:space="preserve">Market modification provides a means </w:t>
      </w:r>
      <w:r>
        <w:t xml:space="preserve">for </w:t>
      </w:r>
      <w:r w:rsidRPr="006714E8">
        <w:t xml:space="preserve">the Commission to </w:t>
      </w:r>
      <w:r>
        <w:t>change</w:t>
      </w:r>
      <w:r w:rsidRPr="006714E8">
        <w:t xml:space="preserve"> the local television market of a commercial television broadcast station</w:t>
      </w:r>
      <w:r w:rsidRPr="5458C74C">
        <w:t xml:space="preserve">. </w:t>
      </w:r>
      <w:r>
        <w:t xml:space="preserve"> Broadcasters</w:t>
      </w:r>
      <w:r w:rsidRPr="00546B37">
        <w:t xml:space="preserve">, satellite </w:t>
      </w:r>
      <w:r>
        <w:t>carriers, and/or c</w:t>
      </w:r>
      <w:r w:rsidRPr="009F14BB">
        <w:t>ounty government</w:t>
      </w:r>
      <w:r>
        <w:t>s</w:t>
      </w:r>
      <w:r w:rsidRPr="00546B37">
        <w:t xml:space="preserve"> </w:t>
      </w:r>
      <w:r>
        <w:t>may</w:t>
      </w:r>
      <w:r w:rsidRPr="00546B37">
        <w:t xml:space="preserve"> request changes to the boundaries </w:t>
      </w:r>
      <w:r w:rsidRPr="00321A1A">
        <w:t xml:space="preserve">of a particular commercial broadcast </w:t>
      </w:r>
      <w:r>
        <w:t>television</w:t>
      </w:r>
      <w:r w:rsidRPr="00321A1A">
        <w:t xml:space="preserve"> </w:t>
      </w:r>
      <w:r w:rsidRPr="00321A1A">
        <w:lastRenderedPageBreak/>
        <w:t xml:space="preserve">station’s local television market </w:t>
      </w:r>
      <w:r w:rsidRPr="00546B37">
        <w:t xml:space="preserve">to include a new </w:t>
      </w:r>
      <w:r>
        <w:t xml:space="preserve">community </w:t>
      </w:r>
      <w:r w:rsidRPr="00546B37">
        <w:t>located in a neighboring local market.</w:t>
      </w:r>
      <w:r>
        <w:rPr>
          <w:rStyle w:val="FootnoteReference"/>
        </w:rPr>
        <w:footnoteReference w:id="4"/>
      </w:r>
      <w:r w:rsidRPr="5458C74C">
        <w:t xml:space="preserve"> </w:t>
      </w:r>
      <w:r w:rsidRPr="00546B37">
        <w:t xml:space="preserve"> </w:t>
      </w:r>
      <w:r>
        <w:t>A television station may be carried by a satellite carrier in such a new community if the station is shown to have a local relationship to that community</w:t>
      </w:r>
      <w:r w:rsidR="00E232CB">
        <w:t xml:space="preserve"> based on an analysis of</w:t>
      </w:r>
      <w:r>
        <w:t xml:space="preserve"> five statutory factors.</w:t>
      </w:r>
      <w:r w:rsidRPr="006714E8">
        <w:rPr>
          <w:rStyle w:val="FootnoteReference"/>
        </w:rPr>
        <w:footnoteReference w:id="5"/>
      </w:r>
      <w:r>
        <w:t xml:space="preserve">  The Commission requires that</w:t>
      </w:r>
      <w:r w:rsidRPr="007C5861">
        <w:t xml:space="preserve"> a</w:t>
      </w:r>
      <w:r>
        <w:t>ny</w:t>
      </w:r>
      <w:r w:rsidRPr="007C5861">
        <w:t xml:space="preserve"> market modification petition include specific evidence describing the station’s relationship to the community at issue.</w:t>
      </w:r>
      <w:r w:rsidRPr="00C61CB1">
        <w:rPr>
          <w:rStyle w:val="FootnoteReference"/>
        </w:rPr>
        <w:footnoteReference w:id="6"/>
      </w:r>
      <w:r w:rsidRPr="00C61CB1">
        <w:t xml:space="preserve">  </w:t>
      </w:r>
      <w:r>
        <w:t>Market modification p</w:t>
      </w:r>
      <w:r w:rsidRPr="00DB153E">
        <w:t xml:space="preserve">etitions that do not include the </w:t>
      </w:r>
      <w:r>
        <w:t>required</w:t>
      </w:r>
      <w:r w:rsidRPr="00DB153E">
        <w:t xml:space="preserve"> evidence </w:t>
      </w:r>
      <w:r>
        <w:t>will</w:t>
      </w:r>
      <w:r w:rsidRPr="00DB153E">
        <w:t xml:space="preserve"> be dismissed without prejudice and may be re-filed</w:t>
      </w:r>
      <w:r>
        <w:t xml:space="preserve"> with additional supporting </w:t>
      </w:r>
      <w:r>
        <w:lastRenderedPageBreak/>
        <w:t>evidence</w:t>
      </w:r>
      <w:r w:rsidRPr="00DB153E">
        <w:t>.</w:t>
      </w:r>
      <w:r>
        <w:rPr>
          <w:rStyle w:val="FootnoteReference"/>
        </w:rPr>
        <w:footnoteReference w:id="7"/>
      </w:r>
    </w:p>
    <w:p w14:paraId="43118DD3" w14:textId="1C1B7F38" w:rsidR="0032482F" w:rsidRDefault="0032482F" w:rsidP="00136906">
      <w:pPr>
        <w:pStyle w:val="ParaNum"/>
        <w:jc w:val="left"/>
      </w:pPr>
      <w:r>
        <w:t xml:space="preserve">In its Petition, VTN states that the Cable Services Bureau previously granted a market modification request similar to the one that it is now filing.  In </w:t>
      </w:r>
      <w:r>
        <w:rPr>
          <w:i/>
        </w:rPr>
        <w:t>Agape Church, Inc.</w:t>
      </w:r>
      <w:r>
        <w:t>,</w:t>
      </w:r>
      <w:r>
        <w:rPr>
          <w:i/>
        </w:rPr>
        <w:t xml:space="preserve"> </w:t>
      </w:r>
      <w:r>
        <w:t>the Bureau added communities comprising</w:t>
      </w:r>
      <w:r>
        <w:rPr>
          <w:rStyle w:val="FootnoteReference"/>
        </w:rPr>
        <w:footnoteReference w:id="8"/>
      </w:r>
      <w:r>
        <w:t xml:space="preserve"> the Satellite Communities to KVTJ’s market for purposes of a cable market modification.</w:t>
      </w:r>
      <w:r>
        <w:rPr>
          <w:rStyle w:val="FootnoteReference"/>
        </w:rPr>
        <w:footnoteReference w:id="9"/>
      </w:r>
      <w:r>
        <w:t xml:space="preserve">  VTN states that the statutory factors involved in a market modification for cable carriage are “nearly identical”[</w:t>
      </w:r>
      <w:r w:rsidRPr="002F1D92">
        <w:rPr>
          <w:i/>
        </w:rPr>
        <w:t>sic</w:t>
      </w:r>
      <w:r>
        <w:t>] to those for satellite carriage.</w:t>
      </w:r>
      <w:r>
        <w:rPr>
          <w:rStyle w:val="FootnoteReference"/>
        </w:rPr>
        <w:footnoteReference w:id="10"/>
      </w:r>
      <w:r>
        <w:t xml:space="preserve">  VTN asserts that the evidence presented by the Station in 1998</w:t>
      </w:r>
      <w:r>
        <w:rPr>
          <w:rStyle w:val="FootnoteReference"/>
        </w:rPr>
        <w:footnoteReference w:id="11"/>
      </w:r>
      <w:r>
        <w:t xml:space="preserve"> that led the Commission to grant its request for market modification in the cable context is equally applicable today for VTN’s request in the satellite context.</w:t>
      </w:r>
      <w:r>
        <w:rPr>
          <w:rStyle w:val="FootnoteReference"/>
        </w:rPr>
        <w:footnoteReference w:id="12"/>
      </w:r>
      <w:r>
        <w:t xml:space="preserve">  </w:t>
      </w:r>
    </w:p>
    <w:p w14:paraId="7FF52AFF" w14:textId="35E07725" w:rsidR="00954EAA" w:rsidRDefault="00954EAA" w:rsidP="00954EAA">
      <w:pPr>
        <w:pStyle w:val="Heading1"/>
      </w:pPr>
      <w:r>
        <w:t>Discussion</w:t>
      </w:r>
    </w:p>
    <w:p w14:paraId="490136D9" w14:textId="16EF9713" w:rsidR="00417806" w:rsidRDefault="00417806" w:rsidP="002F1D92">
      <w:pPr>
        <w:pStyle w:val="ParaNum"/>
      </w:pPr>
      <w:r>
        <w:t>We find that the evidence submitted by VTN is insufficient</w:t>
      </w:r>
      <w:r w:rsidR="00FD4534">
        <w:t>,</w:t>
      </w:r>
      <w:r w:rsidR="00A03324">
        <w:t xml:space="preserve"> and that it </w:t>
      </w:r>
      <w:r>
        <w:t xml:space="preserve">does not adhere to the evidentiary standards </w:t>
      </w:r>
      <w:r w:rsidR="00FD4534">
        <w:t xml:space="preserve">established in the </w:t>
      </w:r>
      <w:r w:rsidR="00F73FC4">
        <w:t xml:space="preserve">Commission’s </w:t>
      </w:r>
      <w:r w:rsidR="00FD4534">
        <w:t xml:space="preserve">rules.  As discussed below, </w:t>
      </w:r>
      <w:r>
        <w:t>Petition</w:t>
      </w:r>
      <w:r w:rsidR="007362D4">
        <w:t>er</w:t>
      </w:r>
      <w:r>
        <w:t xml:space="preserve"> needs to </w:t>
      </w:r>
      <w:r w:rsidR="007362D4">
        <w:t>address these deficiencies</w:t>
      </w:r>
      <w:r>
        <w:t xml:space="preserve"> in order for the Commission to proceed with its analysis. </w:t>
      </w:r>
    </w:p>
    <w:p w14:paraId="2BF5D24D" w14:textId="377C65AE" w:rsidR="00B70BE1" w:rsidRDefault="00F83A1E" w:rsidP="00C935C8">
      <w:pPr>
        <w:pStyle w:val="ParaNum"/>
        <w:jc w:val="left"/>
      </w:pPr>
      <w:r>
        <w:t>The rule</w:t>
      </w:r>
      <w:r w:rsidR="008B1D66">
        <w:t>s</w:t>
      </w:r>
      <w:r>
        <w:t xml:space="preserve"> identifying the minimum evidence that must be submitted by any market modification petitioner</w:t>
      </w:r>
      <w:r w:rsidR="008B1D66">
        <w:t xml:space="preserve"> </w:t>
      </w:r>
      <w:r>
        <w:t>w</w:t>
      </w:r>
      <w:r w:rsidR="008B1D66">
        <w:t>ere</w:t>
      </w:r>
      <w:r>
        <w:t xml:space="preserve"> </w:t>
      </w:r>
      <w:r w:rsidR="008B1D66">
        <w:t>adopted</w:t>
      </w:r>
      <w:r>
        <w:t xml:space="preserve"> in 1999</w:t>
      </w:r>
      <w:r w:rsidR="008B1D66">
        <w:t>, and</w:t>
      </w:r>
      <w:r>
        <w:t xml:space="preserve"> the Commission </w:t>
      </w:r>
      <w:r w:rsidR="008B1D66">
        <w:t>has</w:t>
      </w:r>
      <w:r w:rsidR="008B7AB6">
        <w:t xml:space="preserve"> recently</w:t>
      </w:r>
      <w:r w:rsidR="008B1D66">
        <w:t xml:space="preserve"> </w:t>
      </w:r>
      <w:r>
        <w:t>determined that satellite market modification petition</w:t>
      </w:r>
      <w:r w:rsidR="008B1D66">
        <w:t>s</w:t>
      </w:r>
      <w:r>
        <w:t xml:space="preserve"> must </w:t>
      </w:r>
      <w:r w:rsidR="00755B9A">
        <w:t>meet</w:t>
      </w:r>
      <w:r>
        <w:t xml:space="preserve"> the same evidentiary standard.</w:t>
      </w:r>
      <w:r>
        <w:rPr>
          <w:rStyle w:val="FootnoteReference"/>
        </w:rPr>
        <w:footnoteReference w:id="13"/>
      </w:r>
      <w:r>
        <w:t xml:space="preserve">  </w:t>
      </w:r>
      <w:r w:rsidR="00381DF0">
        <w:t>W</w:t>
      </w:r>
      <w:r w:rsidR="00A91118">
        <w:t xml:space="preserve">hen the </w:t>
      </w:r>
      <w:r w:rsidR="00697769">
        <w:t>Cable Services Bureau</w:t>
      </w:r>
      <w:r w:rsidR="00A91118">
        <w:t xml:space="preserve"> granted </w:t>
      </w:r>
      <w:r w:rsidR="00417806">
        <w:t>Agape</w:t>
      </w:r>
      <w:r w:rsidR="00A91118">
        <w:t xml:space="preserve">’s request for </w:t>
      </w:r>
      <w:r w:rsidR="008B1D66">
        <w:t xml:space="preserve">a KVTJ </w:t>
      </w:r>
      <w:r w:rsidR="00A91118">
        <w:t xml:space="preserve">cable market modification, </w:t>
      </w:r>
      <w:r w:rsidR="00697769">
        <w:t>the Commission</w:t>
      </w:r>
      <w:r w:rsidR="00A91118">
        <w:t xml:space="preserve"> had not yet </w:t>
      </w:r>
      <w:r w:rsidR="008E42AB">
        <w:t xml:space="preserve">adopted </w:t>
      </w:r>
      <w:r>
        <w:t>th</w:t>
      </w:r>
      <w:r w:rsidR="008B1D66">
        <w:t>ese</w:t>
      </w:r>
      <w:r w:rsidR="008E42AB">
        <w:t xml:space="preserve"> </w:t>
      </w:r>
      <w:r>
        <w:t>rule</w:t>
      </w:r>
      <w:r w:rsidR="008B1D66">
        <w:t xml:space="preserve">s, and the Agape </w:t>
      </w:r>
      <w:r w:rsidR="00755B9A">
        <w:t>p</w:t>
      </w:r>
      <w:r w:rsidR="008B1D66">
        <w:t xml:space="preserve">etition was therefore not reviewed under </w:t>
      </w:r>
      <w:r w:rsidR="00E23161">
        <w:t>the current</w:t>
      </w:r>
      <w:r w:rsidR="008B1D66">
        <w:t xml:space="preserve"> standard</w:t>
      </w:r>
      <w:r w:rsidR="008E42AB">
        <w:t>.</w:t>
      </w:r>
      <w:r w:rsidR="00810DE4">
        <w:rPr>
          <w:rStyle w:val="FootnoteReference"/>
        </w:rPr>
        <w:footnoteReference w:id="14"/>
      </w:r>
      <w:r w:rsidR="00EC44B6">
        <w:t xml:space="preserve">  </w:t>
      </w:r>
      <w:r w:rsidR="008B1D66">
        <w:t xml:space="preserve">As a result, </w:t>
      </w:r>
      <w:r w:rsidR="00755B9A">
        <w:t xml:space="preserve">even though the Agape petition was granted, </w:t>
      </w:r>
      <w:r w:rsidR="008B1D66">
        <w:t xml:space="preserve">we reject VTN’s assertion that the 1998 </w:t>
      </w:r>
      <w:r w:rsidR="00755B9A">
        <w:t>evidentiary submission</w:t>
      </w:r>
      <w:r w:rsidR="008B1D66">
        <w:t xml:space="preserve">, or a simple update of that submission, </w:t>
      </w:r>
      <w:r w:rsidR="00755B9A">
        <w:t>provides</w:t>
      </w:r>
      <w:r w:rsidR="008B1D66">
        <w:t xml:space="preserve"> sufficient </w:t>
      </w:r>
      <w:r w:rsidR="00755B9A">
        <w:t xml:space="preserve">information to allow </w:t>
      </w:r>
      <w:r w:rsidR="008B1D66">
        <w:t>us to grant a market modification in 2017.</w:t>
      </w:r>
    </w:p>
    <w:p w14:paraId="3F333CD5" w14:textId="61B36C3B" w:rsidR="00DE0690" w:rsidRDefault="00322130" w:rsidP="00C935C8">
      <w:pPr>
        <w:pStyle w:val="ParaNum"/>
        <w:jc w:val="left"/>
      </w:pPr>
      <w:r>
        <w:t>In reviewing VTN’s Petition as a standard satellite market modification,</w:t>
      </w:r>
      <w:r w:rsidR="005A5452">
        <w:rPr>
          <w:rStyle w:val="FootnoteReference"/>
        </w:rPr>
        <w:footnoteReference w:id="15"/>
      </w:r>
      <w:r>
        <w:t xml:space="preserve"> we find deficiencies </w:t>
      </w:r>
      <w:r w:rsidR="00BD46E8">
        <w:t>with regard to the second and fifth statutory factors.</w:t>
      </w:r>
      <w:r w:rsidR="005A5452">
        <w:rPr>
          <w:rStyle w:val="FootnoteReference"/>
        </w:rPr>
        <w:footnoteReference w:id="16"/>
      </w:r>
      <w:r w:rsidR="00BD46E8">
        <w:t xml:space="preserve">  </w:t>
      </w:r>
      <w:r w:rsidR="005F4FCC">
        <w:t>With regard to the second statutory factor</w:t>
      </w:r>
      <w:r w:rsidR="005A5452">
        <w:t xml:space="preserve"> (“</w:t>
      </w:r>
      <w:r w:rsidR="005A5452" w:rsidRPr="006714E8">
        <w:t>whether the television station provides coverage or other local service to such community</w:t>
      </w:r>
      <w:r w:rsidR="005A5452">
        <w:t>”)</w:t>
      </w:r>
      <w:r w:rsidR="005F4FCC">
        <w:t>, VTN asserts that KVTJ places a noise-limited service contour (“NLSC”) over the Satellite Communities</w:t>
      </w:r>
      <w:r w:rsidR="002F1D92">
        <w:t>,</w:t>
      </w:r>
      <w:r w:rsidR="005F4FCC">
        <w:t xml:space="preserve"> that the Station’s over-the-air broadcast signal </w:t>
      </w:r>
      <w:r w:rsidR="002F1D92">
        <w:t xml:space="preserve">therefore </w:t>
      </w:r>
      <w:r w:rsidR="005F4FCC">
        <w:t>provides local service to those communities</w:t>
      </w:r>
      <w:r w:rsidR="002F1D92">
        <w:t>,</w:t>
      </w:r>
      <w:r w:rsidR="005F4FCC">
        <w:t xml:space="preserve"> and that this should weigh heavily in favor of granting VTN’s market modification request.</w:t>
      </w:r>
      <w:r w:rsidR="005F4FCC">
        <w:rPr>
          <w:rStyle w:val="FootnoteReference"/>
        </w:rPr>
        <w:footnoteReference w:id="17"/>
      </w:r>
      <w:r w:rsidR="00AB119E">
        <w:t xml:space="preserve">  In support of its claim, VTN attaches as an exhibit a one page printout from Google Earth which purports to show KVTJ’s NLSC.</w:t>
      </w:r>
      <w:r w:rsidR="00AB119E">
        <w:rPr>
          <w:rStyle w:val="FootnoteReference"/>
        </w:rPr>
        <w:footnoteReference w:id="18"/>
      </w:r>
      <w:r w:rsidR="00E60B1D">
        <w:t xml:space="preserve">  We do not find this exhibit to be reliable or </w:t>
      </w:r>
      <w:r w:rsidR="00B46612">
        <w:t>sufficient to meet the requirements of our</w:t>
      </w:r>
      <w:r w:rsidR="00E60B1D">
        <w:t xml:space="preserve"> evidentiary </w:t>
      </w:r>
      <w:r w:rsidR="00B46612">
        <w:t>rules</w:t>
      </w:r>
      <w:r w:rsidR="007B57CC">
        <w:t>.</w:t>
      </w:r>
      <w:r w:rsidR="005C5F91">
        <w:rPr>
          <w:rStyle w:val="FootnoteReference"/>
        </w:rPr>
        <w:footnoteReference w:id="19"/>
      </w:r>
      <w:r w:rsidR="00E60B1D">
        <w:t xml:space="preserve">  </w:t>
      </w:r>
      <w:r w:rsidR="00D535CC">
        <w:t xml:space="preserve">A </w:t>
      </w:r>
      <w:r w:rsidR="002F1D92">
        <w:t>p</w:t>
      </w:r>
      <w:r w:rsidR="00E60B1D">
        <w:t xml:space="preserve">etitioner seeking a market modification </w:t>
      </w:r>
      <w:r w:rsidR="00A61B97">
        <w:t>must</w:t>
      </w:r>
      <w:r w:rsidR="00E60B1D">
        <w:t xml:space="preserve"> submit </w:t>
      </w:r>
      <w:r w:rsidR="00B46612">
        <w:t>detailed maps</w:t>
      </w:r>
      <w:r w:rsidR="00A61B97">
        <w:t>, as described in Section 76.59(b)(1)-(2) of the Commission’s rules.</w:t>
      </w:r>
      <w:r w:rsidR="00A61B97">
        <w:rPr>
          <w:rStyle w:val="FootnoteReference"/>
        </w:rPr>
        <w:footnoteReference w:id="20"/>
      </w:r>
      <w:r w:rsidR="00B46612">
        <w:t xml:space="preserve"> </w:t>
      </w:r>
      <w:r w:rsidR="00FC3A4E">
        <w:t xml:space="preserve"> </w:t>
      </w:r>
      <w:r w:rsidR="00A61B97">
        <w:t xml:space="preserve">These maps </w:t>
      </w:r>
      <w:r w:rsidR="0070613D">
        <w:t>should</w:t>
      </w:r>
      <w:r w:rsidR="00A61B97">
        <w:t xml:space="preserve"> be </w:t>
      </w:r>
      <w:r w:rsidR="00B46612">
        <w:t xml:space="preserve">based on </w:t>
      </w:r>
      <w:r w:rsidR="00E60B1D">
        <w:t xml:space="preserve">a </w:t>
      </w:r>
      <w:r w:rsidR="008A5A10">
        <w:t xml:space="preserve">professional </w:t>
      </w:r>
      <w:r w:rsidR="00E60B1D">
        <w:t xml:space="preserve">engineering </w:t>
      </w:r>
      <w:r w:rsidR="007D7BA8">
        <w:t>analysis</w:t>
      </w:r>
      <w:r w:rsidR="00D535CC">
        <w:t xml:space="preserve"> </w:t>
      </w:r>
      <w:r w:rsidR="00A03324">
        <w:t>that</w:t>
      </w:r>
      <w:r w:rsidR="00D535CC">
        <w:t xml:space="preserve"> support </w:t>
      </w:r>
      <w:r w:rsidR="00A03324">
        <w:t>the petition’s</w:t>
      </w:r>
      <w:r w:rsidR="00D535CC">
        <w:t xml:space="preserve"> claim</w:t>
      </w:r>
      <w:r w:rsidR="00A61B97">
        <w:t>s</w:t>
      </w:r>
      <w:r w:rsidR="00D535CC">
        <w:t xml:space="preserve">.  VTN </w:t>
      </w:r>
      <w:r w:rsidR="009D0DEA">
        <w:t xml:space="preserve">also asserts that in approving </w:t>
      </w:r>
      <w:r w:rsidR="002F1D92">
        <w:t xml:space="preserve">Agape’s </w:t>
      </w:r>
      <w:r w:rsidR="009D0DEA">
        <w:t>market modification request for cable carriage</w:t>
      </w:r>
      <w:r w:rsidR="002F1D92">
        <w:t xml:space="preserve"> of KVTJ</w:t>
      </w:r>
      <w:r w:rsidR="009D0DEA">
        <w:t xml:space="preserve">, the </w:t>
      </w:r>
      <w:r w:rsidR="002F1D92">
        <w:t>Bureau</w:t>
      </w:r>
      <w:r w:rsidR="009D0DEA">
        <w:t xml:space="preserve"> placed the greatest reliance on this </w:t>
      </w:r>
      <w:r w:rsidR="00D535CC">
        <w:t xml:space="preserve">second statutory </w:t>
      </w:r>
      <w:r w:rsidR="009D0DEA">
        <w:t>factor.</w:t>
      </w:r>
      <w:r w:rsidR="009D0DEA">
        <w:rPr>
          <w:rStyle w:val="FootnoteReference"/>
        </w:rPr>
        <w:footnoteReference w:id="21"/>
      </w:r>
      <w:r w:rsidR="00D535CC">
        <w:t xml:space="preserve">  </w:t>
      </w:r>
      <w:r w:rsidR="00A55345">
        <w:t xml:space="preserve">If VTN suggests that we do the same here, it must provide detailed, up-to-date, information about the digital service provided by KVTJ today.  </w:t>
      </w:r>
      <w:r w:rsidR="00D535CC">
        <w:t>We cannot rely upon KVTJ’s Grade A and B contour</w:t>
      </w:r>
      <w:r w:rsidR="002F1D92">
        <w:t xml:space="preserve"> map</w:t>
      </w:r>
      <w:r w:rsidR="00D535CC">
        <w:t>s</w:t>
      </w:r>
      <w:r w:rsidR="002F1D92">
        <w:t>,</w:t>
      </w:r>
      <w:r w:rsidR="00D535CC">
        <w:t xml:space="preserve"> which </w:t>
      </w:r>
      <w:r w:rsidR="002F1D92">
        <w:t xml:space="preserve">were submitted in 1998 and </w:t>
      </w:r>
      <w:r w:rsidR="00D535CC">
        <w:t>defined the then</w:t>
      </w:r>
      <w:r w:rsidR="002F1D92">
        <w:t>-</w:t>
      </w:r>
      <w:r w:rsidR="00D535CC">
        <w:t>analog television station’s service area</w:t>
      </w:r>
      <w:r w:rsidR="002F1D92">
        <w:t>,</w:t>
      </w:r>
      <w:r w:rsidR="00D535CC">
        <w:t xml:space="preserve"> as persuasive evidence in th</w:t>
      </w:r>
      <w:r w:rsidR="002F1D92">
        <w:t>e</w:t>
      </w:r>
      <w:r w:rsidR="00D535CC">
        <w:t xml:space="preserve"> </w:t>
      </w:r>
      <w:r w:rsidR="002F1D92">
        <w:t xml:space="preserve">instant </w:t>
      </w:r>
      <w:r w:rsidR="00D535CC">
        <w:t>case.</w:t>
      </w:r>
      <w:r w:rsidR="002F0397">
        <w:rPr>
          <w:rStyle w:val="FootnoteReference"/>
        </w:rPr>
        <w:footnoteReference w:id="22"/>
      </w:r>
      <w:r w:rsidR="009A5142">
        <w:t xml:space="preserve">  </w:t>
      </w:r>
      <w:r w:rsidR="006B4CEE">
        <w:t xml:space="preserve"> </w:t>
      </w:r>
      <w:r w:rsidR="00611948">
        <w:t xml:space="preserve">   </w:t>
      </w:r>
      <w:r w:rsidR="0058150C">
        <w:t xml:space="preserve">    </w:t>
      </w:r>
      <w:r w:rsidR="009A5142">
        <w:t xml:space="preserve">    </w:t>
      </w:r>
      <w:r w:rsidR="00D535CC">
        <w:t xml:space="preserve">  </w:t>
      </w:r>
    </w:p>
    <w:p w14:paraId="2BB17CC4" w14:textId="5D969F7C" w:rsidR="005175F3" w:rsidRDefault="00DE0690" w:rsidP="00124044">
      <w:pPr>
        <w:pStyle w:val="ParaNum"/>
        <w:jc w:val="left"/>
      </w:pPr>
      <w:r>
        <w:t>With regard to the fifth statutory factor</w:t>
      </w:r>
      <w:r w:rsidR="00B65058">
        <w:t xml:space="preserve"> </w:t>
      </w:r>
      <w:r w:rsidR="00124857">
        <w:t>(“</w:t>
      </w:r>
      <w:r w:rsidR="00124857" w:rsidRPr="006714E8">
        <w:t>evidence of viewing patterns in households that subscribe and do not subscribe to the services offered by multichannel video programming distributors within the areas served by such multichannel video programming distributors in such community</w:t>
      </w:r>
      <w:r w:rsidR="00124857">
        <w:t>”)</w:t>
      </w:r>
      <w:r w:rsidR="00B65058">
        <w:t>,</w:t>
      </w:r>
      <w:r w:rsidR="00F26EAF">
        <w:t xml:space="preserve"> VTN </w:t>
      </w:r>
      <w:r w:rsidR="006D77C6">
        <w:t xml:space="preserve">states that KVTJ does not subscribe to </w:t>
      </w:r>
      <w:r w:rsidR="007362D4">
        <w:t xml:space="preserve">the </w:t>
      </w:r>
      <w:r w:rsidR="006D77C6">
        <w:t>Nielsen</w:t>
      </w:r>
      <w:r w:rsidR="007362D4">
        <w:t xml:space="preserve"> television ratings service</w:t>
      </w:r>
      <w:r w:rsidR="006D77C6">
        <w:t xml:space="preserve">, but consistently receives letters and emails from its viewers </w:t>
      </w:r>
      <w:r w:rsidR="00336031">
        <w:t xml:space="preserve">in the Satellite Communities </w:t>
      </w:r>
      <w:r w:rsidR="006D77C6">
        <w:t>supporting the Station.</w:t>
      </w:r>
      <w:r w:rsidR="006D77C6">
        <w:rPr>
          <w:rStyle w:val="FootnoteReference"/>
        </w:rPr>
        <w:footnoteReference w:id="23"/>
      </w:r>
      <w:r w:rsidR="00544595">
        <w:t xml:space="preserve">  VTN also states that it receives a substantial number of donations from individuals living in the Satellite Communities</w:t>
      </w:r>
      <w:r w:rsidR="001A2CA0">
        <w:t>.</w:t>
      </w:r>
      <w:r w:rsidR="00544595">
        <w:rPr>
          <w:rStyle w:val="FootnoteReference"/>
        </w:rPr>
        <w:footnoteReference w:id="24"/>
      </w:r>
      <w:r w:rsidR="007451FB">
        <w:t xml:space="preserve">  </w:t>
      </w:r>
      <w:r w:rsidR="00336031">
        <w:t xml:space="preserve">Although “viewer contribution records” are </w:t>
      </w:r>
      <w:r w:rsidR="00AF2EA2">
        <w:t xml:space="preserve">responsive to the sixth evidentiary factor and </w:t>
      </w:r>
      <w:r w:rsidR="00336031">
        <w:t>relevant to our con</w:t>
      </w:r>
      <w:r w:rsidR="00A55345">
        <w:t>sideration of the fifth statutory factor,</w:t>
      </w:r>
      <w:r w:rsidR="00C96A7A">
        <w:rPr>
          <w:rStyle w:val="FootnoteReference"/>
        </w:rPr>
        <w:footnoteReference w:id="25"/>
      </w:r>
      <w:r w:rsidR="00A55345">
        <w:t xml:space="preserve"> </w:t>
      </w:r>
      <w:r w:rsidR="001A2CA0">
        <w:t xml:space="preserve">VTN does not put its submission into </w:t>
      </w:r>
      <w:r w:rsidR="00901111">
        <w:t>sufficient</w:t>
      </w:r>
      <w:r w:rsidR="001A2CA0">
        <w:t xml:space="preserve"> context </w:t>
      </w:r>
      <w:r w:rsidR="00901111">
        <w:t>to</w:t>
      </w:r>
      <w:r w:rsidR="001A2CA0">
        <w:t xml:space="preserve"> allow us to fully</w:t>
      </w:r>
      <w:r w:rsidR="005E385D">
        <w:t xml:space="preserve"> evaluate </w:t>
      </w:r>
      <w:r w:rsidR="00C96A7A">
        <w:t>it</w:t>
      </w:r>
      <w:r w:rsidR="00901111">
        <w:t>s relevance</w:t>
      </w:r>
      <w:r w:rsidR="00B46612">
        <w:t xml:space="preserve">, and as a result it </w:t>
      </w:r>
      <w:r w:rsidR="005403FE">
        <w:t>is insufficient under our</w:t>
      </w:r>
      <w:r w:rsidR="00B46612">
        <w:t xml:space="preserve"> evidentiary rules</w:t>
      </w:r>
      <w:r w:rsidR="00901111">
        <w:t xml:space="preserve">.  </w:t>
      </w:r>
      <w:r w:rsidR="008A5189">
        <w:t>D</w:t>
      </w:r>
      <w:r w:rsidR="00060FD9">
        <w:t>ata putting these contributions into a broader context</w:t>
      </w:r>
      <w:r w:rsidR="00901111" w:rsidRPr="00901111">
        <w:t>,</w:t>
      </w:r>
      <w:r w:rsidR="00060FD9">
        <w:rPr>
          <w:rStyle w:val="FootnoteReference"/>
        </w:rPr>
        <w:footnoteReference w:id="26"/>
      </w:r>
      <w:r w:rsidR="00901111" w:rsidRPr="00901111">
        <w:t xml:space="preserve"> or published audience data,</w:t>
      </w:r>
      <w:r w:rsidR="00060FD9">
        <w:rPr>
          <w:rStyle w:val="FootnoteReference"/>
        </w:rPr>
        <w:footnoteReference w:id="27"/>
      </w:r>
      <w:r w:rsidR="00901111" w:rsidRPr="00901111">
        <w:t xml:space="preserve"> </w:t>
      </w:r>
      <w:r w:rsidR="007362D4">
        <w:t xml:space="preserve">are necessary </w:t>
      </w:r>
      <w:r w:rsidR="00B46612">
        <w:t xml:space="preserve">under our rules </w:t>
      </w:r>
      <w:r w:rsidR="007362D4">
        <w:t>to</w:t>
      </w:r>
      <w:r w:rsidR="00901111" w:rsidRPr="00901111">
        <w:t xml:space="preserve"> </w:t>
      </w:r>
      <w:r w:rsidR="007362D4">
        <w:t>properly evaluate</w:t>
      </w:r>
      <w:r w:rsidR="00901111" w:rsidRPr="00901111">
        <w:t xml:space="preserve"> VTN’s </w:t>
      </w:r>
      <w:r w:rsidR="007362D4">
        <w:t>market modification request</w:t>
      </w:r>
      <w:r w:rsidR="00901111" w:rsidRPr="00901111">
        <w:t>.</w:t>
      </w:r>
    </w:p>
    <w:p w14:paraId="530C2652" w14:textId="7DF86465" w:rsidR="004A2C13" w:rsidRDefault="005175F3" w:rsidP="00124044">
      <w:pPr>
        <w:pStyle w:val="ParaNum"/>
        <w:jc w:val="left"/>
      </w:pPr>
      <w:r>
        <w:t xml:space="preserve">As we have stated, Petitions for special relief to modify satellite television markets that do not include the </w:t>
      </w:r>
      <w:r w:rsidR="005271FB">
        <w:t>required</w:t>
      </w:r>
      <w:r>
        <w:t xml:space="preserve"> evidence will be dismissed without prejudice </w:t>
      </w:r>
      <w:r w:rsidR="005271FB">
        <w:t xml:space="preserve">and may be </w:t>
      </w:r>
      <w:r>
        <w:t xml:space="preserve">refiled at a later date with the appropriate </w:t>
      </w:r>
      <w:r w:rsidR="003C5178">
        <w:t>filing fee.</w:t>
      </w:r>
      <w:r w:rsidR="003C5178">
        <w:rPr>
          <w:rStyle w:val="FootnoteReference"/>
        </w:rPr>
        <w:footnoteReference w:id="28"/>
      </w:r>
      <w:r w:rsidR="0011567D">
        <w:t xml:space="preserve">  </w:t>
      </w:r>
      <w:r w:rsidR="00F73FC4">
        <w:t xml:space="preserve">Moreover, </w:t>
      </w:r>
      <w:r w:rsidR="009E596F">
        <w:t>p</w:t>
      </w:r>
      <w:r w:rsidR="0011567D">
        <w:t>arties may submit whatever additional evidence they deem appropriate and relevant</w:t>
      </w:r>
      <w:r w:rsidR="004F3DE2">
        <w:t xml:space="preserve"> w</w:t>
      </w:r>
      <w:r w:rsidR="00891066">
        <w:t>ith</w:t>
      </w:r>
      <w:r w:rsidR="004F3DE2">
        <w:t xml:space="preserve"> the supplemented Petition </w:t>
      </w:r>
      <w:r w:rsidR="00891066">
        <w:t xml:space="preserve">when it </w:t>
      </w:r>
      <w:r w:rsidR="004F3DE2">
        <w:t>is refiled.</w:t>
      </w:r>
      <w:r w:rsidR="0011567D">
        <w:rPr>
          <w:rStyle w:val="FootnoteReference"/>
        </w:rPr>
        <w:footnoteReference w:id="29"/>
      </w:r>
      <w:r w:rsidR="00EA3D89">
        <w:t xml:space="preserve">  Petitioners may also seek waiver of any additional filing fees</w:t>
      </w:r>
      <w:r w:rsidR="002237F9">
        <w:t xml:space="preserve"> “where</w:t>
      </w:r>
      <w:r w:rsidR="00E562FD">
        <w:t xml:space="preserve"> good cause </w:t>
      </w:r>
      <w:r w:rsidR="002237F9">
        <w:t xml:space="preserve">is </w:t>
      </w:r>
      <w:r w:rsidR="00E562FD">
        <w:t>shown</w:t>
      </w:r>
      <w:r w:rsidR="002237F9" w:rsidRPr="002237F9">
        <w:t xml:space="preserve"> and where waiver or deferral of the fee would promote the public interest</w:t>
      </w:r>
      <w:r w:rsidR="00EA3D89">
        <w:t>.</w:t>
      </w:r>
      <w:r w:rsidR="002237F9">
        <w:t>”</w:t>
      </w:r>
      <w:r w:rsidR="00EA3D89">
        <w:rPr>
          <w:rStyle w:val="FootnoteReference"/>
        </w:rPr>
        <w:footnoteReference w:id="30"/>
      </w:r>
      <w:r w:rsidR="00DB6C23">
        <w:t xml:space="preserve">  </w:t>
      </w:r>
      <w:r w:rsidR="00FE775E">
        <w:t xml:space="preserve">In view of the foregoing, </w:t>
      </w:r>
      <w:r w:rsidR="00DB6C23">
        <w:t>we dismiss VTN’s Petition without prejudice</w:t>
      </w:r>
      <w:r w:rsidR="00EA3D89">
        <w:t>, and invite them to refile</w:t>
      </w:r>
      <w:r w:rsidR="007362D4">
        <w:t xml:space="preserve"> a supplemented petition that conforms to the guidance provided herein</w:t>
      </w:r>
      <w:r w:rsidR="00DB6C23">
        <w:t>.</w:t>
      </w:r>
      <w:r w:rsidR="00FD4534">
        <w:rPr>
          <w:rStyle w:val="FootnoteReference"/>
        </w:rPr>
        <w:footnoteReference w:id="31"/>
      </w:r>
      <w:r>
        <w:t xml:space="preserve">  </w:t>
      </w:r>
      <w:r w:rsidR="005E385D">
        <w:t xml:space="preserve"> </w:t>
      </w:r>
      <w:r w:rsidR="007451FB">
        <w:t xml:space="preserve">      </w:t>
      </w:r>
      <w:r w:rsidR="00544595">
        <w:t xml:space="preserve"> </w:t>
      </w:r>
      <w:r w:rsidR="00B65058">
        <w:t xml:space="preserve"> </w:t>
      </w:r>
      <w:r w:rsidR="00DE0690">
        <w:t xml:space="preserve"> </w:t>
      </w:r>
      <w:r w:rsidR="00E60B1D">
        <w:t xml:space="preserve">  </w:t>
      </w:r>
      <w:r w:rsidR="00AB119E">
        <w:t xml:space="preserve"> </w:t>
      </w:r>
      <w:r w:rsidR="00E60B1D">
        <w:t xml:space="preserve"> </w:t>
      </w:r>
      <w:r w:rsidR="00AB119E">
        <w:t xml:space="preserve"> </w:t>
      </w:r>
      <w:r w:rsidR="009D10DF">
        <w:t xml:space="preserve">   </w:t>
      </w:r>
      <w:r w:rsidR="005F4FCC">
        <w:t xml:space="preserve"> </w:t>
      </w:r>
      <w:r w:rsidR="00406E0D">
        <w:t xml:space="preserve"> </w:t>
      </w:r>
      <w:r w:rsidR="00D61562">
        <w:t xml:space="preserve"> </w:t>
      </w:r>
      <w:r w:rsidR="00CC5E71">
        <w:t xml:space="preserve">  </w:t>
      </w:r>
      <w:r w:rsidR="00F327D1">
        <w:t xml:space="preserve">  </w:t>
      </w:r>
      <w:r w:rsidR="006F752B">
        <w:t xml:space="preserve">  </w:t>
      </w:r>
      <w:r w:rsidR="0066629D">
        <w:t xml:space="preserve">  </w:t>
      </w:r>
      <w:r w:rsidR="00BB76F2">
        <w:t xml:space="preserve"> </w:t>
      </w:r>
      <w:r w:rsidR="00AF3D57">
        <w:t xml:space="preserve"> </w:t>
      </w:r>
      <w:r w:rsidR="00EC44B6">
        <w:t xml:space="preserve"> </w:t>
      </w:r>
      <w:r w:rsidR="00D22304">
        <w:t xml:space="preserve"> </w:t>
      </w:r>
      <w:r w:rsidR="00EC44B6">
        <w:t xml:space="preserve"> </w:t>
      </w:r>
      <w:r w:rsidR="00F662EC">
        <w:t xml:space="preserve"> </w:t>
      </w:r>
      <w:r w:rsidR="002F0117">
        <w:t xml:space="preserve"> </w:t>
      </w:r>
      <w:r w:rsidR="00FD673D">
        <w:t xml:space="preserve">   </w:t>
      </w:r>
      <w:r w:rsidR="00BE1C75">
        <w:t xml:space="preserve">    </w:t>
      </w:r>
      <w:r w:rsidR="0049654A">
        <w:t xml:space="preserve"> </w:t>
      </w:r>
    </w:p>
    <w:p w14:paraId="1426FDB2" w14:textId="77777777" w:rsidR="00AE46A5" w:rsidRDefault="005010A3" w:rsidP="00904E56">
      <w:pPr>
        <w:pStyle w:val="Heading1"/>
      </w:pPr>
      <w:r>
        <w:t>O</w:t>
      </w:r>
      <w:r w:rsidR="00E83887">
        <w:t>R</w:t>
      </w:r>
      <w:r w:rsidR="00AE46A5">
        <w:t>DERING CLAUSES</w:t>
      </w:r>
    </w:p>
    <w:p w14:paraId="36DF4A57" w14:textId="77777777" w:rsidR="00AE46A5" w:rsidRPr="00E861B8" w:rsidRDefault="00AE46A5" w:rsidP="004C6A72">
      <w:pPr>
        <w:pStyle w:val="ParaNum"/>
        <w:numPr>
          <w:ilvl w:val="0"/>
          <w:numId w:val="19"/>
        </w:numPr>
        <w:tabs>
          <w:tab w:val="clear" w:pos="1080"/>
        </w:tabs>
        <w:jc w:val="left"/>
      </w:pPr>
      <w:r>
        <w:t xml:space="preserve">Accordingly, </w:t>
      </w:r>
      <w:r>
        <w:rPr>
          <w:b/>
        </w:rPr>
        <w:t>IT IS ORDERED,</w:t>
      </w:r>
      <w:r>
        <w:t xml:space="preserve"> pursuant to Section </w:t>
      </w:r>
      <w:r w:rsidR="004A7481">
        <w:t>338</w:t>
      </w:r>
      <w:r>
        <w:t xml:space="preserve"> of the Communications Act of 1934, as amended, 47 U.S.C. §</w:t>
      </w:r>
      <w:r w:rsidR="004A7481">
        <w:t>338</w:t>
      </w:r>
      <w:r>
        <w:t xml:space="preserve">, and Section 76.59 of the Commission’s rules, 47 C.F.R. §76.59, that the captioned petition for special relief </w:t>
      </w:r>
      <w:r w:rsidR="00A92C76">
        <w:t xml:space="preserve">(MB Docket No. </w:t>
      </w:r>
      <w:r w:rsidR="004A7481">
        <w:t>16</w:t>
      </w:r>
      <w:r w:rsidR="00A92C76">
        <w:t>-</w:t>
      </w:r>
      <w:r w:rsidR="004A7481">
        <w:t>416</w:t>
      </w:r>
      <w:r w:rsidR="00F65557">
        <w:t>,</w:t>
      </w:r>
      <w:r w:rsidR="00A92C76">
        <w:t xml:space="preserve"> CSR 8</w:t>
      </w:r>
      <w:r w:rsidR="00F65557">
        <w:t>9</w:t>
      </w:r>
      <w:r w:rsidR="004A7481">
        <w:t>31</w:t>
      </w:r>
      <w:r w:rsidR="00A92C76">
        <w:t>-</w:t>
      </w:r>
      <w:r w:rsidR="00032E5F">
        <w:t>A</w:t>
      </w:r>
      <w:r w:rsidR="00A92C76">
        <w:t xml:space="preserve">) </w:t>
      </w:r>
      <w:r>
        <w:t xml:space="preserve">filed by </w:t>
      </w:r>
      <w:r w:rsidR="008E2FBC">
        <w:t xml:space="preserve">Victory Television Network, Inc., </w:t>
      </w:r>
      <w:r>
        <w:rPr>
          <w:b/>
        </w:rPr>
        <w:t xml:space="preserve">IS </w:t>
      </w:r>
      <w:r w:rsidR="008E2FBC">
        <w:rPr>
          <w:b/>
        </w:rPr>
        <w:t>DISMISSED WITHOUT PREJUDICE</w:t>
      </w:r>
      <w:r w:rsidR="00606E7B">
        <w:rPr>
          <w:b/>
        </w:rPr>
        <w:t>.</w:t>
      </w:r>
    </w:p>
    <w:p w14:paraId="2F33B9AF" w14:textId="3D30747F" w:rsidR="00E861B8" w:rsidRPr="00F57316" w:rsidRDefault="00E861B8" w:rsidP="004C6A72">
      <w:pPr>
        <w:pStyle w:val="ParaNum"/>
        <w:numPr>
          <w:ilvl w:val="0"/>
          <w:numId w:val="19"/>
        </w:numPr>
        <w:tabs>
          <w:tab w:val="clear" w:pos="1080"/>
        </w:tabs>
        <w:jc w:val="left"/>
      </w:pPr>
      <w:r>
        <w:t>This action is taken pursuant to authority delegated by Section 0.283</w:t>
      </w:r>
      <w:r w:rsidR="00150C98">
        <w:t xml:space="preserve">, </w:t>
      </w:r>
      <w:r w:rsidR="000676AC">
        <w:t>47 C.F.R. §0.283</w:t>
      </w:r>
      <w:r w:rsidR="00150C98">
        <w:t>,</w:t>
      </w:r>
      <w:r>
        <w:t xml:space="preserve"> of the Commission’s rules.</w:t>
      </w:r>
      <w:r w:rsidR="00E31F0E">
        <w:rPr>
          <w:rStyle w:val="FootnoteReference"/>
        </w:rPr>
        <w:footnoteReference w:id="32"/>
      </w:r>
    </w:p>
    <w:p w14:paraId="071ECC8D" w14:textId="77777777" w:rsidR="00F241A0" w:rsidRDefault="00F241A0">
      <w:pPr>
        <w:pStyle w:val="ParaNum"/>
        <w:numPr>
          <w:ilvl w:val="0"/>
          <w:numId w:val="0"/>
        </w:numPr>
        <w:spacing w:after="0"/>
      </w:pPr>
    </w:p>
    <w:p w14:paraId="4399F6FE" w14:textId="77777777" w:rsidR="003B01B1" w:rsidRDefault="003B01B1" w:rsidP="003B01B1">
      <w:pPr>
        <w:pStyle w:val="ParaNum"/>
        <w:numPr>
          <w:ilvl w:val="0"/>
          <w:numId w:val="0"/>
        </w:numPr>
      </w:pPr>
      <w:r>
        <w:tab/>
      </w:r>
      <w:r>
        <w:tab/>
      </w:r>
      <w:r>
        <w:tab/>
      </w:r>
      <w:r>
        <w:tab/>
      </w:r>
      <w:r>
        <w:tab/>
        <w:t>FEDERAL COMMUNICATIONS COMMISSION</w:t>
      </w:r>
    </w:p>
    <w:p w14:paraId="5F0525B1" w14:textId="6A39EF1D" w:rsidR="00954EAA" w:rsidRDefault="00954EAA" w:rsidP="003B01B1">
      <w:pPr>
        <w:pStyle w:val="ParaNum"/>
        <w:numPr>
          <w:ilvl w:val="0"/>
          <w:numId w:val="0"/>
        </w:numPr>
      </w:pPr>
    </w:p>
    <w:p w14:paraId="2948D5AC" w14:textId="77777777" w:rsidR="00136906" w:rsidRDefault="00136906" w:rsidP="003B01B1">
      <w:pPr>
        <w:pStyle w:val="ParaNum"/>
        <w:numPr>
          <w:ilvl w:val="0"/>
          <w:numId w:val="0"/>
        </w:numPr>
      </w:pPr>
    </w:p>
    <w:p w14:paraId="48CE1821" w14:textId="77777777" w:rsidR="003B01B1" w:rsidRDefault="003B01B1" w:rsidP="003B01B1">
      <w:pPr>
        <w:pStyle w:val="ParaNum"/>
        <w:numPr>
          <w:ilvl w:val="0"/>
          <w:numId w:val="0"/>
        </w:numPr>
        <w:spacing w:after="0"/>
      </w:pPr>
      <w:r>
        <w:tab/>
      </w:r>
      <w:r>
        <w:tab/>
      </w:r>
      <w:r>
        <w:tab/>
      </w:r>
      <w:r>
        <w:tab/>
      </w:r>
      <w:r>
        <w:tab/>
        <w:t xml:space="preserve"> Steven A. Broeckaert</w:t>
      </w:r>
      <w:r>
        <w:tab/>
      </w:r>
      <w:r>
        <w:tab/>
      </w:r>
      <w:r>
        <w:tab/>
      </w:r>
      <w:r>
        <w:tab/>
      </w:r>
      <w:r>
        <w:tab/>
      </w:r>
    </w:p>
    <w:p w14:paraId="258080D5" w14:textId="77777777" w:rsidR="003B01B1" w:rsidRDefault="003B01B1" w:rsidP="003B01B1">
      <w:pPr>
        <w:pStyle w:val="ParaNum"/>
        <w:numPr>
          <w:ilvl w:val="0"/>
          <w:numId w:val="0"/>
        </w:numPr>
        <w:spacing w:after="0"/>
      </w:pPr>
      <w:r>
        <w:tab/>
      </w:r>
      <w:r>
        <w:tab/>
      </w:r>
      <w:r>
        <w:tab/>
      </w:r>
      <w:r>
        <w:tab/>
      </w:r>
      <w:r>
        <w:tab/>
        <w:t xml:space="preserve"> Senior Deputy Chief, Policy Division, Media Bureau</w:t>
      </w:r>
    </w:p>
    <w:sectPr w:rsidR="003B01B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4" w:right="1440" w:bottom="1440" w:left="1440" w:header="720" w:footer="4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0C0E3" w14:textId="77777777" w:rsidR="004F029E" w:rsidRDefault="004F029E">
      <w:pPr>
        <w:spacing w:line="20" w:lineRule="exact"/>
      </w:pPr>
    </w:p>
  </w:endnote>
  <w:endnote w:type="continuationSeparator" w:id="0">
    <w:p w14:paraId="6ACC9E44" w14:textId="77777777" w:rsidR="004F029E" w:rsidRDefault="004F029E">
      <w:r>
        <w:t xml:space="preserve"> </w:t>
      </w:r>
    </w:p>
  </w:endnote>
  <w:endnote w:type="continuationNotice" w:id="1">
    <w:p w14:paraId="2EF64C08" w14:textId="77777777" w:rsidR="004F029E" w:rsidRDefault="004F029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B147" w14:textId="77777777" w:rsidR="00F53932" w:rsidRDefault="00F53932">
    <w:pPr>
      <w:pStyle w:val="Footer"/>
      <w:framePr w:wrap="around" w:vAnchor="text" w:hAnchor="margin" w:xAlign="center" w:y="1"/>
    </w:pPr>
    <w:r>
      <w:fldChar w:fldCharType="begin"/>
    </w:r>
    <w:r>
      <w:instrText xml:space="preserve">PAGE  </w:instrText>
    </w:r>
    <w:r>
      <w:fldChar w:fldCharType="end"/>
    </w:r>
  </w:p>
  <w:p w14:paraId="73F9B07B" w14:textId="77777777" w:rsidR="00F53932" w:rsidRDefault="00F53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DE44D" w14:textId="41003785" w:rsidR="00F53932" w:rsidRDefault="00F53932">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sidR="000C7271">
      <w:rPr>
        <w:rStyle w:val="PageNumber"/>
        <w:noProof/>
        <w:sz w:val="20"/>
      </w:rPr>
      <w:t>2</w:t>
    </w:r>
    <w:r>
      <w:rPr>
        <w:rStyle w:val="PageNumber"/>
        <w:sz w:val="20"/>
      </w:rPr>
      <w:fldChar w:fldCharType="end"/>
    </w:r>
  </w:p>
  <w:p w14:paraId="5CDC49DE" w14:textId="77777777" w:rsidR="00F53932" w:rsidRDefault="00F53932">
    <w:pPr>
      <w:suppressAutoHyphens/>
      <w:spacing w:line="227" w:lineRule="auto"/>
    </w:pPr>
  </w:p>
  <w:p w14:paraId="0A0AB912" w14:textId="77777777" w:rsidR="00F53932" w:rsidRDefault="00F539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660C8" w14:textId="77777777" w:rsidR="00F53932" w:rsidRDefault="00F5393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1661F" w14:textId="77777777" w:rsidR="004F029E" w:rsidRDefault="004F029E">
      <w:r>
        <w:separator/>
      </w:r>
    </w:p>
  </w:footnote>
  <w:footnote w:type="continuationSeparator" w:id="0">
    <w:p w14:paraId="60BACAE3" w14:textId="77777777" w:rsidR="004F029E" w:rsidRDefault="004F029E">
      <w:pPr>
        <w:pStyle w:val="Footer"/>
      </w:pPr>
      <w:r>
        <w:separator/>
      </w:r>
    </w:p>
    <w:p w14:paraId="790641F3" w14:textId="77777777" w:rsidR="004F029E" w:rsidRDefault="004F029E">
      <w:pPr>
        <w:pStyle w:val="Footer"/>
      </w:pPr>
      <w:r>
        <w:t>(…continued from previous page)</w:t>
      </w:r>
    </w:p>
  </w:footnote>
  <w:footnote w:type="continuationNotice" w:id="1">
    <w:p w14:paraId="7375B9B5" w14:textId="77777777" w:rsidR="004F029E" w:rsidRDefault="004F029E">
      <w:pPr>
        <w:jc w:val="right"/>
        <w:rPr>
          <w:sz w:val="20"/>
        </w:rPr>
      </w:pPr>
      <w:r>
        <w:rPr>
          <w:sz w:val="20"/>
        </w:rPr>
        <w:t>(continued…)</w:t>
      </w:r>
    </w:p>
  </w:footnote>
  <w:footnote w:id="2">
    <w:p w14:paraId="286DD09D" w14:textId="141879F1" w:rsidR="00ED601B" w:rsidRDefault="00ED601B">
      <w:pPr>
        <w:pStyle w:val="FootnoteText"/>
      </w:pPr>
      <w:r>
        <w:rPr>
          <w:rStyle w:val="FootnoteReference"/>
        </w:rPr>
        <w:footnoteRef/>
      </w:r>
      <w:r>
        <w:t xml:space="preserve"> Petition for Special Relief of Victory Television Network, Inc., MB Docket No. 16-416 (filed December 14, 2017) (Victory Petition for Special Relief), </w:t>
      </w:r>
      <w:r w:rsidRPr="00C5454C">
        <w:t>http://www.fcc.gov/ecfs/filing</w:t>
      </w:r>
      <w:r>
        <w:t xml:space="preserve">.  The Media Bureau placed the Petition on public notice on December 22, 2016.  </w:t>
      </w:r>
      <w:r>
        <w:rPr>
          <w:i/>
        </w:rPr>
        <w:t>Special Relief and Show Cause Petitions</w:t>
      </w:r>
      <w:r>
        <w:t xml:space="preserve">, </w:t>
      </w:r>
      <w:r w:rsidR="008B321E">
        <w:t>Public Notice, Report No. 0449 (MB Dec. 22, 2016) (</w:t>
      </w:r>
      <w:r w:rsidR="008B321E">
        <w:rPr>
          <w:i/>
        </w:rPr>
        <w:t>Victory Petition for Special Relief Public Notice</w:t>
      </w:r>
      <w:r w:rsidR="008B321E">
        <w:t xml:space="preserve">).   </w:t>
      </w:r>
      <w:r>
        <w:t xml:space="preserve"> </w:t>
      </w:r>
      <w:r>
        <w:rPr>
          <w:i/>
        </w:rPr>
        <w:t xml:space="preserve"> </w:t>
      </w:r>
      <w:r>
        <w:t xml:space="preserve">    </w:t>
      </w:r>
    </w:p>
  </w:footnote>
  <w:footnote w:id="3">
    <w:p w14:paraId="25DF65AD" w14:textId="76714B82" w:rsidR="00DC5AAA" w:rsidRDefault="00DC5AAA">
      <w:pPr>
        <w:pStyle w:val="FootnoteText"/>
      </w:pPr>
      <w:r>
        <w:rPr>
          <w:rStyle w:val="FootnoteReference"/>
        </w:rPr>
        <w:footnoteRef/>
      </w:r>
      <w:r>
        <w:t xml:space="preserve"> We also invite VTN, at its discretion, to file for waiver of the filing fee</w:t>
      </w:r>
      <w:r w:rsidR="00892183">
        <w:t xml:space="preserve"> if its chooses to resubmit its petition</w:t>
      </w:r>
      <w:r>
        <w:t xml:space="preserve">.  </w:t>
      </w:r>
      <w:r w:rsidR="00991E20">
        <w:t xml:space="preserve">Waivers of filing fees are granted </w:t>
      </w:r>
      <w:r w:rsidR="002237F9">
        <w:t>“where good cause is shown</w:t>
      </w:r>
      <w:r w:rsidR="002237F9" w:rsidRPr="002237F9">
        <w:t xml:space="preserve"> and where waiver or deferral of the fee would promote the public interest</w:t>
      </w:r>
      <w:r w:rsidR="002237F9">
        <w:t>.”</w:t>
      </w:r>
      <w:r w:rsidR="00991E20">
        <w:t xml:space="preserve">  </w:t>
      </w:r>
      <w:r w:rsidR="000B429B">
        <w:t>These petitions are reviewed by the Managing Director of the Commis</w:t>
      </w:r>
      <w:r w:rsidR="006D5FDE">
        <w:t>s</w:t>
      </w:r>
      <w:r w:rsidR="000B429B">
        <w:t xml:space="preserve">ion, rather than the Media Bureau.  </w:t>
      </w:r>
      <w:r w:rsidR="000B429B">
        <w:rPr>
          <w:i/>
        </w:rPr>
        <w:t xml:space="preserve">See </w:t>
      </w:r>
      <w:r w:rsidR="000B429B">
        <w:t xml:space="preserve">47 C.F.R. §§§ 1.1115, 1.1119 and 1.1166.  </w:t>
      </w:r>
      <w:r w:rsidR="00991E20">
        <w:t xml:space="preserve">  </w:t>
      </w:r>
    </w:p>
  </w:footnote>
  <w:footnote w:id="4">
    <w:p w14:paraId="6549C15E" w14:textId="77777777" w:rsidR="009019D8" w:rsidRPr="000334A1" w:rsidRDefault="009019D8" w:rsidP="00136906">
      <w:pPr>
        <w:pStyle w:val="FootnoteText"/>
        <w:jc w:val="left"/>
      </w:pPr>
      <w:r w:rsidRPr="000334A1">
        <w:rPr>
          <w:rStyle w:val="FootnoteReference"/>
        </w:rPr>
        <w:footnoteRef/>
      </w:r>
      <w:r w:rsidRPr="000334A1">
        <w:t xml:space="preserve"> A community is defined as a county for purposes of the satellite market modification rules.  47 CFR § 76.5(gg)(2).</w:t>
      </w:r>
    </w:p>
  </w:footnote>
  <w:footnote w:id="5">
    <w:p w14:paraId="598C106F" w14:textId="77777777" w:rsidR="009019D8" w:rsidRDefault="009019D8" w:rsidP="00136906">
      <w:pPr>
        <w:pStyle w:val="FootnoteText"/>
        <w:jc w:val="left"/>
      </w:pPr>
      <w:r w:rsidRPr="000334A1">
        <w:rPr>
          <w:rStyle w:val="FootnoteReference"/>
        </w:rPr>
        <w:footnoteRef/>
      </w:r>
      <w:r w:rsidRPr="000334A1">
        <w:t xml:space="preserve"> </w:t>
      </w:r>
      <w:r>
        <w:t>The five statutory factors are:</w:t>
      </w:r>
    </w:p>
    <w:p w14:paraId="6D5F51A1" w14:textId="77777777" w:rsidR="009019D8" w:rsidRPr="006F560F" w:rsidRDefault="009019D8" w:rsidP="00136906">
      <w:pPr>
        <w:pStyle w:val="FootnoteText"/>
        <w:numPr>
          <w:ilvl w:val="0"/>
          <w:numId w:val="38"/>
        </w:numPr>
        <w:jc w:val="left"/>
      </w:pPr>
      <w:r w:rsidRPr="006F560F">
        <w:t>whether the station, or other stations located in the same area—(a) have been historically carried on the cable system or systems within such community; and (b) have been historically carried on the satellite carrier or carriers serving such community;</w:t>
      </w:r>
    </w:p>
    <w:p w14:paraId="7CCB8F7C" w14:textId="77777777" w:rsidR="009019D8" w:rsidRPr="006F560F" w:rsidRDefault="009019D8" w:rsidP="00136906">
      <w:pPr>
        <w:pStyle w:val="FootnoteText"/>
        <w:numPr>
          <w:ilvl w:val="0"/>
          <w:numId w:val="38"/>
        </w:numPr>
        <w:jc w:val="left"/>
      </w:pPr>
      <w:r w:rsidRPr="006F560F">
        <w:t>whether the television station provides coverage or other local service to such community;</w:t>
      </w:r>
    </w:p>
    <w:p w14:paraId="284C8DF2" w14:textId="77777777" w:rsidR="009019D8" w:rsidRPr="006F560F" w:rsidRDefault="009019D8" w:rsidP="00136906">
      <w:pPr>
        <w:pStyle w:val="FootnoteText"/>
        <w:numPr>
          <w:ilvl w:val="0"/>
          <w:numId w:val="38"/>
        </w:numPr>
        <w:jc w:val="left"/>
      </w:pPr>
      <w:r w:rsidRPr="006F560F">
        <w:t>whether modifying the local market of the television station would promote consumers’ access to television broadcast station signals that originate in their State of residence;</w:t>
      </w:r>
    </w:p>
    <w:p w14:paraId="1BEE472C" w14:textId="77777777" w:rsidR="009019D8" w:rsidRPr="006F560F" w:rsidRDefault="009019D8" w:rsidP="00136906">
      <w:pPr>
        <w:pStyle w:val="FootnoteText"/>
        <w:numPr>
          <w:ilvl w:val="0"/>
          <w:numId w:val="38"/>
        </w:numPr>
        <w:jc w:val="left"/>
      </w:pPr>
      <w:r w:rsidRPr="006F560F">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14:paraId="1F2D16B0" w14:textId="77777777" w:rsidR="009019D8" w:rsidRPr="006F560F" w:rsidRDefault="009019D8" w:rsidP="00136906">
      <w:pPr>
        <w:pStyle w:val="FootnoteText"/>
        <w:numPr>
          <w:ilvl w:val="0"/>
          <w:numId w:val="38"/>
        </w:numPr>
        <w:jc w:val="left"/>
      </w:pPr>
      <w:r w:rsidRPr="006F560F">
        <w:t>evidence of viewing patterns in households that subscribe and do not subscribe to the services offered by multichannel video programming distributors within the areas served by such multichannel video programming distributors in such community.</w:t>
      </w:r>
    </w:p>
    <w:p w14:paraId="1FCC1E27" w14:textId="77777777" w:rsidR="009019D8" w:rsidRPr="000334A1" w:rsidRDefault="009019D8" w:rsidP="00136906">
      <w:pPr>
        <w:pStyle w:val="FootnoteText"/>
        <w:jc w:val="left"/>
      </w:pPr>
      <w:r w:rsidRPr="000334A1">
        <w:t>47 U.S.C. § 338(l)(2)(B)(i)-(v)</w:t>
      </w:r>
      <w:r>
        <w:t xml:space="preserve"> (</w:t>
      </w:r>
      <w:r w:rsidRPr="005A38AE">
        <w:rPr>
          <w:i/>
        </w:rPr>
        <w:t>see also</w:t>
      </w:r>
      <w:r>
        <w:t xml:space="preserve"> the identical language at 47 U.S.C. § 534(h)(1)(C)(ii)(I)-(V), governing cable market modification petitions)</w:t>
      </w:r>
      <w:r w:rsidRPr="000334A1">
        <w:t>.</w:t>
      </w:r>
    </w:p>
  </w:footnote>
  <w:footnote w:id="6">
    <w:p w14:paraId="74AD8B31" w14:textId="77777777" w:rsidR="009019D8" w:rsidRPr="004D3720" w:rsidRDefault="009019D8" w:rsidP="00136906">
      <w:pPr>
        <w:pStyle w:val="FootnoteText"/>
        <w:jc w:val="left"/>
      </w:pPr>
      <w:r w:rsidRPr="000334A1">
        <w:rPr>
          <w:rStyle w:val="FootnoteReference"/>
        </w:rPr>
        <w:footnoteRef/>
      </w:r>
      <w:r w:rsidRPr="000334A1">
        <w:t xml:space="preserve"> </w:t>
      </w:r>
      <w:r w:rsidRPr="004D3720">
        <w:t>The Commission’s rules require that the following evidence be submitted:</w:t>
      </w:r>
    </w:p>
    <w:p w14:paraId="40C1CC83" w14:textId="77777777" w:rsidR="009019D8" w:rsidRPr="004D3720" w:rsidRDefault="009019D8" w:rsidP="00136906">
      <w:pPr>
        <w:pStyle w:val="FootnoteText"/>
        <w:numPr>
          <w:ilvl w:val="0"/>
          <w:numId w:val="39"/>
        </w:numPr>
        <w:jc w:val="left"/>
      </w:pPr>
      <w:r w:rsidRPr="004D3720">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14:paraId="65CFA537" w14:textId="77777777" w:rsidR="009019D8" w:rsidRPr="004D3720" w:rsidRDefault="009019D8" w:rsidP="00136906">
      <w:pPr>
        <w:pStyle w:val="FootnoteText"/>
        <w:numPr>
          <w:ilvl w:val="0"/>
          <w:numId w:val="39"/>
        </w:numPr>
        <w:jc w:val="left"/>
      </w:pPr>
      <w:r w:rsidRPr="004D3720">
        <w:t>Noise-limited service contour maps delineating the station’s technical service area and showing the location of the cable system headends or satellite carrier local receive facilities and communities in relation to the service areas;</w:t>
      </w:r>
    </w:p>
    <w:p w14:paraId="6A0210D6" w14:textId="77777777" w:rsidR="009019D8" w:rsidRPr="004D3720" w:rsidRDefault="009019D8" w:rsidP="00136906">
      <w:pPr>
        <w:pStyle w:val="FootnoteText"/>
        <w:numPr>
          <w:ilvl w:val="0"/>
          <w:numId w:val="39"/>
        </w:numPr>
        <w:jc w:val="left"/>
      </w:pPr>
      <w:r w:rsidRPr="004D3720">
        <w:t>Available data on shopping and labor patterns in the local market;</w:t>
      </w:r>
    </w:p>
    <w:p w14:paraId="6C4CC41F" w14:textId="77777777" w:rsidR="009019D8" w:rsidRPr="004D3720" w:rsidRDefault="009019D8" w:rsidP="00136906">
      <w:pPr>
        <w:pStyle w:val="FootnoteText"/>
        <w:numPr>
          <w:ilvl w:val="0"/>
          <w:numId w:val="39"/>
        </w:numPr>
        <w:jc w:val="left"/>
      </w:pPr>
      <w:r w:rsidRPr="004D3720">
        <w:t>Television station programming information derived from station logs or the local edition of the television guide;</w:t>
      </w:r>
    </w:p>
    <w:p w14:paraId="580CC60E" w14:textId="77777777" w:rsidR="009019D8" w:rsidRPr="004D3720" w:rsidRDefault="009019D8" w:rsidP="00136906">
      <w:pPr>
        <w:pStyle w:val="FootnoteText"/>
        <w:numPr>
          <w:ilvl w:val="0"/>
          <w:numId w:val="39"/>
        </w:numPr>
        <w:jc w:val="left"/>
      </w:pPr>
      <w:r w:rsidRPr="004D3720">
        <w:t>Cable system or satellite carrier channel line-up cards or other exhibits establishing historic carriage, such as television guide listings;</w:t>
      </w:r>
    </w:p>
    <w:p w14:paraId="7D16FD65" w14:textId="77777777" w:rsidR="009019D8" w:rsidRPr="004D3720" w:rsidRDefault="009019D8" w:rsidP="00136906">
      <w:pPr>
        <w:pStyle w:val="FootnoteText"/>
        <w:numPr>
          <w:ilvl w:val="0"/>
          <w:numId w:val="39"/>
        </w:numPr>
        <w:jc w:val="left"/>
      </w:pPr>
      <w:r w:rsidRPr="004D3720">
        <w:t>Published audience data for the relevant station showing its average all day audience (</w:t>
      </w:r>
      <w:r w:rsidRPr="004D3720">
        <w:rPr>
          <w:i/>
          <w:iCs/>
        </w:rPr>
        <w:t>i.e.</w:t>
      </w:r>
      <w:r w:rsidRPr="004D3720">
        <w:t>, the reported audience averaged over Sunday-Saturday, 7 a.m.-1 a.m., or an equivalent time period) for both multichannel video programming distributor (MVPD) and non-MVPD households or other specific audience information, such as station advertising and sales data or viewer contribution records; and</w:t>
      </w:r>
    </w:p>
    <w:p w14:paraId="7604049F" w14:textId="77777777" w:rsidR="009019D8" w:rsidRDefault="009019D8" w:rsidP="00136906">
      <w:pPr>
        <w:pStyle w:val="FootnoteText"/>
        <w:numPr>
          <w:ilvl w:val="0"/>
          <w:numId w:val="39"/>
        </w:numPr>
        <w:jc w:val="left"/>
      </w:pPr>
      <w:r w:rsidRPr="004D3720">
        <w:t>If applicable, a statement that the station is licensed to a community within the same state as the relevant community.</w:t>
      </w:r>
    </w:p>
    <w:p w14:paraId="13324E90" w14:textId="77777777" w:rsidR="009019D8" w:rsidRPr="000334A1" w:rsidRDefault="009019D8" w:rsidP="00136906">
      <w:pPr>
        <w:pStyle w:val="FootnoteText"/>
        <w:jc w:val="left"/>
      </w:pPr>
      <w:r w:rsidRPr="000334A1">
        <w:t>47 CFR § 76.59(b)(1)-(7)</w:t>
      </w:r>
      <w:r>
        <w:t xml:space="preserve"> (governing both cable and satellite market modification petitions)</w:t>
      </w:r>
      <w:r w:rsidRPr="000334A1">
        <w:t>.</w:t>
      </w:r>
      <w:r>
        <w:t xml:space="preserve">  </w:t>
      </w:r>
    </w:p>
  </w:footnote>
  <w:footnote w:id="7">
    <w:p w14:paraId="0BFC951A" w14:textId="77777777" w:rsidR="009019D8" w:rsidRPr="000334A1" w:rsidRDefault="009019D8" w:rsidP="00136906">
      <w:pPr>
        <w:pStyle w:val="FootnoteText"/>
        <w:jc w:val="left"/>
      </w:pPr>
      <w:r w:rsidRPr="000334A1">
        <w:rPr>
          <w:rStyle w:val="FootnoteReference"/>
        </w:rPr>
        <w:footnoteRef/>
      </w:r>
      <w:r w:rsidRPr="000334A1">
        <w:t xml:space="preserve"> </w:t>
      </w:r>
      <w:r>
        <w:t>47 CFR § 76.59(c</w:t>
      </w:r>
      <w:r w:rsidRPr="000334A1">
        <w:t>).</w:t>
      </w:r>
    </w:p>
  </w:footnote>
  <w:footnote w:id="8">
    <w:p w14:paraId="28D7CFAC" w14:textId="77777777" w:rsidR="0032482F" w:rsidRDefault="0032482F" w:rsidP="00136906">
      <w:pPr>
        <w:pStyle w:val="FootnoteText"/>
        <w:jc w:val="left"/>
      </w:pPr>
      <w:r>
        <w:rPr>
          <w:rStyle w:val="FootnoteReference"/>
        </w:rPr>
        <w:footnoteRef/>
      </w:r>
      <w:r>
        <w:t xml:space="preserve"> A “community” in the cable context makes up a smaller area than in the satellite context.  </w:t>
      </w:r>
      <w:r>
        <w:rPr>
          <w:i/>
        </w:rPr>
        <w:t xml:space="preserve">Amendment to the Commission’s Rules Concerning Market Modification; Implementation of Section 102 of the STELA Reauthorization Act of 2014; </w:t>
      </w:r>
      <w:r>
        <w:t>MB Docker No. 15-71, Report and Order, 30 FCC Rcd at 10443-10446, paras. 54-58 (2015) (</w:t>
      </w:r>
      <w:r>
        <w:rPr>
          <w:i/>
        </w:rPr>
        <w:t>STELAR Market Modification Report and Order</w:t>
      </w:r>
      <w:r>
        <w:t>).  VTN asserts that the cable communities at issue in the earlier case, when taken together, fully overlap the Satellite Communities.</w:t>
      </w:r>
    </w:p>
  </w:footnote>
  <w:footnote w:id="9">
    <w:p w14:paraId="7A46C7EE" w14:textId="77777777" w:rsidR="0032482F" w:rsidRPr="00394526" w:rsidRDefault="0032482F" w:rsidP="00136906">
      <w:pPr>
        <w:pStyle w:val="FootnoteText"/>
        <w:jc w:val="left"/>
      </w:pPr>
      <w:r>
        <w:rPr>
          <w:rStyle w:val="FootnoteReference"/>
        </w:rPr>
        <w:footnoteRef/>
      </w:r>
      <w:r>
        <w:t xml:space="preserve"> Petition at 2 (citing</w:t>
      </w:r>
      <w:r>
        <w:rPr>
          <w:i/>
        </w:rPr>
        <w:t xml:space="preserve"> Agape Church, Inc. for Modification of Station KVTJ(TV)’s ADI, </w:t>
      </w:r>
      <w:r>
        <w:t>14 FCC Rcd 2309 (1999) (“</w:t>
      </w:r>
      <w:r>
        <w:rPr>
          <w:i/>
        </w:rPr>
        <w:t>Agape Church, Inc.</w:t>
      </w:r>
      <w:r>
        <w:t xml:space="preserve">”)).  KVTJ is a specialty station that airs religious programming.  </w:t>
      </w:r>
      <w:r>
        <w:rPr>
          <w:i/>
        </w:rPr>
        <w:t>Id.</w:t>
      </w:r>
      <w:r>
        <w:t xml:space="preserve"> at 6.</w:t>
      </w:r>
    </w:p>
  </w:footnote>
  <w:footnote w:id="10">
    <w:p w14:paraId="0870FC7C" w14:textId="77777777" w:rsidR="0032482F" w:rsidRPr="003D5B55" w:rsidRDefault="0032482F" w:rsidP="00136906">
      <w:pPr>
        <w:pStyle w:val="FootnoteText"/>
        <w:jc w:val="left"/>
      </w:pPr>
      <w:r>
        <w:rPr>
          <w:rStyle w:val="FootnoteReference"/>
        </w:rPr>
        <w:footnoteRef/>
      </w:r>
      <w:r>
        <w:t xml:space="preserve"> Petition at 2.  Although the factors for cable and satellite market modifications are identical (see </w:t>
      </w:r>
      <w:r w:rsidRPr="001C7018">
        <w:rPr>
          <w:i/>
        </w:rPr>
        <w:t>supra</w:t>
      </w:r>
      <w:r>
        <w:t xml:space="preserve"> note 4), they have changed since the Bureau decided </w:t>
      </w:r>
      <w:r w:rsidRPr="00F80F3C">
        <w:rPr>
          <w:i/>
        </w:rPr>
        <w:t>Agape Church, Inc.</w:t>
      </w:r>
      <w:r>
        <w:t xml:space="preserve">  47 U.S.C. § 534(h)(1)(C)(ii)(I)-(V); 47 U.S.C. § 338(1)(2)(B)(i)-(v).</w:t>
      </w:r>
    </w:p>
  </w:footnote>
  <w:footnote w:id="11">
    <w:p w14:paraId="7192E0CF" w14:textId="77777777" w:rsidR="0032482F" w:rsidRPr="00207F36" w:rsidRDefault="0032482F" w:rsidP="00136906">
      <w:pPr>
        <w:pStyle w:val="FootnoteText"/>
        <w:jc w:val="left"/>
      </w:pPr>
      <w:r>
        <w:rPr>
          <w:rStyle w:val="FootnoteReference"/>
        </w:rPr>
        <w:footnoteRef/>
      </w:r>
      <w:r>
        <w:t xml:space="preserve"> The 1998 petition was filed by Agape Church, Inc. (Agape), the previous permittee/licensee of KVTJ. </w:t>
      </w:r>
      <w:r>
        <w:rPr>
          <w:i/>
        </w:rPr>
        <w:t xml:space="preserve">See </w:t>
      </w:r>
      <w:r>
        <w:t>Petition, Exhibit C (</w:t>
      </w:r>
      <w:r>
        <w:rPr>
          <w:i/>
        </w:rPr>
        <w:t>Agape Church, Inc.</w:t>
      </w:r>
      <w:r>
        <w:t xml:space="preserve">, Petition for Special Relief, CSR 5310-A, Sept. 11, 1998). </w:t>
      </w:r>
      <w:r>
        <w:rPr>
          <w:i/>
        </w:rPr>
        <w:t xml:space="preserve"> </w:t>
      </w:r>
    </w:p>
  </w:footnote>
  <w:footnote w:id="12">
    <w:p w14:paraId="2AC75525" w14:textId="77777777" w:rsidR="0032482F" w:rsidRPr="00881A45" w:rsidRDefault="0032482F" w:rsidP="00136906">
      <w:pPr>
        <w:pStyle w:val="FootnoteText"/>
        <w:jc w:val="left"/>
      </w:pPr>
      <w:r>
        <w:rPr>
          <w:rStyle w:val="FootnoteReference"/>
        </w:rPr>
        <w:footnoteRef/>
      </w:r>
      <w:r>
        <w:t xml:space="preserve"> Petition at 2.  We note that the Commission has determined that prior cable market modification determinations will not automatically apply in the satellite context and such prior decisions will not be afforded a presumption in favor of a grant.  However, historic carriage is one of the five factors that must be considered in evaluating market modification requests and would carry weight in a market modification determination in the satellite context.  </w:t>
      </w:r>
      <w:r>
        <w:rPr>
          <w:i/>
        </w:rPr>
        <w:t>See STELAR Market Modification Report and Order</w:t>
      </w:r>
      <w:r>
        <w:t xml:space="preserve">, 30 FCC Rcd at 10425-26, para. 26.  </w:t>
      </w:r>
      <w:r>
        <w:rPr>
          <w:i/>
        </w:rPr>
        <w:t xml:space="preserve"> </w:t>
      </w:r>
    </w:p>
  </w:footnote>
  <w:footnote w:id="13">
    <w:p w14:paraId="050C191D" w14:textId="77777777" w:rsidR="00F83A1E" w:rsidRPr="00D81D1C" w:rsidRDefault="00F83A1E" w:rsidP="00136906">
      <w:pPr>
        <w:pStyle w:val="FootnoteText"/>
        <w:jc w:val="left"/>
      </w:pPr>
      <w:r>
        <w:rPr>
          <w:rStyle w:val="FootnoteReference"/>
        </w:rPr>
        <w:footnoteRef/>
      </w:r>
      <w:r>
        <w:t xml:space="preserve"> </w:t>
      </w:r>
      <w:r w:rsidRPr="00C5454C">
        <w:rPr>
          <w:i/>
        </w:rPr>
        <w:t xml:space="preserve">See </w:t>
      </w:r>
      <w:r>
        <w:rPr>
          <w:i/>
        </w:rPr>
        <w:t>STELAR Market Modification Report and Order</w:t>
      </w:r>
      <w:r>
        <w:t>, 30 FCC Rcd at 10421-22,</w:t>
      </w:r>
      <w:r w:rsidRPr="00C5454C">
        <w:t xml:space="preserve"> para. </w:t>
      </w:r>
      <w:r>
        <w:t xml:space="preserve">20. </w:t>
      </w:r>
    </w:p>
  </w:footnote>
  <w:footnote w:id="14">
    <w:p w14:paraId="45BF657F" w14:textId="06F20515" w:rsidR="00810DE4" w:rsidRPr="00C5454C" w:rsidRDefault="00810DE4" w:rsidP="00136906">
      <w:pPr>
        <w:pStyle w:val="FootnoteText"/>
        <w:jc w:val="left"/>
      </w:pPr>
      <w:r>
        <w:rPr>
          <w:rStyle w:val="FootnoteReference"/>
        </w:rPr>
        <w:footnoteRef/>
      </w:r>
      <w:r>
        <w:t xml:space="preserve"> </w:t>
      </w:r>
      <w:r w:rsidR="00F83A1E">
        <w:t>The decision resolving that petition,</w:t>
      </w:r>
      <w:r w:rsidR="004C5D6E">
        <w:t xml:space="preserve"> </w:t>
      </w:r>
      <w:r w:rsidR="004C5D6E">
        <w:rPr>
          <w:i/>
        </w:rPr>
        <w:t>Agape Church, Inc.</w:t>
      </w:r>
      <w:r w:rsidR="00F83A1E">
        <w:rPr>
          <w:i/>
        </w:rPr>
        <w:t>,</w:t>
      </w:r>
      <w:r w:rsidR="004C5D6E">
        <w:rPr>
          <w:i/>
        </w:rPr>
        <w:t xml:space="preserve"> </w:t>
      </w:r>
      <w:r w:rsidR="004C5D6E">
        <w:t xml:space="preserve">was released by the </w:t>
      </w:r>
      <w:r w:rsidR="00697769">
        <w:t>Cable Services Burea</w:t>
      </w:r>
      <w:r w:rsidR="00D23245">
        <w:t>u</w:t>
      </w:r>
      <w:r w:rsidR="00697769">
        <w:t xml:space="preserve">, a precursor to the </w:t>
      </w:r>
      <w:r w:rsidR="004C5D6E">
        <w:t>Media Bureau</w:t>
      </w:r>
      <w:r w:rsidR="00697769">
        <w:t>,</w:t>
      </w:r>
      <w:r w:rsidR="004C5D6E">
        <w:t xml:space="preserve"> on February 3, 1999</w:t>
      </w:r>
      <w:r w:rsidR="008B1D66">
        <w:t xml:space="preserve"> (</w:t>
      </w:r>
      <w:r w:rsidR="008B1D66" w:rsidRPr="00136906">
        <w:rPr>
          <w:i/>
        </w:rPr>
        <w:t>see specifically</w:t>
      </w:r>
      <w:r w:rsidR="008B1D66">
        <w:t xml:space="preserve"> </w:t>
      </w:r>
      <w:r w:rsidR="008B1D66">
        <w:rPr>
          <w:i/>
        </w:rPr>
        <w:t xml:space="preserve">Agape Church, Inc., </w:t>
      </w:r>
      <w:r w:rsidR="008B1D66">
        <w:t>14 FCC Rcd at 2317-18 paras 28-30)</w:t>
      </w:r>
      <w:r w:rsidR="004C5D6E">
        <w:t>.  The Commission’s</w:t>
      </w:r>
      <w:r w:rsidR="002237F9">
        <w:t xml:space="preserve"> Order adopting</w:t>
      </w:r>
      <w:r w:rsidR="004C5D6E">
        <w:t xml:space="preserve"> </w:t>
      </w:r>
      <w:r w:rsidR="007362D4">
        <w:t xml:space="preserve">standardized </w:t>
      </w:r>
      <w:r w:rsidR="002237F9">
        <w:t xml:space="preserve">evidentiary </w:t>
      </w:r>
      <w:r w:rsidR="007362D4">
        <w:t>requirements</w:t>
      </w:r>
      <w:r w:rsidR="002237F9">
        <w:t xml:space="preserve"> in revised 47 CFR </w:t>
      </w:r>
      <w:r w:rsidR="002237F9" w:rsidRPr="00AE23B4">
        <w:t>§</w:t>
      </w:r>
      <w:r w:rsidR="002237F9">
        <w:t xml:space="preserve"> 76.59(b) was released on May 26, 1999.  </w:t>
      </w:r>
      <w:r w:rsidR="00BE0BCE">
        <w:rPr>
          <w:i/>
        </w:rPr>
        <w:t>Definition of Markets for Purposes of the</w:t>
      </w:r>
      <w:r w:rsidR="00BE0BCE" w:rsidRPr="00C5454C">
        <w:rPr>
          <w:i/>
        </w:rPr>
        <w:t xml:space="preserve"> </w:t>
      </w:r>
      <w:r w:rsidR="00BE0BCE">
        <w:rPr>
          <w:i/>
        </w:rPr>
        <w:t>Cable Television Broadcast Signal Carriage Rules</w:t>
      </w:r>
      <w:r w:rsidR="00BE0BCE">
        <w:t xml:space="preserve">, CS Docket No. 95-178, Order on Reconsideration and </w:t>
      </w:r>
      <w:r w:rsidR="00BE0BCE" w:rsidRPr="00C5454C">
        <w:t>Second Report and Order</w:t>
      </w:r>
      <w:r w:rsidR="00BE0BCE">
        <w:t>, 14 FCC Rcd 8366</w:t>
      </w:r>
      <w:r w:rsidR="00BE0BCE">
        <w:rPr>
          <w:i/>
        </w:rPr>
        <w:t xml:space="preserve"> </w:t>
      </w:r>
      <w:r w:rsidR="00BE0BCE">
        <w:t>(1999)</w:t>
      </w:r>
      <w:r w:rsidR="00BE0BCE" w:rsidRPr="00C5454C">
        <w:t xml:space="preserve"> </w:t>
      </w:r>
      <w:r w:rsidR="0027459F">
        <w:t>(</w:t>
      </w:r>
      <w:r w:rsidR="0027459F">
        <w:rPr>
          <w:i/>
        </w:rPr>
        <w:t>Cable Market Modification Second Report and Order</w:t>
      </w:r>
      <w:r w:rsidR="0027459F">
        <w:t xml:space="preserve">). </w:t>
      </w:r>
    </w:p>
  </w:footnote>
  <w:footnote w:id="15">
    <w:p w14:paraId="1F6B6AE8" w14:textId="3A4CC8EC" w:rsidR="005A5452" w:rsidRDefault="005A5452" w:rsidP="00136906">
      <w:pPr>
        <w:pStyle w:val="FootnoteText"/>
        <w:jc w:val="left"/>
      </w:pPr>
      <w:r>
        <w:rPr>
          <w:rStyle w:val="FootnoteReference"/>
        </w:rPr>
        <w:footnoteRef/>
      </w:r>
      <w:r>
        <w:t xml:space="preserve"> </w:t>
      </w:r>
      <w:r w:rsidR="00463C51">
        <w:t>In t</w:t>
      </w:r>
      <w:r>
        <w:t>he two other satellite market modification decisions issued to date</w:t>
      </w:r>
      <w:r w:rsidR="00463C51">
        <w:t xml:space="preserve">, the Bureau granted limited waivers of the </w:t>
      </w:r>
      <w:r w:rsidR="000676AC">
        <w:t xml:space="preserve">standardized </w:t>
      </w:r>
      <w:r w:rsidR="00463C51">
        <w:t xml:space="preserve">evidence rule.  Those cases </w:t>
      </w:r>
      <w:r>
        <w:t xml:space="preserve">involved </w:t>
      </w:r>
      <w:r w:rsidR="00463C51">
        <w:t>“</w:t>
      </w:r>
      <w:r>
        <w:t>orphan counties</w:t>
      </w:r>
      <w:r w:rsidR="00463C51">
        <w:t xml:space="preserve">,” and the Bureau was able to reach its decision without reference to </w:t>
      </w:r>
      <w:r w:rsidR="000676AC">
        <w:t>the missing evidence</w:t>
      </w:r>
      <w:r w:rsidR="00463C51">
        <w:t>.</w:t>
      </w:r>
      <w:r>
        <w:t xml:space="preserve">  </w:t>
      </w:r>
      <w:r>
        <w:rPr>
          <w:i/>
        </w:rPr>
        <w:t>La Plata County, Colorado, Petitions for Modification of the Satellite Television Markets of KDVR-TV, KCNC-TV, KMGH-TV, and KUSA-TV, Denver, Colorado</w:t>
      </w:r>
      <w:r>
        <w:t xml:space="preserve">, Memorandum Opinion and Order, MB Docket No. 16-366, CSR No. 8927-A, MB Docket No. 16-367, CSR No. 8928-A, MB Docket No. 16-368, CSR No. 8929-A, MB Docket No. 16-369, CSR No. 8930-A, DA 17-204, para. 13 (Media Bureau rel. March 1, 2017); </w:t>
      </w:r>
      <w:r w:rsidRPr="008743DD">
        <w:rPr>
          <w:i/>
        </w:rPr>
        <w:t>Gray Television Licensee, LLC For Modification of the Satellite Television Market For WSAW-TV, Wausau, Wisconsin</w:t>
      </w:r>
      <w:r>
        <w:t>, MB Docket No. 16-293, CSR No. 8926-A, Memorandum Opinion and Order, DA 17-74, para. 27 (MB 2017).  The instant petition does not involve orphan counties</w:t>
      </w:r>
      <w:r w:rsidR="000676AC">
        <w:t>, and the missing evidence is essential to our analysis of VTN’s claims</w:t>
      </w:r>
      <w:r>
        <w:t xml:space="preserve">.  </w:t>
      </w:r>
    </w:p>
  </w:footnote>
  <w:footnote w:id="16">
    <w:p w14:paraId="6BCBCA1F" w14:textId="00FC7170" w:rsidR="005A5452" w:rsidRDefault="005A5452" w:rsidP="00136906">
      <w:pPr>
        <w:pStyle w:val="FootnoteText"/>
        <w:jc w:val="left"/>
      </w:pPr>
      <w:r>
        <w:rPr>
          <w:rStyle w:val="FootnoteReference"/>
        </w:rPr>
        <w:footnoteRef/>
      </w:r>
      <w:r>
        <w:t xml:space="preserve"> 47 USC 338(l)</w:t>
      </w:r>
      <w:r w:rsidR="00D85F62">
        <w:t>(2)(B)(ii) and (v).</w:t>
      </w:r>
    </w:p>
  </w:footnote>
  <w:footnote w:id="17">
    <w:p w14:paraId="73F4F2FA" w14:textId="77777777" w:rsidR="005F4FCC" w:rsidRPr="009D10DF" w:rsidRDefault="005F4FCC" w:rsidP="00136906">
      <w:pPr>
        <w:pStyle w:val="FootnoteText"/>
        <w:jc w:val="left"/>
      </w:pPr>
      <w:r>
        <w:rPr>
          <w:rStyle w:val="FootnoteReference"/>
        </w:rPr>
        <w:footnoteRef/>
      </w:r>
      <w:r>
        <w:t xml:space="preserve"> Petition at 5-6.  </w:t>
      </w:r>
      <w:r w:rsidR="00523EF6">
        <w:t xml:space="preserve">    </w:t>
      </w:r>
    </w:p>
  </w:footnote>
  <w:footnote w:id="18">
    <w:p w14:paraId="171A4DC5" w14:textId="5CA4D71F" w:rsidR="00AB119E" w:rsidRDefault="00AB119E" w:rsidP="00136906">
      <w:pPr>
        <w:pStyle w:val="FootnoteText"/>
        <w:jc w:val="left"/>
      </w:pPr>
      <w:r>
        <w:rPr>
          <w:rStyle w:val="FootnoteReference"/>
        </w:rPr>
        <w:footnoteRef/>
      </w:r>
      <w:r>
        <w:t xml:space="preserve"> </w:t>
      </w:r>
      <w:r w:rsidR="005A5452" w:rsidRPr="009B769C">
        <w:rPr>
          <w:i/>
        </w:rPr>
        <w:t>Id</w:t>
      </w:r>
      <w:r w:rsidR="005A5452">
        <w:t>. at</w:t>
      </w:r>
      <w:r>
        <w:t xml:space="preserve"> Exhibit H.   </w:t>
      </w:r>
    </w:p>
  </w:footnote>
  <w:footnote w:id="19">
    <w:p w14:paraId="6726363C" w14:textId="16954388" w:rsidR="005C5F91" w:rsidRPr="005C5F91" w:rsidRDefault="005C5F91" w:rsidP="00136906">
      <w:pPr>
        <w:pStyle w:val="FootnoteText"/>
        <w:jc w:val="left"/>
        <w:rPr>
          <w:i/>
        </w:rPr>
      </w:pPr>
      <w:r>
        <w:rPr>
          <w:rStyle w:val="FootnoteReference"/>
        </w:rPr>
        <w:footnoteRef/>
      </w:r>
      <w:r>
        <w:t xml:space="preserve"> </w:t>
      </w:r>
      <w:r w:rsidR="002F1D92" w:rsidRPr="00884650">
        <w:rPr>
          <w:i/>
        </w:rPr>
        <w:t>See</w:t>
      </w:r>
      <w:r w:rsidR="007B57CC" w:rsidRPr="00C5454C">
        <w:rPr>
          <w:i/>
        </w:rPr>
        <w:t xml:space="preserve"> </w:t>
      </w:r>
      <w:r w:rsidR="00F355EC" w:rsidRPr="00F355EC">
        <w:rPr>
          <w:i/>
        </w:rPr>
        <w:t>supra</w:t>
      </w:r>
      <w:r w:rsidR="00F355EC">
        <w:t xml:space="preserve"> note 5 and </w:t>
      </w:r>
      <w:r w:rsidR="002F1D92">
        <w:t>47 C.F.R. § 76.59(b)(1)-(2)</w:t>
      </w:r>
      <w:r w:rsidR="00F355EC">
        <w:t>.</w:t>
      </w:r>
      <w:r>
        <w:t xml:space="preserve">   </w:t>
      </w:r>
      <w:r>
        <w:rPr>
          <w:i/>
        </w:rPr>
        <w:t xml:space="preserve"> </w:t>
      </w:r>
    </w:p>
  </w:footnote>
  <w:footnote w:id="20">
    <w:p w14:paraId="338B2CD1" w14:textId="77777777" w:rsidR="00A61B97" w:rsidRDefault="00A61B97" w:rsidP="00136906">
      <w:pPr>
        <w:pStyle w:val="FootnoteText"/>
        <w:jc w:val="left"/>
      </w:pPr>
      <w:r>
        <w:rPr>
          <w:rStyle w:val="FootnoteReference"/>
        </w:rPr>
        <w:footnoteRef/>
      </w:r>
      <w:r>
        <w:t xml:space="preserve"> </w:t>
      </w:r>
      <w:r w:rsidRPr="008A5189">
        <w:rPr>
          <w:i/>
        </w:rPr>
        <w:t>Id</w:t>
      </w:r>
      <w:r>
        <w:t>.</w:t>
      </w:r>
    </w:p>
  </w:footnote>
  <w:footnote w:id="21">
    <w:p w14:paraId="3FFB9A6D" w14:textId="670B13F6" w:rsidR="009D0DEA" w:rsidRPr="009D0DEA" w:rsidRDefault="009D0DEA" w:rsidP="00136906">
      <w:pPr>
        <w:pStyle w:val="FootnoteText"/>
        <w:jc w:val="left"/>
      </w:pPr>
      <w:r>
        <w:rPr>
          <w:rStyle w:val="FootnoteReference"/>
        </w:rPr>
        <w:footnoteRef/>
      </w:r>
      <w:r>
        <w:t xml:space="preserve"> </w:t>
      </w:r>
      <w:r w:rsidR="00F8353F">
        <w:t>Petition at 5-6</w:t>
      </w:r>
      <w:r w:rsidR="002F1D92">
        <w:t xml:space="preserve"> (</w:t>
      </w:r>
      <w:r w:rsidR="00F8353F" w:rsidRPr="009E596F">
        <w:t>citing</w:t>
      </w:r>
      <w:r>
        <w:rPr>
          <w:i/>
        </w:rPr>
        <w:t xml:space="preserve"> Agape Church, Inc.</w:t>
      </w:r>
      <w:r>
        <w:t xml:space="preserve"> at 2317, para. 30</w:t>
      </w:r>
      <w:r w:rsidR="002F1D92">
        <w:t>)</w:t>
      </w:r>
      <w:r>
        <w:t>.</w:t>
      </w:r>
    </w:p>
  </w:footnote>
  <w:footnote w:id="22">
    <w:p w14:paraId="32602064" w14:textId="23D85172" w:rsidR="002F0397" w:rsidRPr="002F0397" w:rsidRDefault="002F0397" w:rsidP="00136906">
      <w:pPr>
        <w:pStyle w:val="FootnoteText"/>
        <w:jc w:val="left"/>
      </w:pPr>
      <w:r>
        <w:rPr>
          <w:rStyle w:val="FootnoteReference"/>
        </w:rPr>
        <w:footnoteRef/>
      </w:r>
      <w:r>
        <w:t xml:space="preserve"> </w:t>
      </w:r>
      <w:r w:rsidR="002F1D92">
        <w:rPr>
          <w:i/>
        </w:rPr>
        <w:t>Id</w:t>
      </w:r>
      <w:r w:rsidR="002F1D92" w:rsidRPr="00EA3D89">
        <w:t>. at</w:t>
      </w:r>
      <w:r w:rsidRPr="002F1D92">
        <w:t xml:space="preserve"> </w:t>
      </w:r>
      <w:r>
        <w:t>Exhibit C (</w:t>
      </w:r>
      <w:r>
        <w:rPr>
          <w:i/>
        </w:rPr>
        <w:t>Agape Church</w:t>
      </w:r>
      <w:r>
        <w:t xml:space="preserve">, </w:t>
      </w:r>
      <w:r>
        <w:rPr>
          <w:i/>
        </w:rPr>
        <w:t>Inc.</w:t>
      </w:r>
      <w:r>
        <w:t xml:space="preserve"> Petition for Special Relief, CSR 5310-A, Sept. 11, 1998) and attached Exhibit 2 (Figure</w:t>
      </w:r>
      <w:r w:rsidR="004A08B1">
        <w:t xml:space="preserve"> </w:t>
      </w:r>
      <w:r>
        <w:t xml:space="preserve">3 Predicted Contours KVTJ(TV), Jonesboro, Arkansas, prepared by Lohnes and Culver, Washington, D.C., February, 1997).   </w:t>
      </w:r>
    </w:p>
  </w:footnote>
  <w:footnote w:id="23">
    <w:p w14:paraId="2CC7592C" w14:textId="3CC5A13F" w:rsidR="006D77C6" w:rsidRDefault="006D77C6">
      <w:pPr>
        <w:pStyle w:val="FootnoteText"/>
      </w:pPr>
      <w:r>
        <w:rPr>
          <w:rStyle w:val="FootnoteReference"/>
        </w:rPr>
        <w:footnoteRef/>
      </w:r>
      <w:r>
        <w:t xml:space="preserve"> Petition at 8</w:t>
      </w:r>
      <w:r w:rsidR="00AF2EA2">
        <w:t xml:space="preserve"> </w:t>
      </w:r>
      <w:r w:rsidR="007362D4">
        <w:t>and</w:t>
      </w:r>
      <w:r w:rsidR="00F73FC4">
        <w:t xml:space="preserve"> </w:t>
      </w:r>
      <w:r w:rsidR="00AF2EA2">
        <w:t>at</w:t>
      </w:r>
      <w:r>
        <w:t xml:space="preserve"> Exhibit J.</w:t>
      </w:r>
    </w:p>
  </w:footnote>
  <w:footnote w:id="24">
    <w:p w14:paraId="76B4B357" w14:textId="572A97A5" w:rsidR="00544595" w:rsidRPr="00544595" w:rsidRDefault="00544595">
      <w:pPr>
        <w:pStyle w:val="FootnoteText"/>
      </w:pPr>
      <w:r>
        <w:rPr>
          <w:rStyle w:val="FootnoteReference"/>
        </w:rPr>
        <w:footnoteRef/>
      </w:r>
      <w:r>
        <w:t xml:space="preserve"> </w:t>
      </w:r>
      <w:r>
        <w:rPr>
          <w:i/>
        </w:rPr>
        <w:t>Id.</w:t>
      </w:r>
      <w:r w:rsidR="00AF2EA2">
        <w:t xml:space="preserve"> at</w:t>
      </w:r>
      <w:r>
        <w:t xml:space="preserve"> Exhibit K</w:t>
      </w:r>
      <w:r w:rsidR="00E33484">
        <w:t xml:space="preserve"> (Redacted Victory Television Network AR &amp; MO Donors by Counties </w:t>
      </w:r>
      <w:r w:rsidR="00783D67">
        <w:t xml:space="preserve">- </w:t>
      </w:r>
      <w:r w:rsidR="00E33484">
        <w:t>Years 2011-2016)</w:t>
      </w:r>
      <w:r>
        <w:t>.</w:t>
      </w:r>
    </w:p>
  </w:footnote>
  <w:footnote w:id="25">
    <w:p w14:paraId="7742C382" w14:textId="1E687ABD" w:rsidR="00C96A7A" w:rsidRDefault="00C96A7A">
      <w:pPr>
        <w:pStyle w:val="FootnoteText"/>
      </w:pPr>
      <w:r>
        <w:rPr>
          <w:rStyle w:val="FootnoteReference"/>
        </w:rPr>
        <w:footnoteRef/>
      </w:r>
      <w:r>
        <w:t xml:space="preserve"> </w:t>
      </w:r>
      <w:r w:rsidR="008B08BA" w:rsidRPr="008B08BA">
        <w:rPr>
          <w:i/>
        </w:rPr>
        <w:t xml:space="preserve">See </w:t>
      </w:r>
      <w:r w:rsidR="008B08BA" w:rsidRPr="00F355EC">
        <w:rPr>
          <w:i/>
        </w:rPr>
        <w:t>supra</w:t>
      </w:r>
      <w:r w:rsidR="008B08BA">
        <w:t xml:space="preserve"> note 5 and </w:t>
      </w:r>
      <w:r w:rsidRPr="00C96A7A">
        <w:t>47 C.F.R. § 76.59(b)(6)</w:t>
      </w:r>
      <w:r w:rsidR="008B08BA">
        <w:t>.</w:t>
      </w:r>
    </w:p>
  </w:footnote>
  <w:footnote w:id="26">
    <w:p w14:paraId="7B022443" w14:textId="1550BF4D" w:rsidR="00060FD9" w:rsidRDefault="00060FD9">
      <w:pPr>
        <w:pStyle w:val="FootnoteText"/>
      </w:pPr>
      <w:r>
        <w:rPr>
          <w:rStyle w:val="FootnoteReference"/>
        </w:rPr>
        <w:footnoteRef/>
      </w:r>
      <w:r>
        <w:t xml:space="preserve"> Useful information to add context to the data could include, </w:t>
      </w:r>
      <w:r w:rsidRPr="00901111">
        <w:t>for example</w:t>
      </w:r>
      <w:r>
        <w:t>:</w:t>
      </w:r>
      <w:r w:rsidRPr="00901111">
        <w:t xml:space="preserve"> </w:t>
      </w:r>
      <w:r>
        <w:t xml:space="preserve">the number of households served in the Satellite Communties versus other served areas; </w:t>
      </w:r>
      <w:r w:rsidRPr="00901111">
        <w:t xml:space="preserve">the </w:t>
      </w:r>
      <w:r>
        <w:t>percentage</w:t>
      </w:r>
      <w:r w:rsidRPr="00901111">
        <w:t xml:space="preserve"> of </w:t>
      </w:r>
      <w:r>
        <w:t xml:space="preserve">KVTJ’s unique </w:t>
      </w:r>
      <w:r w:rsidRPr="00901111">
        <w:t>contribut</w:t>
      </w:r>
      <w:r>
        <w:t>or</w:t>
      </w:r>
      <w:r w:rsidRPr="00901111">
        <w:t xml:space="preserve">s </w:t>
      </w:r>
      <w:r>
        <w:t xml:space="preserve">who live </w:t>
      </w:r>
      <w:r w:rsidRPr="00901111">
        <w:t>in the Satellite Communities</w:t>
      </w:r>
      <w:r>
        <w:t>; and</w:t>
      </w:r>
      <w:r w:rsidRPr="00901111">
        <w:t xml:space="preserve"> the </w:t>
      </w:r>
      <w:r>
        <w:t>percentage</w:t>
      </w:r>
      <w:r w:rsidRPr="00901111">
        <w:t xml:space="preserve"> of </w:t>
      </w:r>
      <w:r>
        <w:t xml:space="preserve">total </w:t>
      </w:r>
      <w:r w:rsidRPr="00901111">
        <w:t>KVTJ’s contributions from viewers in the Satellite Communities</w:t>
      </w:r>
      <w:r>
        <w:t>.</w:t>
      </w:r>
      <w:r w:rsidR="007362D4">
        <w:t xml:space="preserve">  It would also be helpful to break this information down </w:t>
      </w:r>
      <w:r w:rsidR="009E596F">
        <w:t>by</w:t>
      </w:r>
      <w:r w:rsidR="007362D4">
        <w:t xml:space="preserve"> year.</w:t>
      </w:r>
    </w:p>
  </w:footnote>
  <w:footnote w:id="27">
    <w:p w14:paraId="57A3A011" w14:textId="65F0BF1E" w:rsidR="00060FD9" w:rsidRDefault="00060FD9">
      <w:pPr>
        <w:pStyle w:val="FootnoteText"/>
      </w:pPr>
      <w:r>
        <w:rPr>
          <w:rStyle w:val="FootnoteReference"/>
        </w:rPr>
        <w:footnoteRef/>
      </w:r>
      <w:r>
        <w:t xml:space="preserve"> E</w:t>
      </w:r>
      <w:r w:rsidRPr="00901111">
        <w:t>ven a limited amount</w:t>
      </w:r>
      <w:r>
        <w:t xml:space="preserve"> of audience and viewing data, such as </w:t>
      </w:r>
      <w:r w:rsidRPr="00901111">
        <w:t xml:space="preserve">from a single </w:t>
      </w:r>
      <w:r w:rsidR="007362D4">
        <w:t xml:space="preserve">Nielsen </w:t>
      </w:r>
      <w:r w:rsidRPr="00901111">
        <w:t>report</w:t>
      </w:r>
      <w:r>
        <w:t>, would assist the Bureau’s review.</w:t>
      </w:r>
    </w:p>
  </w:footnote>
  <w:footnote w:id="28">
    <w:p w14:paraId="7777E41E" w14:textId="0E514AC5" w:rsidR="003C5178" w:rsidRPr="003C5178" w:rsidRDefault="003C5178">
      <w:pPr>
        <w:pStyle w:val="FootnoteText"/>
      </w:pPr>
      <w:r>
        <w:rPr>
          <w:rStyle w:val="FootnoteReference"/>
        </w:rPr>
        <w:footnoteRef/>
      </w:r>
      <w:r>
        <w:t xml:space="preserve"> </w:t>
      </w:r>
      <w:r>
        <w:rPr>
          <w:i/>
        </w:rPr>
        <w:t>STELAR Market Modification Report and Order</w:t>
      </w:r>
      <w:r>
        <w:t>, 30 FCC R</w:t>
      </w:r>
      <w:r w:rsidR="002A105C">
        <w:t>cd</w:t>
      </w:r>
      <w:r>
        <w:t xml:space="preserve"> at 10424, para. 22. </w:t>
      </w:r>
    </w:p>
  </w:footnote>
  <w:footnote w:id="29">
    <w:p w14:paraId="4D7740BE" w14:textId="77777777" w:rsidR="0011567D" w:rsidRPr="0011567D" w:rsidRDefault="0011567D">
      <w:pPr>
        <w:pStyle w:val="FootnoteText"/>
      </w:pPr>
      <w:r>
        <w:rPr>
          <w:rStyle w:val="FootnoteReference"/>
        </w:rPr>
        <w:footnoteRef/>
      </w:r>
      <w:r>
        <w:t xml:space="preserve"> </w:t>
      </w:r>
      <w:r>
        <w:rPr>
          <w:i/>
        </w:rPr>
        <w:t>Id.</w:t>
      </w:r>
    </w:p>
  </w:footnote>
  <w:footnote w:id="30">
    <w:p w14:paraId="7652E51D" w14:textId="7E57CE10" w:rsidR="00EA3D89" w:rsidRPr="002A4E6D" w:rsidRDefault="00EA3D89">
      <w:pPr>
        <w:pStyle w:val="FootnoteText"/>
      </w:pPr>
      <w:r>
        <w:rPr>
          <w:rStyle w:val="FootnoteReference"/>
        </w:rPr>
        <w:footnoteRef/>
      </w:r>
      <w:r w:rsidR="002237F9" w:rsidRPr="002237F9">
        <w:t xml:space="preserve">47 </w:t>
      </w:r>
      <w:r w:rsidR="002237F9">
        <w:t xml:space="preserve">CFR </w:t>
      </w:r>
      <w:r w:rsidR="002237F9" w:rsidRPr="00AE23B4">
        <w:t>§</w:t>
      </w:r>
      <w:r w:rsidR="002237F9">
        <w:t xml:space="preserve"> 1.1119(a); </w:t>
      </w:r>
      <w:r w:rsidR="002237F9" w:rsidRPr="002237F9">
        <w:rPr>
          <w:i/>
        </w:rPr>
        <w:t>see also generally</w:t>
      </w:r>
      <w:r w:rsidR="002237F9">
        <w:t xml:space="preserve"> </w:t>
      </w:r>
      <w:r w:rsidR="002A4E6D">
        <w:t>47 CFR §§ 1.1115, 1.1119</w:t>
      </w:r>
      <w:r w:rsidR="002237F9">
        <w:t>,</w:t>
      </w:r>
      <w:r w:rsidR="002A4E6D">
        <w:t xml:space="preserve"> and 1.1</w:t>
      </w:r>
      <w:r w:rsidR="00FF0989">
        <w:t>166.</w:t>
      </w:r>
      <w:r w:rsidR="002A4E6D">
        <w:t xml:space="preserve"> </w:t>
      </w:r>
    </w:p>
  </w:footnote>
  <w:footnote w:id="31">
    <w:p w14:paraId="09E590F6" w14:textId="0B052EAE" w:rsidR="00FD4534" w:rsidRDefault="00FD4534" w:rsidP="00FD4534">
      <w:pPr>
        <w:pStyle w:val="FootnoteText"/>
      </w:pPr>
      <w:r>
        <w:rPr>
          <w:rStyle w:val="FootnoteReference"/>
        </w:rPr>
        <w:footnoteRef/>
      </w:r>
      <w:r>
        <w:t xml:space="preserve"> We therefore do not address the issue of whether the proposed carriage of KVTJ is tchnically and economically feasible for DIRECTV and DISH.  We will address that issue if VTN chooses to supplement and refile its Petition.   </w:t>
      </w:r>
    </w:p>
  </w:footnote>
  <w:footnote w:id="32">
    <w:p w14:paraId="72FB9DF3" w14:textId="77777777" w:rsidR="00E31F0E" w:rsidRDefault="00E31F0E">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B166" w14:textId="77777777" w:rsidR="000F3CF9" w:rsidRDefault="000F3C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A252" w14:textId="7A54FA23" w:rsidR="00F53932" w:rsidRDefault="00F53932">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 xml:space="preserve">DA </w:t>
    </w:r>
    <w:r w:rsidR="00902DD5">
      <w:rPr>
        <w:b/>
      </w:rPr>
      <w:t>1</w:t>
    </w:r>
    <w:r w:rsidR="002661FA">
      <w:rPr>
        <w:b/>
      </w:rPr>
      <w:t>7</w:t>
    </w:r>
    <w:r>
      <w:rPr>
        <w:b/>
      </w:rPr>
      <w:t>-</w:t>
    </w:r>
    <w:r w:rsidR="0017193C">
      <w:rPr>
        <w:b/>
      </w:rPr>
      <w:t>317</w:t>
    </w:r>
  </w:p>
  <w:p w14:paraId="4A340126" w14:textId="1607E395" w:rsidR="00F53932" w:rsidRDefault="00AE052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7316797" wp14:editId="58CEF132">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w14:anchorId="1EAAA27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81CF515" w14:textId="77777777" w:rsidR="00F53932" w:rsidRDefault="00F5393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C5388" w14:textId="1874FE75" w:rsidR="00F53932" w:rsidRDefault="00865B75">
    <w:pPr>
      <w:tabs>
        <w:tab w:val="center" w:pos="4680"/>
        <w:tab w:val="right" w:pos="9360"/>
      </w:tabs>
      <w:suppressAutoHyphens/>
      <w:spacing w:line="227" w:lineRule="auto"/>
      <w:rPr>
        <w:spacing w:val="-2"/>
      </w:rPr>
    </w:pPr>
    <w:r>
      <w:rPr>
        <w:b/>
        <w:spacing w:val="-2"/>
      </w:rPr>
      <w:t xml:space="preserve">  </w:t>
    </w:r>
    <w:r w:rsidR="00F53932">
      <w:rPr>
        <w:b/>
        <w:spacing w:val="-2"/>
      </w:rPr>
      <w:tab/>
      <w:t>Federal Communications Commission</w:t>
    </w:r>
    <w:r w:rsidR="00F53932">
      <w:rPr>
        <w:spacing w:val="-2"/>
      </w:rPr>
      <w:tab/>
    </w:r>
    <w:r w:rsidR="00F53932">
      <w:rPr>
        <w:b/>
      </w:rPr>
      <w:t xml:space="preserve">DA </w:t>
    </w:r>
    <w:r w:rsidR="00902DD5">
      <w:rPr>
        <w:b/>
      </w:rPr>
      <w:t>1</w:t>
    </w:r>
    <w:r w:rsidR="002661FA">
      <w:rPr>
        <w:b/>
      </w:rPr>
      <w:t>7</w:t>
    </w:r>
    <w:r w:rsidR="00F53932">
      <w:rPr>
        <w:b/>
      </w:rPr>
      <w:t>-</w:t>
    </w:r>
    <w:r w:rsidR="0017193C">
      <w:rPr>
        <w:b/>
      </w:rPr>
      <w:t>317</w:t>
    </w:r>
  </w:p>
  <w:p w14:paraId="29FD4F71" w14:textId="5EB45CA1" w:rsidR="00F53932" w:rsidRDefault="00AE052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14:anchorId="3D600A09" wp14:editId="2923D523">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w14:anchorId="588CA3E5" id="Rectangle 2"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Ay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XEuAy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128069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B0E4B1F"/>
    <w:multiLevelType w:val="hybridMultilevel"/>
    <w:tmpl w:val="6066C3B4"/>
    <w:lvl w:ilvl="0" w:tplc="CB063B9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BD33F9C"/>
    <w:multiLevelType w:val="hybridMultilevel"/>
    <w:tmpl w:val="637846C2"/>
    <w:lvl w:ilvl="0" w:tplc="40986F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8">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63F0275"/>
    <w:multiLevelType w:val="hybridMultilevel"/>
    <w:tmpl w:val="E6C839E0"/>
    <w:lvl w:ilvl="0" w:tplc="2416D7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E06CBB"/>
    <w:multiLevelType w:val="multilevel"/>
    <w:tmpl w:val="701A1AB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5">
    <w:nsid w:val="305E3024"/>
    <w:multiLevelType w:val="singleLevel"/>
    <w:tmpl w:val="EA9E5D9A"/>
    <w:lvl w:ilvl="0">
      <w:start w:val="2"/>
      <w:numFmt w:val="decimal"/>
      <w:lvlText w:val="%1."/>
      <w:lvlJc w:val="left"/>
      <w:pPr>
        <w:tabs>
          <w:tab w:val="num" w:pos="1080"/>
        </w:tabs>
        <w:ind w:left="0" w:firstLine="720"/>
      </w:pPr>
    </w:lvl>
  </w:abstractNum>
  <w:abstractNum w:abstractNumId="16">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7">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8">
    <w:nsid w:val="3A8E198E"/>
    <w:multiLevelType w:val="hybridMultilevel"/>
    <w:tmpl w:val="8814D828"/>
    <w:lvl w:ilvl="0" w:tplc="5D223B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0">
    <w:nsid w:val="43D27EFD"/>
    <w:multiLevelType w:val="singleLevel"/>
    <w:tmpl w:val="42701C86"/>
    <w:lvl w:ilvl="0">
      <w:start w:val="1"/>
      <w:numFmt w:val="decimal"/>
      <w:lvlText w:val="%1."/>
      <w:lvlJc w:val="left"/>
      <w:pPr>
        <w:tabs>
          <w:tab w:val="num" w:pos="1440"/>
        </w:tabs>
        <w:ind w:left="1440" w:hanging="720"/>
      </w:pPr>
    </w:lvl>
  </w:abstractNum>
  <w:abstractNum w:abstractNumId="21">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1182925"/>
    <w:multiLevelType w:val="singleLevel"/>
    <w:tmpl w:val="A9EE9842"/>
    <w:lvl w:ilvl="0">
      <w:start w:val="1"/>
      <w:numFmt w:val="decimal"/>
      <w:lvlText w:val="%1."/>
      <w:lvlJc w:val="left"/>
      <w:pPr>
        <w:tabs>
          <w:tab w:val="num" w:pos="1080"/>
        </w:tabs>
        <w:ind w:left="0" w:firstLine="720"/>
      </w:pPr>
    </w:lvl>
  </w:abstractNum>
  <w:abstractNum w:abstractNumId="24">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7725FA3"/>
    <w:multiLevelType w:val="hybridMultilevel"/>
    <w:tmpl w:val="09A8B33A"/>
    <w:lvl w:ilvl="0" w:tplc="48FC627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9DC5A55"/>
    <w:multiLevelType w:val="hybridMultilevel"/>
    <w:tmpl w:val="9AC886BA"/>
    <w:lvl w:ilvl="0" w:tplc="CB7E3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2B4D0D"/>
    <w:multiLevelType w:val="hybridMultilevel"/>
    <w:tmpl w:val="9EAE2230"/>
    <w:lvl w:ilvl="0" w:tplc="C932F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237CDD"/>
    <w:multiLevelType w:val="hybridMultilevel"/>
    <w:tmpl w:val="7158C0C6"/>
    <w:lvl w:ilvl="0" w:tplc="519C5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3621C9"/>
    <w:multiLevelType w:val="singleLevel"/>
    <w:tmpl w:val="373411A8"/>
    <w:lvl w:ilvl="0">
      <w:start w:val="1"/>
      <w:numFmt w:val="decimal"/>
      <w:lvlText w:val="%1."/>
      <w:lvlJc w:val="left"/>
      <w:pPr>
        <w:tabs>
          <w:tab w:val="num" w:pos="1080"/>
        </w:tabs>
        <w:ind w:left="0" w:firstLine="720"/>
      </w:pPr>
    </w:lvl>
  </w:abstractNum>
  <w:abstractNum w:abstractNumId="31">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2">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3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5"/>
  </w:num>
  <w:num w:numId="2">
    <w:abstractNumId w:val="11"/>
  </w:num>
  <w:num w:numId="3">
    <w:abstractNumId w:val="4"/>
  </w:num>
  <w:num w:numId="4">
    <w:abstractNumId w:val="22"/>
  </w:num>
  <w:num w:numId="5">
    <w:abstractNumId w:val="30"/>
  </w:num>
  <w:num w:numId="6">
    <w:abstractNumId w:val="15"/>
  </w:num>
  <w:num w:numId="7">
    <w:abstractNumId w:val="17"/>
  </w:num>
  <w:num w:numId="8">
    <w:abstractNumId w:val="20"/>
  </w:num>
  <w:num w:numId="9">
    <w:abstractNumId w:val="1"/>
  </w:num>
  <w:num w:numId="10">
    <w:abstractNumId w:val="0"/>
  </w:num>
  <w:num w:numId="11">
    <w:abstractNumId w:val="7"/>
  </w:num>
  <w:num w:numId="12">
    <w:abstractNumId w:val="14"/>
  </w:num>
  <w:num w:numId="13">
    <w:abstractNumId w:val="4"/>
  </w:num>
  <w:num w:numId="14">
    <w:abstractNumId w:val="21"/>
  </w:num>
  <w:num w:numId="15">
    <w:abstractNumId w:val="8"/>
  </w:num>
  <w:num w:numId="16">
    <w:abstractNumId w:val="19"/>
  </w:num>
  <w:num w:numId="17">
    <w:abstractNumId w:val="9"/>
  </w:num>
  <w:num w:numId="18">
    <w:abstractNumId w:val="31"/>
  </w:num>
  <w:num w:numId="19">
    <w:abstractNumId w:val="3"/>
  </w:num>
  <w:num w:numId="20">
    <w:abstractNumId w:val="24"/>
  </w:num>
  <w:num w:numId="21">
    <w:abstractNumId w:val="13"/>
  </w:num>
  <w:num w:numId="22">
    <w:abstractNumId w:val="3"/>
  </w:num>
  <w:num w:numId="23">
    <w:abstractNumId w:val="24"/>
  </w:num>
  <w:num w:numId="24">
    <w:abstractNumId w:val="24"/>
  </w:num>
  <w:num w:numId="25">
    <w:abstractNumId w:val="24"/>
  </w:num>
  <w:num w:numId="26">
    <w:abstractNumId w:val="33"/>
  </w:num>
  <w:num w:numId="27">
    <w:abstractNumId w:val="10"/>
  </w:num>
  <w:num w:numId="28">
    <w:abstractNumId w:val="13"/>
  </w:num>
  <w:num w:numId="29">
    <w:abstractNumId w:val="32"/>
  </w:num>
  <w:num w:numId="30">
    <w:abstractNumId w:val="16"/>
  </w:num>
  <w:num w:numId="31">
    <w:abstractNumId w:val="6"/>
  </w:num>
  <w:num w:numId="32">
    <w:abstractNumId w:val="23"/>
  </w:num>
  <w:num w:numId="33">
    <w:abstractNumId w:val="27"/>
  </w:num>
  <w:num w:numId="34">
    <w:abstractNumId w:val="18"/>
  </w:num>
  <w:num w:numId="35">
    <w:abstractNumId w:val="5"/>
  </w:num>
  <w:num w:numId="36">
    <w:abstractNumId w:val="28"/>
  </w:num>
  <w:num w:numId="37">
    <w:abstractNumId w:val="26"/>
  </w:num>
  <w:num w:numId="38">
    <w:abstractNumId w:val="12"/>
  </w:num>
  <w:num w:numId="39">
    <w:abstractNumId w:val="29"/>
  </w:num>
  <w:num w:numId="40">
    <w:abstractNumId w:val="3"/>
    <w:lvlOverride w:ilvl="0">
      <w:startOverride w:val="1"/>
    </w:lvlOverride>
  </w:num>
  <w:num w:numId="41">
    <w:abstractNumId w:val="2"/>
  </w:num>
  <w:num w:numId="42">
    <w:abstractNumId w:val="13"/>
  </w:num>
  <w:num w:numId="43">
    <w:abstractNumId w:val="1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68"/>
    <w:rsid w:val="0000044E"/>
    <w:rsid w:val="00000AA4"/>
    <w:rsid w:val="00000B5D"/>
    <w:rsid w:val="00001CA7"/>
    <w:rsid w:val="00002738"/>
    <w:rsid w:val="00005A7C"/>
    <w:rsid w:val="000063E0"/>
    <w:rsid w:val="000064D0"/>
    <w:rsid w:val="00007A67"/>
    <w:rsid w:val="00010608"/>
    <w:rsid w:val="00011263"/>
    <w:rsid w:val="00011EA2"/>
    <w:rsid w:val="00012C4C"/>
    <w:rsid w:val="00013F26"/>
    <w:rsid w:val="00015594"/>
    <w:rsid w:val="0001642C"/>
    <w:rsid w:val="00020382"/>
    <w:rsid w:val="00021525"/>
    <w:rsid w:val="00021B91"/>
    <w:rsid w:val="000232C1"/>
    <w:rsid w:val="0002361A"/>
    <w:rsid w:val="00023646"/>
    <w:rsid w:val="0002470C"/>
    <w:rsid w:val="000249FA"/>
    <w:rsid w:val="00024B35"/>
    <w:rsid w:val="0002515C"/>
    <w:rsid w:val="0002699B"/>
    <w:rsid w:val="0003108E"/>
    <w:rsid w:val="000310B6"/>
    <w:rsid w:val="00032E5F"/>
    <w:rsid w:val="000355DC"/>
    <w:rsid w:val="00036135"/>
    <w:rsid w:val="00036DF9"/>
    <w:rsid w:val="00036EA4"/>
    <w:rsid w:val="000378A4"/>
    <w:rsid w:val="00037C4D"/>
    <w:rsid w:val="0004027F"/>
    <w:rsid w:val="00040C6D"/>
    <w:rsid w:val="000411C5"/>
    <w:rsid w:val="00041A9A"/>
    <w:rsid w:val="00041BB3"/>
    <w:rsid w:val="00042688"/>
    <w:rsid w:val="00042D3A"/>
    <w:rsid w:val="00045A6F"/>
    <w:rsid w:val="000508C2"/>
    <w:rsid w:val="00050A0C"/>
    <w:rsid w:val="00050CAA"/>
    <w:rsid w:val="00052AD8"/>
    <w:rsid w:val="000550B5"/>
    <w:rsid w:val="000563EB"/>
    <w:rsid w:val="00057DC2"/>
    <w:rsid w:val="000600F1"/>
    <w:rsid w:val="000604AC"/>
    <w:rsid w:val="00060FD9"/>
    <w:rsid w:val="00062591"/>
    <w:rsid w:val="000625E5"/>
    <w:rsid w:val="0006320D"/>
    <w:rsid w:val="0006406A"/>
    <w:rsid w:val="0006509A"/>
    <w:rsid w:val="00065554"/>
    <w:rsid w:val="00065EE6"/>
    <w:rsid w:val="00065FA2"/>
    <w:rsid w:val="000674E1"/>
    <w:rsid w:val="000676AC"/>
    <w:rsid w:val="00071641"/>
    <w:rsid w:val="000721C7"/>
    <w:rsid w:val="000727CB"/>
    <w:rsid w:val="00072E24"/>
    <w:rsid w:val="000735C9"/>
    <w:rsid w:val="00073E9D"/>
    <w:rsid w:val="00073ECD"/>
    <w:rsid w:val="000741E4"/>
    <w:rsid w:val="000746A8"/>
    <w:rsid w:val="000803F6"/>
    <w:rsid w:val="00080E62"/>
    <w:rsid w:val="00081BCE"/>
    <w:rsid w:val="00083000"/>
    <w:rsid w:val="0008380A"/>
    <w:rsid w:val="00083AED"/>
    <w:rsid w:val="000841C9"/>
    <w:rsid w:val="00085621"/>
    <w:rsid w:val="00085B5A"/>
    <w:rsid w:val="0008617E"/>
    <w:rsid w:val="000876FA"/>
    <w:rsid w:val="000877E6"/>
    <w:rsid w:val="0009100E"/>
    <w:rsid w:val="00093F7D"/>
    <w:rsid w:val="0009441F"/>
    <w:rsid w:val="00095B28"/>
    <w:rsid w:val="00095CDE"/>
    <w:rsid w:val="00096043"/>
    <w:rsid w:val="000960C4"/>
    <w:rsid w:val="0009630F"/>
    <w:rsid w:val="000A0B71"/>
    <w:rsid w:val="000A2D5D"/>
    <w:rsid w:val="000A368B"/>
    <w:rsid w:val="000A4933"/>
    <w:rsid w:val="000A4B18"/>
    <w:rsid w:val="000A4FAA"/>
    <w:rsid w:val="000A705E"/>
    <w:rsid w:val="000B1722"/>
    <w:rsid w:val="000B265F"/>
    <w:rsid w:val="000B2B11"/>
    <w:rsid w:val="000B31FF"/>
    <w:rsid w:val="000B3CEB"/>
    <w:rsid w:val="000B4054"/>
    <w:rsid w:val="000B429B"/>
    <w:rsid w:val="000B448D"/>
    <w:rsid w:val="000B55FD"/>
    <w:rsid w:val="000B5C16"/>
    <w:rsid w:val="000B6AD8"/>
    <w:rsid w:val="000C15F0"/>
    <w:rsid w:val="000C2C11"/>
    <w:rsid w:val="000C32D8"/>
    <w:rsid w:val="000C4307"/>
    <w:rsid w:val="000C4661"/>
    <w:rsid w:val="000C47BC"/>
    <w:rsid w:val="000C561B"/>
    <w:rsid w:val="000C569D"/>
    <w:rsid w:val="000C644D"/>
    <w:rsid w:val="000C6B95"/>
    <w:rsid w:val="000C704B"/>
    <w:rsid w:val="000C7271"/>
    <w:rsid w:val="000D0967"/>
    <w:rsid w:val="000D0CC2"/>
    <w:rsid w:val="000D3EAA"/>
    <w:rsid w:val="000D47E1"/>
    <w:rsid w:val="000D768A"/>
    <w:rsid w:val="000D7BE2"/>
    <w:rsid w:val="000D7D35"/>
    <w:rsid w:val="000E1E19"/>
    <w:rsid w:val="000E25C4"/>
    <w:rsid w:val="000E3042"/>
    <w:rsid w:val="000E377D"/>
    <w:rsid w:val="000E4C3C"/>
    <w:rsid w:val="000E5267"/>
    <w:rsid w:val="000E5793"/>
    <w:rsid w:val="000E67EA"/>
    <w:rsid w:val="000E6966"/>
    <w:rsid w:val="000F0BD5"/>
    <w:rsid w:val="000F203E"/>
    <w:rsid w:val="000F3CF9"/>
    <w:rsid w:val="000F484F"/>
    <w:rsid w:val="000F4AC6"/>
    <w:rsid w:val="000F5A2C"/>
    <w:rsid w:val="000F5EE4"/>
    <w:rsid w:val="000F643A"/>
    <w:rsid w:val="000F6C2C"/>
    <w:rsid w:val="000F7A7C"/>
    <w:rsid w:val="00100AB3"/>
    <w:rsid w:val="00100CBD"/>
    <w:rsid w:val="0010107F"/>
    <w:rsid w:val="0010117D"/>
    <w:rsid w:val="00102FC1"/>
    <w:rsid w:val="001037E4"/>
    <w:rsid w:val="00104164"/>
    <w:rsid w:val="0010433A"/>
    <w:rsid w:val="001044ED"/>
    <w:rsid w:val="00106F11"/>
    <w:rsid w:val="001102BC"/>
    <w:rsid w:val="00112EA6"/>
    <w:rsid w:val="00113B87"/>
    <w:rsid w:val="00113C48"/>
    <w:rsid w:val="00114512"/>
    <w:rsid w:val="00114622"/>
    <w:rsid w:val="0011567D"/>
    <w:rsid w:val="0011668C"/>
    <w:rsid w:val="00116FB6"/>
    <w:rsid w:val="00117326"/>
    <w:rsid w:val="001204F0"/>
    <w:rsid w:val="0012070E"/>
    <w:rsid w:val="00120A49"/>
    <w:rsid w:val="00121273"/>
    <w:rsid w:val="001217CF"/>
    <w:rsid w:val="00121D91"/>
    <w:rsid w:val="00122233"/>
    <w:rsid w:val="00122E0B"/>
    <w:rsid w:val="00123515"/>
    <w:rsid w:val="00124044"/>
    <w:rsid w:val="00124857"/>
    <w:rsid w:val="00124D10"/>
    <w:rsid w:val="00125326"/>
    <w:rsid w:val="00125BAA"/>
    <w:rsid w:val="00126372"/>
    <w:rsid w:val="00127206"/>
    <w:rsid w:val="0012790B"/>
    <w:rsid w:val="00127F9A"/>
    <w:rsid w:val="00130C8F"/>
    <w:rsid w:val="00131508"/>
    <w:rsid w:val="0013192A"/>
    <w:rsid w:val="00131B32"/>
    <w:rsid w:val="00133752"/>
    <w:rsid w:val="00133D38"/>
    <w:rsid w:val="001345FF"/>
    <w:rsid w:val="001358C4"/>
    <w:rsid w:val="00136906"/>
    <w:rsid w:val="00141C97"/>
    <w:rsid w:val="001432D4"/>
    <w:rsid w:val="00143F05"/>
    <w:rsid w:val="0014408F"/>
    <w:rsid w:val="001451C9"/>
    <w:rsid w:val="00145607"/>
    <w:rsid w:val="00146ACD"/>
    <w:rsid w:val="00150C98"/>
    <w:rsid w:val="00150F97"/>
    <w:rsid w:val="001516FA"/>
    <w:rsid w:val="00153A33"/>
    <w:rsid w:val="00161693"/>
    <w:rsid w:val="00161F9C"/>
    <w:rsid w:val="0016306D"/>
    <w:rsid w:val="00163D85"/>
    <w:rsid w:val="0016435C"/>
    <w:rsid w:val="001644A0"/>
    <w:rsid w:val="00165D0F"/>
    <w:rsid w:val="00167669"/>
    <w:rsid w:val="00167BCA"/>
    <w:rsid w:val="001702EC"/>
    <w:rsid w:val="0017074C"/>
    <w:rsid w:val="00170C85"/>
    <w:rsid w:val="0017193C"/>
    <w:rsid w:val="00171DD7"/>
    <w:rsid w:val="00173097"/>
    <w:rsid w:val="0017359C"/>
    <w:rsid w:val="001735FE"/>
    <w:rsid w:val="0017519C"/>
    <w:rsid w:val="00175E34"/>
    <w:rsid w:val="00176F51"/>
    <w:rsid w:val="00181409"/>
    <w:rsid w:val="00181701"/>
    <w:rsid w:val="00181F4A"/>
    <w:rsid w:val="00182473"/>
    <w:rsid w:val="0018441A"/>
    <w:rsid w:val="00184946"/>
    <w:rsid w:val="001852F0"/>
    <w:rsid w:val="00186000"/>
    <w:rsid w:val="00186448"/>
    <w:rsid w:val="0019060B"/>
    <w:rsid w:val="00190E08"/>
    <w:rsid w:val="001915B5"/>
    <w:rsid w:val="00191A05"/>
    <w:rsid w:val="001921ED"/>
    <w:rsid w:val="00192856"/>
    <w:rsid w:val="00192BB9"/>
    <w:rsid w:val="00192E66"/>
    <w:rsid w:val="00193F52"/>
    <w:rsid w:val="00195D30"/>
    <w:rsid w:val="00195D42"/>
    <w:rsid w:val="00195EA2"/>
    <w:rsid w:val="00196D1D"/>
    <w:rsid w:val="00197DE7"/>
    <w:rsid w:val="001A03F6"/>
    <w:rsid w:val="001A22D1"/>
    <w:rsid w:val="001A2CA0"/>
    <w:rsid w:val="001A2E7D"/>
    <w:rsid w:val="001A2FCB"/>
    <w:rsid w:val="001A41E5"/>
    <w:rsid w:val="001A445A"/>
    <w:rsid w:val="001A57C2"/>
    <w:rsid w:val="001B08A4"/>
    <w:rsid w:val="001B0C1A"/>
    <w:rsid w:val="001B1A78"/>
    <w:rsid w:val="001B2ED5"/>
    <w:rsid w:val="001B36EC"/>
    <w:rsid w:val="001B47D9"/>
    <w:rsid w:val="001B54A7"/>
    <w:rsid w:val="001B70FB"/>
    <w:rsid w:val="001C00B6"/>
    <w:rsid w:val="001C1784"/>
    <w:rsid w:val="001C2166"/>
    <w:rsid w:val="001C2CFA"/>
    <w:rsid w:val="001C45DA"/>
    <w:rsid w:val="001C4E9C"/>
    <w:rsid w:val="001C4F55"/>
    <w:rsid w:val="001C5C03"/>
    <w:rsid w:val="001C7991"/>
    <w:rsid w:val="001D12BD"/>
    <w:rsid w:val="001D1750"/>
    <w:rsid w:val="001D1B52"/>
    <w:rsid w:val="001D24AA"/>
    <w:rsid w:val="001D321A"/>
    <w:rsid w:val="001D4829"/>
    <w:rsid w:val="001D4FE4"/>
    <w:rsid w:val="001D501B"/>
    <w:rsid w:val="001D727E"/>
    <w:rsid w:val="001D7677"/>
    <w:rsid w:val="001E2413"/>
    <w:rsid w:val="001E4744"/>
    <w:rsid w:val="001E6042"/>
    <w:rsid w:val="001E7D06"/>
    <w:rsid w:val="001F1E7C"/>
    <w:rsid w:val="001F37A1"/>
    <w:rsid w:val="001F4949"/>
    <w:rsid w:val="001F4BE4"/>
    <w:rsid w:val="001F67A4"/>
    <w:rsid w:val="00200C27"/>
    <w:rsid w:val="00201A6D"/>
    <w:rsid w:val="00201E10"/>
    <w:rsid w:val="00202C00"/>
    <w:rsid w:val="002069BC"/>
    <w:rsid w:val="00206F3D"/>
    <w:rsid w:val="00207F36"/>
    <w:rsid w:val="0021101B"/>
    <w:rsid w:val="00211271"/>
    <w:rsid w:val="00212636"/>
    <w:rsid w:val="00212974"/>
    <w:rsid w:val="0021327E"/>
    <w:rsid w:val="0021578C"/>
    <w:rsid w:val="00217713"/>
    <w:rsid w:val="00220971"/>
    <w:rsid w:val="00220F74"/>
    <w:rsid w:val="00221EBE"/>
    <w:rsid w:val="0022303F"/>
    <w:rsid w:val="002230ED"/>
    <w:rsid w:val="002237F9"/>
    <w:rsid w:val="00224411"/>
    <w:rsid w:val="002249EB"/>
    <w:rsid w:val="00226A0C"/>
    <w:rsid w:val="00226D92"/>
    <w:rsid w:val="0022763A"/>
    <w:rsid w:val="002276FF"/>
    <w:rsid w:val="00231AC8"/>
    <w:rsid w:val="00231CC5"/>
    <w:rsid w:val="0023459A"/>
    <w:rsid w:val="002353DA"/>
    <w:rsid w:val="00235AE2"/>
    <w:rsid w:val="002364B5"/>
    <w:rsid w:val="002369C4"/>
    <w:rsid w:val="002370A0"/>
    <w:rsid w:val="00237FE2"/>
    <w:rsid w:val="00240A4E"/>
    <w:rsid w:val="0024189E"/>
    <w:rsid w:val="00243CBA"/>
    <w:rsid w:val="002448F9"/>
    <w:rsid w:val="00244E26"/>
    <w:rsid w:val="002468F0"/>
    <w:rsid w:val="00246CFD"/>
    <w:rsid w:val="0024758B"/>
    <w:rsid w:val="002513A3"/>
    <w:rsid w:val="0025253B"/>
    <w:rsid w:val="002532AF"/>
    <w:rsid w:val="002536A9"/>
    <w:rsid w:val="00257B25"/>
    <w:rsid w:val="0026099B"/>
    <w:rsid w:val="00260A75"/>
    <w:rsid w:val="00261C6F"/>
    <w:rsid w:val="00262464"/>
    <w:rsid w:val="00262BD0"/>
    <w:rsid w:val="0026309F"/>
    <w:rsid w:val="002658ED"/>
    <w:rsid w:val="00265D45"/>
    <w:rsid w:val="002661FA"/>
    <w:rsid w:val="00266B1E"/>
    <w:rsid w:val="00267943"/>
    <w:rsid w:val="00271858"/>
    <w:rsid w:val="002718D8"/>
    <w:rsid w:val="00271FED"/>
    <w:rsid w:val="00272010"/>
    <w:rsid w:val="0027459F"/>
    <w:rsid w:val="00274C72"/>
    <w:rsid w:val="00274DEC"/>
    <w:rsid w:val="00276EA6"/>
    <w:rsid w:val="00277D9A"/>
    <w:rsid w:val="00280B81"/>
    <w:rsid w:val="00281C76"/>
    <w:rsid w:val="0028269B"/>
    <w:rsid w:val="0028696B"/>
    <w:rsid w:val="00293F9C"/>
    <w:rsid w:val="00294F7D"/>
    <w:rsid w:val="00295500"/>
    <w:rsid w:val="00295B0B"/>
    <w:rsid w:val="0029637F"/>
    <w:rsid w:val="002964B8"/>
    <w:rsid w:val="00297504"/>
    <w:rsid w:val="002A105C"/>
    <w:rsid w:val="002A1358"/>
    <w:rsid w:val="002A196C"/>
    <w:rsid w:val="002A2044"/>
    <w:rsid w:val="002A238B"/>
    <w:rsid w:val="002A24F2"/>
    <w:rsid w:val="002A3DAE"/>
    <w:rsid w:val="002A4B24"/>
    <w:rsid w:val="002A4BA6"/>
    <w:rsid w:val="002A4DD6"/>
    <w:rsid w:val="002A4E6D"/>
    <w:rsid w:val="002A50C3"/>
    <w:rsid w:val="002A593A"/>
    <w:rsid w:val="002A5E61"/>
    <w:rsid w:val="002A603A"/>
    <w:rsid w:val="002B13AE"/>
    <w:rsid w:val="002B1CEA"/>
    <w:rsid w:val="002B2F68"/>
    <w:rsid w:val="002B5DD1"/>
    <w:rsid w:val="002B651C"/>
    <w:rsid w:val="002B6B0A"/>
    <w:rsid w:val="002C0C71"/>
    <w:rsid w:val="002C19ED"/>
    <w:rsid w:val="002C2B1C"/>
    <w:rsid w:val="002C2C77"/>
    <w:rsid w:val="002C3498"/>
    <w:rsid w:val="002C3784"/>
    <w:rsid w:val="002C38AE"/>
    <w:rsid w:val="002C3911"/>
    <w:rsid w:val="002C3BE4"/>
    <w:rsid w:val="002C49CF"/>
    <w:rsid w:val="002C4D01"/>
    <w:rsid w:val="002C4D7C"/>
    <w:rsid w:val="002C65A1"/>
    <w:rsid w:val="002C65E1"/>
    <w:rsid w:val="002D05CD"/>
    <w:rsid w:val="002D10DD"/>
    <w:rsid w:val="002D3B03"/>
    <w:rsid w:val="002D4353"/>
    <w:rsid w:val="002D461A"/>
    <w:rsid w:val="002D49D8"/>
    <w:rsid w:val="002D4CC2"/>
    <w:rsid w:val="002D4D06"/>
    <w:rsid w:val="002D4EA6"/>
    <w:rsid w:val="002D5CF6"/>
    <w:rsid w:val="002E1E8E"/>
    <w:rsid w:val="002E217B"/>
    <w:rsid w:val="002E285A"/>
    <w:rsid w:val="002E35EA"/>
    <w:rsid w:val="002E3C23"/>
    <w:rsid w:val="002E53F3"/>
    <w:rsid w:val="002E6B13"/>
    <w:rsid w:val="002E7061"/>
    <w:rsid w:val="002F0117"/>
    <w:rsid w:val="002F0397"/>
    <w:rsid w:val="002F1302"/>
    <w:rsid w:val="002F18AB"/>
    <w:rsid w:val="002F1D92"/>
    <w:rsid w:val="002F220F"/>
    <w:rsid w:val="002F2C8B"/>
    <w:rsid w:val="002F344B"/>
    <w:rsid w:val="002F43A1"/>
    <w:rsid w:val="002F547A"/>
    <w:rsid w:val="002F7B7F"/>
    <w:rsid w:val="00300E69"/>
    <w:rsid w:val="00300EC5"/>
    <w:rsid w:val="00301468"/>
    <w:rsid w:val="00301A6C"/>
    <w:rsid w:val="003031E8"/>
    <w:rsid w:val="00303C2E"/>
    <w:rsid w:val="00304467"/>
    <w:rsid w:val="00304D3E"/>
    <w:rsid w:val="003051AC"/>
    <w:rsid w:val="00305280"/>
    <w:rsid w:val="003059B4"/>
    <w:rsid w:val="00305A41"/>
    <w:rsid w:val="00306AAA"/>
    <w:rsid w:val="003078BA"/>
    <w:rsid w:val="00307991"/>
    <w:rsid w:val="00310F3A"/>
    <w:rsid w:val="00310FAA"/>
    <w:rsid w:val="00311215"/>
    <w:rsid w:val="003115A9"/>
    <w:rsid w:val="003118E7"/>
    <w:rsid w:val="00312235"/>
    <w:rsid w:val="00312AB2"/>
    <w:rsid w:val="00312BC2"/>
    <w:rsid w:val="00312EF0"/>
    <w:rsid w:val="003146EA"/>
    <w:rsid w:val="003146FB"/>
    <w:rsid w:val="00314E15"/>
    <w:rsid w:val="00315919"/>
    <w:rsid w:val="00315BD9"/>
    <w:rsid w:val="003164E1"/>
    <w:rsid w:val="00316FB1"/>
    <w:rsid w:val="00322130"/>
    <w:rsid w:val="0032482F"/>
    <w:rsid w:val="0032507E"/>
    <w:rsid w:val="00325131"/>
    <w:rsid w:val="00325CF2"/>
    <w:rsid w:val="0032662F"/>
    <w:rsid w:val="00327409"/>
    <w:rsid w:val="003275D4"/>
    <w:rsid w:val="00327DAA"/>
    <w:rsid w:val="00332D7B"/>
    <w:rsid w:val="00336031"/>
    <w:rsid w:val="00336474"/>
    <w:rsid w:val="00337720"/>
    <w:rsid w:val="00337818"/>
    <w:rsid w:val="003401D2"/>
    <w:rsid w:val="00340250"/>
    <w:rsid w:val="003430CE"/>
    <w:rsid w:val="0034328A"/>
    <w:rsid w:val="0034503A"/>
    <w:rsid w:val="00345862"/>
    <w:rsid w:val="00346B86"/>
    <w:rsid w:val="00350C6B"/>
    <w:rsid w:val="003512B5"/>
    <w:rsid w:val="00351412"/>
    <w:rsid w:val="003521F9"/>
    <w:rsid w:val="00353C8C"/>
    <w:rsid w:val="003553FD"/>
    <w:rsid w:val="00362102"/>
    <w:rsid w:val="00362653"/>
    <w:rsid w:val="00362D2D"/>
    <w:rsid w:val="00363738"/>
    <w:rsid w:val="00364F0F"/>
    <w:rsid w:val="003669A9"/>
    <w:rsid w:val="00366F25"/>
    <w:rsid w:val="003674F2"/>
    <w:rsid w:val="00367A24"/>
    <w:rsid w:val="0037062D"/>
    <w:rsid w:val="0037237C"/>
    <w:rsid w:val="00372642"/>
    <w:rsid w:val="0037471D"/>
    <w:rsid w:val="003810FB"/>
    <w:rsid w:val="00381124"/>
    <w:rsid w:val="00381DF0"/>
    <w:rsid w:val="0038378A"/>
    <w:rsid w:val="003843F0"/>
    <w:rsid w:val="00384705"/>
    <w:rsid w:val="00385954"/>
    <w:rsid w:val="00386B5D"/>
    <w:rsid w:val="00387FB5"/>
    <w:rsid w:val="00390BD6"/>
    <w:rsid w:val="003916FB"/>
    <w:rsid w:val="00391A60"/>
    <w:rsid w:val="00392C93"/>
    <w:rsid w:val="00393FC9"/>
    <w:rsid w:val="003941C4"/>
    <w:rsid w:val="00394526"/>
    <w:rsid w:val="003945CF"/>
    <w:rsid w:val="00394924"/>
    <w:rsid w:val="00394F96"/>
    <w:rsid w:val="0039592B"/>
    <w:rsid w:val="00396131"/>
    <w:rsid w:val="003963F1"/>
    <w:rsid w:val="003976BD"/>
    <w:rsid w:val="003A0062"/>
    <w:rsid w:val="003A1B16"/>
    <w:rsid w:val="003A4933"/>
    <w:rsid w:val="003A5AA4"/>
    <w:rsid w:val="003A63C4"/>
    <w:rsid w:val="003A7814"/>
    <w:rsid w:val="003B01B1"/>
    <w:rsid w:val="003B0217"/>
    <w:rsid w:val="003B077D"/>
    <w:rsid w:val="003B232A"/>
    <w:rsid w:val="003B2915"/>
    <w:rsid w:val="003B2AE3"/>
    <w:rsid w:val="003B2AF0"/>
    <w:rsid w:val="003B5437"/>
    <w:rsid w:val="003B7549"/>
    <w:rsid w:val="003B7C00"/>
    <w:rsid w:val="003C0C1D"/>
    <w:rsid w:val="003C0ECC"/>
    <w:rsid w:val="003C0F07"/>
    <w:rsid w:val="003C361D"/>
    <w:rsid w:val="003C3678"/>
    <w:rsid w:val="003C5178"/>
    <w:rsid w:val="003C5338"/>
    <w:rsid w:val="003C5A61"/>
    <w:rsid w:val="003C5E59"/>
    <w:rsid w:val="003C7A35"/>
    <w:rsid w:val="003C7B30"/>
    <w:rsid w:val="003D22C2"/>
    <w:rsid w:val="003D234E"/>
    <w:rsid w:val="003D25E9"/>
    <w:rsid w:val="003D2D37"/>
    <w:rsid w:val="003D443B"/>
    <w:rsid w:val="003D474B"/>
    <w:rsid w:val="003D5B55"/>
    <w:rsid w:val="003D77AB"/>
    <w:rsid w:val="003E0018"/>
    <w:rsid w:val="003E0784"/>
    <w:rsid w:val="003E3652"/>
    <w:rsid w:val="003E49F9"/>
    <w:rsid w:val="003E501F"/>
    <w:rsid w:val="003E5A1B"/>
    <w:rsid w:val="003E65EA"/>
    <w:rsid w:val="003F1AA2"/>
    <w:rsid w:val="003F2502"/>
    <w:rsid w:val="003F409C"/>
    <w:rsid w:val="003F4FD4"/>
    <w:rsid w:val="003F6B39"/>
    <w:rsid w:val="003F740E"/>
    <w:rsid w:val="003F7AF7"/>
    <w:rsid w:val="004002B6"/>
    <w:rsid w:val="004006DB"/>
    <w:rsid w:val="0040159B"/>
    <w:rsid w:val="004020BB"/>
    <w:rsid w:val="0040269C"/>
    <w:rsid w:val="004034DB"/>
    <w:rsid w:val="00404133"/>
    <w:rsid w:val="0040512D"/>
    <w:rsid w:val="00405DCF"/>
    <w:rsid w:val="00406A22"/>
    <w:rsid w:val="00406C4F"/>
    <w:rsid w:val="00406E0D"/>
    <w:rsid w:val="0040725D"/>
    <w:rsid w:val="00411E46"/>
    <w:rsid w:val="004130B5"/>
    <w:rsid w:val="00413E57"/>
    <w:rsid w:val="00414123"/>
    <w:rsid w:val="00414F03"/>
    <w:rsid w:val="004155F2"/>
    <w:rsid w:val="00415FD9"/>
    <w:rsid w:val="004165E1"/>
    <w:rsid w:val="00416834"/>
    <w:rsid w:val="004173C3"/>
    <w:rsid w:val="00417658"/>
    <w:rsid w:val="00417806"/>
    <w:rsid w:val="00420D6F"/>
    <w:rsid w:val="00422F19"/>
    <w:rsid w:val="004246E3"/>
    <w:rsid w:val="00424CE6"/>
    <w:rsid w:val="00425A9D"/>
    <w:rsid w:val="00425C27"/>
    <w:rsid w:val="00425DAC"/>
    <w:rsid w:val="00430AF9"/>
    <w:rsid w:val="00431455"/>
    <w:rsid w:val="004316C2"/>
    <w:rsid w:val="00431A60"/>
    <w:rsid w:val="00431DD5"/>
    <w:rsid w:val="00431EC6"/>
    <w:rsid w:val="00432F11"/>
    <w:rsid w:val="004357D1"/>
    <w:rsid w:val="00435AE0"/>
    <w:rsid w:val="004371A5"/>
    <w:rsid w:val="00437371"/>
    <w:rsid w:val="00437E46"/>
    <w:rsid w:val="004428E7"/>
    <w:rsid w:val="00442BE6"/>
    <w:rsid w:val="0044310D"/>
    <w:rsid w:val="00443A12"/>
    <w:rsid w:val="00443F61"/>
    <w:rsid w:val="00450107"/>
    <w:rsid w:val="004559D2"/>
    <w:rsid w:val="004569EB"/>
    <w:rsid w:val="00456AA6"/>
    <w:rsid w:val="00457374"/>
    <w:rsid w:val="00457D3A"/>
    <w:rsid w:val="00460716"/>
    <w:rsid w:val="004622FF"/>
    <w:rsid w:val="00462B92"/>
    <w:rsid w:val="00463C51"/>
    <w:rsid w:val="004647D5"/>
    <w:rsid w:val="00464F1A"/>
    <w:rsid w:val="004675EC"/>
    <w:rsid w:val="004677B9"/>
    <w:rsid w:val="00473885"/>
    <w:rsid w:val="0047525B"/>
    <w:rsid w:val="00475991"/>
    <w:rsid w:val="00475AA0"/>
    <w:rsid w:val="004768ED"/>
    <w:rsid w:val="00477CAD"/>
    <w:rsid w:val="0048027E"/>
    <w:rsid w:val="00481143"/>
    <w:rsid w:val="00481903"/>
    <w:rsid w:val="004834B4"/>
    <w:rsid w:val="00483B94"/>
    <w:rsid w:val="004844BF"/>
    <w:rsid w:val="00486C19"/>
    <w:rsid w:val="00487D45"/>
    <w:rsid w:val="004927B5"/>
    <w:rsid w:val="0049334B"/>
    <w:rsid w:val="00496544"/>
    <w:rsid w:val="0049654A"/>
    <w:rsid w:val="00496955"/>
    <w:rsid w:val="00497164"/>
    <w:rsid w:val="0049729D"/>
    <w:rsid w:val="0049750B"/>
    <w:rsid w:val="004A08B1"/>
    <w:rsid w:val="004A170A"/>
    <w:rsid w:val="004A170B"/>
    <w:rsid w:val="004A1FC4"/>
    <w:rsid w:val="004A2C13"/>
    <w:rsid w:val="004A331A"/>
    <w:rsid w:val="004A422E"/>
    <w:rsid w:val="004A57F8"/>
    <w:rsid w:val="004A595F"/>
    <w:rsid w:val="004A7481"/>
    <w:rsid w:val="004B0B4C"/>
    <w:rsid w:val="004B25DA"/>
    <w:rsid w:val="004B47E3"/>
    <w:rsid w:val="004B4824"/>
    <w:rsid w:val="004B5852"/>
    <w:rsid w:val="004C05B4"/>
    <w:rsid w:val="004C11B9"/>
    <w:rsid w:val="004C22ED"/>
    <w:rsid w:val="004C2513"/>
    <w:rsid w:val="004C3DB9"/>
    <w:rsid w:val="004C3FAE"/>
    <w:rsid w:val="004C4AE7"/>
    <w:rsid w:val="004C52B1"/>
    <w:rsid w:val="004C5D6E"/>
    <w:rsid w:val="004C5D96"/>
    <w:rsid w:val="004C61AE"/>
    <w:rsid w:val="004C66DD"/>
    <w:rsid w:val="004C67A5"/>
    <w:rsid w:val="004C6A72"/>
    <w:rsid w:val="004C7E8B"/>
    <w:rsid w:val="004D01B9"/>
    <w:rsid w:val="004D141F"/>
    <w:rsid w:val="004D1D7C"/>
    <w:rsid w:val="004D1F3A"/>
    <w:rsid w:val="004D3F7C"/>
    <w:rsid w:val="004D4FF3"/>
    <w:rsid w:val="004D5901"/>
    <w:rsid w:val="004D5E35"/>
    <w:rsid w:val="004D6FB3"/>
    <w:rsid w:val="004D7FE3"/>
    <w:rsid w:val="004E0D3F"/>
    <w:rsid w:val="004E11DE"/>
    <w:rsid w:val="004E1733"/>
    <w:rsid w:val="004E1E62"/>
    <w:rsid w:val="004E284B"/>
    <w:rsid w:val="004E51D1"/>
    <w:rsid w:val="004E551E"/>
    <w:rsid w:val="004E65D0"/>
    <w:rsid w:val="004E674D"/>
    <w:rsid w:val="004E6861"/>
    <w:rsid w:val="004E6BDB"/>
    <w:rsid w:val="004F029E"/>
    <w:rsid w:val="004F16B5"/>
    <w:rsid w:val="004F2E84"/>
    <w:rsid w:val="004F3DE2"/>
    <w:rsid w:val="004F40A7"/>
    <w:rsid w:val="004F4529"/>
    <w:rsid w:val="004F6372"/>
    <w:rsid w:val="005002A1"/>
    <w:rsid w:val="0050088B"/>
    <w:rsid w:val="005010A3"/>
    <w:rsid w:val="00501423"/>
    <w:rsid w:val="00501433"/>
    <w:rsid w:val="005014B4"/>
    <w:rsid w:val="005023EE"/>
    <w:rsid w:val="00502BC9"/>
    <w:rsid w:val="0050348F"/>
    <w:rsid w:val="005043DF"/>
    <w:rsid w:val="00504E59"/>
    <w:rsid w:val="0050578D"/>
    <w:rsid w:val="00505D47"/>
    <w:rsid w:val="00506A06"/>
    <w:rsid w:val="0050716D"/>
    <w:rsid w:val="0051284A"/>
    <w:rsid w:val="005128A6"/>
    <w:rsid w:val="00512A6D"/>
    <w:rsid w:val="00513569"/>
    <w:rsid w:val="00513F48"/>
    <w:rsid w:val="00516A93"/>
    <w:rsid w:val="00516E03"/>
    <w:rsid w:val="005175F3"/>
    <w:rsid w:val="005202B0"/>
    <w:rsid w:val="00520405"/>
    <w:rsid w:val="005205D1"/>
    <w:rsid w:val="00520F1A"/>
    <w:rsid w:val="005211D0"/>
    <w:rsid w:val="005213AE"/>
    <w:rsid w:val="005229C8"/>
    <w:rsid w:val="00523EF6"/>
    <w:rsid w:val="005267E8"/>
    <w:rsid w:val="005271FB"/>
    <w:rsid w:val="00527BBE"/>
    <w:rsid w:val="00534001"/>
    <w:rsid w:val="00535346"/>
    <w:rsid w:val="005361B7"/>
    <w:rsid w:val="0053654C"/>
    <w:rsid w:val="005372D7"/>
    <w:rsid w:val="005379E6"/>
    <w:rsid w:val="005403FE"/>
    <w:rsid w:val="00543821"/>
    <w:rsid w:val="00544595"/>
    <w:rsid w:val="00544FFF"/>
    <w:rsid w:val="00553841"/>
    <w:rsid w:val="00554292"/>
    <w:rsid w:val="005562A2"/>
    <w:rsid w:val="005570AE"/>
    <w:rsid w:val="00560351"/>
    <w:rsid w:val="00561C85"/>
    <w:rsid w:val="00562419"/>
    <w:rsid w:val="005637D5"/>
    <w:rsid w:val="00563A52"/>
    <w:rsid w:val="005657D1"/>
    <w:rsid w:val="00567463"/>
    <w:rsid w:val="00570672"/>
    <w:rsid w:val="00570E9C"/>
    <w:rsid w:val="00570F46"/>
    <w:rsid w:val="005724D9"/>
    <w:rsid w:val="005725CA"/>
    <w:rsid w:val="0057272E"/>
    <w:rsid w:val="0057623B"/>
    <w:rsid w:val="00576A88"/>
    <w:rsid w:val="0057739D"/>
    <w:rsid w:val="0057746D"/>
    <w:rsid w:val="0058150C"/>
    <w:rsid w:val="00581CCA"/>
    <w:rsid w:val="005822A6"/>
    <w:rsid w:val="00583579"/>
    <w:rsid w:val="005909A2"/>
    <w:rsid w:val="005910A3"/>
    <w:rsid w:val="0059298D"/>
    <w:rsid w:val="00592C54"/>
    <w:rsid w:val="00594AEE"/>
    <w:rsid w:val="005953FA"/>
    <w:rsid w:val="00595447"/>
    <w:rsid w:val="005958DB"/>
    <w:rsid w:val="00596978"/>
    <w:rsid w:val="005976B2"/>
    <w:rsid w:val="00597B7A"/>
    <w:rsid w:val="005A09A8"/>
    <w:rsid w:val="005A34B2"/>
    <w:rsid w:val="005A4656"/>
    <w:rsid w:val="005A4795"/>
    <w:rsid w:val="005A5452"/>
    <w:rsid w:val="005A57A0"/>
    <w:rsid w:val="005A5F5C"/>
    <w:rsid w:val="005A6C51"/>
    <w:rsid w:val="005B06DA"/>
    <w:rsid w:val="005B29DC"/>
    <w:rsid w:val="005B2E8D"/>
    <w:rsid w:val="005B3499"/>
    <w:rsid w:val="005B3BCC"/>
    <w:rsid w:val="005B3DF6"/>
    <w:rsid w:val="005B448E"/>
    <w:rsid w:val="005B4CF8"/>
    <w:rsid w:val="005B500F"/>
    <w:rsid w:val="005B50EA"/>
    <w:rsid w:val="005B64C6"/>
    <w:rsid w:val="005C066B"/>
    <w:rsid w:val="005C0BE7"/>
    <w:rsid w:val="005C23E5"/>
    <w:rsid w:val="005C287D"/>
    <w:rsid w:val="005C2AE8"/>
    <w:rsid w:val="005C2C9A"/>
    <w:rsid w:val="005C5F91"/>
    <w:rsid w:val="005C7C30"/>
    <w:rsid w:val="005D01B7"/>
    <w:rsid w:val="005D06AE"/>
    <w:rsid w:val="005D0B0A"/>
    <w:rsid w:val="005D0E4F"/>
    <w:rsid w:val="005D1AC2"/>
    <w:rsid w:val="005D3EA2"/>
    <w:rsid w:val="005D439B"/>
    <w:rsid w:val="005D4AC9"/>
    <w:rsid w:val="005D4B02"/>
    <w:rsid w:val="005D4C32"/>
    <w:rsid w:val="005D52BA"/>
    <w:rsid w:val="005D53BA"/>
    <w:rsid w:val="005D69D7"/>
    <w:rsid w:val="005D6D58"/>
    <w:rsid w:val="005D708F"/>
    <w:rsid w:val="005D7F5D"/>
    <w:rsid w:val="005E0163"/>
    <w:rsid w:val="005E207E"/>
    <w:rsid w:val="005E385D"/>
    <w:rsid w:val="005E4FF0"/>
    <w:rsid w:val="005E5517"/>
    <w:rsid w:val="005E6201"/>
    <w:rsid w:val="005E7D8C"/>
    <w:rsid w:val="005F358A"/>
    <w:rsid w:val="005F4FCC"/>
    <w:rsid w:val="005F5DAD"/>
    <w:rsid w:val="005F7994"/>
    <w:rsid w:val="006005E8"/>
    <w:rsid w:val="00600F6B"/>
    <w:rsid w:val="0060100B"/>
    <w:rsid w:val="00601768"/>
    <w:rsid w:val="0060218E"/>
    <w:rsid w:val="00602A0A"/>
    <w:rsid w:val="0060609B"/>
    <w:rsid w:val="00606E7B"/>
    <w:rsid w:val="006071D2"/>
    <w:rsid w:val="006115AB"/>
    <w:rsid w:val="00611948"/>
    <w:rsid w:val="00611EAE"/>
    <w:rsid w:val="0061327B"/>
    <w:rsid w:val="006141A8"/>
    <w:rsid w:val="00616443"/>
    <w:rsid w:val="006175C8"/>
    <w:rsid w:val="006208AA"/>
    <w:rsid w:val="00622366"/>
    <w:rsid w:val="00622EC8"/>
    <w:rsid w:val="00624F69"/>
    <w:rsid w:val="0062681F"/>
    <w:rsid w:val="00630202"/>
    <w:rsid w:val="00631724"/>
    <w:rsid w:val="00631AA2"/>
    <w:rsid w:val="00631BB8"/>
    <w:rsid w:val="00631F7E"/>
    <w:rsid w:val="0063225D"/>
    <w:rsid w:val="00632EB7"/>
    <w:rsid w:val="00633685"/>
    <w:rsid w:val="00633C0B"/>
    <w:rsid w:val="00636DA7"/>
    <w:rsid w:val="00637CF8"/>
    <w:rsid w:val="00637EB2"/>
    <w:rsid w:val="006401E4"/>
    <w:rsid w:val="006408F3"/>
    <w:rsid w:val="0064348C"/>
    <w:rsid w:val="0064415A"/>
    <w:rsid w:val="00645684"/>
    <w:rsid w:val="00645947"/>
    <w:rsid w:val="00645FF7"/>
    <w:rsid w:val="00646EB8"/>
    <w:rsid w:val="00647181"/>
    <w:rsid w:val="006477A4"/>
    <w:rsid w:val="00647DC0"/>
    <w:rsid w:val="00650FAD"/>
    <w:rsid w:val="0065132E"/>
    <w:rsid w:val="006520D2"/>
    <w:rsid w:val="006526A9"/>
    <w:rsid w:val="00653182"/>
    <w:rsid w:val="00656A15"/>
    <w:rsid w:val="00660699"/>
    <w:rsid w:val="00662FBE"/>
    <w:rsid w:val="0066629D"/>
    <w:rsid w:val="00666AA9"/>
    <w:rsid w:val="00666DBC"/>
    <w:rsid w:val="006676EA"/>
    <w:rsid w:val="00671503"/>
    <w:rsid w:val="00671E10"/>
    <w:rsid w:val="00671ED3"/>
    <w:rsid w:val="00672A1F"/>
    <w:rsid w:val="00672CCB"/>
    <w:rsid w:val="00673750"/>
    <w:rsid w:val="006738D7"/>
    <w:rsid w:val="00676421"/>
    <w:rsid w:val="00677CB6"/>
    <w:rsid w:val="0068025F"/>
    <w:rsid w:val="00681281"/>
    <w:rsid w:val="0068380D"/>
    <w:rsid w:val="0068457C"/>
    <w:rsid w:val="006845FE"/>
    <w:rsid w:val="00684F4D"/>
    <w:rsid w:val="00685EB2"/>
    <w:rsid w:val="006867DD"/>
    <w:rsid w:val="00686ADC"/>
    <w:rsid w:val="006876CC"/>
    <w:rsid w:val="006879A9"/>
    <w:rsid w:val="006904A9"/>
    <w:rsid w:val="0069096D"/>
    <w:rsid w:val="006913BB"/>
    <w:rsid w:val="00692EDC"/>
    <w:rsid w:val="00693A4C"/>
    <w:rsid w:val="00694F01"/>
    <w:rsid w:val="00695276"/>
    <w:rsid w:val="0069538A"/>
    <w:rsid w:val="00696FFA"/>
    <w:rsid w:val="00697769"/>
    <w:rsid w:val="006A2B04"/>
    <w:rsid w:val="006A4608"/>
    <w:rsid w:val="006A4C8F"/>
    <w:rsid w:val="006A5023"/>
    <w:rsid w:val="006A6C78"/>
    <w:rsid w:val="006A7206"/>
    <w:rsid w:val="006A7492"/>
    <w:rsid w:val="006B1954"/>
    <w:rsid w:val="006B1EB5"/>
    <w:rsid w:val="006B1F1B"/>
    <w:rsid w:val="006B471E"/>
    <w:rsid w:val="006B4C4D"/>
    <w:rsid w:val="006B4CEE"/>
    <w:rsid w:val="006B4E28"/>
    <w:rsid w:val="006B5B0C"/>
    <w:rsid w:val="006B63E4"/>
    <w:rsid w:val="006B6B24"/>
    <w:rsid w:val="006B6B6F"/>
    <w:rsid w:val="006B7636"/>
    <w:rsid w:val="006C0056"/>
    <w:rsid w:val="006C058E"/>
    <w:rsid w:val="006C183C"/>
    <w:rsid w:val="006C1F68"/>
    <w:rsid w:val="006C2245"/>
    <w:rsid w:val="006C3145"/>
    <w:rsid w:val="006C426F"/>
    <w:rsid w:val="006C445A"/>
    <w:rsid w:val="006C4C36"/>
    <w:rsid w:val="006C55B6"/>
    <w:rsid w:val="006C582A"/>
    <w:rsid w:val="006D5E60"/>
    <w:rsid w:val="006D5FDE"/>
    <w:rsid w:val="006D77C6"/>
    <w:rsid w:val="006E1311"/>
    <w:rsid w:val="006E2047"/>
    <w:rsid w:val="006E2BB0"/>
    <w:rsid w:val="006E6D10"/>
    <w:rsid w:val="006E6FFE"/>
    <w:rsid w:val="006E74CE"/>
    <w:rsid w:val="006E7E81"/>
    <w:rsid w:val="006F0648"/>
    <w:rsid w:val="006F06FB"/>
    <w:rsid w:val="006F1FB1"/>
    <w:rsid w:val="006F48A4"/>
    <w:rsid w:val="006F4E12"/>
    <w:rsid w:val="006F5E97"/>
    <w:rsid w:val="006F7398"/>
    <w:rsid w:val="006F7457"/>
    <w:rsid w:val="006F752B"/>
    <w:rsid w:val="00702CF0"/>
    <w:rsid w:val="00703D77"/>
    <w:rsid w:val="00704F99"/>
    <w:rsid w:val="007055A2"/>
    <w:rsid w:val="00705D53"/>
    <w:rsid w:val="0070613D"/>
    <w:rsid w:val="00706352"/>
    <w:rsid w:val="0070796C"/>
    <w:rsid w:val="00707A22"/>
    <w:rsid w:val="0071017D"/>
    <w:rsid w:val="007112FD"/>
    <w:rsid w:val="007124E3"/>
    <w:rsid w:val="007133C3"/>
    <w:rsid w:val="00713996"/>
    <w:rsid w:val="0071619C"/>
    <w:rsid w:val="00716342"/>
    <w:rsid w:val="00721175"/>
    <w:rsid w:val="00723026"/>
    <w:rsid w:val="00724FF5"/>
    <w:rsid w:val="007251D8"/>
    <w:rsid w:val="00726A4B"/>
    <w:rsid w:val="00727BEE"/>
    <w:rsid w:val="00730E48"/>
    <w:rsid w:val="00731207"/>
    <w:rsid w:val="0073449E"/>
    <w:rsid w:val="007362D4"/>
    <w:rsid w:val="0073663D"/>
    <w:rsid w:val="007374DF"/>
    <w:rsid w:val="00737509"/>
    <w:rsid w:val="00740758"/>
    <w:rsid w:val="00741659"/>
    <w:rsid w:val="0074184B"/>
    <w:rsid w:val="007419AA"/>
    <w:rsid w:val="00741A3F"/>
    <w:rsid w:val="00743150"/>
    <w:rsid w:val="00743FEA"/>
    <w:rsid w:val="00744575"/>
    <w:rsid w:val="007451FB"/>
    <w:rsid w:val="00745A6B"/>
    <w:rsid w:val="0074628E"/>
    <w:rsid w:val="007467D1"/>
    <w:rsid w:val="00746876"/>
    <w:rsid w:val="00750075"/>
    <w:rsid w:val="0075256C"/>
    <w:rsid w:val="00752954"/>
    <w:rsid w:val="00754A41"/>
    <w:rsid w:val="00755B9A"/>
    <w:rsid w:val="00760794"/>
    <w:rsid w:val="0076095B"/>
    <w:rsid w:val="00760B4C"/>
    <w:rsid w:val="0076125C"/>
    <w:rsid w:val="00761C8A"/>
    <w:rsid w:val="00761DFC"/>
    <w:rsid w:val="00762919"/>
    <w:rsid w:val="00762EC7"/>
    <w:rsid w:val="007635F7"/>
    <w:rsid w:val="00763934"/>
    <w:rsid w:val="00764A72"/>
    <w:rsid w:val="00764C1D"/>
    <w:rsid w:val="0076633E"/>
    <w:rsid w:val="00767BFD"/>
    <w:rsid w:val="00770588"/>
    <w:rsid w:val="007709E2"/>
    <w:rsid w:val="00771282"/>
    <w:rsid w:val="00771591"/>
    <w:rsid w:val="00772593"/>
    <w:rsid w:val="007731E7"/>
    <w:rsid w:val="00774F50"/>
    <w:rsid w:val="0077552D"/>
    <w:rsid w:val="00777804"/>
    <w:rsid w:val="00781B58"/>
    <w:rsid w:val="00783203"/>
    <w:rsid w:val="00783C4C"/>
    <w:rsid w:val="00783D67"/>
    <w:rsid w:val="00784B7F"/>
    <w:rsid w:val="00785398"/>
    <w:rsid w:val="00785ADC"/>
    <w:rsid w:val="00786D4E"/>
    <w:rsid w:val="00786F11"/>
    <w:rsid w:val="0078703F"/>
    <w:rsid w:val="0078788E"/>
    <w:rsid w:val="0079071B"/>
    <w:rsid w:val="00790755"/>
    <w:rsid w:val="007913A9"/>
    <w:rsid w:val="007931A8"/>
    <w:rsid w:val="00793697"/>
    <w:rsid w:val="007937F9"/>
    <w:rsid w:val="00794049"/>
    <w:rsid w:val="00794525"/>
    <w:rsid w:val="007961DB"/>
    <w:rsid w:val="0079671F"/>
    <w:rsid w:val="00796E94"/>
    <w:rsid w:val="00796EA3"/>
    <w:rsid w:val="00797BF0"/>
    <w:rsid w:val="007A0062"/>
    <w:rsid w:val="007A194C"/>
    <w:rsid w:val="007A293A"/>
    <w:rsid w:val="007A4102"/>
    <w:rsid w:val="007A4F41"/>
    <w:rsid w:val="007A5B9A"/>
    <w:rsid w:val="007A6E54"/>
    <w:rsid w:val="007A77C5"/>
    <w:rsid w:val="007B029F"/>
    <w:rsid w:val="007B27CF"/>
    <w:rsid w:val="007B33EC"/>
    <w:rsid w:val="007B57CC"/>
    <w:rsid w:val="007B5F75"/>
    <w:rsid w:val="007B6848"/>
    <w:rsid w:val="007B6AC8"/>
    <w:rsid w:val="007B6B4C"/>
    <w:rsid w:val="007B7B0A"/>
    <w:rsid w:val="007C17C7"/>
    <w:rsid w:val="007C2412"/>
    <w:rsid w:val="007C24A1"/>
    <w:rsid w:val="007C27D0"/>
    <w:rsid w:val="007C2A70"/>
    <w:rsid w:val="007C6072"/>
    <w:rsid w:val="007C7C92"/>
    <w:rsid w:val="007C7DAF"/>
    <w:rsid w:val="007D01D8"/>
    <w:rsid w:val="007D0FD7"/>
    <w:rsid w:val="007D1125"/>
    <w:rsid w:val="007D1293"/>
    <w:rsid w:val="007D1436"/>
    <w:rsid w:val="007D29C0"/>
    <w:rsid w:val="007D2B52"/>
    <w:rsid w:val="007D346A"/>
    <w:rsid w:val="007D3C5A"/>
    <w:rsid w:val="007D4643"/>
    <w:rsid w:val="007D4BB3"/>
    <w:rsid w:val="007D565F"/>
    <w:rsid w:val="007D5892"/>
    <w:rsid w:val="007D61F2"/>
    <w:rsid w:val="007D627D"/>
    <w:rsid w:val="007D7916"/>
    <w:rsid w:val="007D7944"/>
    <w:rsid w:val="007D7BA8"/>
    <w:rsid w:val="007E0721"/>
    <w:rsid w:val="007E291A"/>
    <w:rsid w:val="007E2DDA"/>
    <w:rsid w:val="007E318D"/>
    <w:rsid w:val="007E38AD"/>
    <w:rsid w:val="007E43A8"/>
    <w:rsid w:val="007E4B9E"/>
    <w:rsid w:val="007E4DB6"/>
    <w:rsid w:val="007E53C6"/>
    <w:rsid w:val="007E7D84"/>
    <w:rsid w:val="007F11A8"/>
    <w:rsid w:val="007F2A26"/>
    <w:rsid w:val="007F2BA7"/>
    <w:rsid w:val="007F622D"/>
    <w:rsid w:val="007F6471"/>
    <w:rsid w:val="007F6909"/>
    <w:rsid w:val="007F6B41"/>
    <w:rsid w:val="007F714A"/>
    <w:rsid w:val="0080051E"/>
    <w:rsid w:val="0080186F"/>
    <w:rsid w:val="008024CF"/>
    <w:rsid w:val="008040B2"/>
    <w:rsid w:val="008060F4"/>
    <w:rsid w:val="008104A9"/>
    <w:rsid w:val="00810DE4"/>
    <w:rsid w:val="00811017"/>
    <w:rsid w:val="00811DBC"/>
    <w:rsid w:val="0081301D"/>
    <w:rsid w:val="0081355C"/>
    <w:rsid w:val="0081406E"/>
    <w:rsid w:val="00814259"/>
    <w:rsid w:val="00814CB4"/>
    <w:rsid w:val="00814F71"/>
    <w:rsid w:val="00815DFE"/>
    <w:rsid w:val="0081652C"/>
    <w:rsid w:val="0081675E"/>
    <w:rsid w:val="00817933"/>
    <w:rsid w:val="00821A3E"/>
    <w:rsid w:val="008224FD"/>
    <w:rsid w:val="008231A0"/>
    <w:rsid w:val="0082678C"/>
    <w:rsid w:val="00826A17"/>
    <w:rsid w:val="00830EF2"/>
    <w:rsid w:val="00832105"/>
    <w:rsid w:val="008329E0"/>
    <w:rsid w:val="00832AE0"/>
    <w:rsid w:val="008330CB"/>
    <w:rsid w:val="0083569E"/>
    <w:rsid w:val="00835FF3"/>
    <w:rsid w:val="00837DD0"/>
    <w:rsid w:val="00840C80"/>
    <w:rsid w:val="00840D59"/>
    <w:rsid w:val="00842D04"/>
    <w:rsid w:val="00842F0A"/>
    <w:rsid w:val="00843D4D"/>
    <w:rsid w:val="00844CA0"/>
    <w:rsid w:val="0084554D"/>
    <w:rsid w:val="0084570C"/>
    <w:rsid w:val="00845E66"/>
    <w:rsid w:val="00847395"/>
    <w:rsid w:val="008508EA"/>
    <w:rsid w:val="00850CEC"/>
    <w:rsid w:val="00851AB0"/>
    <w:rsid w:val="00851EFB"/>
    <w:rsid w:val="00852110"/>
    <w:rsid w:val="00852BBA"/>
    <w:rsid w:val="00855674"/>
    <w:rsid w:val="00856A3E"/>
    <w:rsid w:val="008610A4"/>
    <w:rsid w:val="00861425"/>
    <w:rsid w:val="0086235E"/>
    <w:rsid w:val="00862833"/>
    <w:rsid w:val="008632B8"/>
    <w:rsid w:val="0086388B"/>
    <w:rsid w:val="008651FB"/>
    <w:rsid w:val="00865B75"/>
    <w:rsid w:val="00867DB9"/>
    <w:rsid w:val="008715A3"/>
    <w:rsid w:val="0087163C"/>
    <w:rsid w:val="00872B96"/>
    <w:rsid w:val="00874195"/>
    <w:rsid w:val="008743A5"/>
    <w:rsid w:val="008766F8"/>
    <w:rsid w:val="00876FB8"/>
    <w:rsid w:val="00877D37"/>
    <w:rsid w:val="00877F7C"/>
    <w:rsid w:val="0088005C"/>
    <w:rsid w:val="008806CA"/>
    <w:rsid w:val="00881744"/>
    <w:rsid w:val="00881A45"/>
    <w:rsid w:val="00882069"/>
    <w:rsid w:val="00883560"/>
    <w:rsid w:val="00883C4B"/>
    <w:rsid w:val="0088479E"/>
    <w:rsid w:val="00884DAF"/>
    <w:rsid w:val="00885F65"/>
    <w:rsid w:val="008863C2"/>
    <w:rsid w:val="00886C23"/>
    <w:rsid w:val="00891066"/>
    <w:rsid w:val="00891733"/>
    <w:rsid w:val="008917CB"/>
    <w:rsid w:val="00891D02"/>
    <w:rsid w:val="00892183"/>
    <w:rsid w:val="00894973"/>
    <w:rsid w:val="00895346"/>
    <w:rsid w:val="00896CB8"/>
    <w:rsid w:val="008A04F9"/>
    <w:rsid w:val="008A1D40"/>
    <w:rsid w:val="008A2554"/>
    <w:rsid w:val="008A28D5"/>
    <w:rsid w:val="008A2900"/>
    <w:rsid w:val="008A3D6E"/>
    <w:rsid w:val="008A413B"/>
    <w:rsid w:val="008A4630"/>
    <w:rsid w:val="008A5189"/>
    <w:rsid w:val="008A5A10"/>
    <w:rsid w:val="008A5D2F"/>
    <w:rsid w:val="008A65F2"/>
    <w:rsid w:val="008B08BA"/>
    <w:rsid w:val="008B1005"/>
    <w:rsid w:val="008B1289"/>
    <w:rsid w:val="008B16A0"/>
    <w:rsid w:val="008B1D66"/>
    <w:rsid w:val="008B267A"/>
    <w:rsid w:val="008B2795"/>
    <w:rsid w:val="008B321E"/>
    <w:rsid w:val="008B3AEE"/>
    <w:rsid w:val="008B52AA"/>
    <w:rsid w:val="008B7881"/>
    <w:rsid w:val="008B7AB6"/>
    <w:rsid w:val="008C4EFA"/>
    <w:rsid w:val="008D2031"/>
    <w:rsid w:val="008D430C"/>
    <w:rsid w:val="008D4623"/>
    <w:rsid w:val="008D4AD5"/>
    <w:rsid w:val="008D5FCB"/>
    <w:rsid w:val="008D6EC3"/>
    <w:rsid w:val="008E00B2"/>
    <w:rsid w:val="008E14F8"/>
    <w:rsid w:val="008E2FBC"/>
    <w:rsid w:val="008E42AB"/>
    <w:rsid w:val="008E64BD"/>
    <w:rsid w:val="008E6D82"/>
    <w:rsid w:val="008E7939"/>
    <w:rsid w:val="008F0102"/>
    <w:rsid w:val="008F2DEB"/>
    <w:rsid w:val="008F499B"/>
    <w:rsid w:val="008F62C9"/>
    <w:rsid w:val="008F783E"/>
    <w:rsid w:val="008F7B7B"/>
    <w:rsid w:val="008F7CB4"/>
    <w:rsid w:val="0090046D"/>
    <w:rsid w:val="009004EC"/>
    <w:rsid w:val="00900A7D"/>
    <w:rsid w:val="00900B0A"/>
    <w:rsid w:val="00901111"/>
    <w:rsid w:val="00901509"/>
    <w:rsid w:val="009018A4"/>
    <w:rsid w:val="009019D8"/>
    <w:rsid w:val="0090279F"/>
    <w:rsid w:val="00902DD5"/>
    <w:rsid w:val="0090341E"/>
    <w:rsid w:val="00903910"/>
    <w:rsid w:val="00904E56"/>
    <w:rsid w:val="009071D2"/>
    <w:rsid w:val="009106C5"/>
    <w:rsid w:val="00910E11"/>
    <w:rsid w:val="009117B2"/>
    <w:rsid w:val="00911CCC"/>
    <w:rsid w:val="0091222A"/>
    <w:rsid w:val="00913078"/>
    <w:rsid w:val="009135A6"/>
    <w:rsid w:val="009135DF"/>
    <w:rsid w:val="0091425D"/>
    <w:rsid w:val="00917699"/>
    <w:rsid w:val="00917CD2"/>
    <w:rsid w:val="00917D57"/>
    <w:rsid w:val="0092008F"/>
    <w:rsid w:val="009201CF"/>
    <w:rsid w:val="00920B5F"/>
    <w:rsid w:val="0092412F"/>
    <w:rsid w:val="00924C5D"/>
    <w:rsid w:val="0092527D"/>
    <w:rsid w:val="00925CAA"/>
    <w:rsid w:val="009302E6"/>
    <w:rsid w:val="00932CBF"/>
    <w:rsid w:val="00933A84"/>
    <w:rsid w:val="00933C05"/>
    <w:rsid w:val="00935322"/>
    <w:rsid w:val="00936335"/>
    <w:rsid w:val="00936459"/>
    <w:rsid w:val="0094238F"/>
    <w:rsid w:val="0094388F"/>
    <w:rsid w:val="00945340"/>
    <w:rsid w:val="0094648C"/>
    <w:rsid w:val="00946DA4"/>
    <w:rsid w:val="00950FF3"/>
    <w:rsid w:val="00951ABD"/>
    <w:rsid w:val="00953FBF"/>
    <w:rsid w:val="00954A41"/>
    <w:rsid w:val="00954EAA"/>
    <w:rsid w:val="00956034"/>
    <w:rsid w:val="0095748B"/>
    <w:rsid w:val="009616EF"/>
    <w:rsid w:val="0096174D"/>
    <w:rsid w:val="00963F64"/>
    <w:rsid w:val="009644C2"/>
    <w:rsid w:val="009645B0"/>
    <w:rsid w:val="009661D4"/>
    <w:rsid w:val="009716A7"/>
    <w:rsid w:val="00973262"/>
    <w:rsid w:val="009737F2"/>
    <w:rsid w:val="00973BF9"/>
    <w:rsid w:val="00974169"/>
    <w:rsid w:val="009807F6"/>
    <w:rsid w:val="009821F1"/>
    <w:rsid w:val="00985D01"/>
    <w:rsid w:val="00985E59"/>
    <w:rsid w:val="0098638C"/>
    <w:rsid w:val="009864AF"/>
    <w:rsid w:val="00991D21"/>
    <w:rsid w:val="00991E20"/>
    <w:rsid w:val="00992199"/>
    <w:rsid w:val="0099382E"/>
    <w:rsid w:val="00994288"/>
    <w:rsid w:val="00994A38"/>
    <w:rsid w:val="00994DEC"/>
    <w:rsid w:val="0099533B"/>
    <w:rsid w:val="00995583"/>
    <w:rsid w:val="009955BD"/>
    <w:rsid w:val="00996323"/>
    <w:rsid w:val="009A03EE"/>
    <w:rsid w:val="009A20C6"/>
    <w:rsid w:val="009A329E"/>
    <w:rsid w:val="009A341B"/>
    <w:rsid w:val="009A47CE"/>
    <w:rsid w:val="009A5142"/>
    <w:rsid w:val="009A5F3D"/>
    <w:rsid w:val="009A7B74"/>
    <w:rsid w:val="009B0781"/>
    <w:rsid w:val="009B1528"/>
    <w:rsid w:val="009B1CE2"/>
    <w:rsid w:val="009B3ABB"/>
    <w:rsid w:val="009B43B2"/>
    <w:rsid w:val="009B4C2B"/>
    <w:rsid w:val="009B769C"/>
    <w:rsid w:val="009C1EB2"/>
    <w:rsid w:val="009C3609"/>
    <w:rsid w:val="009C3856"/>
    <w:rsid w:val="009C38F4"/>
    <w:rsid w:val="009C4D00"/>
    <w:rsid w:val="009C5D78"/>
    <w:rsid w:val="009C6797"/>
    <w:rsid w:val="009C6D26"/>
    <w:rsid w:val="009D029B"/>
    <w:rsid w:val="009D07B1"/>
    <w:rsid w:val="009D0DEA"/>
    <w:rsid w:val="009D10DF"/>
    <w:rsid w:val="009D2854"/>
    <w:rsid w:val="009D39A2"/>
    <w:rsid w:val="009D49F9"/>
    <w:rsid w:val="009D5D24"/>
    <w:rsid w:val="009D6790"/>
    <w:rsid w:val="009D6B59"/>
    <w:rsid w:val="009D759B"/>
    <w:rsid w:val="009E0602"/>
    <w:rsid w:val="009E36F0"/>
    <w:rsid w:val="009E3D0D"/>
    <w:rsid w:val="009E4775"/>
    <w:rsid w:val="009E596F"/>
    <w:rsid w:val="009F07FB"/>
    <w:rsid w:val="009F455C"/>
    <w:rsid w:val="009F47D5"/>
    <w:rsid w:val="009F4991"/>
    <w:rsid w:val="009F62AA"/>
    <w:rsid w:val="009F6AEE"/>
    <w:rsid w:val="00A0136C"/>
    <w:rsid w:val="00A01580"/>
    <w:rsid w:val="00A01E13"/>
    <w:rsid w:val="00A03324"/>
    <w:rsid w:val="00A03B07"/>
    <w:rsid w:val="00A03FBA"/>
    <w:rsid w:val="00A0465D"/>
    <w:rsid w:val="00A050BA"/>
    <w:rsid w:val="00A079B0"/>
    <w:rsid w:val="00A1139B"/>
    <w:rsid w:val="00A1164B"/>
    <w:rsid w:val="00A1187E"/>
    <w:rsid w:val="00A11D5A"/>
    <w:rsid w:val="00A12666"/>
    <w:rsid w:val="00A140F0"/>
    <w:rsid w:val="00A151AF"/>
    <w:rsid w:val="00A1613E"/>
    <w:rsid w:val="00A2059F"/>
    <w:rsid w:val="00A20C58"/>
    <w:rsid w:val="00A230BD"/>
    <w:rsid w:val="00A23C7A"/>
    <w:rsid w:val="00A23CA5"/>
    <w:rsid w:val="00A24585"/>
    <w:rsid w:val="00A24E84"/>
    <w:rsid w:val="00A3106E"/>
    <w:rsid w:val="00A316F2"/>
    <w:rsid w:val="00A318EF"/>
    <w:rsid w:val="00A325CD"/>
    <w:rsid w:val="00A33133"/>
    <w:rsid w:val="00A33D4E"/>
    <w:rsid w:val="00A3424F"/>
    <w:rsid w:val="00A35349"/>
    <w:rsid w:val="00A36168"/>
    <w:rsid w:val="00A36EEC"/>
    <w:rsid w:val="00A41655"/>
    <w:rsid w:val="00A41BDE"/>
    <w:rsid w:val="00A42B87"/>
    <w:rsid w:val="00A43029"/>
    <w:rsid w:val="00A43F93"/>
    <w:rsid w:val="00A443FE"/>
    <w:rsid w:val="00A4694D"/>
    <w:rsid w:val="00A46A28"/>
    <w:rsid w:val="00A47360"/>
    <w:rsid w:val="00A47EF5"/>
    <w:rsid w:val="00A5197D"/>
    <w:rsid w:val="00A51F84"/>
    <w:rsid w:val="00A52340"/>
    <w:rsid w:val="00A529BD"/>
    <w:rsid w:val="00A53AE9"/>
    <w:rsid w:val="00A53FD7"/>
    <w:rsid w:val="00A54BCF"/>
    <w:rsid w:val="00A552A5"/>
    <w:rsid w:val="00A55345"/>
    <w:rsid w:val="00A567BD"/>
    <w:rsid w:val="00A57250"/>
    <w:rsid w:val="00A60B10"/>
    <w:rsid w:val="00A61B97"/>
    <w:rsid w:val="00A626AE"/>
    <w:rsid w:val="00A636AC"/>
    <w:rsid w:val="00A63EB3"/>
    <w:rsid w:val="00A64DA3"/>
    <w:rsid w:val="00A65F70"/>
    <w:rsid w:val="00A67340"/>
    <w:rsid w:val="00A705CE"/>
    <w:rsid w:val="00A71249"/>
    <w:rsid w:val="00A715E5"/>
    <w:rsid w:val="00A73690"/>
    <w:rsid w:val="00A73A52"/>
    <w:rsid w:val="00A74749"/>
    <w:rsid w:val="00A75A3E"/>
    <w:rsid w:val="00A76D55"/>
    <w:rsid w:val="00A81719"/>
    <w:rsid w:val="00A8273A"/>
    <w:rsid w:val="00A82927"/>
    <w:rsid w:val="00A8373E"/>
    <w:rsid w:val="00A87D6D"/>
    <w:rsid w:val="00A87E33"/>
    <w:rsid w:val="00A91031"/>
    <w:rsid w:val="00A91118"/>
    <w:rsid w:val="00A92C76"/>
    <w:rsid w:val="00A931BD"/>
    <w:rsid w:val="00A9335E"/>
    <w:rsid w:val="00A937A4"/>
    <w:rsid w:val="00A95A24"/>
    <w:rsid w:val="00A95C5A"/>
    <w:rsid w:val="00A96968"/>
    <w:rsid w:val="00AA2F90"/>
    <w:rsid w:val="00AA44DC"/>
    <w:rsid w:val="00AA54BE"/>
    <w:rsid w:val="00AB119E"/>
    <w:rsid w:val="00AB11FA"/>
    <w:rsid w:val="00AB2739"/>
    <w:rsid w:val="00AB36AC"/>
    <w:rsid w:val="00AB3707"/>
    <w:rsid w:val="00AB3AD3"/>
    <w:rsid w:val="00AB4C79"/>
    <w:rsid w:val="00AB551F"/>
    <w:rsid w:val="00AB5F14"/>
    <w:rsid w:val="00AB6C1F"/>
    <w:rsid w:val="00AB7F46"/>
    <w:rsid w:val="00AC224A"/>
    <w:rsid w:val="00AC5A84"/>
    <w:rsid w:val="00AC60BD"/>
    <w:rsid w:val="00AC652C"/>
    <w:rsid w:val="00AC6975"/>
    <w:rsid w:val="00AC6E51"/>
    <w:rsid w:val="00AD106F"/>
    <w:rsid w:val="00AD10BF"/>
    <w:rsid w:val="00AD1990"/>
    <w:rsid w:val="00AD304A"/>
    <w:rsid w:val="00AD330A"/>
    <w:rsid w:val="00AD3B1F"/>
    <w:rsid w:val="00AD3F47"/>
    <w:rsid w:val="00AD537A"/>
    <w:rsid w:val="00AD5B11"/>
    <w:rsid w:val="00AD733B"/>
    <w:rsid w:val="00AD7EF0"/>
    <w:rsid w:val="00AE052F"/>
    <w:rsid w:val="00AE0671"/>
    <w:rsid w:val="00AE0960"/>
    <w:rsid w:val="00AE0CB4"/>
    <w:rsid w:val="00AE12AB"/>
    <w:rsid w:val="00AE1CE2"/>
    <w:rsid w:val="00AE1DEE"/>
    <w:rsid w:val="00AE3B83"/>
    <w:rsid w:val="00AE46A5"/>
    <w:rsid w:val="00AE71C7"/>
    <w:rsid w:val="00AF0CE2"/>
    <w:rsid w:val="00AF2436"/>
    <w:rsid w:val="00AF266B"/>
    <w:rsid w:val="00AF289F"/>
    <w:rsid w:val="00AF28FC"/>
    <w:rsid w:val="00AF2EA2"/>
    <w:rsid w:val="00AF32EA"/>
    <w:rsid w:val="00AF3C4A"/>
    <w:rsid w:val="00AF3D57"/>
    <w:rsid w:val="00AF57CD"/>
    <w:rsid w:val="00AF6D08"/>
    <w:rsid w:val="00B0004E"/>
    <w:rsid w:val="00B018FB"/>
    <w:rsid w:val="00B019C4"/>
    <w:rsid w:val="00B04F58"/>
    <w:rsid w:val="00B0691D"/>
    <w:rsid w:val="00B113F7"/>
    <w:rsid w:val="00B129F6"/>
    <w:rsid w:val="00B13421"/>
    <w:rsid w:val="00B1354D"/>
    <w:rsid w:val="00B1464B"/>
    <w:rsid w:val="00B16700"/>
    <w:rsid w:val="00B2166B"/>
    <w:rsid w:val="00B2205D"/>
    <w:rsid w:val="00B2231D"/>
    <w:rsid w:val="00B24498"/>
    <w:rsid w:val="00B253A6"/>
    <w:rsid w:val="00B312DB"/>
    <w:rsid w:val="00B313B5"/>
    <w:rsid w:val="00B35A26"/>
    <w:rsid w:val="00B36ADB"/>
    <w:rsid w:val="00B37FC9"/>
    <w:rsid w:val="00B40CAA"/>
    <w:rsid w:val="00B40DC3"/>
    <w:rsid w:val="00B416FD"/>
    <w:rsid w:val="00B4379A"/>
    <w:rsid w:val="00B4489E"/>
    <w:rsid w:val="00B4489F"/>
    <w:rsid w:val="00B450A5"/>
    <w:rsid w:val="00B46612"/>
    <w:rsid w:val="00B4678C"/>
    <w:rsid w:val="00B5039F"/>
    <w:rsid w:val="00B50A5E"/>
    <w:rsid w:val="00B50B06"/>
    <w:rsid w:val="00B51D2C"/>
    <w:rsid w:val="00B53D08"/>
    <w:rsid w:val="00B545A8"/>
    <w:rsid w:val="00B566E1"/>
    <w:rsid w:val="00B60A04"/>
    <w:rsid w:val="00B60A90"/>
    <w:rsid w:val="00B630CE"/>
    <w:rsid w:val="00B64C5B"/>
    <w:rsid w:val="00B64CF1"/>
    <w:rsid w:val="00B65058"/>
    <w:rsid w:val="00B657BF"/>
    <w:rsid w:val="00B66ADC"/>
    <w:rsid w:val="00B7045E"/>
    <w:rsid w:val="00B70A33"/>
    <w:rsid w:val="00B70BE1"/>
    <w:rsid w:val="00B73D3D"/>
    <w:rsid w:val="00B740D9"/>
    <w:rsid w:val="00B749A2"/>
    <w:rsid w:val="00B763B3"/>
    <w:rsid w:val="00B76712"/>
    <w:rsid w:val="00B825FF"/>
    <w:rsid w:val="00B8474F"/>
    <w:rsid w:val="00B850FB"/>
    <w:rsid w:val="00B85B6F"/>
    <w:rsid w:val="00B916A1"/>
    <w:rsid w:val="00B91A91"/>
    <w:rsid w:val="00B9233F"/>
    <w:rsid w:val="00B93B7D"/>
    <w:rsid w:val="00BA070E"/>
    <w:rsid w:val="00BA0C00"/>
    <w:rsid w:val="00BA0D09"/>
    <w:rsid w:val="00BA1019"/>
    <w:rsid w:val="00BA12EF"/>
    <w:rsid w:val="00BA37EA"/>
    <w:rsid w:val="00BA3A36"/>
    <w:rsid w:val="00BA3CE2"/>
    <w:rsid w:val="00BA4D43"/>
    <w:rsid w:val="00BA554D"/>
    <w:rsid w:val="00BA67D2"/>
    <w:rsid w:val="00BA7D04"/>
    <w:rsid w:val="00BB0A68"/>
    <w:rsid w:val="00BB3BD5"/>
    <w:rsid w:val="00BB45F2"/>
    <w:rsid w:val="00BB468B"/>
    <w:rsid w:val="00BB5C70"/>
    <w:rsid w:val="00BB66B8"/>
    <w:rsid w:val="00BB76F2"/>
    <w:rsid w:val="00BB7B47"/>
    <w:rsid w:val="00BC32B2"/>
    <w:rsid w:val="00BC32C9"/>
    <w:rsid w:val="00BC3786"/>
    <w:rsid w:val="00BC3AD2"/>
    <w:rsid w:val="00BC48BF"/>
    <w:rsid w:val="00BC5795"/>
    <w:rsid w:val="00BC6914"/>
    <w:rsid w:val="00BC6B08"/>
    <w:rsid w:val="00BC73D6"/>
    <w:rsid w:val="00BC781D"/>
    <w:rsid w:val="00BD0BEF"/>
    <w:rsid w:val="00BD1581"/>
    <w:rsid w:val="00BD1C2E"/>
    <w:rsid w:val="00BD3952"/>
    <w:rsid w:val="00BD46E8"/>
    <w:rsid w:val="00BD7336"/>
    <w:rsid w:val="00BE0626"/>
    <w:rsid w:val="00BE0BCE"/>
    <w:rsid w:val="00BE1C75"/>
    <w:rsid w:val="00BE25AE"/>
    <w:rsid w:val="00BF1262"/>
    <w:rsid w:val="00BF1BA2"/>
    <w:rsid w:val="00BF281F"/>
    <w:rsid w:val="00BF31CE"/>
    <w:rsid w:val="00BF5173"/>
    <w:rsid w:val="00C00B2D"/>
    <w:rsid w:val="00C00CD2"/>
    <w:rsid w:val="00C00CEE"/>
    <w:rsid w:val="00C0134B"/>
    <w:rsid w:val="00C01868"/>
    <w:rsid w:val="00C02624"/>
    <w:rsid w:val="00C02FDA"/>
    <w:rsid w:val="00C03498"/>
    <w:rsid w:val="00C03BB4"/>
    <w:rsid w:val="00C047FD"/>
    <w:rsid w:val="00C04EA5"/>
    <w:rsid w:val="00C05A5D"/>
    <w:rsid w:val="00C05B56"/>
    <w:rsid w:val="00C06B08"/>
    <w:rsid w:val="00C07427"/>
    <w:rsid w:val="00C0760A"/>
    <w:rsid w:val="00C07DB6"/>
    <w:rsid w:val="00C106DA"/>
    <w:rsid w:val="00C1155A"/>
    <w:rsid w:val="00C11C52"/>
    <w:rsid w:val="00C12477"/>
    <w:rsid w:val="00C134F7"/>
    <w:rsid w:val="00C1373C"/>
    <w:rsid w:val="00C14309"/>
    <w:rsid w:val="00C14EF5"/>
    <w:rsid w:val="00C15953"/>
    <w:rsid w:val="00C21535"/>
    <w:rsid w:val="00C22E30"/>
    <w:rsid w:val="00C247A2"/>
    <w:rsid w:val="00C27A14"/>
    <w:rsid w:val="00C311EB"/>
    <w:rsid w:val="00C31531"/>
    <w:rsid w:val="00C3204D"/>
    <w:rsid w:val="00C35931"/>
    <w:rsid w:val="00C35E9C"/>
    <w:rsid w:val="00C37260"/>
    <w:rsid w:val="00C37780"/>
    <w:rsid w:val="00C37CB8"/>
    <w:rsid w:val="00C37FFD"/>
    <w:rsid w:val="00C40A7F"/>
    <w:rsid w:val="00C40F60"/>
    <w:rsid w:val="00C415DA"/>
    <w:rsid w:val="00C41650"/>
    <w:rsid w:val="00C4277C"/>
    <w:rsid w:val="00C430A9"/>
    <w:rsid w:val="00C433DE"/>
    <w:rsid w:val="00C455EB"/>
    <w:rsid w:val="00C45E07"/>
    <w:rsid w:val="00C460E0"/>
    <w:rsid w:val="00C5051A"/>
    <w:rsid w:val="00C51BC7"/>
    <w:rsid w:val="00C52705"/>
    <w:rsid w:val="00C52788"/>
    <w:rsid w:val="00C52E10"/>
    <w:rsid w:val="00C533C7"/>
    <w:rsid w:val="00C53530"/>
    <w:rsid w:val="00C5454C"/>
    <w:rsid w:val="00C56125"/>
    <w:rsid w:val="00C56566"/>
    <w:rsid w:val="00C56DE8"/>
    <w:rsid w:val="00C579DB"/>
    <w:rsid w:val="00C60FFE"/>
    <w:rsid w:val="00C61852"/>
    <w:rsid w:val="00C62336"/>
    <w:rsid w:val="00C63EB2"/>
    <w:rsid w:val="00C643CB"/>
    <w:rsid w:val="00C668EE"/>
    <w:rsid w:val="00C66D87"/>
    <w:rsid w:val="00C675A4"/>
    <w:rsid w:val="00C67662"/>
    <w:rsid w:val="00C67ED7"/>
    <w:rsid w:val="00C706D3"/>
    <w:rsid w:val="00C71861"/>
    <w:rsid w:val="00C745F6"/>
    <w:rsid w:val="00C74A9E"/>
    <w:rsid w:val="00C75F08"/>
    <w:rsid w:val="00C76CE3"/>
    <w:rsid w:val="00C820DF"/>
    <w:rsid w:val="00C83DF3"/>
    <w:rsid w:val="00C84DD2"/>
    <w:rsid w:val="00C92D0A"/>
    <w:rsid w:val="00C9318D"/>
    <w:rsid w:val="00C935C8"/>
    <w:rsid w:val="00C952BD"/>
    <w:rsid w:val="00C955FA"/>
    <w:rsid w:val="00C969BF"/>
    <w:rsid w:val="00C96A7A"/>
    <w:rsid w:val="00CA1468"/>
    <w:rsid w:val="00CA1FC7"/>
    <w:rsid w:val="00CA2E21"/>
    <w:rsid w:val="00CA3870"/>
    <w:rsid w:val="00CA41B2"/>
    <w:rsid w:val="00CA49ED"/>
    <w:rsid w:val="00CA531F"/>
    <w:rsid w:val="00CA7023"/>
    <w:rsid w:val="00CA74EE"/>
    <w:rsid w:val="00CA7FE6"/>
    <w:rsid w:val="00CB01BF"/>
    <w:rsid w:val="00CB0A00"/>
    <w:rsid w:val="00CB214A"/>
    <w:rsid w:val="00CB224E"/>
    <w:rsid w:val="00CB2E36"/>
    <w:rsid w:val="00CB3238"/>
    <w:rsid w:val="00CB7ECA"/>
    <w:rsid w:val="00CC0174"/>
    <w:rsid w:val="00CC0B48"/>
    <w:rsid w:val="00CC1497"/>
    <w:rsid w:val="00CC2896"/>
    <w:rsid w:val="00CC2C3C"/>
    <w:rsid w:val="00CC2EA7"/>
    <w:rsid w:val="00CC3220"/>
    <w:rsid w:val="00CC5E71"/>
    <w:rsid w:val="00CD0D78"/>
    <w:rsid w:val="00CD0D8B"/>
    <w:rsid w:val="00CD0E30"/>
    <w:rsid w:val="00CD5245"/>
    <w:rsid w:val="00CD55C8"/>
    <w:rsid w:val="00CD6674"/>
    <w:rsid w:val="00CE0648"/>
    <w:rsid w:val="00CE0A21"/>
    <w:rsid w:val="00CE13B4"/>
    <w:rsid w:val="00CE1B12"/>
    <w:rsid w:val="00CE1E42"/>
    <w:rsid w:val="00CE710D"/>
    <w:rsid w:val="00CF0327"/>
    <w:rsid w:val="00CF15EB"/>
    <w:rsid w:val="00CF6A96"/>
    <w:rsid w:val="00CF6CF8"/>
    <w:rsid w:val="00CF6DF3"/>
    <w:rsid w:val="00CF6E20"/>
    <w:rsid w:val="00CF737C"/>
    <w:rsid w:val="00D00111"/>
    <w:rsid w:val="00D00510"/>
    <w:rsid w:val="00D04C7B"/>
    <w:rsid w:val="00D04F13"/>
    <w:rsid w:val="00D055C7"/>
    <w:rsid w:val="00D05D4F"/>
    <w:rsid w:val="00D07407"/>
    <w:rsid w:val="00D106C1"/>
    <w:rsid w:val="00D15CA5"/>
    <w:rsid w:val="00D1603E"/>
    <w:rsid w:val="00D16A57"/>
    <w:rsid w:val="00D16C68"/>
    <w:rsid w:val="00D17CDF"/>
    <w:rsid w:val="00D20D97"/>
    <w:rsid w:val="00D2188A"/>
    <w:rsid w:val="00D22304"/>
    <w:rsid w:val="00D23095"/>
    <w:rsid w:val="00D23245"/>
    <w:rsid w:val="00D25B8C"/>
    <w:rsid w:val="00D272BE"/>
    <w:rsid w:val="00D275CF"/>
    <w:rsid w:val="00D32192"/>
    <w:rsid w:val="00D32254"/>
    <w:rsid w:val="00D34389"/>
    <w:rsid w:val="00D344BE"/>
    <w:rsid w:val="00D3548B"/>
    <w:rsid w:val="00D3582D"/>
    <w:rsid w:val="00D358EF"/>
    <w:rsid w:val="00D37DC7"/>
    <w:rsid w:val="00D4025D"/>
    <w:rsid w:val="00D41523"/>
    <w:rsid w:val="00D451B9"/>
    <w:rsid w:val="00D455E2"/>
    <w:rsid w:val="00D52228"/>
    <w:rsid w:val="00D5254D"/>
    <w:rsid w:val="00D535CC"/>
    <w:rsid w:val="00D5417F"/>
    <w:rsid w:val="00D54250"/>
    <w:rsid w:val="00D55DE1"/>
    <w:rsid w:val="00D56E8F"/>
    <w:rsid w:val="00D57E2C"/>
    <w:rsid w:val="00D60D2D"/>
    <w:rsid w:val="00D61289"/>
    <w:rsid w:val="00D612D6"/>
    <w:rsid w:val="00D61562"/>
    <w:rsid w:val="00D619B7"/>
    <w:rsid w:val="00D620FC"/>
    <w:rsid w:val="00D628AE"/>
    <w:rsid w:val="00D666BD"/>
    <w:rsid w:val="00D71BE1"/>
    <w:rsid w:val="00D7405A"/>
    <w:rsid w:val="00D752ED"/>
    <w:rsid w:val="00D812A8"/>
    <w:rsid w:val="00D81D1C"/>
    <w:rsid w:val="00D8373F"/>
    <w:rsid w:val="00D83D0B"/>
    <w:rsid w:val="00D84700"/>
    <w:rsid w:val="00D8470D"/>
    <w:rsid w:val="00D84B93"/>
    <w:rsid w:val="00D8582C"/>
    <w:rsid w:val="00D85F62"/>
    <w:rsid w:val="00D8604C"/>
    <w:rsid w:val="00D90280"/>
    <w:rsid w:val="00D928FE"/>
    <w:rsid w:val="00D94355"/>
    <w:rsid w:val="00DA160C"/>
    <w:rsid w:val="00DA2809"/>
    <w:rsid w:val="00DA31D9"/>
    <w:rsid w:val="00DA5505"/>
    <w:rsid w:val="00DA6E1D"/>
    <w:rsid w:val="00DA75F6"/>
    <w:rsid w:val="00DB1792"/>
    <w:rsid w:val="00DB17B7"/>
    <w:rsid w:val="00DB1DB9"/>
    <w:rsid w:val="00DB27C9"/>
    <w:rsid w:val="00DB3F21"/>
    <w:rsid w:val="00DB4369"/>
    <w:rsid w:val="00DB4CF9"/>
    <w:rsid w:val="00DB663D"/>
    <w:rsid w:val="00DB6682"/>
    <w:rsid w:val="00DB67F7"/>
    <w:rsid w:val="00DB6C23"/>
    <w:rsid w:val="00DC0257"/>
    <w:rsid w:val="00DC056C"/>
    <w:rsid w:val="00DC1AFE"/>
    <w:rsid w:val="00DC1D6D"/>
    <w:rsid w:val="00DC382E"/>
    <w:rsid w:val="00DC4404"/>
    <w:rsid w:val="00DC5AAA"/>
    <w:rsid w:val="00DC78E5"/>
    <w:rsid w:val="00DD0B43"/>
    <w:rsid w:val="00DD1700"/>
    <w:rsid w:val="00DD4A72"/>
    <w:rsid w:val="00DD5881"/>
    <w:rsid w:val="00DD6B09"/>
    <w:rsid w:val="00DD7D15"/>
    <w:rsid w:val="00DE0690"/>
    <w:rsid w:val="00DE0C18"/>
    <w:rsid w:val="00DE2D10"/>
    <w:rsid w:val="00DE2E1C"/>
    <w:rsid w:val="00DE38A4"/>
    <w:rsid w:val="00DE4B26"/>
    <w:rsid w:val="00DE541B"/>
    <w:rsid w:val="00DE5ECE"/>
    <w:rsid w:val="00DE681C"/>
    <w:rsid w:val="00DE73B7"/>
    <w:rsid w:val="00DE7737"/>
    <w:rsid w:val="00DF0C7E"/>
    <w:rsid w:val="00DF11CD"/>
    <w:rsid w:val="00DF32ED"/>
    <w:rsid w:val="00DF34DE"/>
    <w:rsid w:val="00DF4FE4"/>
    <w:rsid w:val="00DF565E"/>
    <w:rsid w:val="00DF5F0F"/>
    <w:rsid w:val="00DF68E1"/>
    <w:rsid w:val="00DF737C"/>
    <w:rsid w:val="00E005DD"/>
    <w:rsid w:val="00E02F37"/>
    <w:rsid w:val="00E05E5E"/>
    <w:rsid w:val="00E06EE6"/>
    <w:rsid w:val="00E102A6"/>
    <w:rsid w:val="00E123E8"/>
    <w:rsid w:val="00E13019"/>
    <w:rsid w:val="00E131FE"/>
    <w:rsid w:val="00E13610"/>
    <w:rsid w:val="00E15902"/>
    <w:rsid w:val="00E16365"/>
    <w:rsid w:val="00E17602"/>
    <w:rsid w:val="00E17CDF"/>
    <w:rsid w:val="00E210C8"/>
    <w:rsid w:val="00E23161"/>
    <w:rsid w:val="00E232CB"/>
    <w:rsid w:val="00E2379E"/>
    <w:rsid w:val="00E23B55"/>
    <w:rsid w:val="00E248E9"/>
    <w:rsid w:val="00E2517A"/>
    <w:rsid w:val="00E305C9"/>
    <w:rsid w:val="00E30AE2"/>
    <w:rsid w:val="00E31F0E"/>
    <w:rsid w:val="00E33484"/>
    <w:rsid w:val="00E33B6B"/>
    <w:rsid w:val="00E34036"/>
    <w:rsid w:val="00E35247"/>
    <w:rsid w:val="00E36586"/>
    <w:rsid w:val="00E3676F"/>
    <w:rsid w:val="00E37A8E"/>
    <w:rsid w:val="00E40911"/>
    <w:rsid w:val="00E42538"/>
    <w:rsid w:val="00E447C2"/>
    <w:rsid w:val="00E4604E"/>
    <w:rsid w:val="00E4643A"/>
    <w:rsid w:val="00E47B3D"/>
    <w:rsid w:val="00E50CBD"/>
    <w:rsid w:val="00E5117A"/>
    <w:rsid w:val="00E52684"/>
    <w:rsid w:val="00E53BA6"/>
    <w:rsid w:val="00E53E6A"/>
    <w:rsid w:val="00E5499A"/>
    <w:rsid w:val="00E54A8C"/>
    <w:rsid w:val="00E56108"/>
    <w:rsid w:val="00E562FD"/>
    <w:rsid w:val="00E56832"/>
    <w:rsid w:val="00E57840"/>
    <w:rsid w:val="00E60278"/>
    <w:rsid w:val="00E60B1D"/>
    <w:rsid w:val="00E61588"/>
    <w:rsid w:val="00E62275"/>
    <w:rsid w:val="00E653A8"/>
    <w:rsid w:val="00E6591C"/>
    <w:rsid w:val="00E6652B"/>
    <w:rsid w:val="00E73568"/>
    <w:rsid w:val="00E74B43"/>
    <w:rsid w:val="00E77AB0"/>
    <w:rsid w:val="00E8001F"/>
    <w:rsid w:val="00E8273A"/>
    <w:rsid w:val="00E82EE6"/>
    <w:rsid w:val="00E83887"/>
    <w:rsid w:val="00E840CE"/>
    <w:rsid w:val="00E84876"/>
    <w:rsid w:val="00E84BA9"/>
    <w:rsid w:val="00E85F8D"/>
    <w:rsid w:val="00E861B8"/>
    <w:rsid w:val="00E862CA"/>
    <w:rsid w:val="00E877C2"/>
    <w:rsid w:val="00E91EAD"/>
    <w:rsid w:val="00E92692"/>
    <w:rsid w:val="00E9547C"/>
    <w:rsid w:val="00E97AB5"/>
    <w:rsid w:val="00E97CC0"/>
    <w:rsid w:val="00EA00F5"/>
    <w:rsid w:val="00EA0E07"/>
    <w:rsid w:val="00EA218D"/>
    <w:rsid w:val="00EA3D89"/>
    <w:rsid w:val="00EA483C"/>
    <w:rsid w:val="00EA5BA7"/>
    <w:rsid w:val="00EA724E"/>
    <w:rsid w:val="00EA7534"/>
    <w:rsid w:val="00EA795B"/>
    <w:rsid w:val="00EA7C0D"/>
    <w:rsid w:val="00EB0553"/>
    <w:rsid w:val="00EB1672"/>
    <w:rsid w:val="00EB1D38"/>
    <w:rsid w:val="00EB2A3B"/>
    <w:rsid w:val="00EB4A37"/>
    <w:rsid w:val="00EB5390"/>
    <w:rsid w:val="00EB56D2"/>
    <w:rsid w:val="00EC06C5"/>
    <w:rsid w:val="00EC1414"/>
    <w:rsid w:val="00EC22AC"/>
    <w:rsid w:val="00EC28D1"/>
    <w:rsid w:val="00EC3A38"/>
    <w:rsid w:val="00EC44B6"/>
    <w:rsid w:val="00EC5241"/>
    <w:rsid w:val="00EC5554"/>
    <w:rsid w:val="00EC5E49"/>
    <w:rsid w:val="00EC676A"/>
    <w:rsid w:val="00ED238D"/>
    <w:rsid w:val="00ED38FE"/>
    <w:rsid w:val="00ED4CB1"/>
    <w:rsid w:val="00ED5014"/>
    <w:rsid w:val="00ED601B"/>
    <w:rsid w:val="00ED64A1"/>
    <w:rsid w:val="00EE0728"/>
    <w:rsid w:val="00EE1488"/>
    <w:rsid w:val="00EE2BB0"/>
    <w:rsid w:val="00EE3377"/>
    <w:rsid w:val="00EE3DB6"/>
    <w:rsid w:val="00EE4120"/>
    <w:rsid w:val="00EE4603"/>
    <w:rsid w:val="00EE4E4D"/>
    <w:rsid w:val="00EE5E3E"/>
    <w:rsid w:val="00EE6046"/>
    <w:rsid w:val="00EE67F6"/>
    <w:rsid w:val="00EE6C79"/>
    <w:rsid w:val="00EE6E2C"/>
    <w:rsid w:val="00EF10F6"/>
    <w:rsid w:val="00EF18D4"/>
    <w:rsid w:val="00EF1AA0"/>
    <w:rsid w:val="00EF5EDB"/>
    <w:rsid w:val="00EF6449"/>
    <w:rsid w:val="00EF74AD"/>
    <w:rsid w:val="00EF7B7B"/>
    <w:rsid w:val="00EF7CD7"/>
    <w:rsid w:val="00F00F38"/>
    <w:rsid w:val="00F01709"/>
    <w:rsid w:val="00F023E3"/>
    <w:rsid w:val="00F028A9"/>
    <w:rsid w:val="00F02A74"/>
    <w:rsid w:val="00F03DB5"/>
    <w:rsid w:val="00F04D98"/>
    <w:rsid w:val="00F05F46"/>
    <w:rsid w:val="00F05FAB"/>
    <w:rsid w:val="00F064E1"/>
    <w:rsid w:val="00F079F8"/>
    <w:rsid w:val="00F113DE"/>
    <w:rsid w:val="00F12AF5"/>
    <w:rsid w:val="00F13099"/>
    <w:rsid w:val="00F13204"/>
    <w:rsid w:val="00F13858"/>
    <w:rsid w:val="00F145A1"/>
    <w:rsid w:val="00F14858"/>
    <w:rsid w:val="00F160D2"/>
    <w:rsid w:val="00F162FB"/>
    <w:rsid w:val="00F16CB4"/>
    <w:rsid w:val="00F2065D"/>
    <w:rsid w:val="00F20728"/>
    <w:rsid w:val="00F2332B"/>
    <w:rsid w:val="00F23CEB"/>
    <w:rsid w:val="00F241A0"/>
    <w:rsid w:val="00F243E5"/>
    <w:rsid w:val="00F2565B"/>
    <w:rsid w:val="00F260E4"/>
    <w:rsid w:val="00F26EAF"/>
    <w:rsid w:val="00F270F1"/>
    <w:rsid w:val="00F31A26"/>
    <w:rsid w:val="00F31A67"/>
    <w:rsid w:val="00F32399"/>
    <w:rsid w:val="00F3244D"/>
    <w:rsid w:val="00F327D1"/>
    <w:rsid w:val="00F33089"/>
    <w:rsid w:val="00F3519C"/>
    <w:rsid w:val="00F355EC"/>
    <w:rsid w:val="00F36BF4"/>
    <w:rsid w:val="00F37C4E"/>
    <w:rsid w:val="00F37CCB"/>
    <w:rsid w:val="00F37E4C"/>
    <w:rsid w:val="00F41A4C"/>
    <w:rsid w:val="00F43850"/>
    <w:rsid w:val="00F43C5E"/>
    <w:rsid w:val="00F449A2"/>
    <w:rsid w:val="00F47E36"/>
    <w:rsid w:val="00F50244"/>
    <w:rsid w:val="00F507D7"/>
    <w:rsid w:val="00F518F7"/>
    <w:rsid w:val="00F525AE"/>
    <w:rsid w:val="00F533E4"/>
    <w:rsid w:val="00F53932"/>
    <w:rsid w:val="00F5427D"/>
    <w:rsid w:val="00F55C41"/>
    <w:rsid w:val="00F56332"/>
    <w:rsid w:val="00F57316"/>
    <w:rsid w:val="00F57E92"/>
    <w:rsid w:val="00F605EB"/>
    <w:rsid w:val="00F617CF"/>
    <w:rsid w:val="00F634F0"/>
    <w:rsid w:val="00F6482C"/>
    <w:rsid w:val="00F65557"/>
    <w:rsid w:val="00F65BA6"/>
    <w:rsid w:val="00F662EC"/>
    <w:rsid w:val="00F67770"/>
    <w:rsid w:val="00F67C14"/>
    <w:rsid w:val="00F70B24"/>
    <w:rsid w:val="00F72F0E"/>
    <w:rsid w:val="00F73FC4"/>
    <w:rsid w:val="00F76644"/>
    <w:rsid w:val="00F77044"/>
    <w:rsid w:val="00F80F3C"/>
    <w:rsid w:val="00F813A6"/>
    <w:rsid w:val="00F82125"/>
    <w:rsid w:val="00F830A9"/>
    <w:rsid w:val="00F830D0"/>
    <w:rsid w:val="00F8353F"/>
    <w:rsid w:val="00F83576"/>
    <w:rsid w:val="00F836DC"/>
    <w:rsid w:val="00F83A1E"/>
    <w:rsid w:val="00F83EE7"/>
    <w:rsid w:val="00F8495E"/>
    <w:rsid w:val="00F86DE9"/>
    <w:rsid w:val="00F871EE"/>
    <w:rsid w:val="00F87A43"/>
    <w:rsid w:val="00F87CCF"/>
    <w:rsid w:val="00F903FF"/>
    <w:rsid w:val="00F91177"/>
    <w:rsid w:val="00F914D3"/>
    <w:rsid w:val="00F920AF"/>
    <w:rsid w:val="00F9339E"/>
    <w:rsid w:val="00F951F2"/>
    <w:rsid w:val="00F9663A"/>
    <w:rsid w:val="00F966E7"/>
    <w:rsid w:val="00F96FC4"/>
    <w:rsid w:val="00FA07EF"/>
    <w:rsid w:val="00FA0F56"/>
    <w:rsid w:val="00FA142E"/>
    <w:rsid w:val="00FA14D8"/>
    <w:rsid w:val="00FA28AA"/>
    <w:rsid w:val="00FA2BD3"/>
    <w:rsid w:val="00FA3F2B"/>
    <w:rsid w:val="00FA6580"/>
    <w:rsid w:val="00FB07F4"/>
    <w:rsid w:val="00FB1161"/>
    <w:rsid w:val="00FB2DD2"/>
    <w:rsid w:val="00FB34D5"/>
    <w:rsid w:val="00FB505D"/>
    <w:rsid w:val="00FB5C2F"/>
    <w:rsid w:val="00FB615B"/>
    <w:rsid w:val="00FB7945"/>
    <w:rsid w:val="00FC0861"/>
    <w:rsid w:val="00FC0B77"/>
    <w:rsid w:val="00FC0D55"/>
    <w:rsid w:val="00FC13CC"/>
    <w:rsid w:val="00FC1B2B"/>
    <w:rsid w:val="00FC244D"/>
    <w:rsid w:val="00FC299C"/>
    <w:rsid w:val="00FC3A4E"/>
    <w:rsid w:val="00FC51C4"/>
    <w:rsid w:val="00FC5637"/>
    <w:rsid w:val="00FC5BED"/>
    <w:rsid w:val="00FC7D1E"/>
    <w:rsid w:val="00FD0AF5"/>
    <w:rsid w:val="00FD22FA"/>
    <w:rsid w:val="00FD26BB"/>
    <w:rsid w:val="00FD350C"/>
    <w:rsid w:val="00FD3A03"/>
    <w:rsid w:val="00FD4451"/>
    <w:rsid w:val="00FD4534"/>
    <w:rsid w:val="00FD4AF4"/>
    <w:rsid w:val="00FD5C7B"/>
    <w:rsid w:val="00FD644A"/>
    <w:rsid w:val="00FD673D"/>
    <w:rsid w:val="00FD7041"/>
    <w:rsid w:val="00FD7F81"/>
    <w:rsid w:val="00FE007C"/>
    <w:rsid w:val="00FE11FD"/>
    <w:rsid w:val="00FE260F"/>
    <w:rsid w:val="00FE26B3"/>
    <w:rsid w:val="00FE354F"/>
    <w:rsid w:val="00FE3FB3"/>
    <w:rsid w:val="00FE58DD"/>
    <w:rsid w:val="00FE775E"/>
    <w:rsid w:val="00FE7EBC"/>
    <w:rsid w:val="00FF0161"/>
    <w:rsid w:val="00FF0989"/>
    <w:rsid w:val="00FF0C38"/>
    <w:rsid w:val="00FF3004"/>
    <w:rsid w:val="00FF4A35"/>
    <w:rsid w:val="00FF5117"/>
    <w:rsid w:val="00FF516A"/>
    <w:rsid w:val="00FF5AAA"/>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701E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41"/>
      </w:numPr>
      <w:suppressAutoHyphens/>
      <w:spacing w:after="220"/>
      <w:outlineLvl w:val="0"/>
    </w:pPr>
    <w:rPr>
      <w:b/>
      <w:caps/>
    </w:rPr>
  </w:style>
  <w:style w:type="paragraph" w:styleId="Heading2">
    <w:name w:val="heading 2"/>
    <w:basedOn w:val="Normal"/>
    <w:next w:val="ParaNum"/>
    <w:qFormat/>
    <w:pPr>
      <w:keepNext/>
      <w:numPr>
        <w:ilvl w:val="1"/>
        <w:numId w:val="41"/>
      </w:numPr>
      <w:spacing w:after="220"/>
      <w:outlineLvl w:val="1"/>
    </w:pPr>
    <w:rPr>
      <w:b/>
    </w:rPr>
  </w:style>
  <w:style w:type="paragraph" w:styleId="Heading3">
    <w:name w:val="heading 3"/>
    <w:basedOn w:val="Normal"/>
    <w:next w:val="ParaNum"/>
    <w:qFormat/>
    <w:pPr>
      <w:keepNext/>
      <w:numPr>
        <w:ilvl w:val="2"/>
        <w:numId w:val="41"/>
      </w:numPr>
      <w:spacing w:after="220"/>
      <w:outlineLvl w:val="2"/>
    </w:pPr>
    <w:rPr>
      <w:b/>
    </w:rPr>
  </w:style>
  <w:style w:type="paragraph" w:styleId="Heading4">
    <w:name w:val="heading 4"/>
    <w:basedOn w:val="Normal"/>
    <w:next w:val="ParaNum"/>
    <w:qFormat/>
    <w:pPr>
      <w:keepNext/>
      <w:numPr>
        <w:ilvl w:val="3"/>
        <w:numId w:val="41"/>
      </w:numPr>
      <w:spacing w:after="220"/>
      <w:outlineLvl w:val="3"/>
    </w:pPr>
    <w:rPr>
      <w:b/>
    </w:rPr>
  </w:style>
  <w:style w:type="paragraph" w:styleId="Heading5">
    <w:name w:val="heading 5"/>
    <w:basedOn w:val="Normal"/>
    <w:next w:val="ParaNum"/>
    <w:qFormat/>
    <w:pPr>
      <w:keepNext/>
      <w:numPr>
        <w:ilvl w:val="4"/>
        <w:numId w:val="41"/>
      </w:numPr>
      <w:tabs>
        <w:tab w:val="left" w:pos="2880"/>
      </w:tabs>
      <w:suppressAutoHyphens/>
      <w:spacing w:after="220"/>
      <w:outlineLvl w:val="4"/>
    </w:pPr>
    <w:rPr>
      <w:b/>
      <w:sz w:val="24"/>
    </w:rPr>
  </w:style>
  <w:style w:type="paragraph" w:styleId="Heading6">
    <w:name w:val="heading 6"/>
    <w:basedOn w:val="Normal"/>
    <w:next w:val="ParaNum"/>
    <w:qFormat/>
    <w:pPr>
      <w:numPr>
        <w:ilvl w:val="5"/>
        <w:numId w:val="41"/>
      </w:numPr>
      <w:tabs>
        <w:tab w:val="left" w:pos="2880"/>
      </w:tabs>
      <w:spacing w:after="220"/>
      <w:outlineLvl w:val="5"/>
    </w:pPr>
    <w:rPr>
      <w:b/>
    </w:rPr>
  </w:style>
  <w:style w:type="paragraph" w:styleId="Heading7">
    <w:name w:val="heading 7"/>
    <w:basedOn w:val="Normal"/>
    <w:next w:val="ParaNum"/>
    <w:qFormat/>
    <w:pPr>
      <w:numPr>
        <w:ilvl w:val="6"/>
        <w:numId w:val="41"/>
      </w:numPr>
      <w:spacing w:after="240"/>
      <w:outlineLvl w:val="6"/>
    </w:pPr>
    <w:rPr>
      <w:b/>
    </w:rPr>
  </w:style>
  <w:style w:type="paragraph" w:styleId="Heading8">
    <w:name w:val="heading 8"/>
    <w:basedOn w:val="Normal"/>
    <w:next w:val="ParaNum"/>
    <w:qFormat/>
    <w:pPr>
      <w:numPr>
        <w:ilvl w:val="7"/>
        <w:numId w:val="41"/>
      </w:numPr>
      <w:tabs>
        <w:tab w:val="left" w:pos="5040"/>
      </w:tabs>
      <w:spacing w:after="240"/>
      <w:outlineLvl w:val="7"/>
    </w:pPr>
    <w:rPr>
      <w:b/>
    </w:rPr>
  </w:style>
  <w:style w:type="paragraph" w:styleId="Heading9">
    <w:name w:val="heading 9"/>
    <w:basedOn w:val="Normal"/>
    <w:next w:val="ParaNum"/>
    <w:qFormat/>
    <w:pPr>
      <w:numPr>
        <w:ilvl w:val="8"/>
        <w:numId w:val="41"/>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2"/>
      </w:numPr>
      <w:tabs>
        <w:tab w:val="clear" w:pos="1080"/>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pPr>
      <w:widowControl w:val="0"/>
      <w:tabs>
        <w:tab w:val="left" w:pos="720"/>
        <w:tab w:val="left" w:pos="1440"/>
      </w:tabs>
      <w:spacing w:after="120"/>
      <w:jc w:val="both"/>
    </w:pPr>
    <w:rPr>
      <w:noProof/>
    </w:rPr>
  </w:style>
  <w:style w:type="character" w:styleId="FootnoteReference">
    <w:name w:val="footnote reference"/>
    <w:aliases w:val="Style 12,(NECG) Footnote Reference,Appel note de bas de p,Style 124,o,fr,Style 3,Style 13,FR,Style 17,Style 6,Footnote Reference/,Style 4,Style 7"/>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sid w:val="00633685"/>
    <w:rPr>
      <w:color w:val="0000FF"/>
      <w:u w:val="single"/>
    </w:rPr>
  </w:style>
  <w:style w:type="character" w:customStyle="1" w:styleId="Heading1Char">
    <w:name w:val="Heading 1 Char"/>
    <w:link w:val="Heading1"/>
    <w:rsid w:val="00DF34DE"/>
    <w:rPr>
      <w:b/>
      <w:caps/>
      <w:snapToGrid w:val="0"/>
      <w:kern w:val="28"/>
      <w:sz w:val="22"/>
    </w:rPr>
  </w:style>
  <w:style w:type="paragraph" w:styleId="BalloonText">
    <w:name w:val="Balloon Text"/>
    <w:basedOn w:val="Normal"/>
    <w:link w:val="BalloonTextChar"/>
    <w:uiPriority w:val="99"/>
    <w:semiHidden/>
    <w:unhideWhenUsed/>
    <w:rsid w:val="004C66DD"/>
    <w:rPr>
      <w:rFonts w:ascii="Segoe UI" w:hAnsi="Segoe UI" w:cs="Segoe UI"/>
      <w:sz w:val="18"/>
      <w:szCs w:val="18"/>
    </w:rPr>
  </w:style>
  <w:style w:type="character" w:customStyle="1" w:styleId="BalloonTextChar">
    <w:name w:val="Balloon Text Char"/>
    <w:link w:val="BalloonText"/>
    <w:uiPriority w:val="99"/>
    <w:semiHidden/>
    <w:rsid w:val="004C66DD"/>
    <w:rPr>
      <w:rFonts w:ascii="Segoe UI" w:hAnsi="Segoe UI" w:cs="Segoe UI"/>
      <w:snapToGrid w:val="0"/>
      <w:kern w:val="28"/>
      <w:sz w:val="18"/>
      <w:szCs w:val="18"/>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5213AE"/>
    <w:rPr>
      <w:noProof/>
    </w:rPr>
  </w:style>
  <w:style w:type="character" w:customStyle="1" w:styleId="ParaNumChar">
    <w:name w:val="ParaNum Char"/>
    <w:link w:val="ParaNum"/>
    <w:rsid w:val="005213AE"/>
    <w:rPr>
      <w:snapToGrid w:val="0"/>
      <w:kern w:val="28"/>
      <w:sz w:val="22"/>
    </w:rPr>
  </w:style>
  <w:style w:type="paragraph" w:styleId="ListParagraph">
    <w:name w:val="List Paragraph"/>
    <w:basedOn w:val="Normal"/>
    <w:uiPriority w:val="34"/>
    <w:qFormat/>
    <w:rsid w:val="006B63E4"/>
    <w:pPr>
      <w:ind w:left="720"/>
      <w:contextualSpacing/>
      <w:jc w:val="left"/>
    </w:pPr>
  </w:style>
  <w:style w:type="character" w:styleId="CommentReference">
    <w:name w:val="annotation reference"/>
    <w:basedOn w:val="DefaultParagraphFont"/>
    <w:uiPriority w:val="99"/>
    <w:semiHidden/>
    <w:unhideWhenUsed/>
    <w:rsid w:val="00AE052F"/>
    <w:rPr>
      <w:sz w:val="16"/>
      <w:szCs w:val="16"/>
    </w:rPr>
  </w:style>
  <w:style w:type="paragraph" w:styleId="CommentText">
    <w:name w:val="annotation text"/>
    <w:basedOn w:val="Normal"/>
    <w:link w:val="CommentTextChar"/>
    <w:uiPriority w:val="99"/>
    <w:semiHidden/>
    <w:unhideWhenUsed/>
    <w:rsid w:val="00AE052F"/>
    <w:rPr>
      <w:sz w:val="20"/>
    </w:rPr>
  </w:style>
  <w:style w:type="character" w:customStyle="1" w:styleId="CommentTextChar">
    <w:name w:val="Comment Text Char"/>
    <w:basedOn w:val="DefaultParagraphFont"/>
    <w:link w:val="CommentText"/>
    <w:uiPriority w:val="99"/>
    <w:semiHidden/>
    <w:rsid w:val="00AE052F"/>
    <w:rPr>
      <w:snapToGrid w:val="0"/>
      <w:kern w:val="28"/>
    </w:rPr>
  </w:style>
  <w:style w:type="paragraph" w:styleId="CommentSubject">
    <w:name w:val="annotation subject"/>
    <w:basedOn w:val="CommentText"/>
    <w:next w:val="CommentText"/>
    <w:link w:val="CommentSubjectChar"/>
    <w:uiPriority w:val="99"/>
    <w:semiHidden/>
    <w:unhideWhenUsed/>
    <w:rsid w:val="00AE052F"/>
    <w:rPr>
      <w:b/>
      <w:bCs/>
    </w:rPr>
  </w:style>
  <w:style w:type="character" w:customStyle="1" w:styleId="CommentSubjectChar">
    <w:name w:val="Comment Subject Char"/>
    <w:basedOn w:val="CommentTextChar"/>
    <w:link w:val="CommentSubject"/>
    <w:uiPriority w:val="99"/>
    <w:semiHidden/>
    <w:rsid w:val="00AE052F"/>
    <w:rPr>
      <w:b/>
      <w:bCs/>
      <w:snapToGrid w:val="0"/>
      <w:kern w:val="28"/>
    </w:rPr>
  </w:style>
  <w:style w:type="paragraph" w:styleId="Revision">
    <w:name w:val="Revision"/>
    <w:hidden/>
    <w:uiPriority w:val="99"/>
    <w:semiHidden/>
    <w:rsid w:val="005002A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41"/>
      </w:numPr>
      <w:suppressAutoHyphens/>
      <w:spacing w:after="220"/>
      <w:outlineLvl w:val="0"/>
    </w:pPr>
    <w:rPr>
      <w:b/>
      <w:caps/>
    </w:rPr>
  </w:style>
  <w:style w:type="paragraph" w:styleId="Heading2">
    <w:name w:val="heading 2"/>
    <w:basedOn w:val="Normal"/>
    <w:next w:val="ParaNum"/>
    <w:qFormat/>
    <w:pPr>
      <w:keepNext/>
      <w:numPr>
        <w:ilvl w:val="1"/>
        <w:numId w:val="41"/>
      </w:numPr>
      <w:spacing w:after="220"/>
      <w:outlineLvl w:val="1"/>
    </w:pPr>
    <w:rPr>
      <w:b/>
    </w:rPr>
  </w:style>
  <w:style w:type="paragraph" w:styleId="Heading3">
    <w:name w:val="heading 3"/>
    <w:basedOn w:val="Normal"/>
    <w:next w:val="ParaNum"/>
    <w:qFormat/>
    <w:pPr>
      <w:keepNext/>
      <w:numPr>
        <w:ilvl w:val="2"/>
        <w:numId w:val="41"/>
      </w:numPr>
      <w:spacing w:after="220"/>
      <w:outlineLvl w:val="2"/>
    </w:pPr>
    <w:rPr>
      <w:b/>
    </w:rPr>
  </w:style>
  <w:style w:type="paragraph" w:styleId="Heading4">
    <w:name w:val="heading 4"/>
    <w:basedOn w:val="Normal"/>
    <w:next w:val="ParaNum"/>
    <w:qFormat/>
    <w:pPr>
      <w:keepNext/>
      <w:numPr>
        <w:ilvl w:val="3"/>
        <w:numId w:val="41"/>
      </w:numPr>
      <w:spacing w:after="220"/>
      <w:outlineLvl w:val="3"/>
    </w:pPr>
    <w:rPr>
      <w:b/>
    </w:rPr>
  </w:style>
  <w:style w:type="paragraph" w:styleId="Heading5">
    <w:name w:val="heading 5"/>
    <w:basedOn w:val="Normal"/>
    <w:next w:val="ParaNum"/>
    <w:qFormat/>
    <w:pPr>
      <w:keepNext/>
      <w:numPr>
        <w:ilvl w:val="4"/>
        <w:numId w:val="41"/>
      </w:numPr>
      <w:tabs>
        <w:tab w:val="left" w:pos="2880"/>
      </w:tabs>
      <w:suppressAutoHyphens/>
      <w:spacing w:after="220"/>
      <w:outlineLvl w:val="4"/>
    </w:pPr>
    <w:rPr>
      <w:b/>
      <w:sz w:val="24"/>
    </w:rPr>
  </w:style>
  <w:style w:type="paragraph" w:styleId="Heading6">
    <w:name w:val="heading 6"/>
    <w:basedOn w:val="Normal"/>
    <w:next w:val="ParaNum"/>
    <w:qFormat/>
    <w:pPr>
      <w:numPr>
        <w:ilvl w:val="5"/>
        <w:numId w:val="41"/>
      </w:numPr>
      <w:tabs>
        <w:tab w:val="left" w:pos="2880"/>
      </w:tabs>
      <w:spacing w:after="220"/>
      <w:outlineLvl w:val="5"/>
    </w:pPr>
    <w:rPr>
      <w:b/>
    </w:rPr>
  </w:style>
  <w:style w:type="paragraph" w:styleId="Heading7">
    <w:name w:val="heading 7"/>
    <w:basedOn w:val="Normal"/>
    <w:next w:val="ParaNum"/>
    <w:qFormat/>
    <w:pPr>
      <w:numPr>
        <w:ilvl w:val="6"/>
        <w:numId w:val="41"/>
      </w:numPr>
      <w:spacing w:after="240"/>
      <w:outlineLvl w:val="6"/>
    </w:pPr>
    <w:rPr>
      <w:b/>
    </w:rPr>
  </w:style>
  <w:style w:type="paragraph" w:styleId="Heading8">
    <w:name w:val="heading 8"/>
    <w:basedOn w:val="Normal"/>
    <w:next w:val="ParaNum"/>
    <w:qFormat/>
    <w:pPr>
      <w:numPr>
        <w:ilvl w:val="7"/>
        <w:numId w:val="41"/>
      </w:numPr>
      <w:tabs>
        <w:tab w:val="left" w:pos="5040"/>
      </w:tabs>
      <w:spacing w:after="240"/>
      <w:outlineLvl w:val="7"/>
    </w:pPr>
    <w:rPr>
      <w:b/>
    </w:rPr>
  </w:style>
  <w:style w:type="paragraph" w:styleId="Heading9">
    <w:name w:val="heading 9"/>
    <w:basedOn w:val="Normal"/>
    <w:next w:val="ParaNum"/>
    <w:qFormat/>
    <w:pPr>
      <w:numPr>
        <w:ilvl w:val="8"/>
        <w:numId w:val="41"/>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2"/>
      </w:numPr>
      <w:tabs>
        <w:tab w:val="clear" w:pos="1080"/>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link w:val="FootnoteTextChar"/>
    <w:pPr>
      <w:widowControl w:val="0"/>
      <w:tabs>
        <w:tab w:val="left" w:pos="720"/>
        <w:tab w:val="left" w:pos="1440"/>
      </w:tabs>
      <w:spacing w:after="120"/>
      <w:jc w:val="both"/>
    </w:pPr>
    <w:rPr>
      <w:noProof/>
    </w:rPr>
  </w:style>
  <w:style w:type="character" w:styleId="FootnoteReference">
    <w:name w:val="footnote reference"/>
    <w:aliases w:val="Style 12,(NECG) Footnote Reference,Appel note de bas de p,Style 124,o,fr,Style 3,Style 13,FR,Style 17,Style 6,Footnote Reference/,Style 4,Style 7"/>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sid w:val="00633685"/>
    <w:rPr>
      <w:color w:val="0000FF"/>
      <w:u w:val="single"/>
    </w:rPr>
  </w:style>
  <w:style w:type="character" w:customStyle="1" w:styleId="Heading1Char">
    <w:name w:val="Heading 1 Char"/>
    <w:link w:val="Heading1"/>
    <w:rsid w:val="00DF34DE"/>
    <w:rPr>
      <w:b/>
      <w:caps/>
      <w:snapToGrid w:val="0"/>
      <w:kern w:val="28"/>
      <w:sz w:val="22"/>
    </w:rPr>
  </w:style>
  <w:style w:type="paragraph" w:styleId="BalloonText">
    <w:name w:val="Balloon Text"/>
    <w:basedOn w:val="Normal"/>
    <w:link w:val="BalloonTextChar"/>
    <w:uiPriority w:val="99"/>
    <w:semiHidden/>
    <w:unhideWhenUsed/>
    <w:rsid w:val="004C66DD"/>
    <w:rPr>
      <w:rFonts w:ascii="Segoe UI" w:hAnsi="Segoe UI" w:cs="Segoe UI"/>
      <w:sz w:val="18"/>
      <w:szCs w:val="18"/>
    </w:rPr>
  </w:style>
  <w:style w:type="character" w:customStyle="1" w:styleId="BalloonTextChar">
    <w:name w:val="Balloon Text Char"/>
    <w:link w:val="BalloonText"/>
    <w:uiPriority w:val="99"/>
    <w:semiHidden/>
    <w:rsid w:val="004C66DD"/>
    <w:rPr>
      <w:rFonts w:ascii="Segoe UI" w:hAnsi="Segoe UI" w:cs="Segoe UI"/>
      <w:snapToGrid w:val="0"/>
      <w:kern w:val="28"/>
      <w:sz w:val="18"/>
      <w:szCs w:val="18"/>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link w:val="FootnoteText"/>
    <w:rsid w:val="005213AE"/>
    <w:rPr>
      <w:noProof/>
    </w:rPr>
  </w:style>
  <w:style w:type="character" w:customStyle="1" w:styleId="ParaNumChar">
    <w:name w:val="ParaNum Char"/>
    <w:link w:val="ParaNum"/>
    <w:rsid w:val="005213AE"/>
    <w:rPr>
      <w:snapToGrid w:val="0"/>
      <w:kern w:val="28"/>
      <w:sz w:val="22"/>
    </w:rPr>
  </w:style>
  <w:style w:type="paragraph" w:styleId="ListParagraph">
    <w:name w:val="List Paragraph"/>
    <w:basedOn w:val="Normal"/>
    <w:uiPriority w:val="34"/>
    <w:qFormat/>
    <w:rsid w:val="006B63E4"/>
    <w:pPr>
      <w:ind w:left="720"/>
      <w:contextualSpacing/>
      <w:jc w:val="left"/>
    </w:pPr>
  </w:style>
  <w:style w:type="character" w:styleId="CommentReference">
    <w:name w:val="annotation reference"/>
    <w:basedOn w:val="DefaultParagraphFont"/>
    <w:uiPriority w:val="99"/>
    <w:semiHidden/>
    <w:unhideWhenUsed/>
    <w:rsid w:val="00AE052F"/>
    <w:rPr>
      <w:sz w:val="16"/>
      <w:szCs w:val="16"/>
    </w:rPr>
  </w:style>
  <w:style w:type="paragraph" w:styleId="CommentText">
    <w:name w:val="annotation text"/>
    <w:basedOn w:val="Normal"/>
    <w:link w:val="CommentTextChar"/>
    <w:uiPriority w:val="99"/>
    <w:semiHidden/>
    <w:unhideWhenUsed/>
    <w:rsid w:val="00AE052F"/>
    <w:rPr>
      <w:sz w:val="20"/>
    </w:rPr>
  </w:style>
  <w:style w:type="character" w:customStyle="1" w:styleId="CommentTextChar">
    <w:name w:val="Comment Text Char"/>
    <w:basedOn w:val="DefaultParagraphFont"/>
    <w:link w:val="CommentText"/>
    <w:uiPriority w:val="99"/>
    <w:semiHidden/>
    <w:rsid w:val="00AE052F"/>
    <w:rPr>
      <w:snapToGrid w:val="0"/>
      <w:kern w:val="28"/>
    </w:rPr>
  </w:style>
  <w:style w:type="paragraph" w:styleId="CommentSubject">
    <w:name w:val="annotation subject"/>
    <w:basedOn w:val="CommentText"/>
    <w:next w:val="CommentText"/>
    <w:link w:val="CommentSubjectChar"/>
    <w:uiPriority w:val="99"/>
    <w:semiHidden/>
    <w:unhideWhenUsed/>
    <w:rsid w:val="00AE052F"/>
    <w:rPr>
      <w:b/>
      <w:bCs/>
    </w:rPr>
  </w:style>
  <w:style w:type="character" w:customStyle="1" w:styleId="CommentSubjectChar">
    <w:name w:val="Comment Subject Char"/>
    <w:basedOn w:val="CommentTextChar"/>
    <w:link w:val="CommentSubject"/>
    <w:uiPriority w:val="99"/>
    <w:semiHidden/>
    <w:rsid w:val="00AE052F"/>
    <w:rPr>
      <w:b/>
      <w:bCs/>
      <w:snapToGrid w:val="0"/>
      <w:kern w:val="28"/>
    </w:rPr>
  </w:style>
  <w:style w:type="paragraph" w:styleId="Revision">
    <w:name w:val="Revision"/>
    <w:hidden/>
    <w:uiPriority w:val="99"/>
    <w:semiHidden/>
    <w:rsid w:val="005002A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1221</Words>
  <Characters>6955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8300</CharactersWithSpaces>
  <SharedDoc>false</SharedDoc>
  <HyperlinkBase> </HyperlinkBase>
  <HLinks>
    <vt:vector size="6" baseType="variant">
      <vt:variant>
        <vt:i4>7602217</vt:i4>
      </vt:variant>
      <vt:variant>
        <vt:i4>0</vt:i4>
      </vt:variant>
      <vt:variant>
        <vt:i4>0</vt:i4>
      </vt:variant>
      <vt:variant>
        <vt:i4>5</vt:i4>
      </vt:variant>
      <vt:variant>
        <vt:lpwstr>http://www.fcc.gov/ecfs/filing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2017-03-29T15:03:00Z</cp:lastPrinted>
  <dcterms:created xsi:type="dcterms:W3CDTF">2017-04-04T14:18:00Z</dcterms:created>
  <dcterms:modified xsi:type="dcterms:W3CDTF">2017-04-04T14:18:00Z</dcterms:modified>
  <cp:category> </cp:category>
  <cp:contentStatus> </cp:contentStatus>
</cp:coreProperties>
</file>