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2F70EE1C" w14:textId="06B8D119" w:rsidR="00524B4B" w:rsidRPr="007665F9" w:rsidRDefault="00524B4B" w:rsidP="00524B4B">
      <w:pPr>
        <w:jc w:val="right"/>
        <w:rPr>
          <w:b/>
          <w:szCs w:val="22"/>
        </w:rPr>
      </w:pPr>
      <w:r w:rsidRPr="007665F9">
        <w:rPr>
          <w:b/>
          <w:szCs w:val="22"/>
        </w:rPr>
        <w:lastRenderedPageBreak/>
        <w:t>DA 1</w:t>
      </w:r>
      <w:r w:rsidR="00860CE1">
        <w:rPr>
          <w:b/>
          <w:szCs w:val="22"/>
        </w:rPr>
        <w:t>7</w:t>
      </w:r>
      <w:r w:rsidRPr="007665F9">
        <w:rPr>
          <w:b/>
          <w:szCs w:val="22"/>
        </w:rPr>
        <w:t>-</w:t>
      </w:r>
      <w:r w:rsidR="00380D69">
        <w:rPr>
          <w:b/>
          <w:szCs w:val="22"/>
        </w:rPr>
        <w:t>329</w:t>
      </w:r>
    </w:p>
    <w:p w14:paraId="1A6B83F6" w14:textId="41BD2780" w:rsidR="00524B4B" w:rsidRDefault="00524B4B" w:rsidP="00524B4B">
      <w:pPr>
        <w:spacing w:before="60"/>
        <w:jc w:val="right"/>
        <w:rPr>
          <w:b/>
          <w:szCs w:val="22"/>
        </w:rPr>
      </w:pPr>
      <w:r w:rsidRPr="007665F9">
        <w:rPr>
          <w:b/>
          <w:szCs w:val="22"/>
        </w:rPr>
        <w:t xml:space="preserve">Released:  </w:t>
      </w:r>
      <w:r w:rsidR="00F95FA1">
        <w:rPr>
          <w:b/>
          <w:szCs w:val="22"/>
        </w:rPr>
        <w:t>April 6</w:t>
      </w:r>
      <w:r w:rsidRPr="007665F9">
        <w:rPr>
          <w:b/>
          <w:szCs w:val="22"/>
        </w:rPr>
        <w:t>, 201</w:t>
      </w:r>
      <w:r w:rsidR="00213721">
        <w:rPr>
          <w:b/>
          <w:szCs w:val="22"/>
        </w:rPr>
        <w:t>7</w:t>
      </w:r>
    </w:p>
    <w:p w14:paraId="2E64A031" w14:textId="77777777" w:rsidR="00602577" w:rsidRDefault="00602577">
      <w:pPr>
        <w:jc w:val="right"/>
        <w:rPr>
          <w:sz w:val="24"/>
        </w:rPr>
      </w:pPr>
    </w:p>
    <w:p w14:paraId="65625682" w14:textId="627CD775" w:rsidR="00602577" w:rsidRPr="007665F9" w:rsidRDefault="000D6F39" w:rsidP="000D6F39">
      <w:pPr>
        <w:jc w:val="center"/>
        <w:rPr>
          <w:b/>
          <w:szCs w:val="22"/>
        </w:rPr>
      </w:pPr>
      <w:r>
        <w:rPr>
          <w:b/>
          <w:szCs w:val="22"/>
        </w:rPr>
        <w:t>NEW CINGULAR WIRELESS PCS, LLC, DYCOM HOLDING, INC.</w:t>
      </w:r>
      <w:r w:rsidR="009F68ED">
        <w:rPr>
          <w:b/>
          <w:szCs w:val="22"/>
        </w:rPr>
        <w:t>,</w:t>
      </w:r>
      <w:r>
        <w:rPr>
          <w:b/>
          <w:szCs w:val="22"/>
        </w:rPr>
        <w:t xml:space="preserve"> AND WILKES CELLULAR, INC.</w:t>
      </w:r>
      <w:r w:rsidR="00323D7A">
        <w:rPr>
          <w:b/>
          <w:szCs w:val="22"/>
        </w:rPr>
        <w:t>,</w:t>
      </w:r>
      <w:r>
        <w:rPr>
          <w:b/>
          <w:szCs w:val="22"/>
        </w:rPr>
        <w:t xml:space="preserve"> </w:t>
      </w:r>
      <w:r w:rsidR="007665F9" w:rsidRPr="007665F9">
        <w:rPr>
          <w:b/>
          <w:szCs w:val="22"/>
        </w:rPr>
        <w:t>SEEK F</w:t>
      </w:r>
      <w:r w:rsidR="00701D32">
        <w:rPr>
          <w:b/>
          <w:szCs w:val="22"/>
        </w:rPr>
        <w:t>CC CONSENT TO THE ASSIGNMENT OF</w:t>
      </w:r>
      <w:r w:rsidR="00AE083F">
        <w:rPr>
          <w:b/>
          <w:szCs w:val="22"/>
        </w:rPr>
        <w:t xml:space="preserve"> </w:t>
      </w:r>
      <w:r w:rsidR="005273C2">
        <w:rPr>
          <w:b/>
          <w:szCs w:val="22"/>
        </w:rPr>
        <w:t>A</w:t>
      </w:r>
      <w:r w:rsidR="00AE083F">
        <w:rPr>
          <w:b/>
          <w:szCs w:val="22"/>
        </w:rPr>
        <w:t xml:space="preserve"> </w:t>
      </w:r>
      <w:r w:rsidR="007665F9" w:rsidRPr="007665F9">
        <w:rPr>
          <w:b/>
          <w:szCs w:val="22"/>
        </w:rPr>
        <w:t xml:space="preserve">LOWER 700 </w:t>
      </w:r>
      <w:r w:rsidR="00701D32">
        <w:rPr>
          <w:b/>
          <w:szCs w:val="22"/>
        </w:rPr>
        <w:t xml:space="preserve">MHZ </w:t>
      </w:r>
      <w:r w:rsidR="005273C2">
        <w:rPr>
          <w:b/>
          <w:szCs w:val="22"/>
        </w:rPr>
        <w:t xml:space="preserve">C BLOCK </w:t>
      </w:r>
      <w:r>
        <w:rPr>
          <w:b/>
          <w:szCs w:val="22"/>
        </w:rPr>
        <w:t xml:space="preserve">LICENSE </w:t>
      </w:r>
      <w:r w:rsidR="009677F8">
        <w:rPr>
          <w:b/>
          <w:szCs w:val="22"/>
        </w:rPr>
        <w:t xml:space="preserve">AND A CELLULAR LICENSE </w:t>
      </w:r>
      <w:r>
        <w:rPr>
          <w:b/>
          <w:szCs w:val="22"/>
        </w:rPr>
        <w:t>IN GEORGIA</w:t>
      </w:r>
    </w:p>
    <w:p w14:paraId="089DA9D9" w14:textId="56964E81" w:rsidR="00602577" w:rsidRPr="007A67C8" w:rsidRDefault="00D003DE" w:rsidP="00AE083F">
      <w:pPr>
        <w:spacing w:before="220" w:after="220"/>
        <w:jc w:val="center"/>
        <w:rPr>
          <w:b/>
          <w:szCs w:val="22"/>
        </w:rPr>
      </w:pPr>
      <w:r>
        <w:rPr>
          <w:b/>
          <w:szCs w:val="22"/>
        </w:rPr>
        <w:t xml:space="preserve">WT Docket No. </w:t>
      </w:r>
      <w:r w:rsidR="000D6F39">
        <w:rPr>
          <w:b/>
          <w:szCs w:val="22"/>
        </w:rPr>
        <w:t>17</w:t>
      </w:r>
      <w:r w:rsidRPr="000A24B8">
        <w:rPr>
          <w:b/>
          <w:szCs w:val="22"/>
        </w:rPr>
        <w:t>-</w:t>
      </w:r>
      <w:r w:rsidR="00323D7A">
        <w:rPr>
          <w:b/>
          <w:szCs w:val="22"/>
        </w:rPr>
        <w:t>82</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45D26234" w:rsidR="007A67C8" w:rsidRDefault="007A67C8" w:rsidP="007A67C8">
      <w:pPr>
        <w:outlineLvl w:val="0"/>
        <w:rPr>
          <w:b/>
          <w:szCs w:val="22"/>
        </w:rPr>
      </w:pPr>
      <w:r>
        <w:rPr>
          <w:b/>
          <w:szCs w:val="22"/>
        </w:rPr>
        <w:t>Petitions to Deny Due:</w:t>
      </w:r>
      <w:r>
        <w:rPr>
          <w:b/>
          <w:szCs w:val="22"/>
        </w:rPr>
        <w:tab/>
      </w:r>
      <w:r>
        <w:rPr>
          <w:b/>
          <w:szCs w:val="22"/>
        </w:rPr>
        <w:tab/>
      </w:r>
      <w:r w:rsidR="00F841AA">
        <w:rPr>
          <w:b/>
          <w:spacing w:val="-2"/>
          <w:szCs w:val="22"/>
        </w:rPr>
        <w:t>April 27,</w:t>
      </w:r>
      <w:r w:rsidR="00F95FA1">
        <w:rPr>
          <w:b/>
          <w:spacing w:val="-2"/>
          <w:szCs w:val="22"/>
        </w:rPr>
        <w:t xml:space="preserve"> 2017</w:t>
      </w:r>
    </w:p>
    <w:p w14:paraId="09C8A094" w14:textId="33AD2E7B" w:rsidR="007A67C8" w:rsidRDefault="007A67C8" w:rsidP="007A67C8">
      <w:pPr>
        <w:rPr>
          <w:b/>
          <w:szCs w:val="22"/>
        </w:rPr>
      </w:pPr>
      <w:r>
        <w:rPr>
          <w:b/>
          <w:szCs w:val="22"/>
        </w:rPr>
        <w:t>Oppositions Due:</w:t>
      </w:r>
      <w:r>
        <w:rPr>
          <w:b/>
          <w:szCs w:val="22"/>
        </w:rPr>
        <w:tab/>
      </w:r>
      <w:r>
        <w:rPr>
          <w:b/>
          <w:szCs w:val="22"/>
        </w:rPr>
        <w:tab/>
      </w:r>
      <w:r w:rsidR="00F95FA1">
        <w:rPr>
          <w:b/>
          <w:spacing w:val="-2"/>
          <w:szCs w:val="22"/>
        </w:rPr>
        <w:t>May 4, 2017</w:t>
      </w:r>
    </w:p>
    <w:p w14:paraId="70C4F6C0" w14:textId="58FAD96A" w:rsidR="007A67C8" w:rsidRDefault="007A67C8" w:rsidP="007A67C8">
      <w:pPr>
        <w:spacing w:after="220"/>
        <w:rPr>
          <w:b/>
          <w:szCs w:val="22"/>
        </w:rPr>
      </w:pPr>
      <w:r>
        <w:rPr>
          <w:b/>
          <w:szCs w:val="22"/>
        </w:rPr>
        <w:t>Replies Due:</w:t>
      </w:r>
      <w:r>
        <w:rPr>
          <w:b/>
          <w:szCs w:val="22"/>
        </w:rPr>
        <w:tab/>
      </w:r>
      <w:r>
        <w:rPr>
          <w:b/>
          <w:szCs w:val="22"/>
        </w:rPr>
        <w:tab/>
      </w:r>
      <w:r>
        <w:rPr>
          <w:b/>
          <w:szCs w:val="22"/>
        </w:rPr>
        <w:tab/>
      </w:r>
      <w:r w:rsidR="00F95FA1">
        <w:rPr>
          <w:b/>
          <w:spacing w:val="-2"/>
          <w:szCs w:val="22"/>
        </w:rPr>
        <w:t>May 11, 2017</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1EF74711" w:rsidR="007665F9" w:rsidRDefault="009544CB" w:rsidP="00CF1545">
      <w:pPr>
        <w:spacing w:after="120"/>
        <w:ind w:firstLine="720"/>
        <w:rPr>
          <w:szCs w:val="22"/>
        </w:rPr>
      </w:pPr>
      <w:r>
        <w:rPr>
          <w:szCs w:val="22"/>
        </w:rPr>
        <w:t xml:space="preserve">New Cingular Wireless PCS, LLC, an indirect wholly-owned subsidiary of AT&amp;T Inc. (together with New Cingular Wireless PCS, LLC, </w:t>
      </w:r>
      <w:r w:rsidR="00B23CB8">
        <w:rPr>
          <w:szCs w:val="22"/>
        </w:rPr>
        <w:t>AT&amp;T),</w:t>
      </w:r>
      <w:r>
        <w:rPr>
          <w:szCs w:val="22"/>
        </w:rPr>
        <w:t xml:space="preserve"> together with Dycom Holding, Inc. </w:t>
      </w:r>
      <w:r w:rsidR="00B23CB8">
        <w:rPr>
          <w:szCs w:val="22"/>
        </w:rPr>
        <w:t>(Dycom)</w:t>
      </w:r>
      <w:r w:rsidR="00323D7A">
        <w:rPr>
          <w:szCs w:val="22"/>
        </w:rPr>
        <w:t>,</w:t>
      </w:r>
      <w:r w:rsidR="00B23CB8">
        <w:rPr>
          <w:szCs w:val="22"/>
        </w:rPr>
        <w:t xml:space="preserve"> </w:t>
      </w:r>
      <w:r>
        <w:rPr>
          <w:szCs w:val="22"/>
        </w:rPr>
        <w:t>and Wilkes Cellular, Inc.</w:t>
      </w:r>
      <w:r w:rsidR="00C977BC" w:rsidRPr="00E71C27">
        <w:rPr>
          <w:rStyle w:val="FootnoteReference"/>
          <w:sz w:val="20"/>
        </w:rPr>
        <w:footnoteReference w:id="1"/>
      </w:r>
      <w:r w:rsidR="00B23CB8">
        <w:rPr>
          <w:szCs w:val="22"/>
        </w:rPr>
        <w:t xml:space="preserve"> (Wilkes) (</w:t>
      </w:r>
      <w:r w:rsidR="00BB378E">
        <w:rPr>
          <w:szCs w:val="22"/>
        </w:rPr>
        <w:t xml:space="preserve">together with </w:t>
      </w:r>
      <w:r w:rsidR="005B4EFE">
        <w:rPr>
          <w:szCs w:val="22"/>
        </w:rPr>
        <w:t>Dycom</w:t>
      </w:r>
      <w:r w:rsidR="00B23CB8">
        <w:rPr>
          <w:szCs w:val="22"/>
        </w:rPr>
        <w:t xml:space="preserve"> and AT&amp;T, the Applicants), have filed applications pursuant to Section 310(d) of the Communications Act of 1934, as amended,</w:t>
      </w:r>
      <w:r w:rsidR="00943D02" w:rsidRPr="00E71C27">
        <w:rPr>
          <w:rStyle w:val="FootnoteReference"/>
          <w:sz w:val="20"/>
        </w:rPr>
        <w:footnoteReference w:id="2"/>
      </w:r>
      <w:r w:rsidR="00B23CB8">
        <w:rPr>
          <w:szCs w:val="22"/>
        </w:rPr>
        <w:t xml:space="preserve"> seeking Commission consent to the assignment of a Lower 700 MHz C Block license </w:t>
      </w:r>
      <w:r w:rsidR="00A21BB1">
        <w:rPr>
          <w:szCs w:val="22"/>
        </w:rPr>
        <w:t xml:space="preserve">from Dycom to AT&amp;T </w:t>
      </w:r>
      <w:r w:rsidR="00B23CB8">
        <w:rPr>
          <w:szCs w:val="22"/>
        </w:rPr>
        <w:t>and a cellular license from Wilkes to AT&amp;T.</w:t>
      </w:r>
      <w:r w:rsidR="00504F29" w:rsidRPr="00E71C27">
        <w:rPr>
          <w:rStyle w:val="FootnoteReference"/>
          <w:sz w:val="20"/>
        </w:rPr>
        <w:footnoteReference w:id="3"/>
      </w:r>
      <w:r w:rsidR="00D950B2">
        <w:rPr>
          <w:szCs w:val="22"/>
        </w:rPr>
        <w:t xml:space="preserve">  The </w:t>
      </w:r>
      <w:r w:rsidR="00323D7A">
        <w:rPr>
          <w:szCs w:val="22"/>
        </w:rPr>
        <w:t>subject</w:t>
      </w:r>
      <w:r w:rsidR="009F5852">
        <w:rPr>
          <w:szCs w:val="22"/>
        </w:rPr>
        <w:t xml:space="preserve"> licenses cover </w:t>
      </w:r>
      <w:r w:rsidR="00D950B2">
        <w:rPr>
          <w:szCs w:val="22"/>
        </w:rPr>
        <w:t>one local market in Georgia.</w:t>
      </w:r>
    </w:p>
    <w:p w14:paraId="1362952B" w14:textId="55715116" w:rsidR="007A67C8" w:rsidRDefault="007A67C8" w:rsidP="00CF1545">
      <w:pPr>
        <w:spacing w:after="120"/>
        <w:ind w:firstLine="720"/>
        <w:rPr>
          <w:szCs w:val="22"/>
        </w:rPr>
      </w:pPr>
      <w:r w:rsidRPr="0087478E">
        <w:rPr>
          <w:szCs w:val="22"/>
        </w:rPr>
        <w:t xml:space="preserve">The Applicants </w:t>
      </w:r>
      <w:r>
        <w:rPr>
          <w:szCs w:val="22"/>
        </w:rPr>
        <w:t>maintain</w:t>
      </w:r>
      <w:r w:rsidR="00F2782A">
        <w:rPr>
          <w:szCs w:val="22"/>
        </w:rPr>
        <w:t xml:space="preserve"> that acquiring the Lower 700 MHz spectrum </w:t>
      </w:r>
      <w:r w:rsidRPr="0087478E">
        <w:rPr>
          <w:szCs w:val="22"/>
        </w:rPr>
        <w:t xml:space="preserve">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32551B">
        <w:rPr>
          <w:szCs w:val="22"/>
        </w:rPr>
        <w:t xml:space="preserve"> </w:t>
      </w:r>
      <w:r w:rsidR="00061FB3">
        <w:rPr>
          <w:szCs w:val="22"/>
        </w:rPr>
        <w:t>374</w:t>
      </w:r>
      <w:r w:rsidR="0032551B">
        <w:rPr>
          <w:szCs w:val="22"/>
        </w:rPr>
        <w:t xml:space="preserve"> </w:t>
      </w:r>
      <w:r w:rsidR="001960D7">
        <w:rPr>
          <w:szCs w:val="22"/>
        </w:rPr>
        <w:t>(</w:t>
      </w:r>
      <w:r w:rsidR="00061FB3">
        <w:rPr>
          <w:szCs w:val="22"/>
        </w:rPr>
        <w:t>Georgia 4 – Jasper</w:t>
      </w:r>
      <w:r w:rsidR="001960D7">
        <w:rPr>
          <w:szCs w:val="22"/>
        </w:rPr>
        <w:t>)</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rtz of contiguous, p</w:t>
      </w:r>
      <w:r w:rsidR="00ED50BC">
        <w:rPr>
          <w:szCs w:val="22"/>
        </w:rPr>
        <w:t>aired Lower 700 MHz spectrum</w:t>
      </w:r>
      <w:r>
        <w:rPr>
          <w:szCs w:val="22"/>
        </w:rPr>
        <w:t xml:space="preserve">, </w:t>
      </w:r>
      <w:r w:rsidR="00943E53">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r w:rsidR="00F2782A">
        <w:rPr>
          <w:szCs w:val="22"/>
        </w:rPr>
        <w:t xml:space="preserve">  Regarding the use of the cellular spectrum at issue, the Applicants contend that this proposed transaction would fill in gaps in its network, expanding and enhancing </w:t>
      </w:r>
      <w:r w:rsidR="00C20BCE">
        <w:rPr>
          <w:szCs w:val="22"/>
        </w:rPr>
        <w:t>AT&amp;T’s cellular coverage over the entire CMA</w:t>
      </w:r>
      <w:r w:rsidR="004E15C3">
        <w:rPr>
          <w:szCs w:val="22"/>
        </w:rPr>
        <w:t xml:space="preserve">, and </w:t>
      </w:r>
      <w:r w:rsidR="00C20BCE">
        <w:rPr>
          <w:szCs w:val="22"/>
        </w:rPr>
        <w:t xml:space="preserve">reducing inefficiencies at several county </w:t>
      </w:r>
      <w:r w:rsidR="00C20BCE" w:rsidRPr="003455B5">
        <w:rPr>
          <w:szCs w:val="22"/>
        </w:rPr>
        <w:t xml:space="preserve">boundaries </w:t>
      </w:r>
      <w:r w:rsidR="00C20BCE">
        <w:rPr>
          <w:szCs w:val="22"/>
        </w:rPr>
        <w:t>within the local market.</w:t>
      </w:r>
    </w:p>
    <w:p w14:paraId="48015070" w14:textId="0F6E15BF" w:rsidR="008979AB" w:rsidRDefault="008979AB" w:rsidP="00AA3C45">
      <w:pPr>
        <w:spacing w:after="120"/>
        <w:ind w:firstLine="720"/>
        <w:rPr>
          <w:rStyle w:val="Normal1"/>
          <w:sz w:val="22"/>
          <w:szCs w:val="22"/>
        </w:rPr>
      </w:pPr>
      <w:r w:rsidRPr="008979AB">
        <w:rPr>
          <w:rStyle w:val="Normal1"/>
          <w:sz w:val="22"/>
          <w:szCs w:val="22"/>
        </w:rPr>
        <w:lastRenderedPageBreak/>
        <w:t xml:space="preserve">Our preliminary review indicates that AT&amp;T would be assigned 12 megahertz </w:t>
      </w:r>
      <w:r w:rsidR="00F74333">
        <w:rPr>
          <w:szCs w:val="22"/>
        </w:rPr>
        <w:t xml:space="preserve">of Lower 700 MHz </w:t>
      </w:r>
      <w:r w:rsidR="00CC6D01">
        <w:rPr>
          <w:szCs w:val="22"/>
        </w:rPr>
        <w:t xml:space="preserve">C Block </w:t>
      </w:r>
      <w:r w:rsidRPr="008979AB">
        <w:rPr>
          <w:szCs w:val="22"/>
        </w:rPr>
        <w:t xml:space="preserve">spectrum covering </w:t>
      </w:r>
      <w:r w:rsidR="00E6566F" w:rsidRPr="00ED50BC">
        <w:rPr>
          <w:szCs w:val="22"/>
        </w:rPr>
        <w:t xml:space="preserve">all </w:t>
      </w:r>
      <w:r w:rsidR="007B2483" w:rsidRPr="00ED50BC">
        <w:rPr>
          <w:szCs w:val="22"/>
        </w:rPr>
        <w:t>ten counties</w:t>
      </w:r>
      <w:r w:rsidR="00D635AE">
        <w:rPr>
          <w:szCs w:val="22"/>
        </w:rPr>
        <w:t xml:space="preserve"> </w:t>
      </w:r>
      <w:r w:rsidR="00E6566F">
        <w:rPr>
          <w:szCs w:val="22"/>
        </w:rPr>
        <w:t xml:space="preserve">in </w:t>
      </w:r>
      <w:r w:rsidR="00B609BB">
        <w:rPr>
          <w:szCs w:val="22"/>
        </w:rPr>
        <w:t>Georgia 4 – Jasper</w:t>
      </w:r>
      <w:r w:rsidRPr="008979AB">
        <w:rPr>
          <w:rStyle w:val="Normal1"/>
          <w:sz w:val="22"/>
          <w:szCs w:val="22"/>
        </w:rPr>
        <w:t xml:space="preserve">.  </w:t>
      </w:r>
      <w:r w:rsidR="008F1C5A">
        <w:rPr>
          <w:rStyle w:val="Normal1"/>
          <w:sz w:val="22"/>
          <w:szCs w:val="22"/>
        </w:rPr>
        <w:t xml:space="preserve">AT&amp;T would also be assigned 25 megahertz of cellular spectrum in three of these ten counties in this CMA, where pre-transaction, AT&amp;T does not hold cellular spectrum.  </w:t>
      </w:r>
      <w:r w:rsidRPr="008979AB">
        <w:rPr>
          <w:rStyle w:val="Normal1"/>
          <w:sz w:val="22"/>
          <w:szCs w:val="22"/>
        </w:rPr>
        <w:t>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4E15C3">
        <w:rPr>
          <w:rStyle w:val="Normal1"/>
          <w:sz w:val="22"/>
          <w:szCs w:val="22"/>
        </w:rPr>
        <w:t>125</w:t>
      </w:r>
      <w:r w:rsidR="004E15C3" w:rsidRPr="008979AB">
        <w:rPr>
          <w:rStyle w:val="Normal1"/>
          <w:sz w:val="22"/>
          <w:szCs w:val="22"/>
        </w:rPr>
        <w:t xml:space="preserve"> </w:t>
      </w:r>
      <w:r w:rsidRPr="008979AB">
        <w:rPr>
          <w:rStyle w:val="Normal1"/>
          <w:sz w:val="22"/>
          <w:szCs w:val="22"/>
        </w:rPr>
        <w:t>meg</w:t>
      </w:r>
      <w:r w:rsidR="00F8410B">
        <w:rPr>
          <w:rStyle w:val="Normal1"/>
          <w:sz w:val="22"/>
          <w:szCs w:val="22"/>
        </w:rPr>
        <w:t xml:space="preserve">ahertz </w:t>
      </w:r>
      <w:r w:rsidR="00943D02">
        <w:rPr>
          <w:rStyle w:val="Normal1"/>
          <w:sz w:val="22"/>
          <w:szCs w:val="22"/>
        </w:rPr>
        <w:t xml:space="preserve">to </w:t>
      </w:r>
      <w:r w:rsidR="004E15C3">
        <w:rPr>
          <w:rStyle w:val="Normal1"/>
          <w:sz w:val="22"/>
          <w:szCs w:val="22"/>
        </w:rPr>
        <w:t xml:space="preserve">135 </w:t>
      </w:r>
      <w:r w:rsidR="00B53D7D">
        <w:rPr>
          <w:rStyle w:val="Normal1"/>
          <w:sz w:val="22"/>
          <w:szCs w:val="22"/>
        </w:rPr>
        <w:t xml:space="preserve">megahertz </w:t>
      </w:r>
      <w:r w:rsidR="00F8410B">
        <w:rPr>
          <w:rStyle w:val="Normal1"/>
          <w:sz w:val="22"/>
          <w:szCs w:val="22"/>
        </w:rPr>
        <w:t>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55</w:t>
      </w:r>
      <w:r w:rsidRPr="008979AB">
        <w:rPr>
          <w:rStyle w:val="Normal1"/>
          <w:sz w:val="22"/>
          <w:szCs w:val="22"/>
        </w:rPr>
        <w:t xml:space="preserve"> megahe</w:t>
      </w:r>
      <w:r w:rsidR="00585426">
        <w:rPr>
          <w:rStyle w:val="Normal1"/>
          <w:sz w:val="22"/>
          <w:szCs w:val="22"/>
        </w:rPr>
        <w:t>rtz of below-1-GHz spectrum in this local market</w:t>
      </w:r>
      <w:r w:rsidRPr="008979AB">
        <w:rPr>
          <w:rStyle w:val="Normal1"/>
          <w:sz w:val="22"/>
          <w:szCs w:val="22"/>
        </w:rPr>
        <w:t>.</w:t>
      </w:r>
    </w:p>
    <w:p w14:paraId="7577ACE7" w14:textId="2092B316"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E71C27">
        <w:rPr>
          <w:rStyle w:val="FootnoteReference"/>
          <w:sz w:val="20"/>
        </w:rPr>
        <w:footnoteReference w:id="4"/>
      </w:r>
      <w:r w:rsidRPr="00FF0361">
        <w:rPr>
          <w:szCs w:val="22"/>
        </w:rPr>
        <w:t xml:space="preserve">  As a result of the instant transaction, </w:t>
      </w:r>
      <w:r>
        <w:rPr>
          <w:szCs w:val="22"/>
        </w:rPr>
        <w:t>AT&amp;T</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8F1C5A">
        <w:rPr>
          <w:szCs w:val="22"/>
        </w:rPr>
        <w:t>Georgia 4 – Jasper</w:t>
      </w:r>
      <w:r w:rsidRPr="00FF0361">
        <w:rPr>
          <w:szCs w:val="22"/>
        </w:rPr>
        <w:t>.</w:t>
      </w:r>
    </w:p>
    <w:p w14:paraId="0B31206B" w14:textId="58F83D0E"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323D7A">
        <w:rPr>
          <w:b/>
          <w:szCs w:val="22"/>
        </w:rPr>
        <w:t>S</w:t>
      </w:r>
    </w:p>
    <w:p w14:paraId="76B55E24" w14:textId="27666CD1"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0F7BFB">
        <w:rPr>
          <w:rStyle w:val="Normal10"/>
          <w:sz w:val="22"/>
          <w:szCs w:val="22"/>
        </w:rPr>
        <w:t>s</w:t>
      </w:r>
      <w:r w:rsidRPr="00144BD1">
        <w:rPr>
          <w:rStyle w:val="Normal10"/>
          <w:sz w:val="22"/>
          <w:szCs w:val="22"/>
        </w:rPr>
        <w:t xml:space="preserve"> for the assignment of </w:t>
      </w:r>
      <w:r w:rsidRPr="00144BD1">
        <w:rPr>
          <w:szCs w:val="22"/>
        </w:rPr>
        <w:t>license</w:t>
      </w:r>
      <w:r w:rsidR="000F7BFB">
        <w:rPr>
          <w:szCs w:val="22"/>
        </w:rPr>
        <w:t>s</w:t>
      </w:r>
      <w:r w:rsidRPr="00144BD1">
        <w:rPr>
          <w:szCs w:val="22"/>
        </w:rPr>
        <w:t xml:space="preserve"> </w:t>
      </w:r>
      <w:r w:rsidRPr="00144BD1">
        <w:rPr>
          <w:rStyle w:val="Normal10"/>
          <w:sz w:val="22"/>
          <w:szCs w:val="22"/>
        </w:rPr>
        <w:t>ha</w:t>
      </w:r>
      <w:r w:rsidR="00323D7A">
        <w:rPr>
          <w:rStyle w:val="Normal10"/>
          <w:sz w:val="22"/>
          <w:szCs w:val="22"/>
        </w:rPr>
        <w:t>ve</w:t>
      </w:r>
      <w:r w:rsidRPr="00144BD1">
        <w:rPr>
          <w:rStyle w:val="Normal10"/>
          <w:sz w:val="22"/>
          <w:szCs w:val="22"/>
        </w:rPr>
        <w:t xml:space="preserve"> the following file number</w:t>
      </w:r>
      <w:r w:rsidR="00323D7A">
        <w:rPr>
          <w:rStyle w:val="Normal10"/>
          <w:sz w:val="22"/>
          <w:szCs w:val="22"/>
        </w:rPr>
        <w:t>s</w:t>
      </w:r>
      <w:r w:rsidRPr="00144BD1">
        <w:rPr>
          <w:rStyle w:val="Normal10"/>
          <w:sz w:val="22"/>
          <w:szCs w:val="22"/>
        </w:rPr>
        <w:t>:</w:t>
      </w:r>
    </w:p>
    <w:tbl>
      <w:tblPr>
        <w:tblW w:w="5241" w:type="pct"/>
        <w:tblCellMar>
          <w:left w:w="40" w:type="dxa"/>
          <w:right w:w="40" w:type="dxa"/>
        </w:tblCellMar>
        <w:tblLook w:val="0000" w:firstRow="0" w:lastRow="0" w:firstColumn="0" w:lastColumn="0" w:noHBand="0" w:noVBand="0"/>
      </w:tblPr>
      <w:tblGrid>
        <w:gridCol w:w="1634"/>
        <w:gridCol w:w="3062"/>
        <w:gridCol w:w="3804"/>
        <w:gridCol w:w="1395"/>
      </w:tblGrid>
      <w:tr w:rsidR="00144BD1" w14:paraId="1C04EF41" w14:textId="77777777" w:rsidTr="00C100AE">
        <w:trPr>
          <w:cantSplit/>
          <w:trHeight w:val="173"/>
          <w:tblHeader/>
        </w:trPr>
        <w:tc>
          <w:tcPr>
            <w:tcW w:w="826" w:type="pct"/>
            <w:shd w:val="clear" w:color="C0C0C0" w:fill="auto"/>
          </w:tcPr>
          <w:p w14:paraId="26E990E7" w14:textId="5080E67F"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sidR="005553B3" w:rsidRPr="005553B3">
              <w:rPr>
                <w:b/>
                <w:szCs w:val="22"/>
                <w:u w:val="single"/>
              </w:rPr>
              <w:t xml:space="preserve">Lead </w:t>
            </w:r>
            <w:r>
              <w:rPr>
                <w:b/>
                <w:color w:val="000000"/>
                <w:szCs w:val="22"/>
                <w:u w:val="single"/>
              </w:rPr>
              <w:t>File No.</w:t>
            </w:r>
          </w:p>
          <w:p w14:paraId="4A1154E3" w14:textId="77777777" w:rsidR="00144BD1" w:rsidRDefault="00144BD1" w:rsidP="00104D2D">
            <w:pPr>
              <w:autoSpaceDE w:val="0"/>
              <w:autoSpaceDN w:val="0"/>
              <w:adjustRightInd w:val="0"/>
              <w:rPr>
                <w:b/>
                <w:color w:val="000000"/>
                <w:szCs w:val="22"/>
                <w:u w:val="single"/>
              </w:rPr>
            </w:pPr>
          </w:p>
          <w:p w14:paraId="5B83A7FB" w14:textId="77777777" w:rsidR="00E71C27" w:rsidRDefault="00E71C27" w:rsidP="00104D2D">
            <w:pPr>
              <w:autoSpaceDE w:val="0"/>
              <w:autoSpaceDN w:val="0"/>
              <w:adjustRightInd w:val="0"/>
              <w:rPr>
                <w:szCs w:val="22"/>
              </w:rPr>
            </w:pPr>
            <w:r>
              <w:rPr>
                <w:szCs w:val="22"/>
              </w:rPr>
              <w:t>0007621190</w:t>
            </w:r>
            <w:r w:rsidRPr="00E71C27">
              <w:rPr>
                <w:rStyle w:val="FootnoteReference"/>
                <w:sz w:val="20"/>
              </w:rPr>
              <w:footnoteReference w:id="5"/>
            </w:r>
          </w:p>
          <w:p w14:paraId="6968B147" w14:textId="6C156294" w:rsidR="00E71C27" w:rsidRDefault="00E71C27" w:rsidP="00104D2D">
            <w:pPr>
              <w:autoSpaceDE w:val="0"/>
              <w:autoSpaceDN w:val="0"/>
              <w:adjustRightInd w:val="0"/>
              <w:rPr>
                <w:b/>
                <w:color w:val="000000"/>
                <w:szCs w:val="22"/>
                <w:u w:val="single"/>
              </w:rPr>
            </w:pPr>
          </w:p>
        </w:tc>
        <w:tc>
          <w:tcPr>
            <w:tcW w:w="1547" w:type="pct"/>
            <w:shd w:val="clear" w:color="C0C0C0" w:fill="auto"/>
          </w:tcPr>
          <w:p w14:paraId="64D03E6B" w14:textId="77777777" w:rsidR="00144BD1" w:rsidRDefault="00144BD1" w:rsidP="00C100AE">
            <w:pPr>
              <w:autoSpaceDE w:val="0"/>
              <w:autoSpaceDN w:val="0"/>
              <w:adjustRightInd w:val="0"/>
              <w:ind w:left="196" w:hanging="237"/>
              <w:rPr>
                <w:b/>
                <w:color w:val="000000"/>
                <w:szCs w:val="22"/>
                <w:u w:val="single"/>
              </w:rPr>
            </w:pPr>
            <w:r>
              <w:rPr>
                <w:b/>
                <w:color w:val="000000"/>
                <w:szCs w:val="22"/>
                <w:u w:val="single"/>
              </w:rPr>
              <w:t>Licensee/Assignor</w:t>
            </w:r>
          </w:p>
          <w:p w14:paraId="23F780D7" w14:textId="77777777" w:rsidR="00E71C27" w:rsidRDefault="00E71C27" w:rsidP="00C100AE">
            <w:pPr>
              <w:autoSpaceDE w:val="0"/>
              <w:autoSpaceDN w:val="0"/>
              <w:adjustRightInd w:val="0"/>
              <w:ind w:left="196" w:hanging="237"/>
              <w:rPr>
                <w:b/>
                <w:color w:val="000000"/>
                <w:szCs w:val="22"/>
                <w:u w:val="single"/>
              </w:rPr>
            </w:pPr>
          </w:p>
          <w:p w14:paraId="7065D5F2" w14:textId="1DBF5291" w:rsidR="00E71C27" w:rsidRPr="00E71C27" w:rsidRDefault="00E71C27" w:rsidP="00E71C27">
            <w:pPr>
              <w:autoSpaceDE w:val="0"/>
              <w:autoSpaceDN w:val="0"/>
              <w:adjustRightInd w:val="0"/>
              <w:rPr>
                <w:color w:val="000000"/>
                <w:szCs w:val="22"/>
              </w:rPr>
            </w:pPr>
            <w:r>
              <w:rPr>
                <w:color w:val="000000"/>
                <w:szCs w:val="22"/>
              </w:rPr>
              <w:t>Wilkes Cellular, Inc.</w:t>
            </w:r>
          </w:p>
        </w:tc>
        <w:tc>
          <w:tcPr>
            <w:tcW w:w="1922" w:type="pct"/>
            <w:shd w:val="clear" w:color="C0C0C0" w:fill="auto"/>
          </w:tcPr>
          <w:p w14:paraId="4FCF5872" w14:textId="77777777" w:rsidR="00144BD1" w:rsidRDefault="00144BD1" w:rsidP="00581BF8">
            <w:pPr>
              <w:autoSpaceDE w:val="0"/>
              <w:autoSpaceDN w:val="0"/>
              <w:adjustRightInd w:val="0"/>
              <w:ind w:right="-165"/>
              <w:rPr>
                <w:b/>
                <w:color w:val="000000"/>
                <w:szCs w:val="22"/>
                <w:u w:val="single"/>
              </w:rPr>
            </w:pPr>
            <w:r>
              <w:rPr>
                <w:b/>
                <w:color w:val="000000"/>
                <w:szCs w:val="22"/>
                <w:u w:val="single"/>
              </w:rPr>
              <w:t>Assignee</w:t>
            </w:r>
          </w:p>
          <w:p w14:paraId="6080EA19" w14:textId="77777777" w:rsidR="00E71C27" w:rsidRDefault="00E71C27" w:rsidP="00581BF8">
            <w:pPr>
              <w:autoSpaceDE w:val="0"/>
              <w:autoSpaceDN w:val="0"/>
              <w:adjustRightInd w:val="0"/>
              <w:ind w:right="-165"/>
              <w:rPr>
                <w:b/>
                <w:color w:val="000000"/>
                <w:szCs w:val="22"/>
                <w:u w:val="single"/>
              </w:rPr>
            </w:pPr>
          </w:p>
          <w:p w14:paraId="0DCD8700" w14:textId="11436F94" w:rsidR="00E71C27" w:rsidRPr="00E71C27" w:rsidRDefault="00E71C27" w:rsidP="00581BF8">
            <w:pPr>
              <w:autoSpaceDE w:val="0"/>
              <w:autoSpaceDN w:val="0"/>
              <w:adjustRightInd w:val="0"/>
              <w:ind w:right="-165"/>
              <w:rPr>
                <w:color w:val="000000"/>
                <w:szCs w:val="22"/>
              </w:rPr>
            </w:pPr>
            <w:r w:rsidRPr="00C977BC">
              <w:rPr>
                <w:szCs w:val="22"/>
              </w:rPr>
              <w:t>Hope Acquisition Company LLC</w:t>
            </w:r>
          </w:p>
        </w:tc>
        <w:tc>
          <w:tcPr>
            <w:tcW w:w="705" w:type="pct"/>
            <w:shd w:val="clear" w:color="C0C0C0" w:fill="auto"/>
          </w:tcPr>
          <w:p w14:paraId="631C39EF" w14:textId="77777777" w:rsidR="00144BD1" w:rsidRDefault="00144BD1" w:rsidP="003455B5">
            <w:pPr>
              <w:autoSpaceDE w:val="0"/>
              <w:autoSpaceDN w:val="0"/>
              <w:adjustRightInd w:val="0"/>
              <w:ind w:hanging="8"/>
              <w:rPr>
                <w:b/>
                <w:color w:val="000000"/>
                <w:szCs w:val="22"/>
                <w:u w:val="single"/>
              </w:rPr>
            </w:pPr>
            <w:r>
              <w:rPr>
                <w:b/>
                <w:color w:val="000000"/>
                <w:szCs w:val="22"/>
                <w:u w:val="single"/>
              </w:rPr>
              <w:t>Call Sign</w:t>
            </w:r>
            <w:r w:rsidR="00581BF8">
              <w:rPr>
                <w:b/>
                <w:color w:val="000000"/>
                <w:szCs w:val="22"/>
                <w:u w:val="single"/>
              </w:rPr>
              <w:t>s</w:t>
            </w:r>
          </w:p>
          <w:p w14:paraId="4CE7765E" w14:textId="77777777" w:rsidR="00E71C27" w:rsidRDefault="00E71C27" w:rsidP="00104D2D">
            <w:pPr>
              <w:autoSpaceDE w:val="0"/>
              <w:autoSpaceDN w:val="0"/>
              <w:adjustRightInd w:val="0"/>
              <w:ind w:hanging="40"/>
              <w:rPr>
                <w:b/>
                <w:color w:val="000000"/>
                <w:szCs w:val="22"/>
                <w:u w:val="single"/>
              </w:rPr>
            </w:pPr>
          </w:p>
          <w:p w14:paraId="20C0B5A3" w14:textId="5A658E0A" w:rsidR="00E71C27" w:rsidRPr="00E71C27" w:rsidRDefault="00E71C27" w:rsidP="003455B5">
            <w:pPr>
              <w:autoSpaceDE w:val="0"/>
              <w:autoSpaceDN w:val="0"/>
              <w:adjustRightInd w:val="0"/>
              <w:ind w:hanging="8"/>
              <w:rPr>
                <w:color w:val="000000"/>
                <w:szCs w:val="22"/>
              </w:rPr>
            </w:pPr>
            <w:r>
              <w:rPr>
                <w:szCs w:val="22"/>
              </w:rPr>
              <w:t>KNKN874</w:t>
            </w:r>
          </w:p>
        </w:tc>
      </w:tr>
      <w:tr w:rsidR="00581BF8" w14:paraId="6B3A2FEE" w14:textId="77777777" w:rsidTr="00C100AE">
        <w:trPr>
          <w:cantSplit/>
          <w:trHeight w:val="152"/>
        </w:trPr>
        <w:tc>
          <w:tcPr>
            <w:tcW w:w="826" w:type="pct"/>
            <w:shd w:val="clear" w:color="auto" w:fill="auto"/>
          </w:tcPr>
          <w:p w14:paraId="045B5D92" w14:textId="53A1FC77" w:rsidR="00581BF8" w:rsidRPr="00E71C27" w:rsidRDefault="00581BF8" w:rsidP="004E1DD4">
            <w:pPr>
              <w:keepNext/>
              <w:tabs>
                <w:tab w:val="left" w:pos="720"/>
              </w:tabs>
              <w:spacing w:after="120"/>
              <w:rPr>
                <w:szCs w:val="22"/>
              </w:rPr>
            </w:pPr>
            <w:r>
              <w:rPr>
                <w:szCs w:val="22"/>
              </w:rPr>
              <w:t>000</w:t>
            </w:r>
            <w:r w:rsidR="005553B3">
              <w:rPr>
                <w:szCs w:val="22"/>
              </w:rPr>
              <w:t>762119</w:t>
            </w:r>
            <w:r w:rsidR="00C977BC">
              <w:rPr>
                <w:szCs w:val="22"/>
              </w:rPr>
              <w:t>6</w:t>
            </w:r>
          </w:p>
        </w:tc>
        <w:tc>
          <w:tcPr>
            <w:tcW w:w="1547" w:type="pct"/>
            <w:shd w:val="clear" w:color="C0C0C0" w:fill="auto"/>
          </w:tcPr>
          <w:p w14:paraId="40214C0F" w14:textId="3DF86864" w:rsidR="00581BF8" w:rsidRPr="00000509" w:rsidRDefault="00581BF8" w:rsidP="00E71C27">
            <w:pPr>
              <w:ind w:left="50" w:hanging="91"/>
              <w:rPr>
                <w:szCs w:val="22"/>
              </w:rPr>
            </w:pPr>
            <w:r>
              <w:rPr>
                <w:szCs w:val="22"/>
              </w:rPr>
              <w:t>Dycom Holding, Inc.</w:t>
            </w:r>
          </w:p>
        </w:tc>
        <w:tc>
          <w:tcPr>
            <w:tcW w:w="1922" w:type="pct"/>
            <w:shd w:val="clear" w:color="C0C0C0" w:fill="auto"/>
          </w:tcPr>
          <w:p w14:paraId="586FA0C2" w14:textId="38CE9FED" w:rsidR="00581BF8" w:rsidRPr="00530B3B" w:rsidRDefault="00C977BC" w:rsidP="00581BF8">
            <w:pPr>
              <w:rPr>
                <w:szCs w:val="22"/>
              </w:rPr>
            </w:pPr>
            <w:r w:rsidRPr="00C977BC">
              <w:rPr>
                <w:szCs w:val="22"/>
              </w:rPr>
              <w:t>Hope Acquisition Company LLC</w:t>
            </w:r>
          </w:p>
        </w:tc>
        <w:tc>
          <w:tcPr>
            <w:tcW w:w="705" w:type="pct"/>
            <w:shd w:val="clear" w:color="C0C0C0" w:fill="auto"/>
          </w:tcPr>
          <w:p w14:paraId="4D770CFD" w14:textId="6EF7F6D3" w:rsidR="00581BF8" w:rsidRDefault="00581BF8" w:rsidP="003455B5">
            <w:pPr>
              <w:ind w:hanging="8"/>
              <w:rPr>
                <w:szCs w:val="22"/>
              </w:rPr>
            </w:pPr>
            <w:r>
              <w:rPr>
                <w:szCs w:val="22"/>
              </w:rPr>
              <w:t>WPWV275</w:t>
            </w:r>
          </w:p>
        </w:tc>
      </w:tr>
    </w:tbl>
    <w:p w14:paraId="324DBE7D" w14:textId="3004A0C6"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6"/>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7"/>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8"/>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9"/>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10"/>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0AD08ECE" w:rsidR="00144BD1" w:rsidRDefault="00144BD1" w:rsidP="00CF1545">
      <w:pPr>
        <w:spacing w:after="120"/>
        <w:ind w:firstLine="720"/>
        <w:rPr>
          <w:szCs w:val="22"/>
        </w:rPr>
      </w:pPr>
      <w:r>
        <w:rPr>
          <w:szCs w:val="22"/>
        </w:rPr>
        <w:t>The assignment application</w:t>
      </w:r>
      <w:r w:rsidR="00A6306E">
        <w:rPr>
          <w:szCs w:val="22"/>
        </w:rPr>
        <w:t>s</w:t>
      </w:r>
      <w:r>
        <w:rPr>
          <w:szCs w:val="22"/>
        </w:rPr>
        <w:t xml:space="preserve"> </w:t>
      </w:r>
      <w:r w:rsidR="00A6306E">
        <w:rPr>
          <w:szCs w:val="22"/>
        </w:rPr>
        <w:t xml:space="preserve">have </w:t>
      </w:r>
      <w:r>
        <w:rPr>
          <w:szCs w:val="22"/>
        </w:rPr>
        <w:t>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510F9573" w:rsidR="00144BD1" w:rsidRDefault="00144BD1" w:rsidP="00CF1545">
      <w:pPr>
        <w:spacing w:after="120"/>
        <w:ind w:firstLine="720"/>
        <w:rPr>
          <w:b/>
          <w:szCs w:val="22"/>
        </w:rPr>
      </w:pPr>
      <w:r>
        <w:rPr>
          <w:szCs w:val="22"/>
        </w:rPr>
        <w:lastRenderedPageBreak/>
        <w:t xml:space="preserve">Interested parties must file petitions to deny no later than </w:t>
      </w:r>
      <w:r w:rsidR="003455B5">
        <w:rPr>
          <w:b/>
          <w:spacing w:val="-2"/>
          <w:szCs w:val="22"/>
        </w:rPr>
        <w:t>April 27</w:t>
      </w:r>
      <w:r w:rsidRPr="00E71C27">
        <w:rPr>
          <w:b/>
          <w:spacing w:val="-2"/>
          <w:szCs w:val="22"/>
        </w:rPr>
        <w:t>, 201</w:t>
      </w:r>
      <w:r w:rsidR="00BB374C" w:rsidRPr="00E71C27">
        <w:rPr>
          <w:b/>
          <w:spacing w:val="-2"/>
          <w:szCs w:val="22"/>
        </w:rPr>
        <w:t>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3455B5">
        <w:rPr>
          <w:b/>
          <w:spacing w:val="-2"/>
          <w:szCs w:val="22"/>
        </w:rPr>
        <w:t>May 4</w:t>
      </w:r>
      <w:r w:rsidRPr="00E71C27">
        <w:rPr>
          <w:b/>
          <w:spacing w:val="-2"/>
          <w:szCs w:val="22"/>
        </w:rPr>
        <w:t>, 201</w:t>
      </w:r>
      <w:r w:rsidR="00BB374C" w:rsidRPr="00E71C27">
        <w:rPr>
          <w:b/>
          <w:spacing w:val="-2"/>
          <w:szCs w:val="22"/>
        </w:rPr>
        <w:t>7</w:t>
      </w:r>
      <w:r>
        <w:rPr>
          <w:szCs w:val="22"/>
        </w:rPr>
        <w:t xml:space="preserve">.  Replies to such pleadings must be filed no later than </w:t>
      </w:r>
      <w:r w:rsidR="003455B5">
        <w:rPr>
          <w:b/>
          <w:spacing w:val="-2"/>
          <w:szCs w:val="22"/>
        </w:rPr>
        <w:t>May 11</w:t>
      </w:r>
      <w:r w:rsidRPr="00E71C27">
        <w:rPr>
          <w:b/>
          <w:szCs w:val="22"/>
        </w:rPr>
        <w:t>, 201</w:t>
      </w:r>
      <w:r w:rsidR="00BB374C" w:rsidRPr="00E71C27">
        <w:rPr>
          <w:b/>
          <w:szCs w:val="22"/>
        </w:rPr>
        <w:t>7</w:t>
      </w:r>
      <w:r>
        <w:rPr>
          <w:szCs w:val="22"/>
        </w:rPr>
        <w:t xml:space="preserve">.  All filings concerning matters referenced in this Public Notice should refer to </w:t>
      </w:r>
      <w:r w:rsidR="002E545C">
        <w:rPr>
          <w:szCs w:val="22"/>
        </w:rPr>
        <w:t xml:space="preserve">WT Docket </w:t>
      </w:r>
      <w:r w:rsidR="002E545C" w:rsidRPr="00E71C27">
        <w:rPr>
          <w:szCs w:val="22"/>
        </w:rPr>
        <w:t>No. 17-</w:t>
      </w:r>
      <w:r w:rsidR="00A6306E">
        <w:rPr>
          <w:szCs w:val="22"/>
        </w:rPr>
        <w:t>82</w:t>
      </w:r>
      <w:r w:rsidRPr="006C4A65">
        <w:rPr>
          <w:szCs w:val="22"/>
        </w:rPr>
        <w:t>.</w:t>
      </w:r>
    </w:p>
    <w:p w14:paraId="222015C4" w14:textId="74FCFEBF"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A6306E">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1"/>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2"/>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3"/>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0BE741A1"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B35A56">
        <w:rPr>
          <w:rFonts w:cs="TmsRmn"/>
          <w:szCs w:val="22"/>
        </w:rPr>
        <w:t xml:space="preserve">Kathy Harris, </w:t>
      </w:r>
      <w:r w:rsidR="00B35A56">
        <w:rPr>
          <w:szCs w:val="22"/>
        </w:rPr>
        <w:t xml:space="preserve">Mobility Division, </w:t>
      </w:r>
      <w:r w:rsidR="00B35A56">
        <w:rPr>
          <w:rFonts w:cs="TmsRmn"/>
          <w:szCs w:val="22"/>
        </w:rPr>
        <w:t xml:space="preserve">Wireless Telecommunications Bureau, at kathy.harris@fcc.gov </w:t>
      </w:r>
      <w:r>
        <w:rPr>
          <w:rFonts w:cs="TmsRmn"/>
          <w:szCs w:val="22"/>
        </w:rPr>
        <w:t>or (202) 418-</w:t>
      </w:r>
      <w:r w:rsidRPr="00A44C58">
        <w:rPr>
          <w:rFonts w:cs="TmsRmn"/>
          <w:szCs w:val="22"/>
        </w:rPr>
        <w:t>2643</w:t>
      </w:r>
      <w:r>
        <w:rPr>
          <w:rFonts w:cs="TmsRmn"/>
          <w:szCs w:val="22"/>
        </w:rPr>
        <w:t xml:space="preserve"> (facsimile);</w:t>
      </w:r>
      <w:r>
        <w:rPr>
          <w:szCs w:val="22"/>
        </w:rPr>
        <w:t xml:space="preserve"> (2) </w:t>
      </w:r>
      <w:r w:rsidR="008F1C5A">
        <w:rPr>
          <w:szCs w:val="22"/>
        </w:rPr>
        <w:t>Kate Matraves</w:t>
      </w:r>
      <w:r w:rsidR="00371A12">
        <w:rPr>
          <w:szCs w:val="22"/>
        </w:rPr>
        <w:t>, Competition and Infrastructure Policy Division</w:t>
      </w:r>
      <w:r w:rsidR="00371A12">
        <w:rPr>
          <w:rFonts w:cs="TmsRmn"/>
          <w:szCs w:val="22"/>
        </w:rPr>
        <w:t xml:space="preserve">, </w:t>
      </w:r>
      <w:r w:rsidR="00371A12">
        <w:rPr>
          <w:szCs w:val="22"/>
        </w:rPr>
        <w:t xml:space="preserve">Wireless Telecommunications Bureau, at </w:t>
      </w:r>
      <w:r w:rsidR="008F1C5A">
        <w:rPr>
          <w:rFonts w:cs="TmsRmn"/>
          <w:szCs w:val="22"/>
        </w:rPr>
        <w:t>catherine.matraves</w:t>
      </w:r>
      <w:r w:rsidR="00371A12">
        <w:rPr>
          <w:rFonts w:cs="TmsRmn"/>
          <w:szCs w:val="22"/>
        </w:rPr>
        <w:t>@fcc.gov</w:t>
      </w:r>
      <w:r w:rsidR="00371A12">
        <w:rPr>
          <w:szCs w:val="22"/>
        </w:rPr>
        <w:t xml:space="preserve"> or (202) 418-</w:t>
      </w:r>
      <w:r w:rsidR="003455B5">
        <w:rPr>
          <w:szCs w:val="22"/>
        </w:rPr>
        <w:t>2643</w:t>
      </w:r>
      <w:r w:rsidR="00371A12">
        <w:rPr>
          <w:szCs w:val="22"/>
        </w:rPr>
        <w:t xml:space="preserve"> (facsimile)</w:t>
      </w:r>
      <w:r w:rsidR="00BA6D3A">
        <w:rPr>
          <w:szCs w:val="22"/>
        </w:rPr>
        <w:t xml:space="preserve">; and </w:t>
      </w:r>
      <w:r w:rsidR="00BA6D3A">
        <w:rPr>
          <w:color w:val="000000"/>
          <w:szCs w:val="22"/>
        </w:rPr>
        <w:t>(3) Jim Bird, Office of General Counsel, at TransactionTeam@fcc.gov or (202) 418-1234 (facsimile</w:t>
      </w:r>
      <w:r>
        <w:rPr>
          <w:color w:val="000000"/>
          <w:szCs w:val="22"/>
        </w:rPr>
        <w:t>)</w:t>
      </w:r>
      <w:r>
        <w:rPr>
          <w:szCs w:val="22"/>
        </w:rPr>
        <w:t>.</w:t>
      </w:r>
    </w:p>
    <w:p w14:paraId="46C9F705" w14:textId="57F25078" w:rsidR="00BF7452" w:rsidRDefault="00BF7452" w:rsidP="00CF1545">
      <w:pPr>
        <w:spacing w:after="120"/>
        <w:ind w:firstLine="720"/>
      </w:pPr>
      <w:r>
        <w:rPr>
          <w:color w:val="000000"/>
          <w:szCs w:val="22"/>
        </w:rPr>
        <w:t>The application</w:t>
      </w:r>
      <w:r w:rsidR="00A6306E">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A6306E">
        <w:rPr>
          <w:color w:val="000000"/>
          <w:szCs w:val="22"/>
        </w:rPr>
        <w:t>s</w:t>
      </w:r>
      <w:r>
        <w:rPr>
          <w:color w:val="000000"/>
          <w:szCs w:val="22"/>
        </w:rPr>
        <w:t xml:space="preserve"> also </w:t>
      </w:r>
      <w:r w:rsidR="00A6306E">
        <w:rPr>
          <w:color w:val="000000"/>
          <w:szCs w:val="22"/>
        </w:rPr>
        <w:t xml:space="preserve">are </w:t>
      </w:r>
      <w:r>
        <w:rPr>
          <w:color w:val="000000"/>
          <w:szCs w:val="22"/>
        </w:rPr>
        <w:t xml:space="preserve">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539CC6FC" w:rsidR="00BF7452" w:rsidRDefault="00BF7452" w:rsidP="00CF1545">
      <w:pPr>
        <w:spacing w:after="120"/>
        <w:ind w:firstLine="720"/>
        <w:rPr>
          <w:szCs w:val="22"/>
        </w:rPr>
      </w:pPr>
      <w:r>
        <w:rPr>
          <w:szCs w:val="22"/>
        </w:rPr>
        <w:t xml:space="preserve">For further information, contact </w:t>
      </w:r>
      <w:r w:rsidR="00B35A56">
        <w:rPr>
          <w:rFonts w:cs="TmsRmn"/>
          <w:szCs w:val="22"/>
        </w:rPr>
        <w:t>Kathy Harris</w:t>
      </w:r>
      <w:r>
        <w:rPr>
          <w:rFonts w:cs="TmsRmn"/>
          <w:szCs w:val="22"/>
        </w:rPr>
        <w:t xml:space="preserve">, </w:t>
      </w:r>
      <w:r>
        <w:rPr>
          <w:szCs w:val="22"/>
        </w:rPr>
        <w:t>Mobility Division, Wireless Telecommunications Bureau, at (202) 418-</w:t>
      </w:r>
      <w:r w:rsidR="00B35A56">
        <w:rPr>
          <w:szCs w:val="22"/>
        </w:rPr>
        <w:t>0609</w:t>
      </w:r>
      <w:r>
        <w:rPr>
          <w:szCs w:val="22"/>
        </w:rPr>
        <w:t xml:space="preserve">, or </w:t>
      </w:r>
      <w:r w:rsidR="008F1C5A">
        <w:rPr>
          <w:szCs w:val="22"/>
        </w:rPr>
        <w:t>Kate Matraves</w:t>
      </w:r>
      <w:r w:rsidR="00371A12">
        <w:rPr>
          <w:szCs w:val="22"/>
        </w:rPr>
        <w:t xml:space="preserve">, Competition and Infrastructure Policy Division, Wireless Telecommunications Bureau, at (202) </w:t>
      </w:r>
      <w:r w:rsidR="008F1C5A">
        <w:rPr>
          <w:szCs w:val="22"/>
        </w:rPr>
        <w:t>391-6272</w:t>
      </w:r>
      <w:r>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81B3" w14:textId="77777777" w:rsidR="00685390" w:rsidRDefault="00685390">
      <w:r>
        <w:separator/>
      </w:r>
    </w:p>
  </w:endnote>
  <w:endnote w:type="continuationSeparator" w:id="0">
    <w:p w14:paraId="31599F25" w14:textId="77777777" w:rsidR="00685390" w:rsidRDefault="0068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FCFF" w14:textId="77777777" w:rsidR="00AF3E24" w:rsidRDefault="00AF3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7D07E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10B5" w14:textId="77777777" w:rsidR="00AF3E24" w:rsidRDefault="00AF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3979" w14:textId="77777777" w:rsidR="00685390" w:rsidRDefault="00685390">
      <w:r>
        <w:separator/>
      </w:r>
    </w:p>
  </w:footnote>
  <w:footnote w:type="continuationSeparator" w:id="0">
    <w:p w14:paraId="36E9D162" w14:textId="77777777" w:rsidR="00685390" w:rsidRDefault="00685390">
      <w:r>
        <w:continuationSeparator/>
      </w:r>
    </w:p>
  </w:footnote>
  <w:footnote w:id="1">
    <w:p w14:paraId="360267FE" w14:textId="29D19770" w:rsidR="00C977BC" w:rsidRPr="00A2344A" w:rsidRDefault="00C977BC">
      <w:pPr>
        <w:pStyle w:val="FootnoteText"/>
      </w:pPr>
      <w:r>
        <w:rPr>
          <w:rStyle w:val="FootnoteReference"/>
        </w:rPr>
        <w:footnoteRef/>
      </w:r>
      <w:r>
        <w:t xml:space="preserve"> Wilkes Cellular, Inc., is a wholly-owned subsidiary of Dycom Holding, Inc.  </w:t>
      </w:r>
      <w:r>
        <w:rPr>
          <w:i/>
        </w:rPr>
        <w:t>See</w:t>
      </w:r>
      <w:r w:rsidR="00A2344A">
        <w:t xml:space="preserve"> Dycom Holding, Inc., FCC Ownership Disclosure Information for the Wireless Telecommunications Services, FCC Form 602, File No. </w:t>
      </w:r>
      <w:r w:rsidR="00A2344A" w:rsidRPr="00A2344A">
        <w:t>0006640909</w:t>
      </w:r>
      <w:r w:rsidR="00A2344A">
        <w:t xml:space="preserve"> (filed Jan. 30, 2015).</w:t>
      </w:r>
    </w:p>
  </w:footnote>
  <w:footnote w:id="2">
    <w:p w14:paraId="5F8D8EDB" w14:textId="04128885" w:rsidR="00943D02" w:rsidRDefault="00943D02">
      <w:pPr>
        <w:pStyle w:val="FootnoteText"/>
      </w:pPr>
      <w:r>
        <w:rPr>
          <w:rStyle w:val="FootnoteReference"/>
        </w:rPr>
        <w:footnoteRef/>
      </w:r>
      <w:r>
        <w:t xml:space="preserve"> 47 U.S.C. § 310(d).</w:t>
      </w:r>
    </w:p>
  </w:footnote>
  <w:footnote w:id="3">
    <w:p w14:paraId="4BCD36F8" w14:textId="1136C968" w:rsidR="00504F29" w:rsidRDefault="00504F29">
      <w:pPr>
        <w:pStyle w:val="FootnoteText"/>
      </w:pPr>
      <w:r>
        <w:rPr>
          <w:rStyle w:val="FootnoteReference"/>
        </w:rPr>
        <w:footnoteRef/>
      </w:r>
      <w:r>
        <w:t xml:space="preserve"> </w:t>
      </w:r>
      <w:r w:rsidR="003930D1">
        <w:t xml:space="preserve">Dycom would assign its </w:t>
      </w:r>
      <w:r w:rsidR="008F1C5A">
        <w:t xml:space="preserve">Lower </w:t>
      </w:r>
      <w:r w:rsidR="003930D1">
        <w:t xml:space="preserve">700 MHz license and Wilkes Cellular would assign its cellular license to Hope Acquisition Company LLC (Hope Acquisition).  Hope Acquisition would initially be an LLC wholly-owned by Dycom.  Immediately after this step, New Cingular would purchase all of the membership interests in Hope Acquisition from Dycom, resulting in Hope Acquisition becoming a wholly-owned subsidiary of New Cingular.  In addition to the proposed assignment of these licenses, the parties seek authority to simultaneously consummate the transfer of control </w:t>
      </w:r>
      <w:r w:rsidR="00A01D1B">
        <w:t>of</w:t>
      </w:r>
      <w:r w:rsidR="003930D1">
        <w:t xml:space="preserve"> Hope Acquisition to New Cingular.</w:t>
      </w:r>
    </w:p>
  </w:footnote>
  <w:footnote w:id="4">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5">
    <w:p w14:paraId="0B73C832" w14:textId="77777777" w:rsidR="00E71C27" w:rsidRDefault="00E71C27" w:rsidP="00E71C27">
      <w:pPr>
        <w:pStyle w:val="FootnoteText"/>
      </w:pPr>
      <w:r>
        <w:rPr>
          <w:rStyle w:val="FootnoteReference"/>
        </w:rPr>
        <w:footnoteRef/>
      </w:r>
      <w:r>
        <w:t xml:space="preserve"> This application has been designated the lead application by the applicants.</w:t>
      </w:r>
    </w:p>
  </w:footnote>
  <w:footnote w:id="6">
    <w:p w14:paraId="10E89DDC" w14:textId="40C3F721"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7">
    <w:p w14:paraId="46FCAC61" w14:textId="463D1BF1" w:rsidR="00144BD1" w:rsidRDefault="00144BD1" w:rsidP="00144BD1">
      <w:pPr>
        <w:pStyle w:val="FootnoteText"/>
      </w:pPr>
      <w:r>
        <w:rPr>
          <w:rStyle w:val="FootnoteReference"/>
        </w:rPr>
        <w:footnoteRef/>
      </w:r>
      <w:r>
        <w:t xml:space="preserve"> 47 CFR § 1.1206.</w:t>
      </w:r>
    </w:p>
  </w:footnote>
  <w:footnote w:id="8">
    <w:p w14:paraId="666DEC90" w14:textId="0B974978" w:rsidR="00144BD1" w:rsidRDefault="00144BD1" w:rsidP="00144BD1">
      <w:pPr>
        <w:pStyle w:val="FootnoteText"/>
      </w:pPr>
      <w:r>
        <w:rPr>
          <w:rStyle w:val="FootnoteReference"/>
        </w:rPr>
        <w:footnoteRef/>
      </w:r>
      <w:r>
        <w:t xml:space="preserve"> 47 CFR § 1.1206(b)(1).</w:t>
      </w:r>
    </w:p>
  </w:footnote>
  <w:footnote w:id="9">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10">
    <w:p w14:paraId="3D38EBE6" w14:textId="32A7185D" w:rsidR="00144BD1" w:rsidRDefault="00144BD1" w:rsidP="00144BD1">
      <w:pPr>
        <w:pStyle w:val="FootnoteText"/>
      </w:pPr>
      <w:r>
        <w:rPr>
          <w:rStyle w:val="FootnoteReference"/>
        </w:rPr>
        <w:footnoteRef/>
      </w:r>
      <w:r>
        <w:t xml:space="preserve"> </w:t>
      </w:r>
      <w:r w:rsidRPr="00984C82">
        <w:t>47</w:t>
      </w:r>
      <w:r>
        <w:t xml:space="preserve"> CFR § 1.1206(b).</w:t>
      </w:r>
    </w:p>
  </w:footnote>
  <w:footnote w:id="11">
    <w:p w14:paraId="4BBE9B7D" w14:textId="244FDB28" w:rsidR="00144BD1" w:rsidRDefault="00144BD1" w:rsidP="00144BD1">
      <w:pPr>
        <w:pStyle w:val="FootnoteText"/>
      </w:pPr>
      <w:r>
        <w:rPr>
          <w:rStyle w:val="FootnoteReference"/>
        </w:rPr>
        <w:footnoteRef/>
      </w:r>
      <w:r>
        <w:t xml:space="preserve"> 47 CFR § 1.45(c).</w:t>
      </w:r>
    </w:p>
  </w:footnote>
  <w:footnote w:id="12">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3">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C6B7" w14:textId="77777777" w:rsidR="00AF3E24" w:rsidRDefault="00AF3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E386" w14:textId="77777777" w:rsidR="00AF3E24" w:rsidRDefault="00AF3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DDD6E"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3133E"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00338"/>
    <w:rsid w:val="000157EC"/>
    <w:rsid w:val="000265AE"/>
    <w:rsid w:val="00040904"/>
    <w:rsid w:val="00061FB3"/>
    <w:rsid w:val="000807E5"/>
    <w:rsid w:val="000A24B8"/>
    <w:rsid w:val="000B654E"/>
    <w:rsid w:val="000B71FC"/>
    <w:rsid w:val="000C424E"/>
    <w:rsid w:val="000D3979"/>
    <w:rsid w:val="000D5731"/>
    <w:rsid w:val="000D6F39"/>
    <w:rsid w:val="000D73EF"/>
    <w:rsid w:val="000F7006"/>
    <w:rsid w:val="000F7BFB"/>
    <w:rsid w:val="00112BBE"/>
    <w:rsid w:val="00130887"/>
    <w:rsid w:val="001370AC"/>
    <w:rsid w:val="00144BD1"/>
    <w:rsid w:val="00165209"/>
    <w:rsid w:val="0017015E"/>
    <w:rsid w:val="0017699B"/>
    <w:rsid w:val="001960D7"/>
    <w:rsid w:val="001B6ED5"/>
    <w:rsid w:val="001C2233"/>
    <w:rsid w:val="001D2E9E"/>
    <w:rsid w:val="001E3448"/>
    <w:rsid w:val="001E798B"/>
    <w:rsid w:val="001F3955"/>
    <w:rsid w:val="001F739B"/>
    <w:rsid w:val="002034BE"/>
    <w:rsid w:val="00213721"/>
    <w:rsid w:val="00216CB5"/>
    <w:rsid w:val="00235C25"/>
    <w:rsid w:val="00283BBC"/>
    <w:rsid w:val="0028789A"/>
    <w:rsid w:val="002B2FD0"/>
    <w:rsid w:val="002B520C"/>
    <w:rsid w:val="002B6478"/>
    <w:rsid w:val="002E545C"/>
    <w:rsid w:val="002F3CFE"/>
    <w:rsid w:val="00310E62"/>
    <w:rsid w:val="003222C9"/>
    <w:rsid w:val="00323D7A"/>
    <w:rsid w:val="0032551B"/>
    <w:rsid w:val="003378B4"/>
    <w:rsid w:val="003455B5"/>
    <w:rsid w:val="00371A12"/>
    <w:rsid w:val="00380D69"/>
    <w:rsid w:val="003930D1"/>
    <w:rsid w:val="003A5C33"/>
    <w:rsid w:val="003C434D"/>
    <w:rsid w:val="003C5B79"/>
    <w:rsid w:val="00467B34"/>
    <w:rsid w:val="004E15C3"/>
    <w:rsid w:val="004E1DD4"/>
    <w:rsid w:val="004F12B1"/>
    <w:rsid w:val="00504F29"/>
    <w:rsid w:val="00524B4B"/>
    <w:rsid w:val="005273C2"/>
    <w:rsid w:val="005377B1"/>
    <w:rsid w:val="005553B3"/>
    <w:rsid w:val="005618BE"/>
    <w:rsid w:val="00563144"/>
    <w:rsid w:val="00581BF8"/>
    <w:rsid w:val="00585426"/>
    <w:rsid w:val="00590A5A"/>
    <w:rsid w:val="005B4EFE"/>
    <w:rsid w:val="005B540C"/>
    <w:rsid w:val="005B5768"/>
    <w:rsid w:val="00602577"/>
    <w:rsid w:val="00602DD9"/>
    <w:rsid w:val="0060562B"/>
    <w:rsid w:val="00634398"/>
    <w:rsid w:val="006444B9"/>
    <w:rsid w:val="006711FC"/>
    <w:rsid w:val="00685390"/>
    <w:rsid w:val="00694E87"/>
    <w:rsid w:val="006B0B8D"/>
    <w:rsid w:val="006C4A65"/>
    <w:rsid w:val="006C79CB"/>
    <w:rsid w:val="006F3CF2"/>
    <w:rsid w:val="00701D32"/>
    <w:rsid w:val="0071074B"/>
    <w:rsid w:val="007326E1"/>
    <w:rsid w:val="00747A3C"/>
    <w:rsid w:val="0075021A"/>
    <w:rsid w:val="00754BE9"/>
    <w:rsid w:val="00755587"/>
    <w:rsid w:val="007627E4"/>
    <w:rsid w:val="00765540"/>
    <w:rsid w:val="007665F9"/>
    <w:rsid w:val="007A67C8"/>
    <w:rsid w:val="007A7536"/>
    <w:rsid w:val="007B00E4"/>
    <w:rsid w:val="007B2483"/>
    <w:rsid w:val="007B3539"/>
    <w:rsid w:val="007B79E1"/>
    <w:rsid w:val="007C69B6"/>
    <w:rsid w:val="007D07EE"/>
    <w:rsid w:val="007F4B7D"/>
    <w:rsid w:val="00803125"/>
    <w:rsid w:val="00803DF4"/>
    <w:rsid w:val="00806C5D"/>
    <w:rsid w:val="00835B2C"/>
    <w:rsid w:val="00844A52"/>
    <w:rsid w:val="00860CE1"/>
    <w:rsid w:val="00862A4B"/>
    <w:rsid w:val="008979AB"/>
    <w:rsid w:val="008A0C02"/>
    <w:rsid w:val="008A510D"/>
    <w:rsid w:val="008D1CA6"/>
    <w:rsid w:val="008D3976"/>
    <w:rsid w:val="008D7785"/>
    <w:rsid w:val="008E2A07"/>
    <w:rsid w:val="008E2E3D"/>
    <w:rsid w:val="008F1C5A"/>
    <w:rsid w:val="008F3F58"/>
    <w:rsid w:val="00923A25"/>
    <w:rsid w:val="00943D02"/>
    <w:rsid w:val="00943E53"/>
    <w:rsid w:val="00946884"/>
    <w:rsid w:val="009544CB"/>
    <w:rsid w:val="00954718"/>
    <w:rsid w:val="00956EE7"/>
    <w:rsid w:val="00965B99"/>
    <w:rsid w:val="009677F8"/>
    <w:rsid w:val="00974B33"/>
    <w:rsid w:val="00993847"/>
    <w:rsid w:val="009F23A9"/>
    <w:rsid w:val="009F5852"/>
    <w:rsid w:val="009F68ED"/>
    <w:rsid w:val="00A01D1B"/>
    <w:rsid w:val="00A21BB1"/>
    <w:rsid w:val="00A2344A"/>
    <w:rsid w:val="00A33909"/>
    <w:rsid w:val="00A357A1"/>
    <w:rsid w:val="00A36F1E"/>
    <w:rsid w:val="00A3716E"/>
    <w:rsid w:val="00A44C58"/>
    <w:rsid w:val="00A6306E"/>
    <w:rsid w:val="00AA3C45"/>
    <w:rsid w:val="00AC3DB5"/>
    <w:rsid w:val="00AE083F"/>
    <w:rsid w:val="00AF3E24"/>
    <w:rsid w:val="00AF63AF"/>
    <w:rsid w:val="00AF7EBB"/>
    <w:rsid w:val="00B10477"/>
    <w:rsid w:val="00B23CB8"/>
    <w:rsid w:val="00B35A56"/>
    <w:rsid w:val="00B467C8"/>
    <w:rsid w:val="00B47362"/>
    <w:rsid w:val="00B5085D"/>
    <w:rsid w:val="00B53D7D"/>
    <w:rsid w:val="00B609BB"/>
    <w:rsid w:val="00B63AD7"/>
    <w:rsid w:val="00B911ED"/>
    <w:rsid w:val="00BA6D3A"/>
    <w:rsid w:val="00BB374C"/>
    <w:rsid w:val="00BB378E"/>
    <w:rsid w:val="00BB493B"/>
    <w:rsid w:val="00BB5729"/>
    <w:rsid w:val="00BC47CF"/>
    <w:rsid w:val="00BF20F6"/>
    <w:rsid w:val="00BF7452"/>
    <w:rsid w:val="00C100AE"/>
    <w:rsid w:val="00C11519"/>
    <w:rsid w:val="00C14A30"/>
    <w:rsid w:val="00C20BCE"/>
    <w:rsid w:val="00C518B6"/>
    <w:rsid w:val="00C5191A"/>
    <w:rsid w:val="00C5701D"/>
    <w:rsid w:val="00C87C53"/>
    <w:rsid w:val="00C977BC"/>
    <w:rsid w:val="00CA2DD3"/>
    <w:rsid w:val="00CC6D01"/>
    <w:rsid w:val="00CD20F2"/>
    <w:rsid w:val="00CD549B"/>
    <w:rsid w:val="00CD7F6C"/>
    <w:rsid w:val="00CE0438"/>
    <w:rsid w:val="00CF1545"/>
    <w:rsid w:val="00CF480D"/>
    <w:rsid w:val="00D003DE"/>
    <w:rsid w:val="00D07315"/>
    <w:rsid w:val="00D07B74"/>
    <w:rsid w:val="00D17DC0"/>
    <w:rsid w:val="00D20904"/>
    <w:rsid w:val="00D20CD8"/>
    <w:rsid w:val="00D27A94"/>
    <w:rsid w:val="00D60EFF"/>
    <w:rsid w:val="00D635AE"/>
    <w:rsid w:val="00D950B2"/>
    <w:rsid w:val="00DB6FCB"/>
    <w:rsid w:val="00DC0152"/>
    <w:rsid w:val="00DD62EB"/>
    <w:rsid w:val="00E01377"/>
    <w:rsid w:val="00E0275E"/>
    <w:rsid w:val="00E13BFD"/>
    <w:rsid w:val="00E141CB"/>
    <w:rsid w:val="00E27046"/>
    <w:rsid w:val="00E2765B"/>
    <w:rsid w:val="00E3172D"/>
    <w:rsid w:val="00E60B56"/>
    <w:rsid w:val="00E617E8"/>
    <w:rsid w:val="00E6566F"/>
    <w:rsid w:val="00E71C27"/>
    <w:rsid w:val="00E72D84"/>
    <w:rsid w:val="00E86F74"/>
    <w:rsid w:val="00EA506D"/>
    <w:rsid w:val="00EC700B"/>
    <w:rsid w:val="00ED50BC"/>
    <w:rsid w:val="00EE1B7D"/>
    <w:rsid w:val="00EE4742"/>
    <w:rsid w:val="00EE70F7"/>
    <w:rsid w:val="00EF0856"/>
    <w:rsid w:val="00EF2612"/>
    <w:rsid w:val="00F00C1B"/>
    <w:rsid w:val="00F2782A"/>
    <w:rsid w:val="00F3440C"/>
    <w:rsid w:val="00F4013F"/>
    <w:rsid w:val="00F427A4"/>
    <w:rsid w:val="00F54058"/>
    <w:rsid w:val="00F742F2"/>
    <w:rsid w:val="00F74333"/>
    <w:rsid w:val="00F8410B"/>
    <w:rsid w:val="00F841AA"/>
    <w:rsid w:val="00F95FA1"/>
    <w:rsid w:val="00FD0471"/>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1341</Words>
  <Characters>7580</Characters>
  <Application>Microsoft Office Word</Application>
  <DocSecurity>0</DocSecurity>
  <Lines>124</Lines>
  <Paragraphs>41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8922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2017-03-29T15:34:00Z</cp:lastPrinted>
  <dcterms:created xsi:type="dcterms:W3CDTF">2017-04-06T14:23:00Z</dcterms:created>
  <dcterms:modified xsi:type="dcterms:W3CDTF">2017-04-06T14:23:00Z</dcterms:modified>
  <cp:category> </cp:category>
  <cp:contentStatus> </cp:contentStatus>
</cp:coreProperties>
</file>