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2A" w:rsidRPr="00DA025D" w:rsidRDefault="0046542A">
      <w:pPr>
        <w:ind w:right="720"/>
        <w:jc w:val="right"/>
        <w:rPr>
          <w:b/>
          <w:sz w:val="24"/>
          <w:szCs w:val="24"/>
        </w:rPr>
      </w:pPr>
      <w:bookmarkStart w:id="0" w:name="_GoBack"/>
      <w:bookmarkEnd w:id="0"/>
    </w:p>
    <w:p w:rsidR="0023314E" w:rsidRPr="00DA025D" w:rsidRDefault="0023314E" w:rsidP="004A5DB3">
      <w:pPr>
        <w:ind w:right="720"/>
        <w:jc w:val="center"/>
        <w:rPr>
          <w:b/>
          <w:sz w:val="24"/>
          <w:szCs w:val="24"/>
        </w:rPr>
        <w:sectPr w:rsidR="0023314E" w:rsidRPr="00DA025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720" w:gutter="0"/>
          <w:cols w:space="720"/>
          <w:titlePg/>
        </w:sectPr>
      </w:pPr>
    </w:p>
    <w:p w:rsidR="0046542A" w:rsidRPr="00DA025D" w:rsidRDefault="0046542A">
      <w:pPr>
        <w:jc w:val="right"/>
        <w:rPr>
          <w:sz w:val="24"/>
          <w:szCs w:val="24"/>
        </w:rPr>
      </w:pPr>
      <w:r w:rsidRPr="00DA025D">
        <w:rPr>
          <w:b/>
          <w:sz w:val="24"/>
          <w:szCs w:val="24"/>
        </w:rPr>
        <w:lastRenderedPageBreak/>
        <w:tab/>
      </w:r>
      <w:r w:rsidRPr="00DA025D">
        <w:rPr>
          <w:b/>
          <w:sz w:val="24"/>
          <w:szCs w:val="24"/>
        </w:rPr>
        <w:tab/>
      </w:r>
      <w:r w:rsidRPr="00DA025D">
        <w:rPr>
          <w:sz w:val="24"/>
          <w:szCs w:val="24"/>
        </w:rPr>
        <w:t xml:space="preserve">DA </w:t>
      </w:r>
      <w:r w:rsidR="00F92FA5">
        <w:rPr>
          <w:sz w:val="24"/>
          <w:szCs w:val="24"/>
        </w:rPr>
        <w:t>17</w:t>
      </w:r>
      <w:r w:rsidRPr="00DA025D">
        <w:rPr>
          <w:sz w:val="24"/>
          <w:szCs w:val="24"/>
        </w:rPr>
        <w:t>-</w:t>
      </w:r>
      <w:r w:rsidR="00F92FA5">
        <w:rPr>
          <w:sz w:val="24"/>
          <w:szCs w:val="24"/>
        </w:rPr>
        <w:t>340</w:t>
      </w:r>
    </w:p>
    <w:p w:rsidR="0046542A" w:rsidRDefault="00E21419">
      <w:pPr>
        <w:spacing w:after="240"/>
        <w:jc w:val="right"/>
        <w:rPr>
          <w:sz w:val="24"/>
          <w:szCs w:val="24"/>
        </w:rPr>
      </w:pPr>
      <w:r>
        <w:rPr>
          <w:sz w:val="24"/>
          <w:szCs w:val="24"/>
        </w:rPr>
        <w:tab/>
        <w:t>Released:</w:t>
      </w:r>
      <w:r w:rsidR="0046542A" w:rsidRPr="00DA025D">
        <w:rPr>
          <w:sz w:val="24"/>
          <w:szCs w:val="24"/>
        </w:rPr>
        <w:t xml:space="preserve"> </w:t>
      </w:r>
      <w:r w:rsidR="00467A9A">
        <w:rPr>
          <w:sz w:val="24"/>
          <w:szCs w:val="24"/>
        </w:rPr>
        <w:t>April 7</w:t>
      </w:r>
      <w:r w:rsidR="0046542A" w:rsidRPr="00DA025D">
        <w:rPr>
          <w:sz w:val="24"/>
          <w:szCs w:val="24"/>
        </w:rPr>
        <w:t>, 20</w:t>
      </w:r>
      <w:r w:rsidR="00680900" w:rsidRPr="00DA025D">
        <w:rPr>
          <w:sz w:val="24"/>
          <w:szCs w:val="24"/>
        </w:rPr>
        <w:t>17</w:t>
      </w:r>
    </w:p>
    <w:p w:rsidR="00CB5AFD" w:rsidRPr="00DA025D" w:rsidRDefault="00CB5AFD">
      <w:pPr>
        <w:spacing w:after="240"/>
        <w:jc w:val="right"/>
        <w:rPr>
          <w:sz w:val="24"/>
          <w:szCs w:val="24"/>
        </w:rPr>
      </w:pPr>
      <w:r>
        <w:rPr>
          <w:sz w:val="24"/>
          <w:szCs w:val="24"/>
        </w:rPr>
        <w:t>OMB Control No. 3060-1211</w:t>
      </w:r>
    </w:p>
    <w:p w:rsidR="00680900" w:rsidRPr="00DA025D" w:rsidRDefault="00680900" w:rsidP="00680900">
      <w:pPr>
        <w:jc w:val="center"/>
        <w:rPr>
          <w:b/>
          <w:caps/>
          <w:sz w:val="24"/>
          <w:szCs w:val="24"/>
        </w:rPr>
      </w:pPr>
      <w:r w:rsidRPr="00DA025D">
        <w:rPr>
          <w:b/>
          <w:sz w:val="24"/>
          <w:szCs w:val="24"/>
        </w:rPr>
        <w:t xml:space="preserve">WIRELESS TELECOMMUNICATIONS BUREAU ANNOUNCES </w:t>
      </w:r>
      <w:r w:rsidR="00362F8B">
        <w:rPr>
          <w:b/>
          <w:sz w:val="24"/>
          <w:szCs w:val="24"/>
        </w:rPr>
        <w:t>FILING WINDOW</w:t>
      </w:r>
      <w:r w:rsidR="00FA6724" w:rsidRPr="00DA025D">
        <w:rPr>
          <w:b/>
          <w:sz w:val="24"/>
          <w:szCs w:val="24"/>
        </w:rPr>
        <w:t xml:space="preserve"> AND PROCEEDURES FOR 3650-3700 MHZ BAND LICENSEES TO FILE </w:t>
      </w:r>
      <w:r w:rsidRPr="00DA025D">
        <w:rPr>
          <w:b/>
          <w:caps/>
          <w:sz w:val="24"/>
          <w:szCs w:val="24"/>
        </w:rPr>
        <w:t xml:space="preserve">Supplemental Information Necessary for Creating Grandfathered Wireless Protection Zones </w:t>
      </w:r>
    </w:p>
    <w:p w:rsidR="00680900" w:rsidRPr="00DA025D" w:rsidRDefault="00680900" w:rsidP="00680900">
      <w:pPr>
        <w:jc w:val="center"/>
        <w:rPr>
          <w:b/>
          <w:caps/>
          <w:sz w:val="24"/>
          <w:szCs w:val="24"/>
        </w:rPr>
      </w:pPr>
    </w:p>
    <w:p w:rsidR="00680900" w:rsidRPr="00DA025D" w:rsidRDefault="00680900" w:rsidP="00680900">
      <w:pPr>
        <w:jc w:val="center"/>
        <w:rPr>
          <w:b/>
          <w:sz w:val="24"/>
          <w:szCs w:val="24"/>
        </w:rPr>
      </w:pPr>
      <w:r w:rsidRPr="00DA025D">
        <w:rPr>
          <w:b/>
          <w:sz w:val="24"/>
          <w:szCs w:val="24"/>
        </w:rPr>
        <w:t>GN Docket No. 12-354</w:t>
      </w:r>
    </w:p>
    <w:p w:rsidR="00680900" w:rsidRPr="00DA025D" w:rsidRDefault="00680900" w:rsidP="00680900">
      <w:pPr>
        <w:jc w:val="center"/>
        <w:rPr>
          <w:b/>
          <w:sz w:val="24"/>
          <w:szCs w:val="24"/>
        </w:rPr>
      </w:pPr>
    </w:p>
    <w:p w:rsidR="004D5ABA" w:rsidRDefault="00680900" w:rsidP="00C96FE7">
      <w:pPr>
        <w:ind w:firstLine="720"/>
        <w:rPr>
          <w:szCs w:val="22"/>
        </w:rPr>
      </w:pPr>
      <w:r w:rsidRPr="00D1178F">
        <w:rPr>
          <w:szCs w:val="22"/>
        </w:rPr>
        <w:t>By this Public Notice, the Wireless Telecommunications Bureau (WTB or Bureau) announces</w:t>
      </w:r>
      <w:r w:rsidR="00AB64CF">
        <w:rPr>
          <w:szCs w:val="22"/>
        </w:rPr>
        <w:t xml:space="preserve"> </w:t>
      </w:r>
      <w:r w:rsidR="008029BB">
        <w:rPr>
          <w:szCs w:val="22"/>
        </w:rPr>
        <w:t>April 7</w:t>
      </w:r>
      <w:r w:rsidR="00AB64CF">
        <w:rPr>
          <w:szCs w:val="22"/>
        </w:rPr>
        <w:t>, 2017</w:t>
      </w:r>
      <w:r w:rsidR="00362F8B">
        <w:rPr>
          <w:szCs w:val="22"/>
        </w:rPr>
        <w:t>,</w:t>
      </w:r>
      <w:r w:rsidRPr="00D1178F">
        <w:rPr>
          <w:szCs w:val="22"/>
        </w:rPr>
        <w:t xml:space="preserve"> as the start of a </w:t>
      </w:r>
      <w:r w:rsidR="001F7B6D">
        <w:rPr>
          <w:szCs w:val="22"/>
        </w:rPr>
        <w:t xml:space="preserve">four </w:t>
      </w:r>
      <w:r w:rsidRPr="00D1178F">
        <w:rPr>
          <w:szCs w:val="22"/>
        </w:rPr>
        <w:t xml:space="preserve">month window for </w:t>
      </w:r>
      <w:r w:rsidR="00FE3A1A">
        <w:rPr>
          <w:szCs w:val="22"/>
        </w:rPr>
        <w:t xml:space="preserve">incumbent </w:t>
      </w:r>
      <w:r w:rsidRPr="00D1178F">
        <w:rPr>
          <w:szCs w:val="22"/>
        </w:rPr>
        <w:t xml:space="preserve">licensees </w:t>
      </w:r>
      <w:r w:rsidR="00021FBC" w:rsidRPr="00D1178F">
        <w:rPr>
          <w:szCs w:val="22"/>
        </w:rPr>
        <w:t>in the</w:t>
      </w:r>
      <w:r w:rsidRPr="00D1178F">
        <w:rPr>
          <w:szCs w:val="22"/>
        </w:rPr>
        <w:t xml:space="preserve"> 3650–3700 MHz </w:t>
      </w:r>
      <w:r w:rsidR="00021FBC" w:rsidRPr="00D1178F">
        <w:rPr>
          <w:szCs w:val="22"/>
        </w:rPr>
        <w:t xml:space="preserve">band </w:t>
      </w:r>
      <w:r w:rsidRPr="00D1178F">
        <w:rPr>
          <w:szCs w:val="22"/>
        </w:rPr>
        <w:t xml:space="preserve">to file supplemental information </w:t>
      </w:r>
      <w:r w:rsidR="00FA6724" w:rsidRPr="00D1178F">
        <w:rPr>
          <w:szCs w:val="22"/>
        </w:rPr>
        <w:t>required to define</w:t>
      </w:r>
      <w:r w:rsidRPr="00D1178F">
        <w:rPr>
          <w:szCs w:val="22"/>
        </w:rPr>
        <w:t xml:space="preserve"> their Grandfathered Wireless Protection Zone</w:t>
      </w:r>
      <w:r w:rsidR="00DA025D" w:rsidRPr="00D1178F">
        <w:rPr>
          <w:szCs w:val="22"/>
        </w:rPr>
        <w:t xml:space="preserve"> </w:t>
      </w:r>
      <w:r w:rsidR="001178E3">
        <w:rPr>
          <w:szCs w:val="22"/>
        </w:rPr>
        <w:t xml:space="preserve">within the framework for deployment of </w:t>
      </w:r>
      <w:r w:rsidR="001178E3" w:rsidRPr="001178E3">
        <w:rPr>
          <w:szCs w:val="22"/>
        </w:rPr>
        <w:t>the Citizens Broadband Radio Service</w:t>
      </w:r>
      <w:r w:rsidR="00DC5DCB">
        <w:rPr>
          <w:szCs w:val="22"/>
        </w:rPr>
        <w:t xml:space="preserve"> (CBRS)</w:t>
      </w:r>
      <w:r w:rsidR="001178E3">
        <w:rPr>
          <w:szCs w:val="22"/>
        </w:rPr>
        <w:t>.</w:t>
      </w:r>
      <w:r w:rsidR="001178E3" w:rsidRPr="00D1178F">
        <w:rPr>
          <w:szCs w:val="22"/>
          <w:lang w:val="en"/>
        </w:rPr>
        <w:t xml:space="preserve"> </w:t>
      </w:r>
      <w:r w:rsidR="001178E3" w:rsidRPr="001178E3">
        <w:rPr>
          <w:szCs w:val="22"/>
        </w:rPr>
        <w:t xml:space="preserve"> </w:t>
      </w:r>
      <w:r w:rsidRPr="00D1178F">
        <w:rPr>
          <w:szCs w:val="22"/>
        </w:rPr>
        <w:t xml:space="preserve">Below, the Bureau </w:t>
      </w:r>
      <w:r w:rsidR="00FA6724" w:rsidRPr="00D1178F">
        <w:rPr>
          <w:szCs w:val="22"/>
        </w:rPr>
        <w:t>detail</w:t>
      </w:r>
      <w:r w:rsidR="00B24FB0">
        <w:rPr>
          <w:szCs w:val="22"/>
        </w:rPr>
        <w:t>s</w:t>
      </w:r>
      <w:r w:rsidR="00FA6724" w:rsidRPr="00D1178F">
        <w:rPr>
          <w:szCs w:val="22"/>
        </w:rPr>
        <w:t xml:space="preserve"> </w:t>
      </w:r>
      <w:r w:rsidRPr="00D1178F">
        <w:rPr>
          <w:szCs w:val="22"/>
        </w:rPr>
        <w:t>the proce</w:t>
      </w:r>
      <w:r w:rsidR="00B24FB0">
        <w:rPr>
          <w:szCs w:val="22"/>
        </w:rPr>
        <w:t>dures</w:t>
      </w:r>
      <w:r w:rsidRPr="00D1178F">
        <w:rPr>
          <w:szCs w:val="22"/>
        </w:rPr>
        <w:t xml:space="preserve"> </w:t>
      </w:r>
      <w:r w:rsidR="00C216D2">
        <w:rPr>
          <w:szCs w:val="22"/>
        </w:rPr>
        <w:t xml:space="preserve">that must be followed when </w:t>
      </w:r>
      <w:r w:rsidR="00384A9C">
        <w:rPr>
          <w:szCs w:val="22"/>
        </w:rPr>
        <w:t>filing a</w:t>
      </w:r>
      <w:r w:rsidR="00C216D2">
        <w:rPr>
          <w:szCs w:val="22"/>
        </w:rPr>
        <w:t>n</w:t>
      </w:r>
      <w:r w:rsidR="00384A9C">
        <w:rPr>
          <w:szCs w:val="22"/>
        </w:rPr>
        <w:t xml:space="preserve"> application</w:t>
      </w:r>
      <w:r w:rsidR="00C216D2">
        <w:rPr>
          <w:szCs w:val="22"/>
        </w:rPr>
        <w:t xml:space="preserve"> to establish a </w:t>
      </w:r>
      <w:r w:rsidR="001D10A5">
        <w:rPr>
          <w:szCs w:val="22"/>
        </w:rPr>
        <w:t>protection</w:t>
      </w:r>
      <w:r w:rsidR="00C216D2">
        <w:rPr>
          <w:szCs w:val="22"/>
        </w:rPr>
        <w:t xml:space="preserve"> zone for incumbent operations</w:t>
      </w:r>
      <w:r w:rsidR="00384A9C">
        <w:rPr>
          <w:szCs w:val="22"/>
        </w:rPr>
        <w:t>.</w:t>
      </w:r>
      <w:r w:rsidR="00362F8B">
        <w:rPr>
          <w:szCs w:val="22"/>
        </w:rPr>
        <w:t xml:space="preserve">  </w:t>
      </w:r>
    </w:p>
    <w:p w:rsidR="004D5ABA" w:rsidRDefault="004D5ABA" w:rsidP="001F7B6D">
      <w:pPr>
        <w:rPr>
          <w:szCs w:val="22"/>
        </w:rPr>
      </w:pPr>
    </w:p>
    <w:p w:rsidR="00680900" w:rsidRPr="00D1178F" w:rsidRDefault="00362F8B" w:rsidP="00C96FE7">
      <w:pPr>
        <w:ind w:firstLine="720"/>
        <w:rPr>
          <w:szCs w:val="22"/>
        </w:rPr>
      </w:pPr>
      <w:r>
        <w:rPr>
          <w:szCs w:val="22"/>
        </w:rPr>
        <w:t xml:space="preserve">The deadline for filing an application to be </w:t>
      </w:r>
      <w:r w:rsidR="001D10A5">
        <w:rPr>
          <w:szCs w:val="22"/>
        </w:rPr>
        <w:t>afforded</w:t>
      </w:r>
      <w:r>
        <w:rPr>
          <w:szCs w:val="22"/>
        </w:rPr>
        <w:t xml:space="preserve"> protection is</w:t>
      </w:r>
      <w:r w:rsidR="00010E2E">
        <w:rPr>
          <w:szCs w:val="22"/>
        </w:rPr>
        <w:t xml:space="preserve"> August</w:t>
      </w:r>
      <w:r w:rsidR="005C4472">
        <w:rPr>
          <w:szCs w:val="22"/>
        </w:rPr>
        <w:t xml:space="preserve"> 7</w:t>
      </w:r>
      <w:r w:rsidR="00AB64CF">
        <w:rPr>
          <w:szCs w:val="22"/>
        </w:rPr>
        <w:t>, 2017</w:t>
      </w:r>
      <w:r>
        <w:rPr>
          <w:szCs w:val="22"/>
        </w:rPr>
        <w:t>.</w:t>
      </w:r>
      <w:r w:rsidR="004D5ABA">
        <w:rPr>
          <w:szCs w:val="22"/>
        </w:rPr>
        <w:t xml:space="preserve">  </w:t>
      </w:r>
      <w:r w:rsidR="004D5ABA" w:rsidRPr="004D5ABA">
        <w:rPr>
          <w:szCs w:val="22"/>
        </w:rPr>
        <w:t>Licensees who do not meet this deadline may continue to operate, but will not be afforded protection from interference caused by new CBRS operations.</w:t>
      </w:r>
    </w:p>
    <w:p w:rsidR="00680900" w:rsidRPr="00D1178F" w:rsidRDefault="00680900" w:rsidP="00680900">
      <w:pPr>
        <w:ind w:firstLine="720"/>
        <w:jc w:val="both"/>
        <w:rPr>
          <w:szCs w:val="22"/>
        </w:rPr>
      </w:pPr>
    </w:p>
    <w:p w:rsidR="00CE32D2" w:rsidRDefault="00680900" w:rsidP="004A5DB3">
      <w:pPr>
        <w:tabs>
          <w:tab w:val="left" w:pos="6562"/>
        </w:tabs>
        <w:rPr>
          <w:b/>
          <w:szCs w:val="22"/>
        </w:rPr>
      </w:pPr>
      <w:r w:rsidRPr="001F7B6D">
        <w:rPr>
          <w:b/>
          <w:szCs w:val="22"/>
        </w:rPr>
        <w:t>1.</w:t>
      </w:r>
      <w:r w:rsidRPr="00D1178F">
        <w:rPr>
          <w:szCs w:val="22"/>
        </w:rPr>
        <w:t xml:space="preserve"> </w:t>
      </w:r>
      <w:r w:rsidRPr="00D1178F">
        <w:rPr>
          <w:b/>
          <w:szCs w:val="22"/>
        </w:rPr>
        <w:t xml:space="preserve">  BACKGROUND</w:t>
      </w:r>
    </w:p>
    <w:p w:rsidR="00F10D5E" w:rsidRDefault="00F10D5E" w:rsidP="0091236B">
      <w:pPr>
        <w:tabs>
          <w:tab w:val="left" w:pos="6562"/>
        </w:tabs>
        <w:rPr>
          <w:szCs w:val="22"/>
        </w:rPr>
      </w:pPr>
    </w:p>
    <w:p w:rsidR="0091236B" w:rsidRPr="0091236B" w:rsidRDefault="00F10D5E" w:rsidP="00C96FE7">
      <w:pPr>
        <w:tabs>
          <w:tab w:val="left" w:pos="720"/>
          <w:tab w:val="left" w:pos="6562"/>
        </w:tabs>
        <w:rPr>
          <w:szCs w:val="22"/>
        </w:rPr>
      </w:pPr>
      <w:r>
        <w:rPr>
          <w:szCs w:val="22"/>
        </w:rPr>
        <w:tab/>
      </w:r>
      <w:r w:rsidR="000A1BF5" w:rsidRPr="001F7B6D">
        <w:rPr>
          <w:szCs w:val="22"/>
        </w:rPr>
        <w:t xml:space="preserve">On April 17, 2015, the Commission adopted a </w:t>
      </w:r>
      <w:r w:rsidR="000A1BF5" w:rsidRPr="001F7B6D">
        <w:rPr>
          <w:i/>
          <w:szCs w:val="22"/>
        </w:rPr>
        <w:t xml:space="preserve">Report and Order and Second </w:t>
      </w:r>
      <w:r w:rsidR="001D10A5" w:rsidRPr="001D10A5">
        <w:rPr>
          <w:i/>
          <w:szCs w:val="22"/>
        </w:rPr>
        <w:t>Further Notice</w:t>
      </w:r>
      <w:r w:rsidR="000A1BF5" w:rsidRPr="001F7B6D">
        <w:rPr>
          <w:i/>
          <w:szCs w:val="22"/>
        </w:rPr>
        <w:t xml:space="preserve"> of Proposed Rulemaking</w:t>
      </w:r>
      <w:r w:rsidR="000A1BF5" w:rsidRPr="001F7B6D">
        <w:rPr>
          <w:szCs w:val="22"/>
        </w:rPr>
        <w:t xml:space="preserve"> (</w:t>
      </w:r>
      <w:r w:rsidR="000A1BF5" w:rsidRPr="001F7B6D">
        <w:rPr>
          <w:i/>
          <w:szCs w:val="22"/>
        </w:rPr>
        <w:t>3.5 GHz Order</w:t>
      </w:r>
      <w:r w:rsidR="000A1BF5" w:rsidRPr="001F7B6D">
        <w:rPr>
          <w:szCs w:val="22"/>
        </w:rPr>
        <w:t xml:space="preserve">) that established </w:t>
      </w:r>
      <w:r w:rsidR="007A787B">
        <w:rPr>
          <w:szCs w:val="22"/>
        </w:rPr>
        <w:t>the</w:t>
      </w:r>
      <w:r w:rsidR="000A1BF5" w:rsidRPr="001F7B6D">
        <w:rPr>
          <w:szCs w:val="22"/>
        </w:rPr>
        <w:t xml:space="preserve"> new </w:t>
      </w:r>
      <w:r w:rsidR="007A787B">
        <w:rPr>
          <w:szCs w:val="22"/>
        </w:rPr>
        <w:t>CBRS</w:t>
      </w:r>
      <w:r w:rsidR="000A1BF5" w:rsidRPr="001F7B6D">
        <w:rPr>
          <w:szCs w:val="22"/>
        </w:rPr>
        <w:t xml:space="preserve"> in the 3550-3700 MHz band (3.5 GHz Band).</w:t>
      </w:r>
      <w:r w:rsidR="000A1BF5" w:rsidRPr="000A1BF5">
        <w:rPr>
          <w:szCs w:val="22"/>
          <w:vertAlign w:val="superscript"/>
        </w:rPr>
        <w:footnoteReference w:id="1"/>
      </w:r>
      <w:r w:rsidR="000A1BF5" w:rsidRPr="001F7B6D">
        <w:rPr>
          <w:szCs w:val="22"/>
        </w:rPr>
        <w:t xml:space="preserve"> </w:t>
      </w:r>
      <w:r w:rsidR="000A1BF5">
        <w:rPr>
          <w:szCs w:val="22"/>
        </w:rPr>
        <w:t xml:space="preserve"> </w:t>
      </w:r>
      <w:r w:rsidR="000A1BF5" w:rsidRPr="001F7B6D">
        <w:rPr>
          <w:szCs w:val="22"/>
        </w:rPr>
        <w:t xml:space="preserve">In the </w:t>
      </w:r>
      <w:r w:rsidR="000A1BF5" w:rsidRPr="001F7B6D">
        <w:rPr>
          <w:i/>
          <w:szCs w:val="22"/>
        </w:rPr>
        <w:t>3.5 GHz Order</w:t>
      </w:r>
      <w:r w:rsidR="000A1BF5" w:rsidRPr="001F7B6D">
        <w:rPr>
          <w:szCs w:val="22"/>
        </w:rPr>
        <w:t>, the Commission adopted</w:t>
      </w:r>
      <w:r w:rsidR="000A1BF5">
        <w:rPr>
          <w:szCs w:val="22"/>
        </w:rPr>
        <w:t xml:space="preserve"> </w:t>
      </w:r>
      <w:r w:rsidR="000A1BF5" w:rsidRPr="001F7B6D">
        <w:rPr>
          <w:szCs w:val="22"/>
        </w:rPr>
        <w:t>rules to protect existing licensees’ registered base stations in the 3650-3700 MHz band from harmful</w:t>
      </w:r>
      <w:r w:rsidR="000A1BF5">
        <w:rPr>
          <w:szCs w:val="22"/>
        </w:rPr>
        <w:t xml:space="preserve"> </w:t>
      </w:r>
      <w:r w:rsidR="000A1BF5" w:rsidRPr="001F7B6D">
        <w:rPr>
          <w:szCs w:val="22"/>
        </w:rPr>
        <w:t xml:space="preserve">interference from </w:t>
      </w:r>
      <w:r w:rsidR="000A1BF5">
        <w:rPr>
          <w:szCs w:val="22"/>
        </w:rPr>
        <w:t>CBRS</w:t>
      </w:r>
      <w:r w:rsidR="000A1BF5" w:rsidRPr="001F7B6D">
        <w:rPr>
          <w:szCs w:val="22"/>
        </w:rPr>
        <w:t xml:space="preserve"> users for a fixed transition period.</w:t>
      </w:r>
      <w:r w:rsidR="007A787B" w:rsidRPr="007A787B">
        <w:rPr>
          <w:szCs w:val="22"/>
          <w:vertAlign w:val="superscript"/>
        </w:rPr>
        <w:footnoteReference w:id="2"/>
      </w:r>
      <w:r w:rsidR="00AA44EA">
        <w:rPr>
          <w:szCs w:val="22"/>
          <w:vertAlign w:val="superscript"/>
        </w:rPr>
        <w:t xml:space="preserve">  </w:t>
      </w:r>
      <w:r w:rsidR="00F96FA6">
        <w:rPr>
          <w:szCs w:val="22"/>
          <w:vertAlign w:val="superscript"/>
        </w:rPr>
        <w:t xml:space="preserve"> </w:t>
      </w:r>
      <w:r w:rsidR="00F96FA6">
        <w:rPr>
          <w:szCs w:val="22"/>
          <w:lang w:val="en"/>
        </w:rPr>
        <w:t xml:space="preserve">The </w:t>
      </w:r>
      <w:r w:rsidR="00F96FA6" w:rsidRPr="00F96FA6">
        <w:rPr>
          <w:szCs w:val="22"/>
          <w:lang w:val="en"/>
        </w:rPr>
        <w:t xml:space="preserve">Commission stated that </w:t>
      </w:r>
      <w:r w:rsidR="00F96FA6" w:rsidRPr="00F96FA6">
        <w:rPr>
          <w:szCs w:val="22"/>
        </w:rPr>
        <w:t xml:space="preserve">existing licensees will receive protection for operations that are within their Grandfathered Wireless Protection Zone for a period of time provided that: (1) the stations were registered in the Commission’s Universal Licensing System (ULS) on or before April 17, 2015; and (2) as of a year later (April 17, 2016) the stations were constructed, in service, and </w:t>
      </w:r>
      <w:r w:rsidR="00F96FA6" w:rsidRPr="00F96FA6">
        <w:rPr>
          <w:szCs w:val="22"/>
        </w:rPr>
        <w:lastRenderedPageBreak/>
        <w:t>fully compliant with the relevant operating rules.</w:t>
      </w:r>
      <w:r w:rsidR="00F96FA6" w:rsidRPr="00F96FA6">
        <w:rPr>
          <w:szCs w:val="22"/>
          <w:vertAlign w:val="superscript"/>
        </w:rPr>
        <w:footnoteReference w:id="3"/>
      </w:r>
      <w:r w:rsidR="0091236B">
        <w:rPr>
          <w:szCs w:val="22"/>
        </w:rPr>
        <w:t xml:space="preserve">  The </w:t>
      </w:r>
      <w:r w:rsidR="001D10A5">
        <w:rPr>
          <w:szCs w:val="22"/>
        </w:rPr>
        <w:t>Commission</w:t>
      </w:r>
      <w:r w:rsidR="0091236B">
        <w:rPr>
          <w:szCs w:val="22"/>
        </w:rPr>
        <w:t xml:space="preserve"> provided that Grandfathered Wireless Protection Zones will be </w:t>
      </w:r>
      <w:r w:rsidR="0091236B" w:rsidRPr="0091236B">
        <w:rPr>
          <w:szCs w:val="22"/>
        </w:rPr>
        <w:t xml:space="preserve">defined using methodology determined by </w:t>
      </w:r>
      <w:r w:rsidR="0091236B">
        <w:rPr>
          <w:szCs w:val="22"/>
        </w:rPr>
        <w:t>WTB</w:t>
      </w:r>
      <w:r w:rsidR="0091236B" w:rsidRPr="0091236B">
        <w:rPr>
          <w:szCs w:val="22"/>
        </w:rPr>
        <w:t xml:space="preserve"> and </w:t>
      </w:r>
      <w:r w:rsidR="0091236B">
        <w:rPr>
          <w:szCs w:val="22"/>
        </w:rPr>
        <w:t xml:space="preserve">the </w:t>
      </w:r>
      <w:r w:rsidR="0091236B" w:rsidRPr="0091236B">
        <w:rPr>
          <w:szCs w:val="22"/>
        </w:rPr>
        <w:t>Office of Engineering and Technology</w:t>
      </w:r>
      <w:r w:rsidR="0091236B">
        <w:rPr>
          <w:szCs w:val="22"/>
        </w:rPr>
        <w:t xml:space="preserve"> (OET)</w:t>
      </w:r>
      <w:r w:rsidR="0091236B" w:rsidRPr="0091236B">
        <w:rPr>
          <w:szCs w:val="22"/>
        </w:rPr>
        <w:t>.</w:t>
      </w:r>
      <w:r w:rsidR="006F74B2">
        <w:rPr>
          <w:rStyle w:val="FootnoteReference"/>
          <w:szCs w:val="22"/>
        </w:rPr>
        <w:footnoteReference w:id="4"/>
      </w:r>
    </w:p>
    <w:p w:rsidR="00F96FA6" w:rsidRPr="001F7B6D" w:rsidRDefault="00F96FA6" w:rsidP="002A1573">
      <w:pPr>
        <w:tabs>
          <w:tab w:val="left" w:pos="6562"/>
        </w:tabs>
        <w:rPr>
          <w:szCs w:val="22"/>
        </w:rPr>
      </w:pPr>
    </w:p>
    <w:p w:rsidR="00422C89" w:rsidRDefault="00F10D5E" w:rsidP="00C96FE7">
      <w:pPr>
        <w:tabs>
          <w:tab w:val="left" w:pos="720"/>
          <w:tab w:val="left" w:pos="6562"/>
        </w:tabs>
        <w:rPr>
          <w:szCs w:val="22"/>
        </w:rPr>
      </w:pPr>
      <w:r>
        <w:rPr>
          <w:szCs w:val="22"/>
        </w:rPr>
        <w:tab/>
      </w:r>
      <w:r w:rsidR="00680900" w:rsidRPr="00D1178F">
        <w:rPr>
          <w:szCs w:val="22"/>
        </w:rPr>
        <w:t>On August 19, 2016, WTB and OET released a Public Notice (</w:t>
      </w:r>
      <w:r w:rsidR="006F4EE3" w:rsidRPr="00D1178F">
        <w:rPr>
          <w:i/>
          <w:iCs/>
          <w:szCs w:val="22"/>
        </w:rPr>
        <w:t>3650-3700 MHz Band Protection Contours Public Notice</w:t>
      </w:r>
      <w:r w:rsidR="00680900" w:rsidRPr="00D1178F">
        <w:rPr>
          <w:szCs w:val="22"/>
        </w:rPr>
        <w:t xml:space="preserve">) announcing the </w:t>
      </w:r>
      <w:r w:rsidR="00680900" w:rsidRPr="00D1178F">
        <w:rPr>
          <w:szCs w:val="22"/>
          <w:lang w:val="en"/>
        </w:rPr>
        <w:t>methodology for determining the protected contours for grandfathered 3650-3700 MHz band licensees</w:t>
      </w:r>
      <w:r w:rsidR="00EB639A" w:rsidRPr="00D1178F">
        <w:rPr>
          <w:szCs w:val="22"/>
          <w:lang w:val="en"/>
        </w:rPr>
        <w:t>.</w:t>
      </w:r>
      <w:r w:rsidR="00680900" w:rsidRPr="00D1178F">
        <w:rPr>
          <w:rStyle w:val="FootnoteReference"/>
          <w:szCs w:val="22"/>
        </w:rPr>
        <w:footnoteReference w:id="5"/>
      </w:r>
      <w:r w:rsidR="00680900" w:rsidRPr="00D1178F">
        <w:rPr>
          <w:szCs w:val="22"/>
        </w:rPr>
        <w:t xml:space="preserve">  Th</w:t>
      </w:r>
      <w:r w:rsidR="00FA6724" w:rsidRPr="00D1178F">
        <w:rPr>
          <w:szCs w:val="22"/>
        </w:rPr>
        <w:t>e</w:t>
      </w:r>
      <w:r w:rsidR="00680900" w:rsidRPr="00D1178F">
        <w:rPr>
          <w:szCs w:val="22"/>
        </w:rPr>
        <w:t xml:space="preserve"> </w:t>
      </w:r>
      <w:r w:rsidR="006F4EE3" w:rsidRPr="00D1178F">
        <w:rPr>
          <w:i/>
          <w:iCs/>
          <w:szCs w:val="22"/>
        </w:rPr>
        <w:t>3650-3700 MHz Band Protection Contours Public Notice</w:t>
      </w:r>
      <w:r w:rsidR="00680900" w:rsidRPr="00D1178F">
        <w:rPr>
          <w:szCs w:val="22"/>
        </w:rPr>
        <w:t xml:space="preserve"> </w:t>
      </w:r>
      <w:r w:rsidR="00952926" w:rsidRPr="00D1178F">
        <w:rPr>
          <w:szCs w:val="22"/>
        </w:rPr>
        <w:t>established a two-prong approach that define</w:t>
      </w:r>
      <w:r w:rsidR="00007684" w:rsidRPr="00D1178F">
        <w:rPr>
          <w:szCs w:val="22"/>
        </w:rPr>
        <w:t>s</w:t>
      </w:r>
      <w:r w:rsidR="00952926" w:rsidRPr="00D1178F">
        <w:rPr>
          <w:szCs w:val="22"/>
        </w:rPr>
        <w:t xml:space="preserve"> the Grandfathered Wireless Protection Zone around each eligible registered base station </w:t>
      </w:r>
      <w:r w:rsidR="008512B3">
        <w:rPr>
          <w:szCs w:val="22"/>
        </w:rPr>
        <w:t>as follows</w:t>
      </w:r>
      <w:r w:rsidR="00952926" w:rsidRPr="00D1178F">
        <w:rPr>
          <w:szCs w:val="22"/>
        </w:rPr>
        <w:t xml:space="preserve">: (1) for sectors encompassing </w:t>
      </w:r>
      <w:r w:rsidR="00952926" w:rsidRPr="001F7B6D">
        <w:rPr>
          <w:i/>
          <w:szCs w:val="22"/>
        </w:rPr>
        <w:t>unregistered</w:t>
      </w:r>
      <w:r w:rsidR="009F1E9E">
        <w:rPr>
          <w:szCs w:val="22"/>
        </w:rPr>
        <w:t xml:space="preserve"> customer premise equipment (</w:t>
      </w:r>
      <w:r w:rsidR="00952926" w:rsidRPr="00D1178F">
        <w:rPr>
          <w:szCs w:val="22"/>
        </w:rPr>
        <w:t>CPE</w:t>
      </w:r>
      <w:r w:rsidR="009F1E9E">
        <w:rPr>
          <w:szCs w:val="22"/>
        </w:rPr>
        <w:t>)</w:t>
      </w:r>
      <w:r w:rsidR="00952926" w:rsidRPr="00D1178F">
        <w:rPr>
          <w:szCs w:val="22"/>
        </w:rPr>
        <w:t xml:space="preserve">, a 5.3 km radius sector from each registered base station based on the azimuth and beam width registered for that base station; and (2) for sectors encompassing </w:t>
      </w:r>
      <w:r w:rsidR="00952926" w:rsidRPr="001F7B6D">
        <w:rPr>
          <w:i/>
          <w:szCs w:val="22"/>
        </w:rPr>
        <w:t>registered</w:t>
      </w:r>
      <w:r w:rsidR="00952926" w:rsidRPr="00D1178F">
        <w:rPr>
          <w:szCs w:val="22"/>
        </w:rPr>
        <w:t xml:space="preserve"> CPE, a sector centered on each base station with the registered azimuth and beam width covering all registered subscriber stations within that sector</w:t>
      </w:r>
      <w:r w:rsidR="00DF19A2" w:rsidRPr="00D1178F">
        <w:rPr>
          <w:szCs w:val="22"/>
        </w:rPr>
        <w:t xml:space="preserve">.  </w:t>
      </w:r>
    </w:p>
    <w:p w:rsidR="00422C89" w:rsidRDefault="00422C89" w:rsidP="002A1573">
      <w:pPr>
        <w:tabs>
          <w:tab w:val="left" w:pos="6562"/>
        </w:tabs>
        <w:rPr>
          <w:szCs w:val="22"/>
        </w:rPr>
      </w:pPr>
    </w:p>
    <w:p w:rsidR="00ED7D5F" w:rsidRDefault="00F10D5E" w:rsidP="00C96FE7">
      <w:pPr>
        <w:tabs>
          <w:tab w:val="left" w:pos="720"/>
          <w:tab w:val="left" w:pos="6562"/>
        </w:tabs>
        <w:rPr>
          <w:szCs w:val="22"/>
        </w:rPr>
      </w:pPr>
      <w:r>
        <w:rPr>
          <w:szCs w:val="22"/>
        </w:rPr>
        <w:tab/>
      </w:r>
      <w:r w:rsidR="00ED7D5F" w:rsidRPr="00ED7D5F">
        <w:rPr>
          <w:szCs w:val="22"/>
        </w:rPr>
        <w:t xml:space="preserve">The </w:t>
      </w:r>
      <w:r w:rsidR="00ED7D5F" w:rsidRPr="00ED7D5F">
        <w:rPr>
          <w:i/>
          <w:iCs/>
          <w:szCs w:val="22"/>
        </w:rPr>
        <w:t>3650-3700 MHz Band Protection Contours Public Notice</w:t>
      </w:r>
      <w:r w:rsidR="00ED7D5F">
        <w:rPr>
          <w:i/>
          <w:iCs/>
          <w:szCs w:val="22"/>
        </w:rPr>
        <w:t xml:space="preserve"> </w:t>
      </w:r>
      <w:r w:rsidR="00ED7D5F" w:rsidRPr="001F7B6D">
        <w:rPr>
          <w:iCs/>
          <w:szCs w:val="22"/>
        </w:rPr>
        <w:t>indicated that</w:t>
      </w:r>
      <w:r w:rsidR="00422C89">
        <w:rPr>
          <w:iCs/>
          <w:szCs w:val="22"/>
        </w:rPr>
        <w:t xml:space="preserve">, </w:t>
      </w:r>
      <w:r w:rsidR="00422C89" w:rsidRPr="00422C89">
        <w:rPr>
          <w:iCs/>
          <w:szCs w:val="22"/>
        </w:rPr>
        <w:t xml:space="preserve">once the </w:t>
      </w:r>
      <w:r w:rsidR="001D10A5" w:rsidRPr="00422C89">
        <w:rPr>
          <w:iCs/>
          <w:szCs w:val="22"/>
        </w:rPr>
        <w:t>requisite</w:t>
      </w:r>
      <w:r w:rsidR="00422C89" w:rsidRPr="00422C89">
        <w:rPr>
          <w:iCs/>
          <w:szCs w:val="22"/>
        </w:rPr>
        <w:t xml:space="preserve"> functionality in ULS has been established,</w:t>
      </w:r>
      <w:r w:rsidR="00422C89">
        <w:rPr>
          <w:iCs/>
          <w:szCs w:val="22"/>
        </w:rPr>
        <w:t xml:space="preserve"> </w:t>
      </w:r>
      <w:r w:rsidR="00ED7D5F">
        <w:rPr>
          <w:iCs/>
          <w:szCs w:val="22"/>
        </w:rPr>
        <w:t>the agency would communicate to licensees in the 3650-3700 MHz band the process by which they must submit information to establish the Grandfathered Wireless Protection Zones</w:t>
      </w:r>
      <w:r w:rsidR="00422C89">
        <w:rPr>
          <w:iCs/>
          <w:szCs w:val="22"/>
        </w:rPr>
        <w:t>.</w:t>
      </w:r>
      <w:r w:rsidR="00ED7D5F">
        <w:rPr>
          <w:iCs/>
          <w:szCs w:val="22"/>
        </w:rPr>
        <w:t xml:space="preserve">  </w:t>
      </w:r>
      <w:r w:rsidR="00422C89">
        <w:rPr>
          <w:iCs/>
          <w:szCs w:val="22"/>
        </w:rPr>
        <w:t>W</w:t>
      </w:r>
      <w:r w:rsidR="00ED7D5F">
        <w:rPr>
          <w:iCs/>
          <w:szCs w:val="22"/>
        </w:rPr>
        <w:t>e do so below.</w:t>
      </w:r>
      <w:r w:rsidR="00ED7D5F" w:rsidRPr="00ED7D5F">
        <w:rPr>
          <w:iCs/>
          <w:szCs w:val="22"/>
          <w:vertAlign w:val="superscript"/>
        </w:rPr>
        <w:t xml:space="preserve"> </w:t>
      </w:r>
      <w:r w:rsidR="00ED7D5F" w:rsidRPr="00ED7D5F">
        <w:rPr>
          <w:iCs/>
          <w:szCs w:val="22"/>
          <w:vertAlign w:val="superscript"/>
        </w:rPr>
        <w:footnoteReference w:id="6"/>
      </w:r>
      <w:r w:rsidR="00ED7D5F">
        <w:rPr>
          <w:iCs/>
          <w:szCs w:val="22"/>
        </w:rPr>
        <w:t xml:space="preserve">  </w:t>
      </w:r>
      <w:r w:rsidR="00ED7D5F" w:rsidRPr="00ED7D5F">
        <w:rPr>
          <w:iCs/>
          <w:szCs w:val="22"/>
        </w:rPr>
        <w:t xml:space="preserve"> </w:t>
      </w:r>
    </w:p>
    <w:p w:rsidR="00680900" w:rsidRPr="00D1178F" w:rsidRDefault="00680900" w:rsidP="002A1573">
      <w:pPr>
        <w:tabs>
          <w:tab w:val="left" w:pos="6562"/>
        </w:tabs>
        <w:rPr>
          <w:szCs w:val="22"/>
        </w:rPr>
      </w:pPr>
    </w:p>
    <w:p w:rsidR="00DD2A12" w:rsidRPr="00D1178F" w:rsidRDefault="00680900" w:rsidP="00DD2A12">
      <w:pPr>
        <w:rPr>
          <w:b/>
          <w:szCs w:val="22"/>
        </w:rPr>
      </w:pPr>
      <w:r w:rsidRPr="001F7B6D">
        <w:rPr>
          <w:b/>
          <w:szCs w:val="22"/>
        </w:rPr>
        <w:t>2.</w:t>
      </w:r>
      <w:r w:rsidR="00E21419">
        <w:rPr>
          <w:szCs w:val="22"/>
        </w:rPr>
        <w:t xml:space="preserve">  </w:t>
      </w:r>
      <w:r w:rsidR="00DD2A12" w:rsidRPr="00D1178F">
        <w:rPr>
          <w:b/>
          <w:szCs w:val="22"/>
        </w:rPr>
        <w:t>WHAT MUST BE FILED</w:t>
      </w:r>
    </w:p>
    <w:p w:rsidR="00CE32D2" w:rsidRDefault="00CE32D2" w:rsidP="00DD2A12">
      <w:pPr>
        <w:rPr>
          <w:szCs w:val="22"/>
        </w:rPr>
      </w:pPr>
    </w:p>
    <w:p w:rsidR="00D21A3B" w:rsidRPr="00D1178F" w:rsidRDefault="00261917" w:rsidP="00C96FE7">
      <w:pPr>
        <w:ind w:firstLine="720"/>
        <w:rPr>
          <w:szCs w:val="22"/>
        </w:rPr>
      </w:pPr>
      <w:r w:rsidRPr="00261917">
        <w:rPr>
          <w:szCs w:val="22"/>
        </w:rPr>
        <w:t xml:space="preserve">As discussed in the </w:t>
      </w:r>
      <w:r w:rsidRPr="00261917">
        <w:rPr>
          <w:i/>
          <w:iCs/>
          <w:szCs w:val="22"/>
        </w:rPr>
        <w:t>3650-3700 MHz Band Protection Contours Public Notice</w:t>
      </w:r>
      <w:r>
        <w:rPr>
          <w:i/>
          <w:iCs/>
          <w:szCs w:val="22"/>
        </w:rPr>
        <w:t>,</w:t>
      </w:r>
      <w:r w:rsidRPr="00261917">
        <w:rPr>
          <w:iCs/>
          <w:szCs w:val="22"/>
          <w:vertAlign w:val="superscript"/>
        </w:rPr>
        <w:footnoteReference w:id="7"/>
      </w:r>
      <w:r w:rsidRPr="00261917">
        <w:rPr>
          <w:szCs w:val="22"/>
        </w:rPr>
        <w:t xml:space="preserve"> </w:t>
      </w:r>
      <w:r w:rsidR="00680900" w:rsidRPr="00D1178F">
        <w:rPr>
          <w:szCs w:val="22"/>
        </w:rPr>
        <w:t xml:space="preserve"> </w:t>
      </w:r>
      <w:r w:rsidR="004B50FC">
        <w:rPr>
          <w:szCs w:val="22"/>
        </w:rPr>
        <w:t>certain information</w:t>
      </w:r>
      <w:r w:rsidR="00680900" w:rsidRPr="00D1178F">
        <w:rPr>
          <w:szCs w:val="22"/>
        </w:rPr>
        <w:t xml:space="preserve"> </w:t>
      </w:r>
      <w:r w:rsidR="00E800D9" w:rsidRPr="00D1178F">
        <w:rPr>
          <w:szCs w:val="22"/>
        </w:rPr>
        <w:t xml:space="preserve">must be provided </w:t>
      </w:r>
      <w:r w:rsidR="004B50FC">
        <w:rPr>
          <w:szCs w:val="22"/>
        </w:rPr>
        <w:t xml:space="preserve">in order </w:t>
      </w:r>
      <w:r w:rsidR="00E800D9" w:rsidRPr="00D1178F">
        <w:rPr>
          <w:szCs w:val="22"/>
        </w:rPr>
        <w:t xml:space="preserve">to establish the </w:t>
      </w:r>
      <w:r w:rsidR="001F7B6D">
        <w:rPr>
          <w:szCs w:val="22"/>
        </w:rPr>
        <w:t>G</w:t>
      </w:r>
      <w:r w:rsidR="00E800D9" w:rsidRPr="00D1178F">
        <w:rPr>
          <w:szCs w:val="22"/>
        </w:rPr>
        <w:t xml:space="preserve">randfathered </w:t>
      </w:r>
      <w:r w:rsidR="001F7B6D">
        <w:rPr>
          <w:szCs w:val="22"/>
        </w:rPr>
        <w:t>W</w:t>
      </w:r>
      <w:r w:rsidR="001F7B6D" w:rsidRPr="00D1178F">
        <w:rPr>
          <w:szCs w:val="22"/>
        </w:rPr>
        <w:t xml:space="preserve">ireless </w:t>
      </w:r>
      <w:r w:rsidR="001F7B6D">
        <w:rPr>
          <w:szCs w:val="22"/>
        </w:rPr>
        <w:t>P</w:t>
      </w:r>
      <w:r w:rsidR="001F7B6D" w:rsidRPr="00D1178F">
        <w:rPr>
          <w:szCs w:val="22"/>
        </w:rPr>
        <w:t xml:space="preserve">rotection </w:t>
      </w:r>
      <w:r w:rsidR="001F7B6D">
        <w:rPr>
          <w:szCs w:val="22"/>
        </w:rPr>
        <w:t>Z</w:t>
      </w:r>
      <w:r w:rsidR="001F7B6D" w:rsidRPr="00D1178F">
        <w:rPr>
          <w:szCs w:val="22"/>
        </w:rPr>
        <w:t>one</w:t>
      </w:r>
      <w:r w:rsidR="00680900" w:rsidRPr="00D1178F">
        <w:rPr>
          <w:szCs w:val="22"/>
        </w:rPr>
        <w:t xml:space="preserve">.  </w:t>
      </w:r>
      <w:r w:rsidR="00DF19A2" w:rsidRPr="00D1178F">
        <w:rPr>
          <w:szCs w:val="22"/>
        </w:rPr>
        <w:t>Specifically, licensees</w:t>
      </w:r>
      <w:r w:rsidR="00D21A3B" w:rsidRPr="00D1178F">
        <w:rPr>
          <w:szCs w:val="22"/>
        </w:rPr>
        <w:t xml:space="preserve"> must:</w:t>
      </w:r>
    </w:p>
    <w:p w:rsidR="00E800D9" w:rsidRPr="00D1178F" w:rsidRDefault="00E800D9" w:rsidP="00E800D9">
      <w:pPr>
        <w:numPr>
          <w:ilvl w:val="0"/>
          <w:numId w:val="47"/>
        </w:numPr>
        <w:rPr>
          <w:szCs w:val="22"/>
        </w:rPr>
      </w:pPr>
      <w:r w:rsidRPr="00D1178F">
        <w:rPr>
          <w:szCs w:val="22"/>
        </w:rPr>
        <w:t>I</w:t>
      </w:r>
      <w:r w:rsidR="00D21A3B" w:rsidRPr="00D1178F">
        <w:rPr>
          <w:szCs w:val="22"/>
        </w:rPr>
        <w:t xml:space="preserve">dentify </w:t>
      </w:r>
      <w:r w:rsidR="002C7451">
        <w:rPr>
          <w:szCs w:val="22"/>
        </w:rPr>
        <w:t xml:space="preserve">the </w:t>
      </w:r>
      <w:r w:rsidR="00D21A3B" w:rsidRPr="00D1178F">
        <w:rPr>
          <w:szCs w:val="22"/>
        </w:rPr>
        <w:t>relevant base stations</w:t>
      </w:r>
      <w:r w:rsidRPr="00D1178F">
        <w:rPr>
          <w:szCs w:val="22"/>
        </w:rPr>
        <w:t xml:space="preserve"> registered </w:t>
      </w:r>
      <w:r w:rsidR="00DA025D" w:rsidRPr="00D1178F">
        <w:rPr>
          <w:szCs w:val="22"/>
        </w:rPr>
        <w:t xml:space="preserve">in ULS </w:t>
      </w:r>
      <w:r w:rsidRPr="00D1178F">
        <w:rPr>
          <w:szCs w:val="22"/>
        </w:rPr>
        <w:t xml:space="preserve">as of </w:t>
      </w:r>
      <w:r w:rsidR="00CB5AFD" w:rsidRPr="00D1178F">
        <w:rPr>
          <w:szCs w:val="22"/>
        </w:rPr>
        <w:t xml:space="preserve">April 17, </w:t>
      </w:r>
      <w:r w:rsidRPr="00D1178F">
        <w:rPr>
          <w:szCs w:val="22"/>
        </w:rPr>
        <w:t xml:space="preserve">2015, </w:t>
      </w:r>
      <w:r w:rsidR="00D21A3B" w:rsidRPr="00D1178F">
        <w:rPr>
          <w:szCs w:val="22"/>
        </w:rPr>
        <w:t>that will be used to define the Grandfathered Wireless Protection Zone</w:t>
      </w:r>
      <w:r w:rsidR="002C7451">
        <w:rPr>
          <w:szCs w:val="22"/>
        </w:rPr>
        <w:t>;</w:t>
      </w:r>
      <w:r w:rsidR="00D21A3B" w:rsidRPr="00D1178F">
        <w:rPr>
          <w:szCs w:val="22"/>
        </w:rPr>
        <w:t xml:space="preserve"> </w:t>
      </w:r>
    </w:p>
    <w:p w:rsidR="00E800D9" w:rsidRPr="00D1178F" w:rsidRDefault="00E800D9" w:rsidP="00E800D9">
      <w:pPr>
        <w:numPr>
          <w:ilvl w:val="0"/>
          <w:numId w:val="47"/>
        </w:numPr>
        <w:rPr>
          <w:szCs w:val="22"/>
        </w:rPr>
      </w:pPr>
      <w:r w:rsidRPr="00D1178F">
        <w:rPr>
          <w:szCs w:val="22"/>
        </w:rPr>
        <w:t>C</w:t>
      </w:r>
      <w:r w:rsidR="00680900" w:rsidRPr="00D1178F">
        <w:rPr>
          <w:szCs w:val="22"/>
        </w:rPr>
        <w:t>ertif</w:t>
      </w:r>
      <w:r w:rsidRPr="00D1178F">
        <w:rPr>
          <w:szCs w:val="22"/>
        </w:rPr>
        <w:t>y that the station</w:t>
      </w:r>
      <w:r w:rsidR="002C7451">
        <w:rPr>
          <w:szCs w:val="22"/>
        </w:rPr>
        <w:t>s</w:t>
      </w:r>
      <w:r w:rsidRPr="00D1178F">
        <w:rPr>
          <w:szCs w:val="22"/>
        </w:rPr>
        <w:t xml:space="preserve"> </w:t>
      </w:r>
      <w:r w:rsidR="002C7451">
        <w:rPr>
          <w:szCs w:val="22"/>
        </w:rPr>
        <w:t>were</w:t>
      </w:r>
      <w:r w:rsidRPr="00D1178F">
        <w:rPr>
          <w:szCs w:val="22"/>
        </w:rPr>
        <w:t xml:space="preserve"> constructed, operational, and in compliance with the Commission’s Rules as of </w:t>
      </w:r>
      <w:r w:rsidR="00CB5AFD" w:rsidRPr="00D1178F">
        <w:rPr>
          <w:szCs w:val="22"/>
        </w:rPr>
        <w:t xml:space="preserve">April 17, </w:t>
      </w:r>
      <w:r w:rsidR="00680900" w:rsidRPr="00D1178F">
        <w:rPr>
          <w:szCs w:val="22"/>
        </w:rPr>
        <w:t>2016</w:t>
      </w:r>
      <w:r w:rsidR="002C7451">
        <w:rPr>
          <w:szCs w:val="22"/>
        </w:rPr>
        <w:t>;</w:t>
      </w:r>
    </w:p>
    <w:p w:rsidR="00E800D9" w:rsidRPr="00D1178F" w:rsidRDefault="00E800D9" w:rsidP="00E800D9">
      <w:pPr>
        <w:numPr>
          <w:ilvl w:val="0"/>
          <w:numId w:val="47"/>
        </w:numPr>
        <w:rPr>
          <w:szCs w:val="22"/>
        </w:rPr>
      </w:pPr>
      <w:r w:rsidRPr="00D1178F">
        <w:rPr>
          <w:szCs w:val="22"/>
        </w:rPr>
        <w:t xml:space="preserve">Identify whether </w:t>
      </w:r>
      <w:r w:rsidR="00680900" w:rsidRPr="00D1178F">
        <w:rPr>
          <w:szCs w:val="22"/>
        </w:rPr>
        <w:t>unregistered and/or registered CPE is being used with th</w:t>
      </w:r>
      <w:r w:rsidR="00952926" w:rsidRPr="00D1178F">
        <w:rPr>
          <w:szCs w:val="22"/>
        </w:rPr>
        <w:t xml:space="preserve">at </w:t>
      </w:r>
      <w:r w:rsidR="00680900" w:rsidRPr="00D1178F">
        <w:rPr>
          <w:szCs w:val="22"/>
        </w:rPr>
        <w:t>base station</w:t>
      </w:r>
      <w:r w:rsidR="002C7451">
        <w:rPr>
          <w:szCs w:val="22"/>
        </w:rPr>
        <w:t>;</w:t>
      </w:r>
      <w:r w:rsidRPr="00D1178F">
        <w:rPr>
          <w:szCs w:val="22"/>
        </w:rPr>
        <w:t xml:space="preserve"> and </w:t>
      </w:r>
    </w:p>
    <w:p w:rsidR="00E800D9" w:rsidRPr="00D1178F" w:rsidRDefault="00DF19A2" w:rsidP="00E800D9">
      <w:pPr>
        <w:numPr>
          <w:ilvl w:val="0"/>
          <w:numId w:val="47"/>
        </w:numPr>
        <w:rPr>
          <w:szCs w:val="22"/>
        </w:rPr>
      </w:pPr>
      <w:r w:rsidRPr="00D1178F">
        <w:rPr>
          <w:szCs w:val="22"/>
        </w:rPr>
        <w:t>I</w:t>
      </w:r>
      <w:r w:rsidR="00952926" w:rsidRPr="00D1178F">
        <w:rPr>
          <w:szCs w:val="22"/>
        </w:rPr>
        <w:t xml:space="preserve">f registered CPE equipment is being used – </w:t>
      </w:r>
      <w:r w:rsidR="00007684" w:rsidRPr="00D1178F">
        <w:rPr>
          <w:szCs w:val="22"/>
        </w:rPr>
        <w:t xml:space="preserve">specify the distance to the </w:t>
      </w:r>
      <w:r w:rsidR="00952926" w:rsidRPr="00D1178F">
        <w:rPr>
          <w:szCs w:val="22"/>
        </w:rPr>
        <w:t>furthest registered CPE</w:t>
      </w:r>
      <w:r w:rsidR="002C7451">
        <w:rPr>
          <w:szCs w:val="22"/>
        </w:rPr>
        <w:t>.</w:t>
      </w:r>
      <w:r w:rsidR="00007684" w:rsidRPr="00D1178F">
        <w:rPr>
          <w:rStyle w:val="FootnoteReference"/>
          <w:szCs w:val="22"/>
        </w:rPr>
        <w:footnoteReference w:id="8"/>
      </w:r>
      <w:r w:rsidR="00680900" w:rsidRPr="00D1178F">
        <w:rPr>
          <w:szCs w:val="22"/>
        </w:rPr>
        <w:t xml:space="preserve">  </w:t>
      </w:r>
    </w:p>
    <w:p w:rsidR="004D5ABA" w:rsidRPr="00D1178F" w:rsidRDefault="004D5ABA" w:rsidP="00DD2A12">
      <w:pPr>
        <w:rPr>
          <w:szCs w:val="22"/>
        </w:rPr>
      </w:pPr>
    </w:p>
    <w:p w:rsidR="00DD2A12" w:rsidRPr="00D1178F" w:rsidRDefault="00DD2A12" w:rsidP="00DD2A12">
      <w:pPr>
        <w:rPr>
          <w:b/>
          <w:szCs w:val="22"/>
        </w:rPr>
      </w:pPr>
      <w:r w:rsidRPr="001F7B6D">
        <w:rPr>
          <w:b/>
          <w:szCs w:val="22"/>
        </w:rPr>
        <w:t>3.</w:t>
      </w:r>
      <w:r w:rsidRPr="00D1178F">
        <w:rPr>
          <w:b/>
          <w:szCs w:val="22"/>
        </w:rPr>
        <w:t xml:space="preserve">  REGISTERING TO FILE</w:t>
      </w:r>
      <w:r w:rsidR="00A22DD6" w:rsidRPr="00D1178F">
        <w:rPr>
          <w:b/>
          <w:szCs w:val="22"/>
        </w:rPr>
        <w:t xml:space="preserve"> SUPPLEMENTAL INFORMATION</w:t>
      </w:r>
    </w:p>
    <w:p w:rsidR="00DD2A12" w:rsidRPr="00D1178F" w:rsidRDefault="00DD2A12" w:rsidP="00E800D9">
      <w:pPr>
        <w:rPr>
          <w:szCs w:val="22"/>
        </w:rPr>
      </w:pPr>
    </w:p>
    <w:p w:rsidR="00DD2A12" w:rsidRDefault="00F97D6B" w:rsidP="00C96FE7">
      <w:pPr>
        <w:ind w:firstLine="720"/>
        <w:rPr>
          <w:szCs w:val="22"/>
        </w:rPr>
      </w:pPr>
      <w:r>
        <w:rPr>
          <w:szCs w:val="22"/>
        </w:rPr>
        <w:t>T</w:t>
      </w:r>
      <w:r w:rsidR="00DF19A2" w:rsidRPr="00D1178F">
        <w:rPr>
          <w:szCs w:val="22"/>
        </w:rPr>
        <w:t xml:space="preserve">o access </w:t>
      </w:r>
      <w:r w:rsidR="009F1E9E">
        <w:rPr>
          <w:szCs w:val="22"/>
        </w:rPr>
        <w:t xml:space="preserve">to the </w:t>
      </w:r>
      <w:r w:rsidR="00C567AF">
        <w:rPr>
          <w:szCs w:val="22"/>
        </w:rPr>
        <w:t xml:space="preserve">application tool, </w:t>
      </w:r>
      <w:r w:rsidR="00DF19A2" w:rsidRPr="00D1178F">
        <w:rPr>
          <w:szCs w:val="22"/>
        </w:rPr>
        <w:t>licensees must</w:t>
      </w:r>
      <w:r w:rsidR="001F7B6D">
        <w:rPr>
          <w:szCs w:val="22"/>
        </w:rPr>
        <w:t xml:space="preserve">, if they have not already done so, </w:t>
      </w:r>
      <w:r w:rsidR="00786783" w:rsidRPr="00D1178F">
        <w:rPr>
          <w:szCs w:val="22"/>
        </w:rPr>
        <w:t xml:space="preserve">first </w:t>
      </w:r>
      <w:r w:rsidR="00DF19A2" w:rsidRPr="00D1178F">
        <w:rPr>
          <w:szCs w:val="22"/>
        </w:rPr>
        <w:t>register for a</w:t>
      </w:r>
      <w:r w:rsidR="00D035EE">
        <w:rPr>
          <w:szCs w:val="22"/>
        </w:rPr>
        <w:t xml:space="preserve"> new</w:t>
      </w:r>
      <w:r w:rsidR="00DF19A2" w:rsidRPr="00D1178F">
        <w:rPr>
          <w:szCs w:val="22"/>
        </w:rPr>
        <w:t xml:space="preserve"> </w:t>
      </w:r>
      <w:r w:rsidR="00786783" w:rsidRPr="00D1178F">
        <w:rPr>
          <w:szCs w:val="22"/>
        </w:rPr>
        <w:t xml:space="preserve">FCC username </w:t>
      </w:r>
      <w:r w:rsidR="00DF19A2" w:rsidRPr="00D1178F">
        <w:rPr>
          <w:szCs w:val="22"/>
        </w:rPr>
        <w:t>account</w:t>
      </w:r>
      <w:r w:rsidR="00786783" w:rsidRPr="00D1178F">
        <w:rPr>
          <w:szCs w:val="22"/>
        </w:rPr>
        <w:t xml:space="preserve"> and </w:t>
      </w:r>
      <w:r w:rsidR="00DF19A2" w:rsidRPr="00D1178F">
        <w:rPr>
          <w:szCs w:val="22"/>
        </w:rPr>
        <w:t>link the</w:t>
      </w:r>
      <w:r w:rsidR="00786783" w:rsidRPr="00D1178F">
        <w:rPr>
          <w:szCs w:val="22"/>
        </w:rPr>
        <w:t xml:space="preserve"> </w:t>
      </w:r>
      <w:r w:rsidR="00A07300">
        <w:rPr>
          <w:szCs w:val="22"/>
        </w:rPr>
        <w:t xml:space="preserve">FCC </w:t>
      </w:r>
      <w:r w:rsidR="001B41C9">
        <w:rPr>
          <w:szCs w:val="22"/>
        </w:rPr>
        <w:t>Registration Number (</w:t>
      </w:r>
      <w:r w:rsidR="00786783" w:rsidRPr="00D1178F">
        <w:rPr>
          <w:szCs w:val="22"/>
        </w:rPr>
        <w:t>FRN</w:t>
      </w:r>
      <w:r w:rsidR="001B41C9">
        <w:rPr>
          <w:szCs w:val="22"/>
        </w:rPr>
        <w:t>)</w:t>
      </w:r>
      <w:r w:rsidR="00786783" w:rsidRPr="00D1178F">
        <w:rPr>
          <w:szCs w:val="22"/>
        </w:rPr>
        <w:t xml:space="preserve"> associated with their existing 3650</w:t>
      </w:r>
      <w:r w:rsidR="005D065C">
        <w:rPr>
          <w:szCs w:val="22"/>
        </w:rPr>
        <w:t xml:space="preserve">-3700 MHz </w:t>
      </w:r>
      <w:r w:rsidR="00786783" w:rsidRPr="00D1178F">
        <w:rPr>
          <w:szCs w:val="22"/>
        </w:rPr>
        <w:t>license to the</w:t>
      </w:r>
      <w:r w:rsidR="00DD2A12" w:rsidRPr="00D1178F">
        <w:rPr>
          <w:szCs w:val="22"/>
        </w:rPr>
        <w:t xml:space="preserve"> FCC username </w:t>
      </w:r>
      <w:r w:rsidR="00786783" w:rsidRPr="00D1178F">
        <w:rPr>
          <w:szCs w:val="22"/>
        </w:rPr>
        <w:t xml:space="preserve">account.  </w:t>
      </w:r>
    </w:p>
    <w:p w:rsidR="00DD2A12" w:rsidRPr="00F10D5E" w:rsidRDefault="00786783" w:rsidP="00C96FE7">
      <w:pPr>
        <w:pStyle w:val="ListParagraph"/>
        <w:numPr>
          <w:ilvl w:val="0"/>
          <w:numId w:val="48"/>
        </w:numPr>
        <w:rPr>
          <w:szCs w:val="22"/>
        </w:rPr>
      </w:pPr>
      <w:r w:rsidRPr="00F10D5E">
        <w:rPr>
          <w:szCs w:val="22"/>
        </w:rPr>
        <w:lastRenderedPageBreak/>
        <w:t>To register for a FCC username account</w:t>
      </w:r>
      <w:r w:rsidR="00C567AF" w:rsidRPr="00F10D5E">
        <w:rPr>
          <w:szCs w:val="22"/>
        </w:rPr>
        <w:t>,</w:t>
      </w:r>
      <w:r w:rsidRPr="00F10D5E">
        <w:rPr>
          <w:szCs w:val="22"/>
        </w:rPr>
        <w:t xml:space="preserve"> licensees should follow the instructions provided here</w:t>
      </w:r>
      <w:r w:rsidR="00DD2A12" w:rsidRPr="00F10D5E">
        <w:rPr>
          <w:szCs w:val="22"/>
        </w:rPr>
        <w:t xml:space="preserve">: </w:t>
      </w:r>
      <w:hyperlink r:id="rId14" w:history="1">
        <w:r w:rsidRPr="00F10D5E">
          <w:rPr>
            <w:rStyle w:val="Hyperlink"/>
            <w:szCs w:val="22"/>
          </w:rPr>
          <w:t>https://apps.fcc.gov/cores/html/Register_New_Account.htm</w:t>
        </w:r>
      </w:hyperlink>
      <w:r w:rsidRPr="00F10D5E">
        <w:rPr>
          <w:szCs w:val="22"/>
        </w:rPr>
        <w:t xml:space="preserve">.   </w:t>
      </w:r>
    </w:p>
    <w:p w:rsidR="00AC200B" w:rsidRPr="00F10D5E" w:rsidRDefault="00786783" w:rsidP="00C96FE7">
      <w:pPr>
        <w:pStyle w:val="ListParagraph"/>
        <w:numPr>
          <w:ilvl w:val="0"/>
          <w:numId w:val="48"/>
        </w:numPr>
        <w:rPr>
          <w:szCs w:val="22"/>
        </w:rPr>
      </w:pPr>
      <w:r w:rsidRPr="00C96FE7">
        <w:rPr>
          <w:szCs w:val="22"/>
        </w:rPr>
        <w:t xml:space="preserve">To associate the user account </w:t>
      </w:r>
      <w:r w:rsidR="00DD2A12" w:rsidRPr="00C96FE7">
        <w:rPr>
          <w:szCs w:val="22"/>
        </w:rPr>
        <w:t>with an FRN</w:t>
      </w:r>
      <w:r w:rsidR="00C567AF" w:rsidRPr="00C96FE7">
        <w:rPr>
          <w:szCs w:val="22"/>
        </w:rPr>
        <w:t>,</w:t>
      </w:r>
      <w:r w:rsidR="00DD2A12" w:rsidRPr="00C96FE7">
        <w:rPr>
          <w:szCs w:val="22"/>
        </w:rPr>
        <w:t xml:space="preserve"> licensees should follow the instructions provided here: </w:t>
      </w:r>
      <w:hyperlink r:id="rId15" w:history="1">
        <w:r w:rsidR="00DD2A12" w:rsidRPr="00F10D5E">
          <w:rPr>
            <w:rStyle w:val="Hyperlink"/>
            <w:szCs w:val="22"/>
          </w:rPr>
          <w:t>https://apps.fcc.gov/cores/html/Associate_Username_to_FRN.htm</w:t>
        </w:r>
      </w:hyperlink>
    </w:p>
    <w:p w:rsidR="00AC200B" w:rsidRDefault="00DD2A12" w:rsidP="00C96FE7">
      <w:pPr>
        <w:pStyle w:val="ListParagraph"/>
        <w:numPr>
          <w:ilvl w:val="0"/>
          <w:numId w:val="48"/>
        </w:numPr>
      </w:pPr>
      <w:r w:rsidRPr="00C96FE7">
        <w:rPr>
          <w:szCs w:val="22"/>
        </w:rPr>
        <w:t>Once registered</w:t>
      </w:r>
      <w:r w:rsidR="00C567AF" w:rsidRPr="00C96FE7">
        <w:rPr>
          <w:szCs w:val="22"/>
        </w:rPr>
        <w:t>,</w:t>
      </w:r>
      <w:r w:rsidRPr="00C96FE7">
        <w:rPr>
          <w:szCs w:val="22"/>
        </w:rPr>
        <w:t xml:space="preserve"> licensees will be able </w:t>
      </w:r>
      <w:r w:rsidR="00E97F52" w:rsidRPr="00C96FE7">
        <w:rPr>
          <w:szCs w:val="22"/>
        </w:rPr>
        <w:t xml:space="preserve">to </w:t>
      </w:r>
      <w:r w:rsidRPr="00C96FE7">
        <w:rPr>
          <w:szCs w:val="22"/>
        </w:rPr>
        <w:t xml:space="preserve">provide the supplemental information by logging in here: </w:t>
      </w:r>
      <w:hyperlink r:id="rId16" w:history="1">
        <w:r w:rsidR="00AC200B">
          <w:rPr>
            <w:rStyle w:val="Hyperlink"/>
          </w:rPr>
          <w:t>https://www.fcc.gov/licensing-databases/fcc-user-login</w:t>
        </w:r>
      </w:hyperlink>
    </w:p>
    <w:p w:rsidR="00DD2A12" w:rsidRPr="00D1178F" w:rsidRDefault="00AC200B" w:rsidP="00AC200B">
      <w:pPr>
        <w:ind w:left="720"/>
        <w:rPr>
          <w:szCs w:val="22"/>
        </w:rPr>
      </w:pPr>
      <w:r w:rsidRPr="00D1178F" w:rsidDel="00AC200B">
        <w:rPr>
          <w:szCs w:val="22"/>
          <w:highlight w:val="yellow"/>
        </w:rPr>
        <w:t xml:space="preserve"> </w:t>
      </w:r>
    </w:p>
    <w:p w:rsidR="00DD2A12" w:rsidRPr="00D1178F" w:rsidRDefault="00DD2A12" w:rsidP="00E800D9">
      <w:pPr>
        <w:rPr>
          <w:szCs w:val="22"/>
        </w:rPr>
      </w:pPr>
    </w:p>
    <w:p w:rsidR="00A22DD6" w:rsidRPr="00D1178F" w:rsidRDefault="00A22DD6" w:rsidP="00A22DD6">
      <w:pPr>
        <w:rPr>
          <w:b/>
          <w:szCs w:val="22"/>
        </w:rPr>
      </w:pPr>
      <w:r w:rsidRPr="001F7B6D">
        <w:rPr>
          <w:b/>
          <w:szCs w:val="22"/>
        </w:rPr>
        <w:t>4.</w:t>
      </w:r>
      <w:r w:rsidRPr="00D1178F">
        <w:rPr>
          <w:b/>
          <w:szCs w:val="22"/>
        </w:rPr>
        <w:t xml:space="preserve">  </w:t>
      </w:r>
      <w:r w:rsidR="00DA025D" w:rsidRPr="00D1178F">
        <w:rPr>
          <w:b/>
          <w:szCs w:val="22"/>
        </w:rPr>
        <w:t>FILING AND PROCESSING OF</w:t>
      </w:r>
      <w:r w:rsidRPr="00D1178F">
        <w:rPr>
          <w:b/>
          <w:szCs w:val="22"/>
        </w:rPr>
        <w:t xml:space="preserve"> SUPPLEMENTAL INFORMATION</w:t>
      </w:r>
    </w:p>
    <w:p w:rsidR="00A22DD6" w:rsidRPr="00D1178F" w:rsidRDefault="00A22DD6" w:rsidP="00A22DD6">
      <w:pPr>
        <w:rPr>
          <w:szCs w:val="22"/>
        </w:rPr>
      </w:pPr>
    </w:p>
    <w:p w:rsidR="000D7DB3" w:rsidRPr="00C01608" w:rsidRDefault="00A22DD6" w:rsidP="00C96FE7">
      <w:pPr>
        <w:ind w:firstLine="720"/>
        <w:rPr>
          <w:rFonts w:asciiTheme="minorHAnsi" w:eastAsiaTheme="minorHAnsi" w:hAnsiTheme="minorHAnsi" w:cstheme="minorBidi"/>
          <w:szCs w:val="22"/>
        </w:rPr>
      </w:pPr>
      <w:r w:rsidRPr="00D1178F">
        <w:rPr>
          <w:szCs w:val="22"/>
        </w:rPr>
        <w:t>When a licensee logs in to the system</w:t>
      </w:r>
      <w:r w:rsidR="00AC200B">
        <w:rPr>
          <w:szCs w:val="22"/>
        </w:rPr>
        <w:t xml:space="preserve"> and selects </w:t>
      </w:r>
      <w:r w:rsidR="003C2A1F">
        <w:rPr>
          <w:szCs w:val="22"/>
        </w:rPr>
        <w:t>the “</w:t>
      </w:r>
      <w:r w:rsidR="00AC200B">
        <w:rPr>
          <w:szCs w:val="22"/>
        </w:rPr>
        <w:t>3650</w:t>
      </w:r>
      <w:r w:rsidR="003C2A1F">
        <w:rPr>
          <w:szCs w:val="22"/>
        </w:rPr>
        <w:t>” tab,</w:t>
      </w:r>
      <w:r w:rsidRPr="00D1178F">
        <w:rPr>
          <w:szCs w:val="22"/>
        </w:rPr>
        <w:t xml:space="preserve"> </w:t>
      </w:r>
      <w:r w:rsidR="003C2A1F">
        <w:rPr>
          <w:szCs w:val="22"/>
        </w:rPr>
        <w:t>the licensee</w:t>
      </w:r>
      <w:r w:rsidR="009A3D0F" w:rsidRPr="00D1178F">
        <w:rPr>
          <w:szCs w:val="22"/>
        </w:rPr>
        <w:t xml:space="preserve"> </w:t>
      </w:r>
      <w:r w:rsidRPr="00D1178F">
        <w:rPr>
          <w:szCs w:val="22"/>
        </w:rPr>
        <w:t xml:space="preserve">will first </w:t>
      </w:r>
      <w:r w:rsidR="009A3D0F">
        <w:rPr>
          <w:szCs w:val="22"/>
        </w:rPr>
        <w:t>be presented with</w:t>
      </w:r>
      <w:r w:rsidRPr="00D1178F">
        <w:rPr>
          <w:szCs w:val="22"/>
        </w:rPr>
        <w:t xml:space="preserve"> </w:t>
      </w:r>
      <w:r w:rsidR="00AC200B">
        <w:rPr>
          <w:szCs w:val="22"/>
        </w:rPr>
        <w:t xml:space="preserve">the option to view </w:t>
      </w:r>
      <w:r w:rsidRPr="00D1178F">
        <w:rPr>
          <w:szCs w:val="22"/>
        </w:rPr>
        <w:t>a list of 3650</w:t>
      </w:r>
      <w:r w:rsidR="005D065C">
        <w:rPr>
          <w:szCs w:val="22"/>
        </w:rPr>
        <w:t>-3700 MHz</w:t>
      </w:r>
      <w:r w:rsidRPr="00D1178F">
        <w:rPr>
          <w:szCs w:val="22"/>
        </w:rPr>
        <w:t xml:space="preserve"> service call signs</w:t>
      </w:r>
      <w:r w:rsidR="00AC200B">
        <w:rPr>
          <w:szCs w:val="22"/>
        </w:rPr>
        <w:t xml:space="preserve"> or</w:t>
      </w:r>
      <w:r w:rsidR="00C36F19" w:rsidRPr="00C36F19">
        <w:t xml:space="preserve"> </w:t>
      </w:r>
      <w:r w:rsidR="00C36F19" w:rsidRPr="00C36F19">
        <w:rPr>
          <w:szCs w:val="22"/>
        </w:rPr>
        <w:t>a list of 3650-3700 MHz</w:t>
      </w:r>
      <w:r w:rsidR="00AC200B">
        <w:rPr>
          <w:szCs w:val="22"/>
        </w:rPr>
        <w:t xml:space="preserve"> locations</w:t>
      </w:r>
      <w:r w:rsidRPr="00D1178F">
        <w:rPr>
          <w:szCs w:val="22"/>
        </w:rPr>
        <w:t xml:space="preserve"> that have been associated </w:t>
      </w:r>
      <w:r w:rsidRPr="003E180C">
        <w:rPr>
          <w:szCs w:val="22"/>
        </w:rPr>
        <w:t xml:space="preserve">with their account based on the FRN that was associated with their FCC username account.  </w:t>
      </w:r>
      <w:r w:rsidR="00C36F19" w:rsidRPr="003E180C">
        <w:rPr>
          <w:szCs w:val="22"/>
        </w:rPr>
        <w:t xml:space="preserve">Both lists will provide access to </w:t>
      </w:r>
      <w:r w:rsidRPr="003E180C">
        <w:rPr>
          <w:szCs w:val="22"/>
        </w:rPr>
        <w:t xml:space="preserve">base stations </w:t>
      </w:r>
      <w:r w:rsidR="00BD6D9D" w:rsidRPr="003E180C">
        <w:rPr>
          <w:szCs w:val="22"/>
        </w:rPr>
        <w:t xml:space="preserve">which were registered in ULS on or before </w:t>
      </w:r>
      <w:r w:rsidR="004003E0" w:rsidRPr="003E180C">
        <w:rPr>
          <w:szCs w:val="22"/>
        </w:rPr>
        <w:t xml:space="preserve">April 17, </w:t>
      </w:r>
      <w:r w:rsidR="00BD6D9D" w:rsidRPr="003E180C">
        <w:rPr>
          <w:szCs w:val="22"/>
        </w:rPr>
        <w:t>2015</w:t>
      </w:r>
      <w:r w:rsidRPr="003E180C">
        <w:rPr>
          <w:szCs w:val="22"/>
        </w:rPr>
        <w:t>.</w:t>
      </w:r>
      <w:r w:rsidRPr="003E180C">
        <w:rPr>
          <w:rStyle w:val="FootnoteReference"/>
          <w:szCs w:val="22"/>
        </w:rPr>
        <w:footnoteReference w:id="9"/>
      </w:r>
      <w:r w:rsidRPr="003E180C">
        <w:rPr>
          <w:szCs w:val="22"/>
        </w:rPr>
        <w:t xml:space="preserve">  </w:t>
      </w:r>
      <w:r w:rsidR="00BD6D9D" w:rsidRPr="003E180C">
        <w:rPr>
          <w:szCs w:val="22"/>
        </w:rPr>
        <w:t>Only base stations may be used to define the licensee</w:t>
      </w:r>
      <w:r w:rsidR="004003E0" w:rsidRPr="003E180C">
        <w:rPr>
          <w:szCs w:val="22"/>
        </w:rPr>
        <w:t>’</w:t>
      </w:r>
      <w:r w:rsidR="00BD6D9D" w:rsidRPr="003E180C">
        <w:rPr>
          <w:szCs w:val="22"/>
        </w:rPr>
        <w:t xml:space="preserve">s </w:t>
      </w:r>
      <w:r w:rsidR="004003E0" w:rsidRPr="003E180C">
        <w:rPr>
          <w:szCs w:val="22"/>
        </w:rPr>
        <w:t>G</w:t>
      </w:r>
      <w:r w:rsidR="00BD6D9D" w:rsidRPr="003E180C">
        <w:rPr>
          <w:szCs w:val="22"/>
        </w:rPr>
        <w:t xml:space="preserve">randfathered </w:t>
      </w:r>
      <w:r w:rsidR="004003E0" w:rsidRPr="003E180C">
        <w:rPr>
          <w:szCs w:val="22"/>
        </w:rPr>
        <w:t>W</w:t>
      </w:r>
      <w:r w:rsidR="00BD6D9D" w:rsidRPr="003E180C">
        <w:rPr>
          <w:szCs w:val="22"/>
        </w:rPr>
        <w:t xml:space="preserve">ireless </w:t>
      </w:r>
      <w:r w:rsidR="004003E0" w:rsidRPr="003E180C">
        <w:rPr>
          <w:szCs w:val="22"/>
        </w:rPr>
        <w:t>P</w:t>
      </w:r>
      <w:r w:rsidR="00BD6D9D" w:rsidRPr="003E180C">
        <w:rPr>
          <w:szCs w:val="22"/>
        </w:rPr>
        <w:t xml:space="preserve">rotection </w:t>
      </w:r>
      <w:r w:rsidR="004003E0" w:rsidRPr="003E180C">
        <w:rPr>
          <w:szCs w:val="22"/>
        </w:rPr>
        <w:t>Z</w:t>
      </w:r>
      <w:r w:rsidR="00BD6D9D" w:rsidRPr="003E180C">
        <w:rPr>
          <w:szCs w:val="22"/>
        </w:rPr>
        <w:t>one.</w:t>
      </w:r>
      <w:r w:rsidR="00BD6D9D" w:rsidRPr="003E180C">
        <w:rPr>
          <w:rStyle w:val="FootnoteReference"/>
          <w:szCs w:val="22"/>
        </w:rPr>
        <w:footnoteReference w:id="10"/>
      </w:r>
      <w:r w:rsidR="00BD6D9D" w:rsidRPr="003E180C">
        <w:rPr>
          <w:szCs w:val="22"/>
        </w:rPr>
        <w:t xml:space="preserve"> </w:t>
      </w:r>
      <w:r w:rsidR="00CB5AFD" w:rsidRPr="003E180C">
        <w:rPr>
          <w:szCs w:val="22"/>
        </w:rPr>
        <w:t xml:space="preserve"> </w:t>
      </w:r>
      <w:r w:rsidR="00937DB1" w:rsidRPr="003E180C">
        <w:rPr>
          <w:szCs w:val="22"/>
        </w:rPr>
        <w:t>From</w:t>
      </w:r>
      <w:r w:rsidR="00C36F19" w:rsidRPr="003E180C">
        <w:rPr>
          <w:szCs w:val="22"/>
        </w:rPr>
        <w:t xml:space="preserve"> “</w:t>
      </w:r>
      <w:r w:rsidR="00C36F19" w:rsidRPr="003E180C">
        <w:rPr>
          <w:rFonts w:eastAsiaTheme="minorHAnsi"/>
          <w:szCs w:val="22"/>
        </w:rPr>
        <w:t>My 3650 Call Signs</w:t>
      </w:r>
      <w:r w:rsidR="003C2A1F">
        <w:rPr>
          <w:rFonts w:eastAsiaTheme="minorHAnsi"/>
          <w:szCs w:val="22"/>
        </w:rPr>
        <w:t>,</w:t>
      </w:r>
      <w:r w:rsidR="00C36F19" w:rsidRPr="003E180C">
        <w:rPr>
          <w:rFonts w:eastAsiaTheme="minorHAnsi"/>
          <w:szCs w:val="22"/>
        </w:rPr>
        <w:t xml:space="preserve">” a licensee can select a call sign to display a list of locations associated with the call sign.  </w:t>
      </w:r>
      <w:r w:rsidR="000D7DB3" w:rsidRPr="003E180C">
        <w:rPr>
          <w:szCs w:val="22"/>
        </w:rPr>
        <w:t xml:space="preserve">Licensees </w:t>
      </w:r>
      <w:r w:rsidR="00AC200B" w:rsidRPr="003E180C">
        <w:rPr>
          <w:szCs w:val="22"/>
        </w:rPr>
        <w:t>can</w:t>
      </w:r>
      <w:r w:rsidR="000D7DB3" w:rsidRPr="003E180C">
        <w:rPr>
          <w:szCs w:val="22"/>
        </w:rPr>
        <w:t xml:space="preserve"> click on individual locations and fill in the supplemental information </w:t>
      </w:r>
      <w:r w:rsidR="00DA025D" w:rsidRPr="003E180C">
        <w:rPr>
          <w:szCs w:val="22"/>
        </w:rPr>
        <w:t>on</w:t>
      </w:r>
      <w:r w:rsidR="000D7DB3" w:rsidRPr="003E180C">
        <w:rPr>
          <w:szCs w:val="22"/>
        </w:rPr>
        <w:t xml:space="preserve"> a form. </w:t>
      </w:r>
      <w:r w:rsidR="00C36F19" w:rsidRPr="003E180C">
        <w:rPr>
          <w:szCs w:val="22"/>
        </w:rPr>
        <w:t xml:space="preserve"> </w:t>
      </w:r>
      <w:r w:rsidR="003C2A1F">
        <w:rPr>
          <w:szCs w:val="22"/>
        </w:rPr>
        <w:t xml:space="preserve">The tab for </w:t>
      </w:r>
      <w:r w:rsidR="00C36F19" w:rsidRPr="003E180C">
        <w:rPr>
          <w:szCs w:val="22"/>
        </w:rPr>
        <w:t xml:space="preserve">“My 3650 Locations” provides the option to identify base stations in this list view, or </w:t>
      </w:r>
      <w:r w:rsidR="003C2A1F">
        <w:rPr>
          <w:szCs w:val="22"/>
        </w:rPr>
        <w:t xml:space="preserve">to </w:t>
      </w:r>
      <w:r w:rsidR="00C36F19" w:rsidRPr="003E180C">
        <w:rPr>
          <w:szCs w:val="22"/>
        </w:rPr>
        <w:t xml:space="preserve">click on individual locations and fill in the supplemental information on a form.  </w:t>
      </w:r>
      <w:r w:rsidR="001251CB" w:rsidRPr="003E180C">
        <w:rPr>
          <w:szCs w:val="22"/>
        </w:rPr>
        <w:t>Th</w:t>
      </w:r>
      <w:r w:rsidR="000D7DB3" w:rsidRPr="003E180C">
        <w:rPr>
          <w:szCs w:val="22"/>
        </w:rPr>
        <w:t xml:space="preserve">e tool </w:t>
      </w:r>
      <w:r w:rsidR="001251CB" w:rsidRPr="003E180C">
        <w:rPr>
          <w:szCs w:val="22"/>
        </w:rPr>
        <w:t>is designed with validations and certain responses may require the licensee to enter additional explanation or justification.</w:t>
      </w:r>
      <w:r w:rsidR="00BD6D9D" w:rsidRPr="003E180C">
        <w:rPr>
          <w:rStyle w:val="FootnoteReference"/>
          <w:szCs w:val="22"/>
        </w:rPr>
        <w:footnoteReference w:id="11"/>
      </w:r>
      <w:r w:rsidR="001251CB" w:rsidRPr="003E180C">
        <w:rPr>
          <w:szCs w:val="22"/>
        </w:rPr>
        <w:t xml:space="preserve">  Once all the required</w:t>
      </w:r>
      <w:r w:rsidR="001251CB" w:rsidRPr="00D1178F">
        <w:rPr>
          <w:szCs w:val="22"/>
        </w:rPr>
        <w:t xml:space="preserve"> information has been entered</w:t>
      </w:r>
      <w:r w:rsidR="00CB5AFD" w:rsidRPr="00D1178F">
        <w:rPr>
          <w:szCs w:val="22"/>
        </w:rPr>
        <w:t>,</w:t>
      </w:r>
      <w:r w:rsidR="001251CB" w:rsidRPr="00D1178F">
        <w:rPr>
          <w:szCs w:val="22"/>
        </w:rPr>
        <w:t xml:space="preserve"> the licensee will certify and submit </w:t>
      </w:r>
      <w:r w:rsidR="003C2A1F">
        <w:rPr>
          <w:szCs w:val="22"/>
        </w:rPr>
        <w:t>its</w:t>
      </w:r>
      <w:r w:rsidR="003C2A1F" w:rsidRPr="00D1178F">
        <w:rPr>
          <w:szCs w:val="22"/>
        </w:rPr>
        <w:t xml:space="preserve"> </w:t>
      </w:r>
      <w:r w:rsidR="00DA025D" w:rsidRPr="00D1178F">
        <w:rPr>
          <w:szCs w:val="22"/>
        </w:rPr>
        <w:t>protection zone application</w:t>
      </w:r>
      <w:r w:rsidR="000D7DB3" w:rsidRPr="00D1178F">
        <w:rPr>
          <w:szCs w:val="22"/>
        </w:rPr>
        <w:t xml:space="preserve">.   </w:t>
      </w:r>
    </w:p>
    <w:p w:rsidR="000D7DB3" w:rsidRPr="00D1178F" w:rsidRDefault="000D7DB3" w:rsidP="00A22DD6">
      <w:pPr>
        <w:rPr>
          <w:szCs w:val="22"/>
        </w:rPr>
      </w:pPr>
    </w:p>
    <w:p w:rsidR="00BD6D9D" w:rsidRPr="00D1178F" w:rsidRDefault="000D7DB3" w:rsidP="00C96FE7">
      <w:pPr>
        <w:ind w:firstLine="720"/>
        <w:rPr>
          <w:szCs w:val="22"/>
        </w:rPr>
      </w:pPr>
      <w:r w:rsidRPr="00D1178F">
        <w:rPr>
          <w:szCs w:val="22"/>
        </w:rPr>
        <w:t xml:space="preserve">If the submitted </w:t>
      </w:r>
      <w:r w:rsidR="00DA025D" w:rsidRPr="00D1178F">
        <w:rPr>
          <w:szCs w:val="22"/>
        </w:rPr>
        <w:t xml:space="preserve">supplemental </w:t>
      </w:r>
      <w:r w:rsidRPr="00D1178F">
        <w:rPr>
          <w:szCs w:val="22"/>
        </w:rPr>
        <w:t xml:space="preserve">information passes </w:t>
      </w:r>
      <w:r w:rsidR="00BD6D9D" w:rsidRPr="00D1178F">
        <w:rPr>
          <w:szCs w:val="22"/>
        </w:rPr>
        <w:t>all validations</w:t>
      </w:r>
      <w:r w:rsidR="009F1E9E">
        <w:rPr>
          <w:szCs w:val="22"/>
        </w:rPr>
        <w:t>,</w:t>
      </w:r>
      <w:r w:rsidR="00BD6D9D" w:rsidRPr="00D1178F">
        <w:rPr>
          <w:szCs w:val="22"/>
        </w:rPr>
        <w:t xml:space="preserve"> </w:t>
      </w:r>
      <w:r w:rsidRPr="00D1178F">
        <w:rPr>
          <w:szCs w:val="22"/>
        </w:rPr>
        <w:t xml:space="preserve">the system will automatically accept the </w:t>
      </w:r>
      <w:r w:rsidR="00C83B51" w:rsidRPr="00D1178F">
        <w:rPr>
          <w:szCs w:val="22"/>
        </w:rPr>
        <w:t>protection zone</w:t>
      </w:r>
      <w:r w:rsidRPr="00D1178F">
        <w:rPr>
          <w:szCs w:val="22"/>
        </w:rPr>
        <w:t xml:space="preserve"> application.  If any of the responses required explanation, or </w:t>
      </w:r>
      <w:r w:rsidR="00BD6D9D" w:rsidRPr="00D1178F">
        <w:rPr>
          <w:szCs w:val="22"/>
        </w:rPr>
        <w:t xml:space="preserve">the application does not pass all validations, </w:t>
      </w:r>
      <w:r w:rsidRPr="00D1178F">
        <w:rPr>
          <w:szCs w:val="22"/>
        </w:rPr>
        <w:t>the system will change the status of the application</w:t>
      </w:r>
      <w:r w:rsidR="00A82084" w:rsidRPr="00D1178F">
        <w:rPr>
          <w:szCs w:val="22"/>
        </w:rPr>
        <w:t xml:space="preserve"> from “</w:t>
      </w:r>
      <w:r w:rsidR="00C56CEA" w:rsidRPr="00D1178F">
        <w:rPr>
          <w:szCs w:val="22"/>
        </w:rPr>
        <w:t>saved</w:t>
      </w:r>
      <w:r w:rsidR="00A82084" w:rsidRPr="00D1178F">
        <w:rPr>
          <w:szCs w:val="22"/>
        </w:rPr>
        <w:t>”</w:t>
      </w:r>
      <w:r w:rsidRPr="00D1178F">
        <w:rPr>
          <w:szCs w:val="22"/>
        </w:rPr>
        <w:t xml:space="preserve"> to </w:t>
      </w:r>
      <w:r w:rsidR="00A82084" w:rsidRPr="00D1178F">
        <w:rPr>
          <w:szCs w:val="22"/>
        </w:rPr>
        <w:t>“</w:t>
      </w:r>
      <w:r w:rsidRPr="00D1178F">
        <w:rPr>
          <w:szCs w:val="22"/>
        </w:rPr>
        <w:t>submitted</w:t>
      </w:r>
      <w:r w:rsidR="00A82084" w:rsidRPr="00D1178F">
        <w:rPr>
          <w:szCs w:val="22"/>
        </w:rPr>
        <w:t>”</w:t>
      </w:r>
      <w:r w:rsidRPr="00D1178F">
        <w:rPr>
          <w:szCs w:val="22"/>
        </w:rPr>
        <w:t xml:space="preserve"> and the application will be reviewed by </w:t>
      </w:r>
      <w:r w:rsidR="00DA025D" w:rsidRPr="00D1178F">
        <w:rPr>
          <w:szCs w:val="22"/>
        </w:rPr>
        <w:t>Bureau</w:t>
      </w:r>
      <w:r w:rsidRPr="00D1178F">
        <w:rPr>
          <w:szCs w:val="22"/>
        </w:rPr>
        <w:t xml:space="preserve"> staff.  </w:t>
      </w:r>
      <w:r w:rsidR="004F73D9">
        <w:rPr>
          <w:szCs w:val="22"/>
        </w:rPr>
        <w:t xml:space="preserve">After review, </w:t>
      </w:r>
      <w:r w:rsidR="001D10A5">
        <w:rPr>
          <w:szCs w:val="22"/>
        </w:rPr>
        <w:t>licensees</w:t>
      </w:r>
      <w:r w:rsidR="004F73D9">
        <w:rPr>
          <w:szCs w:val="22"/>
        </w:rPr>
        <w:t xml:space="preserve"> will be notified whether a</w:t>
      </w:r>
      <w:r w:rsidRPr="00D1178F">
        <w:rPr>
          <w:szCs w:val="22"/>
        </w:rPr>
        <w:t xml:space="preserve">n application </w:t>
      </w:r>
      <w:r w:rsidR="004F73D9">
        <w:rPr>
          <w:szCs w:val="22"/>
        </w:rPr>
        <w:t>has</w:t>
      </w:r>
      <w:r w:rsidRPr="00D1178F">
        <w:rPr>
          <w:szCs w:val="22"/>
        </w:rPr>
        <w:t xml:space="preserve"> be</w:t>
      </w:r>
      <w:r w:rsidR="004F73D9">
        <w:rPr>
          <w:szCs w:val="22"/>
        </w:rPr>
        <w:t>en</w:t>
      </w:r>
      <w:r w:rsidRPr="00D1178F">
        <w:rPr>
          <w:szCs w:val="22"/>
        </w:rPr>
        <w:t xml:space="preserve"> accepted or rejected</w:t>
      </w:r>
      <w:r w:rsidR="00F46FA6">
        <w:rPr>
          <w:szCs w:val="22"/>
        </w:rPr>
        <w:t>.</w:t>
      </w:r>
      <w:r w:rsidR="00000518">
        <w:rPr>
          <w:rStyle w:val="FootnoteReference"/>
          <w:szCs w:val="22"/>
        </w:rPr>
        <w:footnoteReference w:id="12"/>
      </w:r>
      <w:r w:rsidRPr="00D1178F">
        <w:rPr>
          <w:szCs w:val="22"/>
        </w:rPr>
        <w:t xml:space="preserve">  A base station will only be entitled to grandfather</w:t>
      </w:r>
      <w:r w:rsidR="00A82084" w:rsidRPr="00D1178F">
        <w:rPr>
          <w:szCs w:val="22"/>
        </w:rPr>
        <w:t>ed</w:t>
      </w:r>
      <w:r w:rsidRPr="00D1178F">
        <w:rPr>
          <w:szCs w:val="22"/>
        </w:rPr>
        <w:t xml:space="preserve"> protection if the </w:t>
      </w:r>
      <w:r w:rsidR="00C83B51" w:rsidRPr="00D1178F">
        <w:rPr>
          <w:szCs w:val="22"/>
        </w:rPr>
        <w:t>protection zone</w:t>
      </w:r>
      <w:r w:rsidRPr="00D1178F">
        <w:rPr>
          <w:szCs w:val="22"/>
        </w:rPr>
        <w:t xml:space="preserve"> application is accepted.  Licensees may amend their </w:t>
      </w:r>
      <w:r w:rsidR="00C83B51" w:rsidRPr="00D1178F">
        <w:rPr>
          <w:szCs w:val="22"/>
        </w:rPr>
        <w:t>protection zone application</w:t>
      </w:r>
      <w:r w:rsidR="00BD6D9D" w:rsidRPr="00D1178F">
        <w:rPr>
          <w:szCs w:val="22"/>
        </w:rPr>
        <w:t xml:space="preserve"> prior to or after Commission review and resubmit their application with new information</w:t>
      </w:r>
      <w:r w:rsidR="00C56CEA" w:rsidRPr="00D1178F">
        <w:rPr>
          <w:szCs w:val="22"/>
        </w:rPr>
        <w:t xml:space="preserve"> up until</w:t>
      </w:r>
      <w:r w:rsidR="00DD176A">
        <w:rPr>
          <w:szCs w:val="22"/>
        </w:rPr>
        <w:t xml:space="preserve"> August 7</w:t>
      </w:r>
      <w:r w:rsidR="00AB64CF">
        <w:rPr>
          <w:szCs w:val="22"/>
        </w:rPr>
        <w:t>,</w:t>
      </w:r>
      <w:r w:rsidR="00C56CEA" w:rsidRPr="00D1178F">
        <w:rPr>
          <w:szCs w:val="22"/>
        </w:rPr>
        <w:t xml:space="preserve"> 2017</w:t>
      </w:r>
      <w:r w:rsidR="00BD6D9D" w:rsidRPr="00D1178F">
        <w:rPr>
          <w:szCs w:val="22"/>
        </w:rPr>
        <w:t xml:space="preserve">.  </w:t>
      </w:r>
    </w:p>
    <w:p w:rsidR="000D7DB3" w:rsidRPr="00D1178F" w:rsidRDefault="000D7DB3" w:rsidP="00A22DD6">
      <w:pPr>
        <w:rPr>
          <w:szCs w:val="22"/>
        </w:rPr>
      </w:pPr>
    </w:p>
    <w:p w:rsidR="000A70EA" w:rsidRPr="00D1178F" w:rsidRDefault="00340260" w:rsidP="00A22DD6">
      <w:pPr>
        <w:rPr>
          <w:b/>
          <w:szCs w:val="22"/>
        </w:rPr>
      </w:pPr>
      <w:r w:rsidRPr="00D1178F">
        <w:rPr>
          <w:b/>
          <w:szCs w:val="22"/>
        </w:rPr>
        <w:t>5</w:t>
      </w:r>
      <w:r w:rsidR="00112498" w:rsidRPr="00D1178F">
        <w:rPr>
          <w:b/>
          <w:szCs w:val="22"/>
        </w:rPr>
        <w:t xml:space="preserve">.  </w:t>
      </w:r>
      <w:r w:rsidR="000A70EA" w:rsidRPr="00D1178F">
        <w:rPr>
          <w:b/>
          <w:szCs w:val="22"/>
        </w:rPr>
        <w:t>SPECIAL CASE</w:t>
      </w:r>
    </w:p>
    <w:p w:rsidR="00A82084" w:rsidRPr="00D1178F" w:rsidRDefault="00A82084" w:rsidP="00A22DD6">
      <w:pPr>
        <w:rPr>
          <w:b/>
          <w:szCs w:val="22"/>
        </w:rPr>
      </w:pPr>
    </w:p>
    <w:p w:rsidR="00680900" w:rsidRPr="00D1178F" w:rsidRDefault="00680900" w:rsidP="00C96FE7">
      <w:pPr>
        <w:ind w:firstLine="720"/>
        <w:rPr>
          <w:szCs w:val="22"/>
        </w:rPr>
      </w:pPr>
      <w:r w:rsidRPr="00D1178F">
        <w:rPr>
          <w:szCs w:val="22"/>
        </w:rPr>
        <w:t>I</w:t>
      </w:r>
      <w:r w:rsidR="00112498" w:rsidRPr="00D1178F">
        <w:rPr>
          <w:szCs w:val="22"/>
        </w:rPr>
        <w:t>f the licensee is using 3650</w:t>
      </w:r>
      <w:r w:rsidR="003E6D52">
        <w:rPr>
          <w:szCs w:val="22"/>
        </w:rPr>
        <w:t>-3700 MHz</w:t>
      </w:r>
      <w:r w:rsidR="00112498" w:rsidRPr="00D1178F">
        <w:rPr>
          <w:szCs w:val="22"/>
        </w:rPr>
        <w:t xml:space="preserve"> equipment for a </w:t>
      </w:r>
      <w:r w:rsidRPr="00D1178F">
        <w:rPr>
          <w:szCs w:val="22"/>
        </w:rPr>
        <w:t xml:space="preserve">point-to-point application, the user will </w:t>
      </w:r>
      <w:r w:rsidR="000A70EA" w:rsidRPr="00D1178F">
        <w:rPr>
          <w:szCs w:val="22"/>
        </w:rPr>
        <w:t xml:space="preserve">register </w:t>
      </w:r>
      <w:r w:rsidRPr="00D1178F">
        <w:rPr>
          <w:szCs w:val="22"/>
        </w:rPr>
        <w:t xml:space="preserve">each end </w:t>
      </w:r>
      <w:r w:rsidR="000A70EA" w:rsidRPr="00D1178F">
        <w:rPr>
          <w:szCs w:val="22"/>
        </w:rPr>
        <w:t xml:space="preserve">of the point-to-point link </w:t>
      </w:r>
      <w:r w:rsidRPr="00D1178F">
        <w:rPr>
          <w:szCs w:val="22"/>
        </w:rPr>
        <w:t xml:space="preserve">separately as a base station and </w:t>
      </w:r>
      <w:r w:rsidR="000A70EA" w:rsidRPr="00D1178F">
        <w:rPr>
          <w:szCs w:val="22"/>
        </w:rPr>
        <w:t xml:space="preserve">identify the receive location for that end of the point-to-point link as the furthest registered CPE. </w:t>
      </w:r>
    </w:p>
    <w:p w:rsidR="00680900" w:rsidRPr="00D1178F" w:rsidRDefault="00680900" w:rsidP="00680900">
      <w:pPr>
        <w:rPr>
          <w:b/>
          <w:szCs w:val="22"/>
        </w:rPr>
      </w:pPr>
    </w:p>
    <w:p w:rsidR="00680900" w:rsidRPr="00D1178F" w:rsidRDefault="00340260" w:rsidP="00680900">
      <w:pPr>
        <w:rPr>
          <w:b/>
          <w:szCs w:val="22"/>
        </w:rPr>
      </w:pPr>
      <w:r w:rsidRPr="00D1178F">
        <w:rPr>
          <w:b/>
          <w:szCs w:val="22"/>
        </w:rPr>
        <w:t>6</w:t>
      </w:r>
      <w:r w:rsidR="00112498" w:rsidRPr="00D1178F">
        <w:rPr>
          <w:b/>
          <w:szCs w:val="22"/>
        </w:rPr>
        <w:t>.</w:t>
      </w:r>
      <w:r w:rsidR="003B4FAF">
        <w:rPr>
          <w:b/>
          <w:szCs w:val="22"/>
        </w:rPr>
        <w:t xml:space="preserve">  </w:t>
      </w:r>
      <w:r w:rsidR="00A22DD6" w:rsidRPr="00D1178F">
        <w:rPr>
          <w:b/>
          <w:szCs w:val="22"/>
        </w:rPr>
        <w:t>WHERE TO FIND HELP</w:t>
      </w:r>
    </w:p>
    <w:p w:rsidR="0046542A" w:rsidRPr="00D1178F" w:rsidRDefault="0046542A" w:rsidP="00340260">
      <w:pPr>
        <w:rPr>
          <w:szCs w:val="22"/>
        </w:rPr>
      </w:pPr>
    </w:p>
    <w:p w:rsidR="00340260" w:rsidRPr="00D1178F" w:rsidRDefault="00340260" w:rsidP="00C96FE7">
      <w:pPr>
        <w:ind w:firstLine="720"/>
        <w:rPr>
          <w:szCs w:val="22"/>
        </w:rPr>
      </w:pPr>
      <w:r w:rsidRPr="00D1178F">
        <w:rPr>
          <w:szCs w:val="22"/>
        </w:rPr>
        <w:t>Bureau staff will be conducting webinars to demonstrate the filing tool.  Dates and times for those webinars will be</w:t>
      </w:r>
      <w:r w:rsidR="00D1178F" w:rsidRPr="00D1178F">
        <w:rPr>
          <w:szCs w:val="22"/>
        </w:rPr>
        <w:t xml:space="preserve"> posted </w:t>
      </w:r>
      <w:r w:rsidR="00872408">
        <w:rPr>
          <w:szCs w:val="22"/>
        </w:rPr>
        <w:t>at</w:t>
      </w:r>
      <w:r w:rsidR="00BE722E" w:rsidRPr="00BE722E">
        <w:t xml:space="preserve"> </w:t>
      </w:r>
      <w:hyperlink r:id="rId17" w:history="1">
        <w:r w:rsidR="009604C8" w:rsidRPr="003147C8">
          <w:rPr>
            <w:rStyle w:val="Hyperlink"/>
            <w:szCs w:val="22"/>
          </w:rPr>
          <w:t>www.fcc.gov/3650-3700-mhz-radio-service</w:t>
        </w:r>
      </w:hyperlink>
      <w:r w:rsidRPr="00D1178F">
        <w:rPr>
          <w:szCs w:val="22"/>
        </w:rPr>
        <w:t>.</w:t>
      </w:r>
      <w:r w:rsidR="003B4FAF">
        <w:rPr>
          <w:szCs w:val="22"/>
        </w:rPr>
        <w:t xml:space="preserve">  </w:t>
      </w:r>
      <w:r w:rsidR="00281297" w:rsidRPr="00D1178F">
        <w:rPr>
          <w:szCs w:val="22"/>
        </w:rPr>
        <w:t xml:space="preserve">Links to the recorded </w:t>
      </w:r>
      <w:r w:rsidR="00D1178F" w:rsidRPr="00D1178F">
        <w:rPr>
          <w:szCs w:val="22"/>
        </w:rPr>
        <w:t>webinar and additional tutorials</w:t>
      </w:r>
      <w:r w:rsidR="00281297" w:rsidRPr="00D1178F">
        <w:rPr>
          <w:szCs w:val="22"/>
        </w:rPr>
        <w:t xml:space="preserve"> will also be available </w:t>
      </w:r>
      <w:r w:rsidR="00D1178F" w:rsidRPr="00D1178F">
        <w:rPr>
          <w:szCs w:val="22"/>
        </w:rPr>
        <w:t>at this location.</w:t>
      </w:r>
    </w:p>
    <w:p w:rsidR="00340260" w:rsidRPr="00D1178F" w:rsidRDefault="00340260" w:rsidP="00340260">
      <w:pPr>
        <w:rPr>
          <w:szCs w:val="22"/>
        </w:rPr>
      </w:pPr>
    </w:p>
    <w:p w:rsidR="00340260" w:rsidRPr="00DA025D" w:rsidRDefault="00340260" w:rsidP="00C96FE7">
      <w:pPr>
        <w:autoSpaceDE w:val="0"/>
        <w:autoSpaceDN w:val="0"/>
        <w:adjustRightInd w:val="0"/>
        <w:ind w:firstLine="720"/>
        <w:rPr>
          <w:sz w:val="24"/>
          <w:szCs w:val="24"/>
        </w:rPr>
      </w:pPr>
      <w:r w:rsidRPr="00D1178F">
        <w:rPr>
          <w:rFonts w:eastAsia="TimesNewRoman"/>
          <w:color w:val="000000"/>
          <w:szCs w:val="22"/>
        </w:rPr>
        <w:t>For further information, contact Cheryl Black, Broadband Division, Wireless Telecommunications Bureau at (717) 338-</w:t>
      </w:r>
      <w:r w:rsidR="00586F70" w:rsidRPr="00D1178F">
        <w:rPr>
          <w:rFonts w:eastAsia="TimesNewRoman"/>
          <w:color w:val="000000"/>
          <w:szCs w:val="22"/>
        </w:rPr>
        <w:t>2617</w:t>
      </w:r>
      <w:r w:rsidRPr="00D1178F">
        <w:rPr>
          <w:rFonts w:eastAsia="TimesNewRoman"/>
          <w:color w:val="000000"/>
          <w:szCs w:val="22"/>
        </w:rPr>
        <w:t xml:space="preserve">, or by e-mail at </w:t>
      </w:r>
      <w:r w:rsidRPr="00D1178F">
        <w:rPr>
          <w:rFonts w:eastAsia="TimesNewRoman"/>
          <w:szCs w:val="22"/>
        </w:rPr>
        <w:t>Cheryl.Black@fcc.gov or John Lambert, Broadband Division, Wireless Telecommunications Bureau at (717) 338-</w:t>
      </w:r>
      <w:r w:rsidR="00586F70" w:rsidRPr="00D1178F">
        <w:rPr>
          <w:rFonts w:eastAsia="TimesNewRoman"/>
          <w:szCs w:val="22"/>
        </w:rPr>
        <w:t>2530</w:t>
      </w:r>
      <w:r w:rsidRPr="00D1178F">
        <w:rPr>
          <w:rFonts w:eastAsia="TimesNewRoman"/>
          <w:szCs w:val="22"/>
        </w:rPr>
        <w:t>, or by e-mail at John.Lambert@fcc.go</w:t>
      </w:r>
      <w:r w:rsidRPr="00DA025D">
        <w:rPr>
          <w:rFonts w:eastAsia="TimesNewRoman"/>
          <w:sz w:val="24"/>
          <w:szCs w:val="24"/>
        </w:rPr>
        <w:t>v.</w:t>
      </w:r>
    </w:p>
    <w:sectPr w:rsidR="00340260" w:rsidRPr="00DA025D">
      <w:type w:val="continuous"/>
      <w:pgSz w:w="12240" w:h="15840" w:code="1"/>
      <w:pgMar w:top="1152"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5BD" w:rsidRDefault="006825BD">
      <w:r>
        <w:separator/>
      </w:r>
    </w:p>
  </w:endnote>
  <w:endnote w:type="continuationSeparator" w:id="0">
    <w:p w:rsidR="006825BD" w:rsidRDefault="0068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2A" w:rsidRDefault="004654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542A" w:rsidRDefault="004654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2A" w:rsidRDefault="004654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3A14">
      <w:rPr>
        <w:rStyle w:val="PageNumber"/>
        <w:noProof/>
      </w:rPr>
      <w:t>2</w:t>
    </w:r>
    <w:r>
      <w:rPr>
        <w:rStyle w:val="PageNumber"/>
      </w:rPr>
      <w:fldChar w:fldCharType="end"/>
    </w:r>
  </w:p>
  <w:p w:rsidR="0046542A" w:rsidRPr="005856A2" w:rsidRDefault="004654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2A" w:rsidRDefault="0046542A">
    <w:pPr>
      <w:pStyle w:val="Footer"/>
      <w:tabs>
        <w:tab w:val="clear" w:pos="8640"/>
        <w:tab w:val="right" w:pos="10800"/>
      </w:tabs>
    </w:pPr>
    <w:r>
      <w:rPr>
        <w:b/>
        <w:snapToGrid w:val="0"/>
        <w:sz w:val="18"/>
        <w:szCs w:val="18"/>
      </w:rPr>
      <w:tab/>
    </w:r>
    <w:r>
      <w:rPr>
        <w:snapToGrid w:val="0"/>
        <w:szCs w:val="22"/>
      </w:rPr>
      <w:t>Non-public—For Internal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5BD" w:rsidRDefault="006825BD">
      <w:r>
        <w:separator/>
      </w:r>
    </w:p>
  </w:footnote>
  <w:footnote w:type="continuationSeparator" w:id="0">
    <w:p w:rsidR="006825BD" w:rsidRDefault="006825BD">
      <w:r>
        <w:continuationSeparator/>
      </w:r>
    </w:p>
  </w:footnote>
  <w:footnote w:id="1">
    <w:p w:rsidR="000A1BF5" w:rsidRDefault="000A1BF5" w:rsidP="000A1BF5">
      <w:pPr>
        <w:pStyle w:val="FootnoteText"/>
      </w:pPr>
      <w:r>
        <w:rPr>
          <w:rStyle w:val="FootnoteReference"/>
        </w:rPr>
        <w:footnoteRef/>
      </w:r>
      <w:r>
        <w:t xml:space="preserve"> </w:t>
      </w:r>
      <w:r w:rsidRPr="007A65A7">
        <w:rPr>
          <w:i/>
          <w:sz w:val="20"/>
        </w:rPr>
        <w:t>Amendment of the Commission's Rules with Regard to Commercial Operations in the 3550-3650 MHz Band</w:t>
      </w:r>
      <w:r w:rsidRPr="007A65A7">
        <w:rPr>
          <w:sz w:val="20"/>
        </w:rPr>
        <w:t>, GN Docket 12-354,</w:t>
      </w:r>
      <w:r w:rsidRPr="007A65A7">
        <w:rPr>
          <w:i/>
          <w:sz w:val="20"/>
        </w:rPr>
        <w:t xml:space="preserve"> </w:t>
      </w:r>
      <w:r w:rsidRPr="007A65A7">
        <w:rPr>
          <w:sz w:val="20"/>
        </w:rPr>
        <w:t>Report and Order and Second Further Notice of Proposed Rulemaking, 30 FCC Rcd 3959 (2015) (</w:t>
      </w:r>
      <w:r w:rsidRPr="007A65A7">
        <w:rPr>
          <w:i/>
          <w:sz w:val="20"/>
        </w:rPr>
        <w:t>3.5 GHz Order</w:t>
      </w:r>
      <w:r w:rsidRPr="007A65A7">
        <w:rPr>
          <w:sz w:val="20"/>
        </w:rPr>
        <w:t>).</w:t>
      </w:r>
      <w:r w:rsidRPr="007A65A7">
        <w:rPr>
          <w:i/>
          <w:sz w:val="20"/>
        </w:rPr>
        <w:t xml:space="preserve"> </w:t>
      </w:r>
      <w:r>
        <w:rPr>
          <w:i/>
        </w:rPr>
        <w:t xml:space="preserve"> </w:t>
      </w:r>
    </w:p>
  </w:footnote>
  <w:footnote w:id="2">
    <w:p w:rsidR="007A787B" w:rsidRPr="006B648B" w:rsidRDefault="007A787B" w:rsidP="007A787B">
      <w:pPr>
        <w:pStyle w:val="FootnoteText"/>
      </w:pPr>
      <w:r>
        <w:rPr>
          <w:rStyle w:val="FootnoteReference"/>
        </w:rPr>
        <w:footnoteRef/>
      </w:r>
      <w:r w:rsidR="00E21419">
        <w:t xml:space="preserve"> </w:t>
      </w:r>
      <w:r w:rsidR="00A85603" w:rsidRPr="002A1573">
        <w:rPr>
          <w:i/>
          <w:sz w:val="20"/>
        </w:rPr>
        <w:t>Id.</w:t>
      </w:r>
      <w:r w:rsidR="00A85603">
        <w:rPr>
          <w:sz w:val="20"/>
        </w:rPr>
        <w:t xml:space="preserve"> at </w:t>
      </w:r>
      <w:r>
        <w:rPr>
          <w:sz w:val="20"/>
        </w:rPr>
        <w:t>407</w:t>
      </w:r>
      <w:r w:rsidR="00A85603">
        <w:rPr>
          <w:sz w:val="20"/>
        </w:rPr>
        <w:t>5-80</w:t>
      </w:r>
      <w:r>
        <w:rPr>
          <w:sz w:val="20"/>
        </w:rPr>
        <w:t>, para</w:t>
      </w:r>
      <w:r w:rsidR="00A85603">
        <w:rPr>
          <w:sz w:val="20"/>
        </w:rPr>
        <w:t>s</w:t>
      </w:r>
      <w:r>
        <w:rPr>
          <w:sz w:val="20"/>
        </w:rPr>
        <w:t>. 40</w:t>
      </w:r>
      <w:r w:rsidR="00A85603">
        <w:rPr>
          <w:sz w:val="20"/>
        </w:rPr>
        <w:t>0-412</w:t>
      </w:r>
      <w:r w:rsidRPr="007A65A7">
        <w:rPr>
          <w:sz w:val="20"/>
        </w:rPr>
        <w:t>.</w:t>
      </w:r>
      <w:r w:rsidRPr="002A1573">
        <w:rPr>
          <w:sz w:val="20"/>
        </w:rPr>
        <w:t xml:space="preserve"> </w:t>
      </w:r>
      <w:r w:rsidRPr="002A1573">
        <w:t xml:space="preserve"> </w:t>
      </w:r>
      <w:r w:rsidR="00EA573E" w:rsidRPr="002A1573">
        <w:rPr>
          <w:sz w:val="20"/>
        </w:rPr>
        <w:t xml:space="preserve">3650 MHz Band incumbent users will receive protection for five years after the </w:t>
      </w:r>
      <w:r w:rsidR="00EA573E" w:rsidRPr="002A1573">
        <w:rPr>
          <w:i/>
          <w:sz w:val="20"/>
        </w:rPr>
        <w:t xml:space="preserve">3.5 GHz Order </w:t>
      </w:r>
      <w:r w:rsidR="00EA573E" w:rsidRPr="002A1573">
        <w:rPr>
          <w:sz w:val="20"/>
        </w:rPr>
        <w:t xml:space="preserve">adoption date of April 17, 2015, or for the remainder of the license term, whichever is longer, with the exception that Part 90 incumbents licensed after January 8, 2013, will be limited to a protection period of five years after the </w:t>
      </w:r>
      <w:r w:rsidR="00EA573E" w:rsidRPr="002A1573">
        <w:rPr>
          <w:i/>
          <w:sz w:val="20"/>
        </w:rPr>
        <w:t>3.5 GHz Order</w:t>
      </w:r>
      <w:r w:rsidR="00EA573E" w:rsidRPr="002A1573">
        <w:rPr>
          <w:sz w:val="20"/>
        </w:rPr>
        <w:t xml:space="preserve"> adoption date.  </w:t>
      </w:r>
      <w:r w:rsidR="00EA573E" w:rsidRPr="002A1573">
        <w:rPr>
          <w:i/>
          <w:sz w:val="20"/>
        </w:rPr>
        <w:t xml:space="preserve">See 3.5 GHz Order </w:t>
      </w:r>
      <w:r w:rsidR="00EA573E" w:rsidRPr="002A1573">
        <w:rPr>
          <w:sz w:val="20"/>
        </w:rPr>
        <w:t>30 FCC Rcd</w:t>
      </w:r>
      <w:r w:rsidR="00EA573E" w:rsidRPr="002A1573">
        <w:rPr>
          <w:i/>
          <w:sz w:val="20"/>
        </w:rPr>
        <w:t xml:space="preserve"> </w:t>
      </w:r>
      <w:r w:rsidR="00EA573E" w:rsidRPr="002A1573">
        <w:rPr>
          <w:sz w:val="20"/>
        </w:rPr>
        <w:t>at 4075-76, para. 400.</w:t>
      </w:r>
    </w:p>
  </w:footnote>
  <w:footnote w:id="3">
    <w:p w:rsidR="00F96FA6" w:rsidRPr="00B512CE" w:rsidRDefault="00F96FA6" w:rsidP="00F96FA6">
      <w:pPr>
        <w:pStyle w:val="FootnoteText"/>
      </w:pPr>
      <w:r>
        <w:rPr>
          <w:rStyle w:val="FootnoteReference"/>
        </w:rPr>
        <w:footnoteRef/>
      </w:r>
      <w:r w:rsidR="00E21419">
        <w:t xml:space="preserve"> </w:t>
      </w:r>
      <w:r w:rsidRPr="007A65A7">
        <w:rPr>
          <w:i/>
          <w:sz w:val="20"/>
        </w:rPr>
        <w:t>Id.</w:t>
      </w:r>
      <w:r>
        <w:rPr>
          <w:sz w:val="20"/>
        </w:rPr>
        <w:t xml:space="preserve"> at 4078, para. 40</w:t>
      </w:r>
      <w:r w:rsidR="00B512CE">
        <w:rPr>
          <w:sz w:val="20"/>
        </w:rPr>
        <w:t>6</w:t>
      </w:r>
      <w:r w:rsidRPr="007A65A7">
        <w:rPr>
          <w:sz w:val="20"/>
        </w:rPr>
        <w:t>.</w:t>
      </w:r>
      <w:r w:rsidRPr="007A65A7">
        <w:rPr>
          <w:i/>
          <w:sz w:val="20"/>
        </w:rPr>
        <w:t xml:space="preserve"> </w:t>
      </w:r>
      <w:r>
        <w:rPr>
          <w:i/>
        </w:rPr>
        <w:t xml:space="preserve"> </w:t>
      </w:r>
    </w:p>
  </w:footnote>
  <w:footnote w:id="4">
    <w:p w:rsidR="006F74B2" w:rsidRPr="002A1573" w:rsidRDefault="006F74B2">
      <w:pPr>
        <w:pStyle w:val="FootnoteText"/>
        <w:rPr>
          <w:sz w:val="20"/>
        </w:rPr>
      </w:pPr>
      <w:r>
        <w:rPr>
          <w:rStyle w:val="FootnoteReference"/>
        </w:rPr>
        <w:footnoteRef/>
      </w:r>
      <w:r>
        <w:t xml:space="preserve"> </w:t>
      </w:r>
      <w:r w:rsidRPr="002A1573">
        <w:rPr>
          <w:sz w:val="20"/>
        </w:rPr>
        <w:t>47 C.F.R. § 96.3</w:t>
      </w:r>
      <w:r>
        <w:rPr>
          <w:sz w:val="20"/>
        </w:rPr>
        <w:t>.</w:t>
      </w:r>
    </w:p>
  </w:footnote>
  <w:footnote w:id="5">
    <w:p w:rsidR="00680900" w:rsidRPr="00503FF0" w:rsidRDefault="00680900" w:rsidP="00680900">
      <w:pPr>
        <w:pStyle w:val="FootnoteText"/>
        <w:rPr>
          <w:sz w:val="20"/>
        </w:rPr>
      </w:pPr>
      <w:r w:rsidRPr="00503FF0">
        <w:rPr>
          <w:rStyle w:val="FootnoteReference"/>
          <w:sz w:val="20"/>
        </w:rPr>
        <w:footnoteRef/>
      </w:r>
      <w:r w:rsidRPr="00503FF0">
        <w:rPr>
          <w:sz w:val="20"/>
        </w:rPr>
        <w:t xml:space="preserve"> </w:t>
      </w:r>
      <w:r w:rsidRPr="00503FF0">
        <w:rPr>
          <w:i/>
          <w:iCs/>
          <w:sz w:val="20"/>
        </w:rPr>
        <w:t>See</w:t>
      </w:r>
      <w:r w:rsidRPr="00503FF0">
        <w:rPr>
          <w:sz w:val="20"/>
        </w:rPr>
        <w:t xml:space="preserve"> </w:t>
      </w:r>
      <w:r w:rsidR="00503FF0" w:rsidRPr="004A5DB3">
        <w:rPr>
          <w:i/>
          <w:sz w:val="20"/>
        </w:rPr>
        <w:t>Wireless Telecommunications Bureau and Office of Engineering and Technology Announce Methodology for Determining the Protected Contours for Grandfathered 3650–</w:t>
      </w:r>
      <w:r w:rsidR="00EB639A">
        <w:rPr>
          <w:i/>
          <w:sz w:val="20"/>
        </w:rPr>
        <w:t>3</w:t>
      </w:r>
      <w:r w:rsidR="00503FF0" w:rsidRPr="004A5DB3">
        <w:rPr>
          <w:i/>
          <w:sz w:val="20"/>
        </w:rPr>
        <w:t>700 MHz Band Licensees</w:t>
      </w:r>
      <w:r w:rsidR="00503FF0" w:rsidRPr="00503FF0">
        <w:rPr>
          <w:sz w:val="20"/>
        </w:rPr>
        <w:t xml:space="preserve">, GN Docket No. 12-354, </w:t>
      </w:r>
      <w:r w:rsidR="00503FF0" w:rsidRPr="004A5DB3">
        <w:rPr>
          <w:iCs/>
          <w:sz w:val="20"/>
        </w:rPr>
        <w:t>Public Notice</w:t>
      </w:r>
      <w:r w:rsidR="00503FF0" w:rsidRPr="00C56CEA">
        <w:rPr>
          <w:sz w:val="20"/>
        </w:rPr>
        <w:t>,</w:t>
      </w:r>
      <w:r w:rsidR="00503FF0" w:rsidRPr="00503FF0">
        <w:rPr>
          <w:sz w:val="20"/>
        </w:rPr>
        <w:t xml:space="preserve"> </w:t>
      </w:r>
      <w:r w:rsidR="00EB639A">
        <w:rPr>
          <w:sz w:val="20"/>
        </w:rPr>
        <w:t xml:space="preserve">31 </w:t>
      </w:r>
      <w:r w:rsidR="00503FF0" w:rsidRPr="00503FF0">
        <w:rPr>
          <w:sz w:val="20"/>
        </w:rPr>
        <w:t>FCC</w:t>
      </w:r>
      <w:r w:rsidR="004003E0">
        <w:rPr>
          <w:sz w:val="20"/>
        </w:rPr>
        <w:t xml:space="preserve"> Rcd</w:t>
      </w:r>
      <w:r w:rsidR="00EB639A">
        <w:rPr>
          <w:sz w:val="20"/>
        </w:rPr>
        <w:t xml:space="preserve"> 9037</w:t>
      </w:r>
      <w:r w:rsidR="00EB639A" w:rsidRPr="00503FF0">
        <w:rPr>
          <w:sz w:val="20"/>
        </w:rPr>
        <w:t xml:space="preserve"> </w:t>
      </w:r>
      <w:r w:rsidR="00503FF0" w:rsidRPr="00503FF0">
        <w:rPr>
          <w:sz w:val="20"/>
        </w:rPr>
        <w:t>(</w:t>
      </w:r>
      <w:r w:rsidR="00EB639A">
        <w:rPr>
          <w:sz w:val="20"/>
        </w:rPr>
        <w:t xml:space="preserve">WTB/OET </w:t>
      </w:r>
      <w:r w:rsidR="00503FF0" w:rsidRPr="00503FF0">
        <w:rPr>
          <w:sz w:val="20"/>
        </w:rPr>
        <w:t>201</w:t>
      </w:r>
      <w:r w:rsidR="00EB639A">
        <w:rPr>
          <w:sz w:val="20"/>
        </w:rPr>
        <w:t>6</w:t>
      </w:r>
      <w:r w:rsidR="00503FF0" w:rsidRPr="00503FF0">
        <w:rPr>
          <w:sz w:val="20"/>
        </w:rPr>
        <w:t>) (</w:t>
      </w:r>
      <w:r w:rsidR="00503FF0" w:rsidRPr="00503FF0">
        <w:rPr>
          <w:i/>
          <w:iCs/>
          <w:sz w:val="20"/>
        </w:rPr>
        <w:t xml:space="preserve">3650-3700 MHz Band Protection Contours </w:t>
      </w:r>
      <w:r w:rsidR="006F4EE3">
        <w:rPr>
          <w:i/>
          <w:iCs/>
          <w:sz w:val="20"/>
        </w:rPr>
        <w:t>Public Notice</w:t>
      </w:r>
      <w:r w:rsidR="006F4EE3">
        <w:rPr>
          <w:iCs/>
          <w:sz w:val="20"/>
        </w:rPr>
        <w:t>)</w:t>
      </w:r>
      <w:r w:rsidR="00503FF0" w:rsidRPr="00503FF0">
        <w:rPr>
          <w:sz w:val="20"/>
        </w:rPr>
        <w:t>.</w:t>
      </w:r>
    </w:p>
  </w:footnote>
  <w:footnote w:id="6">
    <w:p w:rsidR="00ED7D5F" w:rsidRPr="00C56CEA" w:rsidRDefault="00ED7D5F" w:rsidP="00ED7D5F">
      <w:pPr>
        <w:pStyle w:val="FootnoteText"/>
      </w:pPr>
      <w:r>
        <w:rPr>
          <w:rStyle w:val="FootnoteReference"/>
        </w:rPr>
        <w:footnoteRef/>
      </w:r>
      <w:r>
        <w:t xml:space="preserve"> </w:t>
      </w:r>
      <w:r w:rsidRPr="007A65A7">
        <w:rPr>
          <w:i/>
          <w:sz w:val="20"/>
        </w:rPr>
        <w:t xml:space="preserve">See </w:t>
      </w:r>
      <w:r>
        <w:rPr>
          <w:i/>
          <w:iCs/>
          <w:sz w:val="20"/>
        </w:rPr>
        <w:t>id.</w:t>
      </w:r>
      <w:r w:rsidRPr="007A65A7">
        <w:rPr>
          <w:iCs/>
          <w:sz w:val="20"/>
        </w:rPr>
        <w:t xml:space="preserve"> at 904</w:t>
      </w:r>
      <w:r>
        <w:rPr>
          <w:iCs/>
          <w:sz w:val="20"/>
        </w:rPr>
        <w:t>3, para. 21</w:t>
      </w:r>
      <w:r w:rsidRPr="007A65A7">
        <w:rPr>
          <w:iCs/>
          <w:sz w:val="20"/>
        </w:rPr>
        <w:t>.</w:t>
      </w:r>
    </w:p>
  </w:footnote>
  <w:footnote w:id="7">
    <w:p w:rsidR="00261917" w:rsidRPr="00C56CEA" w:rsidRDefault="00261917" w:rsidP="00261917">
      <w:pPr>
        <w:pStyle w:val="FootnoteText"/>
      </w:pPr>
      <w:r>
        <w:rPr>
          <w:rStyle w:val="FootnoteReference"/>
        </w:rPr>
        <w:footnoteRef/>
      </w:r>
      <w:r>
        <w:t xml:space="preserve"> </w:t>
      </w:r>
      <w:r w:rsidRPr="007A65A7">
        <w:rPr>
          <w:i/>
          <w:sz w:val="20"/>
        </w:rPr>
        <w:t xml:space="preserve">See </w:t>
      </w:r>
      <w:r>
        <w:rPr>
          <w:i/>
          <w:iCs/>
          <w:sz w:val="20"/>
        </w:rPr>
        <w:t>id.</w:t>
      </w:r>
      <w:r w:rsidRPr="007A65A7">
        <w:rPr>
          <w:iCs/>
          <w:sz w:val="20"/>
        </w:rPr>
        <w:t xml:space="preserve"> at 9042</w:t>
      </w:r>
      <w:r w:rsidR="00205CD1">
        <w:rPr>
          <w:iCs/>
          <w:sz w:val="20"/>
        </w:rPr>
        <w:t>, para. 20</w:t>
      </w:r>
      <w:r w:rsidRPr="007A65A7">
        <w:rPr>
          <w:iCs/>
          <w:sz w:val="20"/>
        </w:rPr>
        <w:t>.</w:t>
      </w:r>
    </w:p>
  </w:footnote>
  <w:footnote w:id="8">
    <w:p w:rsidR="00007684" w:rsidRDefault="00007684">
      <w:pPr>
        <w:pStyle w:val="FootnoteText"/>
      </w:pPr>
      <w:r>
        <w:rPr>
          <w:rStyle w:val="FootnoteReference"/>
        </w:rPr>
        <w:footnoteRef/>
      </w:r>
      <w:r>
        <w:t xml:space="preserve"> </w:t>
      </w:r>
      <w:r w:rsidRPr="002A1573">
        <w:rPr>
          <w:sz w:val="20"/>
        </w:rPr>
        <w:t>To assist in determining the distance to the furthest registered CPE and to ensure that licensees are identifying properly registered CPEs</w:t>
      </w:r>
      <w:r w:rsidR="00596745">
        <w:rPr>
          <w:sz w:val="20"/>
        </w:rPr>
        <w:t>,</w:t>
      </w:r>
      <w:r w:rsidRPr="002A1573">
        <w:rPr>
          <w:sz w:val="20"/>
        </w:rPr>
        <w:t xml:space="preserve"> the </w:t>
      </w:r>
      <w:r w:rsidR="00596745">
        <w:rPr>
          <w:sz w:val="20"/>
        </w:rPr>
        <w:t xml:space="preserve">application </w:t>
      </w:r>
      <w:r w:rsidRPr="002A1573">
        <w:rPr>
          <w:sz w:val="20"/>
        </w:rPr>
        <w:t xml:space="preserve">tool will require that </w:t>
      </w:r>
      <w:r w:rsidR="00596745">
        <w:rPr>
          <w:sz w:val="20"/>
        </w:rPr>
        <w:t>applicants</w:t>
      </w:r>
      <w:r w:rsidRPr="002A1573">
        <w:rPr>
          <w:sz w:val="20"/>
        </w:rPr>
        <w:t xml:space="preserve"> select the furthest registered CPE from a list of those facilities that have been registered and will automatically calculate the distance to that CPE.</w:t>
      </w:r>
      <w:r>
        <w:t xml:space="preserve">  </w:t>
      </w:r>
    </w:p>
  </w:footnote>
  <w:footnote w:id="9">
    <w:p w:rsidR="00A22DD6" w:rsidRDefault="00A22DD6">
      <w:pPr>
        <w:pStyle w:val="FootnoteText"/>
      </w:pPr>
      <w:r>
        <w:rPr>
          <w:rStyle w:val="FootnoteReference"/>
        </w:rPr>
        <w:footnoteRef/>
      </w:r>
      <w:r>
        <w:t xml:space="preserve"> </w:t>
      </w:r>
      <w:r w:rsidRPr="002A1573">
        <w:rPr>
          <w:sz w:val="20"/>
        </w:rPr>
        <w:t xml:space="preserve">The initial list of locations is pre-filtered to show locations that are registered with equipment that the FCC understands to be </w:t>
      </w:r>
      <w:r w:rsidR="00112498" w:rsidRPr="002A1573">
        <w:rPr>
          <w:sz w:val="20"/>
        </w:rPr>
        <w:t xml:space="preserve">either </w:t>
      </w:r>
      <w:r w:rsidRPr="002A1573">
        <w:rPr>
          <w:sz w:val="20"/>
        </w:rPr>
        <w:t xml:space="preserve">base station </w:t>
      </w:r>
      <w:r w:rsidR="00112498" w:rsidRPr="002A1573">
        <w:rPr>
          <w:sz w:val="20"/>
        </w:rPr>
        <w:t>or p</w:t>
      </w:r>
      <w:r w:rsidR="00413448">
        <w:rPr>
          <w:sz w:val="20"/>
        </w:rPr>
        <w:t>oin</w:t>
      </w:r>
      <w:r w:rsidR="00112498" w:rsidRPr="002A1573">
        <w:rPr>
          <w:sz w:val="20"/>
        </w:rPr>
        <w:t>t-to-p</w:t>
      </w:r>
      <w:r w:rsidR="00413448">
        <w:rPr>
          <w:sz w:val="20"/>
        </w:rPr>
        <w:t>oin</w:t>
      </w:r>
      <w:r w:rsidR="00112498" w:rsidRPr="002A1573">
        <w:rPr>
          <w:sz w:val="20"/>
        </w:rPr>
        <w:t>t/dual use equipment</w:t>
      </w:r>
      <w:r w:rsidR="00340260" w:rsidRPr="002A1573">
        <w:rPr>
          <w:sz w:val="20"/>
        </w:rPr>
        <w:t xml:space="preserve"> based on information that was submitted in the equipment type certification or from other sources.  There are four FCC designated equipment types – Base, CPE, Dual Use/Pt-to-Pt, and Undefined</w:t>
      </w:r>
      <w:r w:rsidR="00112498" w:rsidRPr="002A1573">
        <w:rPr>
          <w:sz w:val="20"/>
        </w:rPr>
        <w:t>.</w:t>
      </w:r>
      <w:r>
        <w:t xml:space="preserve"> </w:t>
      </w:r>
    </w:p>
  </w:footnote>
  <w:footnote w:id="10">
    <w:p w:rsidR="00BD6D9D" w:rsidRDefault="00BD6D9D">
      <w:pPr>
        <w:pStyle w:val="FootnoteText"/>
      </w:pPr>
      <w:r>
        <w:rPr>
          <w:rStyle w:val="FootnoteReference"/>
        </w:rPr>
        <w:footnoteRef/>
      </w:r>
      <w:r>
        <w:t xml:space="preserve"> </w:t>
      </w:r>
      <w:r w:rsidRPr="002A1573">
        <w:rPr>
          <w:sz w:val="20"/>
        </w:rPr>
        <w:t>Licensees will have an option to remove the filter from the initial list of base stations to show all locations that are registered under their call</w:t>
      </w:r>
      <w:r w:rsidR="000A70EA" w:rsidRPr="002A1573">
        <w:rPr>
          <w:sz w:val="20"/>
        </w:rPr>
        <w:t xml:space="preserve"> </w:t>
      </w:r>
      <w:r w:rsidR="00E21419">
        <w:rPr>
          <w:sz w:val="20"/>
        </w:rPr>
        <w:t xml:space="preserve">sign.  </w:t>
      </w:r>
      <w:r w:rsidRPr="002A1573">
        <w:rPr>
          <w:sz w:val="20"/>
        </w:rPr>
        <w:t xml:space="preserve">If a licensee selects a location with equipment that is not </w:t>
      </w:r>
      <w:r w:rsidR="00112498" w:rsidRPr="002A1573">
        <w:rPr>
          <w:sz w:val="20"/>
        </w:rPr>
        <w:t>designated as</w:t>
      </w:r>
      <w:r w:rsidRPr="002A1573">
        <w:rPr>
          <w:sz w:val="20"/>
        </w:rPr>
        <w:t xml:space="preserve"> base station equipment or dual use/p</w:t>
      </w:r>
      <w:r w:rsidR="00413448">
        <w:rPr>
          <w:sz w:val="20"/>
        </w:rPr>
        <w:t>oin</w:t>
      </w:r>
      <w:r w:rsidRPr="002A1573">
        <w:rPr>
          <w:sz w:val="20"/>
        </w:rPr>
        <w:t>t-to-p</w:t>
      </w:r>
      <w:r w:rsidR="00413448">
        <w:rPr>
          <w:sz w:val="20"/>
        </w:rPr>
        <w:t>oin</w:t>
      </w:r>
      <w:r w:rsidRPr="002A1573">
        <w:rPr>
          <w:sz w:val="20"/>
        </w:rPr>
        <w:t>t</w:t>
      </w:r>
      <w:r w:rsidR="00413448">
        <w:rPr>
          <w:sz w:val="20"/>
        </w:rPr>
        <w:t>,</w:t>
      </w:r>
      <w:r w:rsidR="001A160C">
        <w:rPr>
          <w:sz w:val="20"/>
        </w:rPr>
        <w:t xml:space="preserve"> the licensee</w:t>
      </w:r>
      <w:r w:rsidRPr="002A1573">
        <w:rPr>
          <w:sz w:val="20"/>
        </w:rPr>
        <w:t xml:space="preserve"> will be required to explain how the </w:t>
      </w:r>
      <w:r w:rsidR="00340260" w:rsidRPr="002A1573">
        <w:rPr>
          <w:sz w:val="20"/>
        </w:rPr>
        <w:t>location</w:t>
      </w:r>
      <w:r w:rsidRPr="002A1573">
        <w:rPr>
          <w:sz w:val="20"/>
        </w:rPr>
        <w:t xml:space="preserve"> qualifies as a base station.</w:t>
      </w:r>
      <w:r>
        <w:t xml:space="preserve">  </w:t>
      </w:r>
    </w:p>
  </w:footnote>
  <w:footnote w:id="11">
    <w:p w:rsidR="00BD6D9D" w:rsidRDefault="00BD6D9D">
      <w:pPr>
        <w:pStyle w:val="FootnoteText"/>
      </w:pPr>
      <w:r>
        <w:rPr>
          <w:rStyle w:val="FootnoteReference"/>
        </w:rPr>
        <w:footnoteRef/>
      </w:r>
      <w:r>
        <w:t xml:space="preserve"> </w:t>
      </w:r>
      <w:r w:rsidRPr="002A1573">
        <w:rPr>
          <w:sz w:val="20"/>
        </w:rPr>
        <w:t xml:space="preserve">For example, </w:t>
      </w:r>
      <w:r w:rsidR="000A70EA" w:rsidRPr="002A1573">
        <w:rPr>
          <w:sz w:val="20"/>
        </w:rPr>
        <w:t>the furthest registered CPE must be located within the beam of the registered base station sector.    Also, if the licensee selects a CPE that is further than 18</w:t>
      </w:r>
      <w:r w:rsidR="00413448">
        <w:rPr>
          <w:sz w:val="20"/>
        </w:rPr>
        <w:t xml:space="preserve"> </w:t>
      </w:r>
      <w:r w:rsidR="000A70EA" w:rsidRPr="002A1573">
        <w:rPr>
          <w:sz w:val="20"/>
        </w:rPr>
        <w:t>km away from the base station, the licensee will be required to explain how the base station is capable of providing service to that CPE.</w:t>
      </w:r>
      <w:r w:rsidR="000A70EA">
        <w:t xml:space="preserve"> </w:t>
      </w:r>
    </w:p>
  </w:footnote>
  <w:footnote w:id="12">
    <w:p w:rsidR="00000518" w:rsidRDefault="00000518">
      <w:pPr>
        <w:pStyle w:val="FootnoteText"/>
      </w:pPr>
      <w:r>
        <w:rPr>
          <w:rStyle w:val="FootnoteReference"/>
        </w:rPr>
        <w:footnoteRef/>
      </w:r>
      <w:r>
        <w:t xml:space="preserve"> </w:t>
      </w:r>
      <w:r w:rsidRPr="00790EFE">
        <w:rPr>
          <w:sz w:val="20"/>
        </w:rPr>
        <w:t>Applications</w:t>
      </w:r>
      <w:r w:rsidR="001A160C">
        <w:rPr>
          <w:sz w:val="20"/>
        </w:rPr>
        <w:t xml:space="preserve"> may</w:t>
      </w:r>
      <w:r w:rsidRPr="00790EFE">
        <w:rPr>
          <w:sz w:val="20"/>
        </w:rPr>
        <w:t xml:space="preserve"> be rejected in limited circumstances where the licensee fails to justify configurations or parameters that exceed the validations</w:t>
      </w:r>
      <w:r w:rsidR="00F46FA6">
        <w:rPr>
          <w:sz w:val="20"/>
        </w:rPr>
        <w:t>.</w:t>
      </w:r>
      <w:r w:rsidRPr="00790EFE">
        <w:rPr>
          <w:sz w:val="20"/>
        </w:rPr>
        <w:t xml:space="preserve"> </w:t>
      </w:r>
      <w:r w:rsidR="00F46FA6">
        <w:rPr>
          <w:sz w:val="20"/>
        </w:rPr>
        <w:t xml:space="preserve"> </w:t>
      </w:r>
      <w:r w:rsidR="00F46FA6">
        <w:rPr>
          <w:i/>
          <w:sz w:val="20"/>
        </w:rPr>
        <w:t>S</w:t>
      </w:r>
      <w:r w:rsidRPr="00790EFE">
        <w:rPr>
          <w:i/>
          <w:sz w:val="20"/>
        </w:rPr>
        <w:t>ee</w:t>
      </w:r>
      <w:r w:rsidRPr="00790EFE">
        <w:rPr>
          <w:sz w:val="20"/>
        </w:rPr>
        <w:t xml:space="preserve"> </w:t>
      </w:r>
      <w:r w:rsidR="00946845">
        <w:rPr>
          <w:i/>
          <w:sz w:val="20"/>
        </w:rPr>
        <w:t xml:space="preserve">supra </w:t>
      </w:r>
      <w:r w:rsidRPr="00790EFE">
        <w:rPr>
          <w:sz w:val="20"/>
        </w:rPr>
        <w:t>note</w:t>
      </w:r>
      <w:r w:rsidR="00F46FA6">
        <w:rPr>
          <w:sz w:val="20"/>
        </w:rPr>
        <w:t>s</w:t>
      </w:r>
      <w:r w:rsidRPr="00790EFE">
        <w:rPr>
          <w:sz w:val="20"/>
        </w:rPr>
        <w:t xml:space="preserve"> 1</w:t>
      </w:r>
      <w:r w:rsidR="00F46FA6">
        <w:rPr>
          <w:sz w:val="20"/>
        </w:rPr>
        <w:t>1 and 12</w:t>
      </w:r>
      <w:r w:rsidR="00946845">
        <w:rPr>
          <w:sz w:val="20"/>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88" w:rsidRDefault="002B7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88" w:rsidRDefault="002B77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2A" w:rsidRDefault="002A1573">
    <w:pPr>
      <w:pStyle w:val="Header"/>
      <w:tabs>
        <w:tab w:val="clear" w:pos="4320"/>
        <w:tab w:val="clear" w:pos="8640"/>
      </w:tabs>
      <w:spacing w:before="40"/>
      <w:ind w:right="1350"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0" locked="0" layoutInCell="1" allowOverlap="1" wp14:anchorId="44DE4A53" wp14:editId="1ED61EA8">
          <wp:simplePos x="0" y="0"/>
          <wp:positionH relativeFrom="column">
            <wp:posOffset>51435</wp:posOffset>
          </wp:positionH>
          <wp:positionV relativeFrom="paragraph">
            <wp:posOffset>116840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42A">
      <w:rPr>
        <w:rFonts w:ascii="News Gothic MT" w:hAnsi="News Gothic MT"/>
        <w:b/>
        <w:kern w:val="28"/>
        <w:sz w:val="96"/>
      </w:rPr>
      <w:t>PUBLIC NOTICE</w:t>
    </w:r>
  </w:p>
  <w:p w:rsidR="0046542A" w:rsidRDefault="00E21419">
    <w:pPr>
      <w:pStyle w:val="Header"/>
      <w:tabs>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1762D7F8" wp14:editId="4603FCC4">
              <wp:simplePos x="0" y="0"/>
              <wp:positionH relativeFrom="column">
                <wp:posOffset>185420</wp:posOffset>
              </wp:positionH>
              <wp:positionV relativeFrom="paragraph">
                <wp:posOffset>12065</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42A" w:rsidRDefault="0046542A">
                          <w:pPr>
                            <w:rPr>
                              <w:rFonts w:ascii="Arial" w:hAnsi="Arial"/>
                              <w:b/>
                            </w:rPr>
                          </w:pPr>
                          <w:r>
                            <w:rPr>
                              <w:rFonts w:ascii="Arial" w:hAnsi="Arial"/>
                              <w:b/>
                            </w:rPr>
                            <w:t>Federal Communications Commission</w:t>
                          </w:r>
                        </w:p>
                        <w:p w:rsidR="0046542A" w:rsidRDefault="0046542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6542A" w:rsidRDefault="0046542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62D7F8" id="_x0000_t202" coordsize="21600,21600" o:spt="202" path="m,l,21600r21600,l21600,xe">
              <v:stroke joinstyle="miter"/>
              <v:path gradientshapeok="t" o:connecttype="rect"/>
            </v:shapetype>
            <v:shape id="Text Box 1" o:spid="_x0000_s1026" type="#_x0000_t202" style="position:absolute;left:0;text-align:left;margin-left:14.6pt;margin-top:.9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" o:allowincell="f" stroked="f">
              <v:textbox>
                <w:txbxContent>
                  <w:p w:rsidR="0046542A" w:rsidRDefault="0046542A">
                    <w:pPr>
                      <w:rPr>
                        <w:rFonts w:ascii="Arial" w:hAnsi="Arial"/>
                        <w:b/>
                      </w:rPr>
                    </w:pPr>
                    <w:r>
                      <w:rPr>
                        <w:rFonts w:ascii="Arial" w:hAnsi="Arial"/>
                        <w:b/>
                      </w:rPr>
                      <w:t>Federal Communications Commission</w:t>
                    </w:r>
                  </w:p>
                  <w:p w:rsidR="0046542A" w:rsidRDefault="0046542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6542A" w:rsidRDefault="0046542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2A1573">
      <w:rPr>
        <w:rFonts w:ascii="News Gothic MT" w:hAnsi="News Gothic MT"/>
        <w:b/>
        <w:noProof/>
        <w:sz w:val="24"/>
      </w:rPr>
      <mc:AlternateContent>
        <mc:Choice Requires="wps">
          <w:drawing>
            <wp:anchor distT="0" distB="0" distL="114300" distR="114300" simplePos="0" relativeHeight="251659264" behindDoc="0" locked="0" layoutInCell="1" allowOverlap="1" wp14:anchorId="2204C379" wp14:editId="2BCBAB63">
              <wp:simplePos x="0" y="0"/>
              <wp:positionH relativeFrom="column">
                <wp:posOffset>4394835</wp:posOffset>
              </wp:positionH>
              <wp:positionV relativeFrom="paragraph">
                <wp:posOffset>190500</wp:posOffset>
              </wp:positionV>
              <wp:extent cx="24123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42A" w:rsidRDefault="0046542A">
                          <w:pPr>
                            <w:spacing w:before="40"/>
                            <w:jc w:val="right"/>
                            <w:rPr>
                              <w:rFonts w:ascii="Arial" w:hAnsi="Arial"/>
                              <w:b/>
                              <w:sz w:val="16"/>
                            </w:rPr>
                          </w:pPr>
                          <w:r>
                            <w:rPr>
                              <w:rFonts w:ascii="Arial" w:hAnsi="Arial"/>
                              <w:b/>
                              <w:sz w:val="16"/>
                            </w:rPr>
                            <w:t>News Media Information 202 / 418-0500</w:t>
                          </w:r>
                        </w:p>
                        <w:p w:rsidR="0046542A" w:rsidRDefault="0046542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6542A" w:rsidRDefault="0046542A">
                          <w:pPr>
                            <w:jc w:val="right"/>
                            <w:rPr>
                              <w:rFonts w:ascii="Arial" w:hAnsi="Arial"/>
                              <w:b/>
                              <w:sz w:val="16"/>
                            </w:rPr>
                          </w:pPr>
                          <w:r>
                            <w:rPr>
                              <w:rFonts w:ascii="Arial" w:hAnsi="Arial"/>
                              <w:b/>
                              <w:sz w:val="16"/>
                            </w:rPr>
                            <w:t>TTY: 1-888-835-5322</w:t>
                          </w:r>
                        </w:p>
                        <w:p w:rsidR="0046542A" w:rsidRDefault="0046542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04C379" id="Text Box 3" o:spid="_x0000_s1027" type="#_x0000_t202" style="position:absolute;left:0;text-align:left;margin-left:346.05pt;margin-top:15pt;width:189.9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" stroked="f">
              <v:textbox inset=",0,,0">
                <w:txbxContent>
                  <w:p w:rsidR="0046542A" w:rsidRDefault="0046542A">
                    <w:pPr>
                      <w:spacing w:before="40"/>
                      <w:jc w:val="right"/>
                      <w:rPr>
                        <w:rFonts w:ascii="Arial" w:hAnsi="Arial"/>
                        <w:b/>
                        <w:sz w:val="16"/>
                      </w:rPr>
                    </w:pPr>
                    <w:r>
                      <w:rPr>
                        <w:rFonts w:ascii="Arial" w:hAnsi="Arial"/>
                        <w:b/>
                        <w:sz w:val="16"/>
                      </w:rPr>
                      <w:t>News Media Information 202 / 418-0500</w:t>
                    </w:r>
                  </w:p>
                  <w:p w:rsidR="0046542A" w:rsidRDefault="0046542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6542A" w:rsidRDefault="0046542A">
                    <w:pPr>
                      <w:jc w:val="right"/>
                      <w:rPr>
                        <w:rFonts w:ascii="Arial" w:hAnsi="Arial"/>
                        <w:b/>
                        <w:sz w:val="16"/>
                      </w:rPr>
                    </w:pPr>
                    <w:r>
                      <w:rPr>
                        <w:rFonts w:ascii="Arial" w:hAnsi="Arial"/>
                        <w:b/>
                        <w:sz w:val="16"/>
                      </w:rPr>
                      <w:t>TTY: 1-888-835-5322</w:t>
                    </w:r>
                  </w:p>
                  <w:p w:rsidR="0046542A" w:rsidRDefault="0046542A">
                    <w:pPr>
                      <w:jc w:val="right"/>
                    </w:pPr>
                  </w:p>
                </w:txbxContent>
              </v:textbox>
            </v:shape>
          </w:pict>
        </mc:Fallback>
      </mc:AlternateContent>
    </w:r>
  </w:p>
  <w:p w:rsidR="0046542A" w:rsidRPr="00FC3357" w:rsidRDefault="002A1573">
    <w:pPr>
      <w:pStyle w:val="Header"/>
      <w:tabs>
        <w:tab w:val="clear" w:pos="4320"/>
        <w:tab w:val="clear" w:pos="8640"/>
      </w:tabs>
      <w:ind w:left="720"/>
      <w:rPr>
        <w:rFonts w:ascii="Arial" w:hAnsi="Arial"/>
        <w:b/>
        <w:sz w:val="24"/>
      </w:rPr>
    </w:pPr>
    <w:r>
      <w:rPr>
        <w:noProof/>
      </w:rPr>
      <mc:AlternateContent>
        <mc:Choice Requires="wps">
          <w:drawing>
            <wp:anchor distT="0" distB="0" distL="114300" distR="114300" simplePos="0" relativeHeight="251657216" behindDoc="0" locked="0" layoutInCell="1" allowOverlap="1" wp14:anchorId="3F7AB1CF" wp14:editId="6104188E">
              <wp:simplePos x="0" y="0"/>
              <wp:positionH relativeFrom="column">
                <wp:posOffset>51435</wp:posOffset>
              </wp:positionH>
              <wp:positionV relativeFrom="paragraph">
                <wp:posOffset>50800</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DA6B2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pt" to="544.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821E8"/>
    <w:lvl w:ilvl="0">
      <w:start w:val="1"/>
      <w:numFmt w:val="decimal"/>
      <w:lvlText w:val="%1."/>
      <w:lvlJc w:val="left"/>
      <w:pPr>
        <w:tabs>
          <w:tab w:val="num" w:pos="1800"/>
        </w:tabs>
        <w:ind w:left="1800" w:hanging="360"/>
      </w:pPr>
    </w:lvl>
  </w:abstractNum>
  <w:abstractNum w:abstractNumId="1">
    <w:nsid w:val="FFFFFF7D"/>
    <w:multiLevelType w:val="singleLevel"/>
    <w:tmpl w:val="12B03692"/>
    <w:lvl w:ilvl="0">
      <w:start w:val="1"/>
      <w:numFmt w:val="decimal"/>
      <w:lvlText w:val="%1."/>
      <w:lvlJc w:val="left"/>
      <w:pPr>
        <w:tabs>
          <w:tab w:val="num" w:pos="1440"/>
        </w:tabs>
        <w:ind w:left="1440" w:hanging="360"/>
      </w:pPr>
    </w:lvl>
  </w:abstractNum>
  <w:abstractNum w:abstractNumId="2">
    <w:nsid w:val="FFFFFF7E"/>
    <w:multiLevelType w:val="singleLevel"/>
    <w:tmpl w:val="0CFC85C2"/>
    <w:lvl w:ilvl="0">
      <w:start w:val="1"/>
      <w:numFmt w:val="decimal"/>
      <w:lvlText w:val="%1."/>
      <w:lvlJc w:val="left"/>
      <w:pPr>
        <w:tabs>
          <w:tab w:val="num" w:pos="1080"/>
        </w:tabs>
        <w:ind w:left="1080" w:hanging="360"/>
      </w:pPr>
    </w:lvl>
  </w:abstractNum>
  <w:abstractNum w:abstractNumId="3">
    <w:nsid w:val="FFFFFF7F"/>
    <w:multiLevelType w:val="singleLevel"/>
    <w:tmpl w:val="8490ED88"/>
    <w:lvl w:ilvl="0">
      <w:start w:val="1"/>
      <w:numFmt w:val="decimal"/>
      <w:lvlText w:val="%1."/>
      <w:lvlJc w:val="left"/>
      <w:pPr>
        <w:tabs>
          <w:tab w:val="num" w:pos="720"/>
        </w:tabs>
        <w:ind w:left="720" w:hanging="360"/>
      </w:pPr>
    </w:lvl>
  </w:abstractNum>
  <w:abstractNum w:abstractNumId="4">
    <w:nsid w:val="FFFFFF80"/>
    <w:multiLevelType w:val="singleLevel"/>
    <w:tmpl w:val="B14AF1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B287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474AF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8F0D2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636CA12"/>
    <w:lvl w:ilvl="0">
      <w:start w:val="1"/>
      <w:numFmt w:val="decimal"/>
      <w:lvlText w:val="%1."/>
      <w:lvlJc w:val="left"/>
      <w:pPr>
        <w:tabs>
          <w:tab w:val="num" w:pos="360"/>
        </w:tabs>
        <w:ind w:left="360" w:hanging="360"/>
      </w:pPr>
    </w:lvl>
  </w:abstractNum>
  <w:abstractNum w:abstractNumId="9">
    <w:nsid w:val="FFFFFF89"/>
    <w:multiLevelType w:val="singleLevel"/>
    <w:tmpl w:val="3E7C682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2F44D12"/>
    <w:lvl w:ilvl="0">
      <w:numFmt w:val="bullet"/>
      <w:lvlText w:val="*"/>
      <w:lvlJc w:val="left"/>
    </w:lvl>
  </w:abstractNum>
  <w:abstractNum w:abstractNumId="11">
    <w:nsid w:val="18663A5D"/>
    <w:multiLevelType w:val="hybridMultilevel"/>
    <w:tmpl w:val="8C90E4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3">
    <w:nsid w:val="2B546754"/>
    <w:multiLevelType w:val="hybridMultilevel"/>
    <w:tmpl w:val="483A462C"/>
    <w:lvl w:ilvl="0" w:tplc="11ECF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9078F9"/>
    <w:multiLevelType w:val="hybridMultilevel"/>
    <w:tmpl w:val="89085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711FDB"/>
    <w:multiLevelType w:val="hybridMultilevel"/>
    <w:tmpl w:val="B6428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A4F1858"/>
    <w:multiLevelType w:val="hybridMultilevel"/>
    <w:tmpl w:val="3F226B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6E5130B"/>
    <w:multiLevelType w:val="hybridMultilevel"/>
    <w:tmpl w:val="69708A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C65EC21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63A2971"/>
    <w:multiLevelType w:val="hybridMultilevel"/>
    <w:tmpl w:val="0E44A15A"/>
    <w:lvl w:ilvl="0" w:tplc="880CD782">
      <w:start w:val="1"/>
      <w:numFmt w:val="decimal"/>
      <w:lvlText w:val="%1."/>
      <w:lvlJc w:val="left"/>
      <w:pPr>
        <w:tabs>
          <w:tab w:val="num" w:pos="1080"/>
        </w:tabs>
        <w:ind w:left="1080" w:hanging="360"/>
      </w:pPr>
      <w:rPr>
        <w:rFonts w:hint="default"/>
        <w:b/>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C753B03"/>
    <w:multiLevelType w:val="hybridMultilevel"/>
    <w:tmpl w:val="440CF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1373CF2"/>
    <w:multiLevelType w:val="hybridMultilevel"/>
    <w:tmpl w:val="072687BC"/>
    <w:lvl w:ilvl="0" w:tplc="18F83BF8">
      <w:start w:val="1"/>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34651AC"/>
    <w:multiLevelType w:val="multilevel"/>
    <w:tmpl w:val="8EA6106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6C066584"/>
    <w:multiLevelType w:val="hybridMultilevel"/>
    <w:tmpl w:val="895E8098"/>
    <w:lvl w:ilvl="0" w:tplc="63124962">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2"/>
  </w:num>
  <w:num w:numId="2">
    <w:abstractNumId w:val="20"/>
  </w:num>
  <w:num w:numId="3">
    <w:abstractNumId w:val="24"/>
  </w:num>
  <w:num w:numId="4">
    <w:abstractNumId w:val="12"/>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19"/>
  </w:num>
  <w:num w:numId="12">
    <w:abstractNumId w:val="17"/>
  </w:num>
  <w:num w:numId="13">
    <w:abstractNumId w:val="27"/>
  </w:num>
  <w:num w:numId="14">
    <w:abstractNumId w:val="21"/>
  </w:num>
  <w:num w:numId="15">
    <w:abstractNumId w:val="10"/>
    <w:lvlOverride w:ilvl="0">
      <w:lvl w:ilvl="0">
        <w:numFmt w:val="bullet"/>
        <w:lvlText w:val=""/>
        <w:legacy w:legacy="1" w:legacySpace="0" w:legacyIndent="0"/>
        <w:lvlJc w:val="left"/>
        <w:rPr>
          <w:rFonts w:ascii="Symbol" w:hAnsi="Symbol" w:hint="default"/>
        </w:rPr>
      </w:lvl>
    </w:lvlOverride>
  </w:num>
  <w:num w:numId="16">
    <w:abstractNumId w:val="20"/>
  </w:num>
  <w:num w:numId="17">
    <w:abstractNumId w:val="20"/>
  </w:num>
  <w:num w:numId="18">
    <w:abstractNumId w:val="15"/>
  </w:num>
  <w:num w:numId="19">
    <w:abstractNumId w:val="26"/>
  </w:num>
  <w:num w:numId="20">
    <w:abstractNumId w:val="20"/>
  </w:num>
  <w:num w:numId="21">
    <w:abstractNumId w:val="20"/>
  </w:num>
  <w:num w:numId="22">
    <w:abstractNumId w:val="20"/>
  </w:num>
  <w:num w:numId="23">
    <w:abstractNumId w:val="20"/>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5"/>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11"/>
  </w:num>
  <w:num w:numId="44">
    <w:abstractNumId w:val="18"/>
  </w:num>
  <w:num w:numId="45">
    <w:abstractNumId w:val="16"/>
  </w:num>
  <w:num w:numId="46">
    <w:abstractNumId w:val="14"/>
  </w:num>
  <w:num w:numId="47">
    <w:abstractNumId w:val="13"/>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33"/>
    <w:rsid w:val="00000518"/>
    <w:rsid w:val="0000586D"/>
    <w:rsid w:val="00007684"/>
    <w:rsid w:val="00010E2E"/>
    <w:rsid w:val="00021FBC"/>
    <w:rsid w:val="0002561B"/>
    <w:rsid w:val="0009248F"/>
    <w:rsid w:val="00093DE9"/>
    <w:rsid w:val="000A1BF5"/>
    <w:rsid w:val="000A70EA"/>
    <w:rsid w:val="000A7650"/>
    <w:rsid w:val="000C51FE"/>
    <w:rsid w:val="000D7DB3"/>
    <w:rsid w:val="0010774E"/>
    <w:rsid w:val="00112498"/>
    <w:rsid w:val="00113569"/>
    <w:rsid w:val="001178E3"/>
    <w:rsid w:val="001251CB"/>
    <w:rsid w:val="0015349F"/>
    <w:rsid w:val="001A160C"/>
    <w:rsid w:val="001B0BF4"/>
    <w:rsid w:val="001B3665"/>
    <w:rsid w:val="001B41C9"/>
    <w:rsid w:val="001C2236"/>
    <w:rsid w:val="001D10A5"/>
    <w:rsid w:val="001F44EF"/>
    <w:rsid w:val="001F7B6D"/>
    <w:rsid w:val="00205CD1"/>
    <w:rsid w:val="0021595C"/>
    <w:rsid w:val="00224C9A"/>
    <w:rsid w:val="0023314E"/>
    <w:rsid w:val="00242A5E"/>
    <w:rsid w:val="002526E9"/>
    <w:rsid w:val="00261917"/>
    <w:rsid w:val="002678BD"/>
    <w:rsid w:val="00281297"/>
    <w:rsid w:val="00293AC1"/>
    <w:rsid w:val="002A1573"/>
    <w:rsid w:val="002B7788"/>
    <w:rsid w:val="002C58A7"/>
    <w:rsid w:val="002C7451"/>
    <w:rsid w:val="002F137C"/>
    <w:rsid w:val="00317460"/>
    <w:rsid w:val="00340260"/>
    <w:rsid w:val="00362F8B"/>
    <w:rsid w:val="00384A9C"/>
    <w:rsid w:val="00396EDE"/>
    <w:rsid w:val="00397F8A"/>
    <w:rsid w:val="003B4FAF"/>
    <w:rsid w:val="003C2A1F"/>
    <w:rsid w:val="003E180C"/>
    <w:rsid w:val="003E6D52"/>
    <w:rsid w:val="004003E0"/>
    <w:rsid w:val="00413448"/>
    <w:rsid w:val="00422C89"/>
    <w:rsid w:val="00461DE4"/>
    <w:rsid w:val="0046542A"/>
    <w:rsid w:val="00467A9A"/>
    <w:rsid w:val="00495DB2"/>
    <w:rsid w:val="004A5DB3"/>
    <w:rsid w:val="004B5098"/>
    <w:rsid w:val="004B50FC"/>
    <w:rsid w:val="004D5ABA"/>
    <w:rsid w:val="004D71C6"/>
    <w:rsid w:val="004E2598"/>
    <w:rsid w:val="004F6DC4"/>
    <w:rsid w:val="004F73D9"/>
    <w:rsid w:val="00503FF0"/>
    <w:rsid w:val="005042C9"/>
    <w:rsid w:val="0056027A"/>
    <w:rsid w:val="00560461"/>
    <w:rsid w:val="00586F70"/>
    <w:rsid w:val="00596745"/>
    <w:rsid w:val="00596837"/>
    <w:rsid w:val="005B1FF2"/>
    <w:rsid w:val="005C4472"/>
    <w:rsid w:val="005C7233"/>
    <w:rsid w:val="005D065C"/>
    <w:rsid w:val="00645C61"/>
    <w:rsid w:val="00661333"/>
    <w:rsid w:val="00680900"/>
    <w:rsid w:val="00681051"/>
    <w:rsid w:val="006825BD"/>
    <w:rsid w:val="006B648B"/>
    <w:rsid w:val="006C1518"/>
    <w:rsid w:val="006F4EE3"/>
    <w:rsid w:val="006F67E1"/>
    <w:rsid w:val="006F74B2"/>
    <w:rsid w:val="00705B42"/>
    <w:rsid w:val="007074ED"/>
    <w:rsid w:val="007146A8"/>
    <w:rsid w:val="00755740"/>
    <w:rsid w:val="00786783"/>
    <w:rsid w:val="00790EFE"/>
    <w:rsid w:val="007A787B"/>
    <w:rsid w:val="007C5F6B"/>
    <w:rsid w:val="008007EF"/>
    <w:rsid w:val="008029BB"/>
    <w:rsid w:val="008208DA"/>
    <w:rsid w:val="00836EB9"/>
    <w:rsid w:val="00843A14"/>
    <w:rsid w:val="0085072B"/>
    <w:rsid w:val="008512B3"/>
    <w:rsid w:val="00872408"/>
    <w:rsid w:val="00885D11"/>
    <w:rsid w:val="008A228D"/>
    <w:rsid w:val="008C09D1"/>
    <w:rsid w:val="0091236B"/>
    <w:rsid w:val="009129C6"/>
    <w:rsid w:val="00917714"/>
    <w:rsid w:val="00917AE5"/>
    <w:rsid w:val="00920311"/>
    <w:rsid w:val="00937DB1"/>
    <w:rsid w:val="00944CF1"/>
    <w:rsid w:val="00946845"/>
    <w:rsid w:val="0095130F"/>
    <w:rsid w:val="00952926"/>
    <w:rsid w:val="009604C8"/>
    <w:rsid w:val="00963FA7"/>
    <w:rsid w:val="009A3D0F"/>
    <w:rsid w:val="009E4216"/>
    <w:rsid w:val="009F1E9E"/>
    <w:rsid w:val="00A07300"/>
    <w:rsid w:val="00A22DD6"/>
    <w:rsid w:val="00A25DE6"/>
    <w:rsid w:val="00A35522"/>
    <w:rsid w:val="00A422E2"/>
    <w:rsid w:val="00A42661"/>
    <w:rsid w:val="00A451FD"/>
    <w:rsid w:val="00A82084"/>
    <w:rsid w:val="00A85603"/>
    <w:rsid w:val="00AA44EA"/>
    <w:rsid w:val="00AB64CF"/>
    <w:rsid w:val="00AC200B"/>
    <w:rsid w:val="00AC574F"/>
    <w:rsid w:val="00B177B4"/>
    <w:rsid w:val="00B24FB0"/>
    <w:rsid w:val="00B512CE"/>
    <w:rsid w:val="00B83318"/>
    <w:rsid w:val="00BA5E19"/>
    <w:rsid w:val="00BC2C08"/>
    <w:rsid w:val="00BD6D9D"/>
    <w:rsid w:val="00BE722E"/>
    <w:rsid w:val="00C01608"/>
    <w:rsid w:val="00C01A86"/>
    <w:rsid w:val="00C216D2"/>
    <w:rsid w:val="00C24822"/>
    <w:rsid w:val="00C36F19"/>
    <w:rsid w:val="00C567AF"/>
    <w:rsid w:val="00C56CEA"/>
    <w:rsid w:val="00C616BF"/>
    <w:rsid w:val="00C776A1"/>
    <w:rsid w:val="00C83B51"/>
    <w:rsid w:val="00C96FE7"/>
    <w:rsid w:val="00CB5AFD"/>
    <w:rsid w:val="00CC19AA"/>
    <w:rsid w:val="00CC6B3B"/>
    <w:rsid w:val="00CE18E2"/>
    <w:rsid w:val="00CE32D2"/>
    <w:rsid w:val="00D0066C"/>
    <w:rsid w:val="00D035EE"/>
    <w:rsid w:val="00D06D7F"/>
    <w:rsid w:val="00D1178F"/>
    <w:rsid w:val="00D128C7"/>
    <w:rsid w:val="00D21A3B"/>
    <w:rsid w:val="00D655F6"/>
    <w:rsid w:val="00DA025D"/>
    <w:rsid w:val="00DB3744"/>
    <w:rsid w:val="00DC3D9B"/>
    <w:rsid w:val="00DC5DCB"/>
    <w:rsid w:val="00DD176A"/>
    <w:rsid w:val="00DD2A12"/>
    <w:rsid w:val="00DF19A2"/>
    <w:rsid w:val="00DF7FCA"/>
    <w:rsid w:val="00E16438"/>
    <w:rsid w:val="00E207AE"/>
    <w:rsid w:val="00E21419"/>
    <w:rsid w:val="00E32929"/>
    <w:rsid w:val="00E67E25"/>
    <w:rsid w:val="00E800D9"/>
    <w:rsid w:val="00E92066"/>
    <w:rsid w:val="00E97F52"/>
    <w:rsid w:val="00EA4287"/>
    <w:rsid w:val="00EA573E"/>
    <w:rsid w:val="00EB639A"/>
    <w:rsid w:val="00ED7D5F"/>
    <w:rsid w:val="00F006B5"/>
    <w:rsid w:val="00F10D5E"/>
    <w:rsid w:val="00F46FA6"/>
    <w:rsid w:val="00F92FA5"/>
    <w:rsid w:val="00F96FA6"/>
    <w:rsid w:val="00F97D6B"/>
    <w:rsid w:val="00FA6724"/>
    <w:rsid w:val="00FB6D17"/>
    <w:rsid w:val="00FD3CDF"/>
    <w:rsid w:val="00FE2152"/>
    <w:rsid w:val="00FE3A1A"/>
    <w:rsid w:val="00FF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3,Style 12,(NECG) Footnote Reference,Style 124,o,fr,Style 3,Style 4,Footnote Reference1"/>
    <w:rPr>
      <w:vertAlign w:val="superscript"/>
    </w:rPr>
  </w:style>
  <w:style w:type="paragraph" w:styleId="FootnoteText">
    <w:name w:val="footnote text"/>
    <w:aliases w:val="Footnote Text Char2,Footnote Text Char Char2,Footnote Text Char2 Char Char,Footnote Text Char1 Char Char Char1,Footnote Text Char Char Char Char Char1,Footnote Text Char1 Char Char Char1 Char Char,Footnote Text Char1,Footnote Text Char,f"/>
    <w:basedOn w:val="Normal"/>
    <w:link w:val="FootnoteTextChar3"/>
    <w:pPr>
      <w:tabs>
        <w:tab w:val="left" w:pos="720"/>
      </w:tabs>
      <w:spacing w:after="200"/>
      <w:ind w:right="144"/>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170"/>
        <w:tab w:val="left" w:pos="1440"/>
      </w:tabs>
      <w:spacing w:after="220"/>
      <w:ind w:left="90" w:firstLine="720"/>
      <w:jc w:val="both"/>
    </w:pPr>
  </w:style>
  <w:style w:type="character" w:customStyle="1" w:styleId="normaltextfont">
    <w:name w:val="normaltextfont"/>
    <w:rPr>
      <w:rFonts w:ascii="Verdana" w:hAnsi="Verdana" w:hint="default"/>
      <w:sz w:val="19"/>
      <w:szCs w:val="19"/>
    </w:rPr>
  </w:style>
  <w:style w:type="character" w:customStyle="1" w:styleId="documentbody1">
    <w:name w:val="documentbody1"/>
    <w:rPr>
      <w:rFonts w:ascii="Verdana" w:hAnsi="Verdana" w:hint="default"/>
      <w:sz w:val="19"/>
      <w:szCs w:val="19"/>
    </w:rPr>
  </w:style>
  <w:style w:type="character" w:customStyle="1" w:styleId="Heading1Char">
    <w:name w:val="Heading 1 Char"/>
    <w:rPr>
      <w:b/>
      <w:caps/>
      <w:sz w:val="22"/>
      <w:lang w:val="en-US" w:eastAsia="en-US" w:bidi="ar-SA"/>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Pr>
      <w:rFonts w:ascii="Courier New" w:hAnsi="Courier New" w:cs="Courier New"/>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3">
    <w:name w:val="Footnote Text Char3"/>
    <w:aliases w:val="Footnote Text Char2 Char,Footnote Text Char Char2 Char,Footnote Text Char2 Char Char Char,Footnote Text Char1 Char Char Char1 Char,Footnote Text Char Char Char Char Char1 Char,Footnote Text Char1 Char Char Char1 Char Char Char,f Char"/>
    <w:link w:val="FootnoteText"/>
    <w:rsid w:val="00680900"/>
    <w:rPr>
      <w:sz w:val="22"/>
    </w:rPr>
  </w:style>
  <w:style w:type="paragraph" w:styleId="Revision">
    <w:name w:val="Revision"/>
    <w:hidden/>
    <w:uiPriority w:val="99"/>
    <w:semiHidden/>
    <w:rsid w:val="0009248F"/>
    <w:rPr>
      <w:sz w:val="22"/>
    </w:rPr>
  </w:style>
  <w:style w:type="paragraph" w:styleId="EndnoteText">
    <w:name w:val="endnote text"/>
    <w:basedOn w:val="Normal"/>
    <w:link w:val="EndnoteTextChar"/>
    <w:rsid w:val="00000518"/>
    <w:rPr>
      <w:sz w:val="20"/>
    </w:rPr>
  </w:style>
  <w:style w:type="character" w:customStyle="1" w:styleId="EndnoteTextChar">
    <w:name w:val="Endnote Text Char"/>
    <w:basedOn w:val="DefaultParagraphFont"/>
    <w:link w:val="EndnoteText"/>
    <w:rsid w:val="00000518"/>
  </w:style>
  <w:style w:type="character" w:styleId="EndnoteReference">
    <w:name w:val="endnote reference"/>
    <w:basedOn w:val="DefaultParagraphFont"/>
    <w:rsid w:val="00000518"/>
    <w:rPr>
      <w:vertAlign w:val="superscript"/>
    </w:rPr>
  </w:style>
  <w:style w:type="paragraph" w:styleId="ListParagraph">
    <w:name w:val="List Paragraph"/>
    <w:basedOn w:val="Normal"/>
    <w:uiPriority w:val="34"/>
    <w:qFormat/>
    <w:rsid w:val="00F10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3,Style 12,(NECG) Footnote Reference,Style 124,o,fr,Style 3,Style 4,Footnote Reference1"/>
    <w:rPr>
      <w:vertAlign w:val="superscript"/>
    </w:rPr>
  </w:style>
  <w:style w:type="paragraph" w:styleId="FootnoteText">
    <w:name w:val="footnote text"/>
    <w:aliases w:val="Footnote Text Char2,Footnote Text Char Char2,Footnote Text Char2 Char Char,Footnote Text Char1 Char Char Char1,Footnote Text Char Char Char Char Char1,Footnote Text Char1 Char Char Char1 Char Char,Footnote Text Char1,Footnote Text Char,f"/>
    <w:basedOn w:val="Normal"/>
    <w:link w:val="FootnoteTextChar3"/>
    <w:pPr>
      <w:tabs>
        <w:tab w:val="left" w:pos="720"/>
      </w:tabs>
      <w:spacing w:after="200"/>
      <w:ind w:right="144"/>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170"/>
        <w:tab w:val="left" w:pos="1440"/>
      </w:tabs>
      <w:spacing w:after="220"/>
      <w:ind w:left="90" w:firstLine="720"/>
      <w:jc w:val="both"/>
    </w:pPr>
  </w:style>
  <w:style w:type="character" w:customStyle="1" w:styleId="normaltextfont">
    <w:name w:val="normaltextfont"/>
    <w:rPr>
      <w:rFonts w:ascii="Verdana" w:hAnsi="Verdana" w:hint="default"/>
      <w:sz w:val="19"/>
      <w:szCs w:val="19"/>
    </w:rPr>
  </w:style>
  <w:style w:type="character" w:customStyle="1" w:styleId="documentbody1">
    <w:name w:val="documentbody1"/>
    <w:rPr>
      <w:rFonts w:ascii="Verdana" w:hAnsi="Verdana" w:hint="default"/>
      <w:sz w:val="19"/>
      <w:szCs w:val="19"/>
    </w:rPr>
  </w:style>
  <w:style w:type="character" w:customStyle="1" w:styleId="Heading1Char">
    <w:name w:val="Heading 1 Char"/>
    <w:rPr>
      <w:b/>
      <w:caps/>
      <w:sz w:val="22"/>
      <w:lang w:val="en-US" w:eastAsia="en-US" w:bidi="ar-SA"/>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Pr>
      <w:rFonts w:ascii="Courier New" w:hAnsi="Courier New" w:cs="Courier New"/>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3">
    <w:name w:val="Footnote Text Char3"/>
    <w:aliases w:val="Footnote Text Char2 Char,Footnote Text Char Char2 Char,Footnote Text Char2 Char Char Char,Footnote Text Char1 Char Char Char1 Char,Footnote Text Char Char Char Char Char1 Char,Footnote Text Char1 Char Char Char1 Char Char Char,f Char"/>
    <w:link w:val="FootnoteText"/>
    <w:rsid w:val="00680900"/>
    <w:rPr>
      <w:sz w:val="22"/>
    </w:rPr>
  </w:style>
  <w:style w:type="paragraph" w:styleId="Revision">
    <w:name w:val="Revision"/>
    <w:hidden/>
    <w:uiPriority w:val="99"/>
    <w:semiHidden/>
    <w:rsid w:val="0009248F"/>
    <w:rPr>
      <w:sz w:val="22"/>
    </w:rPr>
  </w:style>
  <w:style w:type="paragraph" w:styleId="EndnoteText">
    <w:name w:val="endnote text"/>
    <w:basedOn w:val="Normal"/>
    <w:link w:val="EndnoteTextChar"/>
    <w:rsid w:val="00000518"/>
    <w:rPr>
      <w:sz w:val="20"/>
    </w:rPr>
  </w:style>
  <w:style w:type="character" w:customStyle="1" w:styleId="EndnoteTextChar">
    <w:name w:val="Endnote Text Char"/>
    <w:basedOn w:val="DefaultParagraphFont"/>
    <w:link w:val="EndnoteText"/>
    <w:rsid w:val="00000518"/>
  </w:style>
  <w:style w:type="character" w:styleId="EndnoteReference">
    <w:name w:val="endnote reference"/>
    <w:basedOn w:val="DefaultParagraphFont"/>
    <w:rsid w:val="00000518"/>
    <w:rPr>
      <w:vertAlign w:val="superscript"/>
    </w:rPr>
  </w:style>
  <w:style w:type="paragraph" w:styleId="ListParagraph">
    <w:name w:val="List Paragraph"/>
    <w:basedOn w:val="Normal"/>
    <w:uiPriority w:val="34"/>
    <w:qFormat/>
    <w:rsid w:val="00F10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55857">
      <w:bodyDiv w:val="1"/>
      <w:marLeft w:val="0"/>
      <w:marRight w:val="0"/>
      <w:marTop w:val="0"/>
      <w:marBottom w:val="0"/>
      <w:divBdr>
        <w:top w:val="none" w:sz="0" w:space="0" w:color="auto"/>
        <w:left w:val="none" w:sz="0" w:space="0" w:color="auto"/>
        <w:bottom w:val="none" w:sz="0" w:space="0" w:color="auto"/>
        <w:right w:val="none" w:sz="0" w:space="0" w:color="auto"/>
      </w:divBdr>
    </w:div>
    <w:div w:id="1079598661">
      <w:bodyDiv w:val="1"/>
      <w:marLeft w:val="0"/>
      <w:marRight w:val="0"/>
      <w:marTop w:val="0"/>
      <w:marBottom w:val="0"/>
      <w:divBdr>
        <w:top w:val="none" w:sz="0" w:space="0" w:color="auto"/>
        <w:left w:val="none" w:sz="0" w:space="0" w:color="auto"/>
        <w:bottom w:val="none" w:sz="0" w:space="0" w:color="auto"/>
        <w:right w:val="none" w:sz="0" w:space="0" w:color="auto"/>
      </w:divBdr>
    </w:div>
    <w:div w:id="1322541875">
      <w:bodyDiv w:val="1"/>
      <w:marLeft w:val="0"/>
      <w:marRight w:val="0"/>
      <w:marTop w:val="0"/>
      <w:marBottom w:val="0"/>
      <w:divBdr>
        <w:top w:val="none" w:sz="0" w:space="0" w:color="auto"/>
        <w:left w:val="none" w:sz="0" w:space="0" w:color="auto"/>
        <w:bottom w:val="none" w:sz="0" w:space="0" w:color="auto"/>
        <w:right w:val="none" w:sz="0" w:space="0" w:color="auto"/>
      </w:divBdr>
    </w:div>
    <w:div w:id="15403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3650-3700-mhz-radio-service" TargetMode="External"/><Relationship Id="rId2" Type="http://schemas.openxmlformats.org/officeDocument/2006/relationships/styles" Target="styles.xml"/><Relationship Id="rId16" Type="http://schemas.openxmlformats.org/officeDocument/2006/relationships/hyperlink" Target="https://www.fcc.gov/licensing-databases/fcc-user-log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ps.fcc.gov/cores/html/Associate_Username_to_FRN.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ps.fcc.gov/cores/html/Register_New_Account.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6438</Characters>
  <Application>Microsoft Office Word</Application>
  <DocSecurity>0</DocSecurity>
  <Lines>118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7596</CharactersWithSpaces>
  <SharedDoc>false</SharedDoc>
  <HyperlinkBase> </HyperlinkBase>
  <HLinks>
    <vt:vector size="12" baseType="variant">
      <vt:variant>
        <vt:i4>1441913</vt:i4>
      </vt:variant>
      <vt:variant>
        <vt:i4>3</vt:i4>
      </vt:variant>
      <vt:variant>
        <vt:i4>0</vt:i4>
      </vt:variant>
      <vt:variant>
        <vt:i4>5</vt:i4>
      </vt:variant>
      <vt:variant>
        <vt:lpwstr>https://apps.fcc.gov/cores/html/Associate_Username_to_FRN.htm</vt:lpwstr>
      </vt:variant>
      <vt:variant>
        <vt:lpwstr/>
      </vt:variant>
      <vt:variant>
        <vt:i4>5963793</vt:i4>
      </vt:variant>
      <vt:variant>
        <vt:i4>0</vt:i4>
      </vt:variant>
      <vt:variant>
        <vt:i4>0</vt:i4>
      </vt:variant>
      <vt:variant>
        <vt:i4>5</vt:i4>
      </vt:variant>
      <vt:variant>
        <vt:lpwstr>https://apps.fcc.gov/cores/html/Register_New_Account.htm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2017-04-03T13:49:00Z</cp:lastPrinted>
  <dcterms:created xsi:type="dcterms:W3CDTF">2017-04-07T15:55:00Z</dcterms:created>
  <dcterms:modified xsi:type="dcterms:W3CDTF">2017-04-07T15:55:00Z</dcterms:modified>
  <cp:category> </cp:category>
  <cp:contentStatus> </cp:contentStatus>
</cp:coreProperties>
</file>