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9576" w:type="dxa"/>
        <w:tblLayout w:type="fixed"/>
        <w:tblLook w:val="0000" w:firstRow="0" w:lastRow="0" w:firstColumn="0" w:lastColumn="0" w:noHBand="0" w:noVBand="0"/>
      </w:tblPr>
      <w:tblGrid>
        <w:gridCol w:w="4698"/>
        <w:gridCol w:w="630"/>
        <w:gridCol w:w="4248"/>
      </w:tblGrid>
      <w:tr w:rsidR="004E50A6" w:rsidRPr="001D1D02" w:rsidTr="00D66B61">
        <w:tc>
          <w:tcPr>
            <w:tcW w:w="4698" w:type="dxa"/>
          </w:tcPr>
          <w:p w:rsidR="00C45E68" w:rsidRDefault="00C45E68" w:rsidP="00D66B61">
            <w:pPr>
              <w:widowControl/>
              <w:tabs>
                <w:tab w:val="center" w:pos="4680"/>
              </w:tabs>
              <w:suppressAutoHyphens/>
              <w:rPr>
                <w:spacing w:val="-2"/>
                <w:szCs w:val="22"/>
              </w:rPr>
            </w:pPr>
          </w:p>
          <w:p w:rsidR="004E50A6" w:rsidRPr="001D1D02" w:rsidRDefault="004E50A6" w:rsidP="00D66B61">
            <w:pPr>
              <w:widowControl/>
              <w:tabs>
                <w:tab w:val="center" w:pos="4680"/>
              </w:tabs>
              <w:suppressAutoHyphens/>
              <w:rPr>
                <w:spacing w:val="-2"/>
                <w:szCs w:val="22"/>
              </w:rPr>
            </w:pPr>
            <w:r w:rsidRPr="001D1D02">
              <w:rPr>
                <w:spacing w:val="-2"/>
                <w:szCs w:val="22"/>
              </w:rPr>
              <w:t>In the Matter of</w:t>
            </w:r>
          </w:p>
          <w:p w:rsidR="004E50A6" w:rsidRPr="001D1D02" w:rsidRDefault="004E50A6" w:rsidP="00D66B61">
            <w:pPr>
              <w:widowControl/>
              <w:tabs>
                <w:tab w:val="center" w:pos="4680"/>
              </w:tabs>
              <w:suppressAutoHyphens/>
              <w:rPr>
                <w:spacing w:val="-2"/>
                <w:szCs w:val="22"/>
              </w:rPr>
            </w:pPr>
          </w:p>
          <w:p w:rsidR="004E50A6" w:rsidRPr="001D1D02" w:rsidRDefault="00D66B61" w:rsidP="00D66B61">
            <w:pPr>
              <w:widowControl/>
              <w:tabs>
                <w:tab w:val="center" w:pos="4680"/>
              </w:tabs>
              <w:suppressAutoHyphens/>
              <w:rPr>
                <w:spacing w:val="-2"/>
                <w:szCs w:val="22"/>
              </w:rPr>
            </w:pPr>
            <w:r>
              <w:rPr>
                <w:spacing w:val="-2"/>
                <w:szCs w:val="22"/>
              </w:rPr>
              <w:t>Connect America Fund</w:t>
            </w:r>
          </w:p>
          <w:p w:rsidR="004E50A6" w:rsidRDefault="004E50A6" w:rsidP="00A672F7">
            <w:pPr>
              <w:widowControl/>
              <w:tabs>
                <w:tab w:val="center" w:pos="4680"/>
              </w:tabs>
              <w:suppressAutoHyphens/>
              <w:rPr>
                <w:spacing w:val="-2"/>
                <w:szCs w:val="22"/>
              </w:rPr>
            </w:pPr>
          </w:p>
          <w:p w:rsidR="00D66B61" w:rsidRPr="001D1D02" w:rsidRDefault="00D66B61" w:rsidP="00A672F7">
            <w:pPr>
              <w:widowControl/>
              <w:tabs>
                <w:tab w:val="center" w:pos="4680"/>
              </w:tabs>
              <w:suppressAutoHyphens/>
              <w:rPr>
                <w:spacing w:val="-2"/>
                <w:szCs w:val="22"/>
              </w:rPr>
            </w:pPr>
            <w:r>
              <w:rPr>
                <w:spacing w:val="-2"/>
                <w:szCs w:val="22"/>
              </w:rPr>
              <w:t>Universal Service Reform  - Mobility Fund</w:t>
            </w:r>
          </w:p>
        </w:tc>
        <w:tc>
          <w:tcPr>
            <w:tcW w:w="630" w:type="dxa"/>
          </w:tcPr>
          <w:p w:rsidR="004E50A6" w:rsidRPr="001D1D02" w:rsidRDefault="004E50A6" w:rsidP="00D66B61">
            <w:pPr>
              <w:widowControl/>
              <w:tabs>
                <w:tab w:val="center" w:pos="4680"/>
              </w:tabs>
              <w:suppressAutoHyphens/>
              <w:rPr>
                <w:spacing w:val="-2"/>
                <w:szCs w:val="22"/>
              </w:rPr>
            </w:pPr>
            <w:r w:rsidRPr="001D1D02">
              <w:rPr>
                <w:spacing w:val="-2"/>
                <w:szCs w:val="22"/>
              </w:rPr>
              <w:t>)</w:t>
            </w:r>
          </w:p>
          <w:p w:rsidR="004E50A6" w:rsidRPr="001D1D02" w:rsidRDefault="004E50A6" w:rsidP="00D66B61">
            <w:pPr>
              <w:widowControl/>
              <w:tabs>
                <w:tab w:val="center" w:pos="4680"/>
              </w:tabs>
              <w:suppressAutoHyphens/>
              <w:rPr>
                <w:spacing w:val="-2"/>
                <w:szCs w:val="22"/>
              </w:rPr>
            </w:pPr>
            <w:r w:rsidRPr="001D1D02">
              <w:rPr>
                <w:spacing w:val="-2"/>
                <w:szCs w:val="22"/>
              </w:rPr>
              <w:t>)</w:t>
            </w:r>
          </w:p>
          <w:p w:rsidR="004E50A6" w:rsidRPr="001D1D02" w:rsidRDefault="004E50A6" w:rsidP="00D66B61">
            <w:pPr>
              <w:widowControl/>
              <w:tabs>
                <w:tab w:val="center" w:pos="4680"/>
              </w:tabs>
              <w:suppressAutoHyphens/>
              <w:rPr>
                <w:spacing w:val="-2"/>
                <w:szCs w:val="22"/>
              </w:rPr>
            </w:pPr>
            <w:r w:rsidRPr="001D1D02">
              <w:rPr>
                <w:spacing w:val="-2"/>
                <w:szCs w:val="22"/>
              </w:rPr>
              <w:t>)</w:t>
            </w:r>
          </w:p>
          <w:p w:rsidR="004E50A6" w:rsidRPr="001D1D02" w:rsidRDefault="004E50A6" w:rsidP="00D66B61">
            <w:pPr>
              <w:widowControl/>
              <w:tabs>
                <w:tab w:val="center" w:pos="4680"/>
              </w:tabs>
              <w:suppressAutoHyphens/>
              <w:rPr>
                <w:spacing w:val="-2"/>
                <w:szCs w:val="22"/>
              </w:rPr>
            </w:pPr>
            <w:r w:rsidRPr="001D1D02">
              <w:rPr>
                <w:spacing w:val="-2"/>
                <w:szCs w:val="22"/>
              </w:rPr>
              <w:t>)</w:t>
            </w:r>
          </w:p>
          <w:p w:rsidR="004E50A6" w:rsidRPr="001D1D02" w:rsidRDefault="004E50A6" w:rsidP="00D66B61">
            <w:pPr>
              <w:widowControl/>
              <w:tabs>
                <w:tab w:val="center" w:pos="4680"/>
              </w:tabs>
              <w:suppressAutoHyphens/>
              <w:rPr>
                <w:spacing w:val="-2"/>
                <w:szCs w:val="22"/>
              </w:rPr>
            </w:pPr>
            <w:r w:rsidRPr="001D1D02">
              <w:rPr>
                <w:spacing w:val="-2"/>
                <w:szCs w:val="22"/>
              </w:rPr>
              <w:t>)</w:t>
            </w:r>
          </w:p>
          <w:p w:rsidR="004E50A6" w:rsidRPr="001D1D02" w:rsidRDefault="004E50A6" w:rsidP="00D66B61">
            <w:pPr>
              <w:widowControl/>
              <w:tabs>
                <w:tab w:val="center" w:pos="4680"/>
              </w:tabs>
              <w:suppressAutoHyphens/>
              <w:rPr>
                <w:spacing w:val="-2"/>
                <w:szCs w:val="22"/>
              </w:rPr>
            </w:pPr>
            <w:r w:rsidRPr="001D1D02">
              <w:rPr>
                <w:spacing w:val="-2"/>
                <w:szCs w:val="22"/>
              </w:rPr>
              <w:t>)</w:t>
            </w:r>
          </w:p>
          <w:p w:rsidR="00A672F7" w:rsidRPr="001D1D02" w:rsidRDefault="00A672F7" w:rsidP="00A672F7">
            <w:pPr>
              <w:widowControl/>
              <w:tabs>
                <w:tab w:val="center" w:pos="4680"/>
              </w:tabs>
              <w:suppressAutoHyphens/>
              <w:rPr>
                <w:spacing w:val="-2"/>
                <w:szCs w:val="22"/>
              </w:rPr>
            </w:pPr>
            <w:r w:rsidRPr="001D1D02">
              <w:rPr>
                <w:spacing w:val="-2"/>
                <w:szCs w:val="22"/>
              </w:rPr>
              <w:t>)</w:t>
            </w:r>
          </w:p>
          <w:p w:rsidR="00A672F7" w:rsidRPr="001D1D02" w:rsidRDefault="00A672F7" w:rsidP="00A672F7">
            <w:pPr>
              <w:widowControl/>
              <w:tabs>
                <w:tab w:val="center" w:pos="4680"/>
              </w:tabs>
              <w:suppressAutoHyphens/>
              <w:rPr>
                <w:spacing w:val="-2"/>
                <w:szCs w:val="22"/>
              </w:rPr>
            </w:pPr>
            <w:r w:rsidRPr="001D1D02">
              <w:rPr>
                <w:spacing w:val="-2"/>
                <w:szCs w:val="22"/>
              </w:rPr>
              <w:t>)</w:t>
            </w:r>
          </w:p>
          <w:p w:rsidR="004E50A6" w:rsidRPr="001D1D02" w:rsidRDefault="004E50A6" w:rsidP="00A672F7">
            <w:pPr>
              <w:widowControl/>
              <w:tabs>
                <w:tab w:val="center" w:pos="4680"/>
              </w:tabs>
              <w:suppressAutoHyphens/>
              <w:rPr>
                <w:spacing w:val="-2"/>
                <w:szCs w:val="22"/>
              </w:rPr>
            </w:pPr>
          </w:p>
        </w:tc>
        <w:tc>
          <w:tcPr>
            <w:tcW w:w="4248" w:type="dxa"/>
          </w:tcPr>
          <w:p w:rsidR="004E50A6" w:rsidRPr="001D1D02" w:rsidRDefault="004E50A6" w:rsidP="00D66B61">
            <w:pPr>
              <w:widowControl/>
              <w:tabs>
                <w:tab w:val="center" w:pos="4680"/>
              </w:tabs>
              <w:suppressAutoHyphens/>
              <w:rPr>
                <w:spacing w:val="-2"/>
                <w:szCs w:val="22"/>
              </w:rPr>
            </w:pPr>
          </w:p>
          <w:p w:rsidR="004E50A6" w:rsidRPr="001D1D02" w:rsidRDefault="004E50A6" w:rsidP="00D66B61">
            <w:pPr>
              <w:widowControl/>
              <w:rPr>
                <w:spacing w:val="-2"/>
                <w:szCs w:val="22"/>
              </w:rPr>
            </w:pPr>
          </w:p>
          <w:p w:rsidR="00682D63" w:rsidRDefault="00D66B61" w:rsidP="00D66B61">
            <w:pPr>
              <w:widowControl/>
              <w:tabs>
                <w:tab w:val="center" w:pos="4680"/>
              </w:tabs>
              <w:suppressAutoHyphens/>
              <w:rPr>
                <w:spacing w:val="-2"/>
                <w:szCs w:val="22"/>
              </w:rPr>
            </w:pPr>
            <w:r>
              <w:rPr>
                <w:spacing w:val="-2"/>
                <w:szCs w:val="22"/>
              </w:rPr>
              <w:t>WC</w:t>
            </w:r>
            <w:r w:rsidR="00A672F7">
              <w:rPr>
                <w:spacing w:val="-2"/>
                <w:szCs w:val="22"/>
              </w:rPr>
              <w:t xml:space="preserve"> Docket No. </w:t>
            </w:r>
            <w:r>
              <w:rPr>
                <w:spacing w:val="-2"/>
                <w:szCs w:val="22"/>
              </w:rPr>
              <w:t>10-90</w:t>
            </w:r>
          </w:p>
          <w:p w:rsidR="004E50A6" w:rsidRPr="001D1D02" w:rsidRDefault="00D66B61" w:rsidP="00D66B61">
            <w:pPr>
              <w:widowControl/>
              <w:tabs>
                <w:tab w:val="center" w:pos="4680"/>
              </w:tabs>
              <w:suppressAutoHyphens/>
              <w:rPr>
                <w:spacing w:val="-2"/>
                <w:szCs w:val="22"/>
              </w:rPr>
            </w:pPr>
            <w:r>
              <w:rPr>
                <w:spacing w:val="-2"/>
                <w:szCs w:val="22"/>
              </w:rPr>
              <w:t>WT Docket No. 10-208</w:t>
            </w:r>
          </w:p>
          <w:p w:rsidR="004E50A6" w:rsidRDefault="00B96D31" w:rsidP="00D66B61">
            <w:pPr>
              <w:widowControl/>
              <w:tabs>
                <w:tab w:val="center" w:pos="4680"/>
              </w:tabs>
              <w:suppressAutoHyphens/>
              <w:rPr>
                <w:spacing w:val="-2"/>
                <w:szCs w:val="22"/>
              </w:rPr>
            </w:pPr>
            <w:r>
              <w:rPr>
                <w:spacing w:val="-2"/>
                <w:szCs w:val="22"/>
              </w:rPr>
              <w:t>WC Docket No. 11-10</w:t>
            </w:r>
          </w:p>
          <w:p w:rsidR="00B96D31" w:rsidRPr="001D1D02" w:rsidRDefault="00B96D31" w:rsidP="00D66B61">
            <w:pPr>
              <w:widowControl/>
              <w:tabs>
                <w:tab w:val="center" w:pos="4680"/>
              </w:tabs>
              <w:suppressAutoHyphens/>
              <w:rPr>
                <w:spacing w:val="-2"/>
                <w:szCs w:val="22"/>
              </w:rPr>
            </w:pPr>
            <w:r>
              <w:rPr>
                <w:spacing w:val="-2"/>
                <w:szCs w:val="22"/>
              </w:rPr>
              <w:t>WT Docket No. 17-80</w:t>
            </w:r>
          </w:p>
          <w:p w:rsidR="004E50A6" w:rsidRPr="001D1D02" w:rsidRDefault="004E50A6" w:rsidP="00D66B61">
            <w:pPr>
              <w:widowControl/>
              <w:tabs>
                <w:tab w:val="center" w:pos="4680"/>
              </w:tabs>
              <w:suppressAutoHyphens/>
              <w:rPr>
                <w:spacing w:val="-2"/>
                <w:szCs w:val="22"/>
              </w:rPr>
            </w:pPr>
          </w:p>
          <w:p w:rsidR="004E50A6" w:rsidRPr="001D1D02" w:rsidRDefault="004E50A6" w:rsidP="00D66B61">
            <w:pPr>
              <w:widowControl/>
              <w:tabs>
                <w:tab w:val="center" w:pos="4680"/>
              </w:tabs>
              <w:suppressAutoHyphens/>
              <w:rPr>
                <w:spacing w:val="-2"/>
                <w:szCs w:val="22"/>
              </w:rPr>
            </w:pPr>
          </w:p>
        </w:tc>
      </w:tr>
    </w:tbl>
    <w:p w:rsidR="004E50A6" w:rsidRDefault="004E50A6" w:rsidP="004E50A6">
      <w:pPr>
        <w:widowControl/>
        <w:rPr>
          <w:b/>
          <w:szCs w:val="22"/>
        </w:rPr>
      </w:pPr>
    </w:p>
    <w:p w:rsidR="004E50A6" w:rsidRDefault="004E50A6" w:rsidP="004E50A6">
      <w:pPr>
        <w:pStyle w:val="StyleBoldCentered"/>
        <w:widowControl/>
      </w:pPr>
      <w:r w:rsidRPr="00FE2E8C">
        <w:t>Order</w:t>
      </w:r>
    </w:p>
    <w:p w:rsidR="004E50A6" w:rsidRPr="00FE2E8C" w:rsidRDefault="004E50A6" w:rsidP="004E50A6">
      <w:pPr>
        <w:pStyle w:val="StyleBoldCentered"/>
        <w:widowControl/>
        <w:rPr>
          <w:spacing w:val="-2"/>
        </w:rPr>
      </w:pPr>
    </w:p>
    <w:p w:rsidR="004E50A6" w:rsidRPr="00FE2E8C" w:rsidRDefault="004E50A6" w:rsidP="004E50A6">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741AE8">
        <w:rPr>
          <w:b/>
          <w:spacing w:val="-2"/>
          <w:szCs w:val="22"/>
        </w:rPr>
        <w:t xml:space="preserve">April </w:t>
      </w:r>
      <w:r w:rsidR="00C45E68">
        <w:rPr>
          <w:b/>
          <w:spacing w:val="-2"/>
          <w:szCs w:val="22"/>
        </w:rPr>
        <w:t>11</w:t>
      </w:r>
      <w:r w:rsidR="00A672F7">
        <w:rPr>
          <w:b/>
          <w:spacing w:val="-2"/>
          <w:szCs w:val="22"/>
        </w:rPr>
        <w:t>, 2017</w:t>
      </w:r>
      <w:r w:rsidRPr="00FE2E8C">
        <w:rPr>
          <w:b/>
          <w:spacing w:val="-2"/>
          <w:szCs w:val="22"/>
        </w:rPr>
        <w:tab/>
      </w:r>
      <w:r>
        <w:rPr>
          <w:b/>
          <w:spacing w:val="-2"/>
          <w:szCs w:val="22"/>
        </w:rPr>
        <w:tab/>
      </w:r>
      <w:r w:rsidRPr="00FE2E8C">
        <w:rPr>
          <w:b/>
          <w:spacing w:val="-2"/>
          <w:szCs w:val="22"/>
        </w:rPr>
        <w:t xml:space="preserve">Released:  </w:t>
      </w:r>
      <w:r w:rsidR="00741AE8">
        <w:rPr>
          <w:b/>
          <w:spacing w:val="-2"/>
          <w:szCs w:val="22"/>
        </w:rPr>
        <w:t xml:space="preserve">April </w:t>
      </w:r>
      <w:r w:rsidR="00C45E68">
        <w:rPr>
          <w:b/>
          <w:spacing w:val="-2"/>
          <w:szCs w:val="22"/>
        </w:rPr>
        <w:t>11</w:t>
      </w:r>
      <w:r>
        <w:rPr>
          <w:b/>
          <w:spacing w:val="-2"/>
          <w:szCs w:val="22"/>
        </w:rPr>
        <w:t>, 201</w:t>
      </w:r>
      <w:r w:rsidR="00A672F7">
        <w:rPr>
          <w:b/>
          <w:spacing w:val="-2"/>
          <w:szCs w:val="22"/>
        </w:rPr>
        <w:t>7</w:t>
      </w:r>
    </w:p>
    <w:p w:rsidR="004E50A6" w:rsidRDefault="004E50A6" w:rsidP="004E50A6">
      <w:pPr>
        <w:widowControl/>
        <w:rPr>
          <w:szCs w:val="22"/>
        </w:rPr>
      </w:pPr>
    </w:p>
    <w:p w:rsidR="004E50A6" w:rsidRDefault="00A672F7" w:rsidP="004E50A6">
      <w:pPr>
        <w:widowControl/>
        <w:rPr>
          <w:b/>
          <w:spacing w:val="-2"/>
          <w:szCs w:val="22"/>
        </w:rPr>
      </w:pPr>
      <w:r>
        <w:rPr>
          <w:b/>
          <w:spacing w:val="-2"/>
          <w:szCs w:val="22"/>
        </w:rPr>
        <w:t xml:space="preserve">Revised </w:t>
      </w:r>
      <w:r w:rsidR="005375C9">
        <w:rPr>
          <w:b/>
          <w:spacing w:val="-2"/>
          <w:szCs w:val="22"/>
        </w:rPr>
        <w:t xml:space="preserve">Comment Date:  </w:t>
      </w:r>
      <w:r w:rsidR="00741AE8">
        <w:rPr>
          <w:b/>
          <w:spacing w:val="-2"/>
          <w:szCs w:val="22"/>
        </w:rPr>
        <w:t xml:space="preserve">April </w:t>
      </w:r>
      <w:r w:rsidR="00B96D31">
        <w:rPr>
          <w:b/>
          <w:spacing w:val="-2"/>
          <w:szCs w:val="22"/>
        </w:rPr>
        <w:t>26</w:t>
      </w:r>
      <w:r w:rsidR="00741AE8">
        <w:rPr>
          <w:b/>
          <w:spacing w:val="-2"/>
          <w:szCs w:val="22"/>
        </w:rPr>
        <w:t xml:space="preserve">, </w:t>
      </w:r>
      <w:r w:rsidR="005375C9">
        <w:rPr>
          <w:b/>
          <w:spacing w:val="-2"/>
          <w:szCs w:val="22"/>
        </w:rPr>
        <w:t>2017</w:t>
      </w:r>
    </w:p>
    <w:p w:rsidR="00A672F7" w:rsidRDefault="00A672F7" w:rsidP="00A672F7">
      <w:pPr>
        <w:widowControl/>
        <w:rPr>
          <w:b/>
          <w:spacing w:val="-2"/>
          <w:szCs w:val="22"/>
        </w:rPr>
      </w:pPr>
      <w:r>
        <w:rPr>
          <w:b/>
          <w:spacing w:val="-2"/>
          <w:szCs w:val="22"/>
        </w:rPr>
        <w:t xml:space="preserve">Revised Reply </w:t>
      </w:r>
      <w:r w:rsidR="005375C9">
        <w:rPr>
          <w:b/>
          <w:spacing w:val="-2"/>
          <w:szCs w:val="22"/>
        </w:rPr>
        <w:t xml:space="preserve">Comment Date:  </w:t>
      </w:r>
      <w:r w:rsidR="00741AE8">
        <w:rPr>
          <w:b/>
          <w:spacing w:val="-2"/>
          <w:szCs w:val="22"/>
        </w:rPr>
        <w:t>May</w:t>
      </w:r>
      <w:r w:rsidR="00B96D31">
        <w:rPr>
          <w:b/>
          <w:spacing w:val="-2"/>
          <w:szCs w:val="22"/>
        </w:rPr>
        <w:t xml:space="preserve"> 11</w:t>
      </w:r>
      <w:r w:rsidR="005375C9">
        <w:rPr>
          <w:b/>
          <w:spacing w:val="-2"/>
          <w:szCs w:val="22"/>
        </w:rPr>
        <w:t>, 2017</w:t>
      </w:r>
    </w:p>
    <w:p w:rsidR="006B5A8F" w:rsidRDefault="006B5A8F" w:rsidP="00A672F7">
      <w:pPr>
        <w:widowControl/>
        <w:rPr>
          <w:b/>
          <w:spacing w:val="-2"/>
          <w:szCs w:val="22"/>
        </w:rPr>
      </w:pPr>
      <w:r>
        <w:rPr>
          <w:b/>
          <w:spacing w:val="-2"/>
          <w:szCs w:val="22"/>
        </w:rPr>
        <w:t xml:space="preserve">Revised Deadline for </w:t>
      </w:r>
      <w:r w:rsidR="00A1681A">
        <w:rPr>
          <w:b/>
          <w:spacing w:val="-2"/>
          <w:szCs w:val="22"/>
        </w:rPr>
        <w:t xml:space="preserve">Justifications </w:t>
      </w:r>
      <w:r w:rsidR="00B96D31">
        <w:rPr>
          <w:b/>
          <w:spacing w:val="-2"/>
          <w:szCs w:val="22"/>
        </w:rPr>
        <w:t>for Confidentiality: April 26, 2017</w:t>
      </w:r>
    </w:p>
    <w:p w:rsidR="00A672F7" w:rsidRDefault="00A672F7" w:rsidP="004E50A6">
      <w:pPr>
        <w:widowControl/>
        <w:rPr>
          <w:b/>
          <w:spacing w:val="-2"/>
          <w:szCs w:val="22"/>
        </w:rPr>
      </w:pPr>
    </w:p>
    <w:p w:rsidR="004E50A6" w:rsidRPr="00FE2E8C" w:rsidRDefault="004E50A6" w:rsidP="004E50A6">
      <w:pPr>
        <w:widowControl/>
        <w:rPr>
          <w:szCs w:val="22"/>
        </w:rPr>
      </w:pPr>
    </w:p>
    <w:p w:rsidR="004E50A6" w:rsidRPr="00FE2E8C" w:rsidRDefault="004E50A6" w:rsidP="004E50A6">
      <w:pPr>
        <w:widowControl/>
        <w:rPr>
          <w:spacing w:val="-2"/>
          <w:szCs w:val="22"/>
        </w:rPr>
      </w:pPr>
      <w:r w:rsidRPr="00FE2E8C">
        <w:rPr>
          <w:szCs w:val="22"/>
        </w:rPr>
        <w:t>By the</w:t>
      </w:r>
      <w:r w:rsidRPr="00FE2E8C">
        <w:rPr>
          <w:spacing w:val="-2"/>
          <w:szCs w:val="22"/>
        </w:rPr>
        <w:t xml:space="preserve"> </w:t>
      </w:r>
      <w:r w:rsidR="001E55C2">
        <w:rPr>
          <w:spacing w:val="-2"/>
          <w:szCs w:val="22"/>
        </w:rPr>
        <w:t xml:space="preserve">Senior Deputy </w:t>
      </w:r>
      <w:r w:rsidR="00A672F7">
        <w:rPr>
          <w:spacing w:val="-2"/>
          <w:szCs w:val="22"/>
        </w:rPr>
        <w:t>Chief, Wireless Telecommunications</w:t>
      </w:r>
      <w:r>
        <w:rPr>
          <w:spacing w:val="-2"/>
          <w:szCs w:val="22"/>
        </w:rPr>
        <w:t xml:space="preserve"> Bureau:</w:t>
      </w:r>
    </w:p>
    <w:p w:rsidR="004E50A6" w:rsidRDefault="004E50A6" w:rsidP="004E50A6">
      <w:pPr>
        <w:widowControl/>
        <w:rPr>
          <w:b/>
          <w:spacing w:val="-2"/>
          <w:szCs w:val="22"/>
        </w:rPr>
      </w:pPr>
    </w:p>
    <w:p w:rsidR="00294CA7" w:rsidRPr="00682D63" w:rsidRDefault="004E50A6" w:rsidP="00AF6679">
      <w:pPr>
        <w:pStyle w:val="ParaNum"/>
        <w:widowControl/>
        <w:rPr>
          <w:szCs w:val="22"/>
        </w:rPr>
      </w:pPr>
      <w:bookmarkStart w:id="1" w:name="_Toc361330014"/>
      <w:r>
        <w:rPr>
          <w:snapToGrid/>
        </w:rPr>
        <w:t>In this</w:t>
      </w:r>
      <w:r w:rsidR="00A672F7">
        <w:rPr>
          <w:snapToGrid/>
        </w:rPr>
        <w:t xml:space="preserve"> Order, </w:t>
      </w:r>
      <w:r w:rsidR="00294CA7">
        <w:rPr>
          <w:snapToGrid/>
        </w:rPr>
        <w:t xml:space="preserve">we extend comments and reply comments </w:t>
      </w:r>
      <w:r w:rsidR="006E0A06">
        <w:rPr>
          <w:snapToGrid/>
        </w:rPr>
        <w:t xml:space="preserve">deadlines for 14 days in response to </w:t>
      </w:r>
      <w:r w:rsidR="00EF0E4D">
        <w:rPr>
          <w:snapToGrid/>
        </w:rPr>
        <w:t>CTIA’s extension request</w:t>
      </w:r>
      <w:r w:rsidR="00772B63">
        <w:rPr>
          <w:rStyle w:val="FootnoteReference"/>
          <w:snapToGrid/>
        </w:rPr>
        <w:footnoteReference w:id="2"/>
      </w:r>
      <w:r w:rsidR="00EF0E4D">
        <w:rPr>
          <w:snapToGrid/>
        </w:rPr>
        <w:t xml:space="preserve"> with respect to </w:t>
      </w:r>
      <w:r w:rsidR="00294CA7">
        <w:rPr>
          <w:snapToGrid/>
        </w:rPr>
        <w:t xml:space="preserve">the </w:t>
      </w:r>
      <w:r w:rsidR="00212E38" w:rsidRPr="00A23885">
        <w:rPr>
          <w:i/>
          <w:snapToGrid/>
        </w:rPr>
        <w:t>Further Notice of Proposed R</w:t>
      </w:r>
      <w:r w:rsidR="00294CA7" w:rsidRPr="00A23885">
        <w:rPr>
          <w:i/>
          <w:snapToGrid/>
        </w:rPr>
        <w:t>ulemaking</w:t>
      </w:r>
      <w:r w:rsidR="00294CA7">
        <w:rPr>
          <w:snapToGrid/>
        </w:rPr>
        <w:t xml:space="preserve"> </w:t>
      </w:r>
      <w:r w:rsidR="00212E38">
        <w:rPr>
          <w:snapToGrid/>
        </w:rPr>
        <w:t>(</w:t>
      </w:r>
      <w:r w:rsidR="001E55C2">
        <w:rPr>
          <w:i/>
          <w:snapToGrid/>
        </w:rPr>
        <w:t xml:space="preserve">MF-II </w:t>
      </w:r>
      <w:r w:rsidR="00212E38" w:rsidRPr="00682D63">
        <w:rPr>
          <w:i/>
          <w:snapToGrid/>
        </w:rPr>
        <w:t>FNPRM</w:t>
      </w:r>
      <w:r w:rsidR="00212E38">
        <w:rPr>
          <w:snapToGrid/>
        </w:rPr>
        <w:t xml:space="preserve">) </w:t>
      </w:r>
      <w:r w:rsidR="001E55C2">
        <w:rPr>
          <w:snapToGrid/>
        </w:rPr>
        <w:t>in the above captioned dockets</w:t>
      </w:r>
      <w:r w:rsidR="00EF0E4D">
        <w:rPr>
          <w:snapToGrid/>
        </w:rPr>
        <w:t>,</w:t>
      </w:r>
      <w:r w:rsidR="001E55C2">
        <w:rPr>
          <w:snapToGrid/>
        </w:rPr>
        <w:t xml:space="preserve"> </w:t>
      </w:r>
      <w:r w:rsidR="00294CA7">
        <w:rPr>
          <w:snapToGrid/>
        </w:rPr>
        <w:t xml:space="preserve">regarding the challenge process </w:t>
      </w:r>
      <w:r w:rsidR="006E0A06">
        <w:rPr>
          <w:snapToGrid/>
        </w:rPr>
        <w:t>involving</w:t>
      </w:r>
      <w:r w:rsidR="00294CA7">
        <w:rPr>
          <w:snapToGrid/>
        </w:rPr>
        <w:t xml:space="preserve"> areas </w:t>
      </w:r>
      <w:r w:rsidR="006E59DF">
        <w:rPr>
          <w:snapToGrid/>
        </w:rPr>
        <w:t xml:space="preserve">that will be </w:t>
      </w:r>
      <w:r w:rsidR="00294CA7">
        <w:rPr>
          <w:snapToGrid/>
        </w:rPr>
        <w:t xml:space="preserve">eligible for Mobility Fund Phase II </w:t>
      </w:r>
      <w:r w:rsidR="008B50EC">
        <w:rPr>
          <w:snapToGrid/>
        </w:rPr>
        <w:t xml:space="preserve">(MF-II) </w:t>
      </w:r>
      <w:r w:rsidR="00294CA7">
        <w:rPr>
          <w:snapToGrid/>
        </w:rPr>
        <w:t>support.</w:t>
      </w:r>
      <w:r w:rsidR="001E55C2">
        <w:rPr>
          <w:rStyle w:val="FootnoteReference"/>
          <w:snapToGrid/>
        </w:rPr>
        <w:footnoteReference w:id="3"/>
      </w:r>
      <w:r w:rsidR="00294CA7">
        <w:rPr>
          <w:snapToGrid/>
        </w:rPr>
        <w:t xml:space="preserve">  </w:t>
      </w:r>
      <w:r w:rsidR="006E0A06">
        <w:rPr>
          <w:snapToGrid/>
        </w:rPr>
        <w:t>Commenters</w:t>
      </w:r>
      <w:r w:rsidR="00294CA7">
        <w:rPr>
          <w:snapToGrid/>
        </w:rPr>
        <w:t xml:space="preserve"> will now have until April 26, 2017</w:t>
      </w:r>
      <w:r w:rsidR="00212E38">
        <w:rPr>
          <w:snapToGrid/>
        </w:rPr>
        <w:t>,</w:t>
      </w:r>
      <w:r w:rsidR="00294CA7">
        <w:rPr>
          <w:snapToGrid/>
        </w:rPr>
        <w:t xml:space="preserve"> to file initial comments and until May 11, 2017 to file reply comments</w:t>
      </w:r>
      <w:r w:rsidR="007C2C5D">
        <w:rPr>
          <w:snapToGrid/>
        </w:rPr>
        <w:t xml:space="preserve"> </w:t>
      </w:r>
      <w:r w:rsidR="00EF0E4D">
        <w:rPr>
          <w:snapToGrid/>
        </w:rPr>
        <w:t xml:space="preserve">in response </w:t>
      </w:r>
      <w:r w:rsidR="007C2C5D">
        <w:rPr>
          <w:snapToGrid/>
        </w:rPr>
        <w:t xml:space="preserve">to the </w:t>
      </w:r>
      <w:r w:rsidR="007C2C5D" w:rsidRPr="00A23885">
        <w:rPr>
          <w:i/>
          <w:snapToGrid/>
        </w:rPr>
        <w:t>MF-II FNPRM</w:t>
      </w:r>
      <w:r w:rsidR="00294CA7">
        <w:rPr>
          <w:snapToGrid/>
        </w:rPr>
        <w:t xml:space="preserve">.  </w:t>
      </w:r>
      <w:r w:rsidR="006E0A06">
        <w:rPr>
          <w:snapToGrid/>
        </w:rPr>
        <w:t xml:space="preserve">We also extend by 14 days the deadline for interested service providers to file </w:t>
      </w:r>
      <w:r w:rsidR="000D3A6F">
        <w:rPr>
          <w:snapToGrid/>
        </w:rPr>
        <w:t>justifications for</w:t>
      </w:r>
      <w:r w:rsidR="006E0A06">
        <w:rPr>
          <w:snapToGrid/>
        </w:rPr>
        <w:t xml:space="preserve"> confidential treatment of their previously filed Form 477 </w:t>
      </w:r>
      <w:r w:rsidR="00C839FF">
        <w:rPr>
          <w:snapToGrid/>
        </w:rPr>
        <w:t>minimum advertised or expected speed</w:t>
      </w:r>
      <w:r w:rsidR="000D3A6F">
        <w:rPr>
          <w:snapToGrid/>
        </w:rPr>
        <w:t>s for 4G LTE mobile service</w:t>
      </w:r>
      <w:r w:rsidR="006E0A06">
        <w:rPr>
          <w:snapToGrid/>
        </w:rPr>
        <w:t>,</w:t>
      </w:r>
      <w:r w:rsidR="006E0A06" w:rsidRPr="006E0A06">
        <w:rPr>
          <w:snapToGrid/>
        </w:rPr>
        <w:t xml:space="preserve"> until April 26, 2017</w:t>
      </w:r>
      <w:r w:rsidR="006E0A06">
        <w:rPr>
          <w:snapToGrid/>
        </w:rPr>
        <w:t>.</w:t>
      </w:r>
      <w:r w:rsidR="006E0A06">
        <w:rPr>
          <w:rStyle w:val="FootnoteReference"/>
          <w:snapToGrid/>
        </w:rPr>
        <w:footnoteReference w:id="4"/>
      </w:r>
      <w:r w:rsidR="006E0A06">
        <w:rPr>
          <w:snapToGrid/>
        </w:rPr>
        <w:t xml:space="preserve"> </w:t>
      </w:r>
    </w:p>
    <w:p w:rsidR="00AF6679" w:rsidRPr="00EB6F46" w:rsidRDefault="00912A9E" w:rsidP="00AF6679">
      <w:pPr>
        <w:pStyle w:val="ParaNum"/>
        <w:widowControl/>
        <w:rPr>
          <w:szCs w:val="22"/>
        </w:rPr>
      </w:pPr>
      <w:r>
        <w:t xml:space="preserve">On </w:t>
      </w:r>
      <w:r w:rsidR="00D66B61">
        <w:t xml:space="preserve">March </w:t>
      </w:r>
      <w:r w:rsidR="00D13B99">
        <w:t>7</w:t>
      </w:r>
      <w:r>
        <w:t>,</w:t>
      </w:r>
      <w:r w:rsidR="00D13B99">
        <w:t xml:space="preserve"> 2017, </w:t>
      </w:r>
      <w:r>
        <w:t xml:space="preserve">the </w:t>
      </w:r>
      <w:r w:rsidR="00D66B61">
        <w:t xml:space="preserve">Commission </w:t>
      </w:r>
      <w:r>
        <w:t xml:space="preserve">released </w:t>
      </w:r>
      <w:r w:rsidR="003755C5">
        <w:t xml:space="preserve">the </w:t>
      </w:r>
      <w:r w:rsidR="003755C5" w:rsidRPr="00A23885">
        <w:rPr>
          <w:i/>
        </w:rPr>
        <w:t>MF-II R&amp;O</w:t>
      </w:r>
      <w:r w:rsidR="00772B63" w:rsidRPr="00A23885">
        <w:rPr>
          <w:i/>
        </w:rPr>
        <w:t xml:space="preserve"> and FNPRM</w:t>
      </w:r>
      <w:r w:rsidR="00772B63">
        <w:t>,</w:t>
      </w:r>
      <w:r w:rsidR="00D13B99">
        <w:t xml:space="preserve"> </w:t>
      </w:r>
      <w:r w:rsidR="00D13B99" w:rsidRPr="00C46587">
        <w:t>adopt</w:t>
      </w:r>
      <w:r w:rsidR="00D13B99">
        <w:t>ing</w:t>
      </w:r>
      <w:r w:rsidR="00D13B99" w:rsidRPr="00C46587">
        <w:t xml:space="preserve"> the framework for </w:t>
      </w:r>
      <w:r w:rsidR="008B50EC">
        <w:t>MF-II</w:t>
      </w:r>
      <w:r w:rsidR="00D13B99" w:rsidRPr="00C46587">
        <w:t xml:space="preserve"> </w:t>
      </w:r>
      <w:r w:rsidR="00D13B99" w:rsidRPr="001C19FE">
        <w:t xml:space="preserve">to promote </w:t>
      </w:r>
      <w:r w:rsidR="00D13B99">
        <w:t xml:space="preserve">the </w:t>
      </w:r>
      <w:r w:rsidR="00D13B99" w:rsidRPr="001C19FE">
        <w:t xml:space="preserve">deployment of 4G LTE </w:t>
      </w:r>
      <w:r w:rsidR="00D13B99">
        <w:t xml:space="preserve">in all areas where </w:t>
      </w:r>
      <w:r w:rsidR="003275A8">
        <w:t xml:space="preserve">such service </w:t>
      </w:r>
      <w:r w:rsidR="00D13B99">
        <w:t>would not be offered by the private sector in the absence of universal service support</w:t>
      </w:r>
      <w:r w:rsidR="004E50A6">
        <w:t>.</w:t>
      </w:r>
      <w:r w:rsidR="004E50A6">
        <w:rPr>
          <w:rStyle w:val="FootnoteReference"/>
        </w:rPr>
        <w:footnoteReference w:id="5"/>
      </w:r>
      <w:r w:rsidR="004E50A6">
        <w:t xml:space="preserve"> </w:t>
      </w:r>
      <w:r w:rsidR="00AF6679">
        <w:t xml:space="preserve"> In the </w:t>
      </w:r>
      <w:r w:rsidR="00AF6679" w:rsidRPr="00AF6679">
        <w:rPr>
          <w:i/>
        </w:rPr>
        <w:t>MF-II Report and Order</w:t>
      </w:r>
      <w:r w:rsidR="00AF6679">
        <w:t xml:space="preserve">, </w:t>
      </w:r>
      <w:r w:rsidR="00AF6679">
        <w:rPr>
          <w:szCs w:val="22"/>
        </w:rPr>
        <w:t>t</w:t>
      </w:r>
      <w:r w:rsidR="00D13B99">
        <w:rPr>
          <w:szCs w:val="22"/>
        </w:rPr>
        <w:t>he Commission</w:t>
      </w:r>
      <w:r w:rsidR="00D13B99" w:rsidRPr="001C19FE">
        <w:rPr>
          <w:szCs w:val="22"/>
        </w:rPr>
        <w:t xml:space="preserve"> </w:t>
      </w:r>
      <w:r w:rsidR="00AF6679">
        <w:rPr>
          <w:szCs w:val="22"/>
        </w:rPr>
        <w:t>explained that</w:t>
      </w:r>
      <w:r w:rsidR="0034457D">
        <w:rPr>
          <w:szCs w:val="22"/>
        </w:rPr>
        <w:t>,</w:t>
      </w:r>
      <w:r w:rsidR="00D13B99">
        <w:rPr>
          <w:szCs w:val="22"/>
        </w:rPr>
        <w:t xml:space="preserve"> prior to an MF-II auction, </w:t>
      </w:r>
      <w:r w:rsidR="00AF6679">
        <w:rPr>
          <w:szCs w:val="22"/>
        </w:rPr>
        <w:t>it would</w:t>
      </w:r>
      <w:r w:rsidR="00D13B99">
        <w:rPr>
          <w:szCs w:val="22"/>
        </w:rPr>
        <w:t xml:space="preserve"> compile </w:t>
      </w:r>
      <w:r w:rsidR="003275A8">
        <w:rPr>
          <w:szCs w:val="22"/>
        </w:rPr>
        <w:t>a</w:t>
      </w:r>
      <w:r w:rsidR="00D13B99">
        <w:rPr>
          <w:szCs w:val="22"/>
        </w:rPr>
        <w:t xml:space="preserve"> list of potentially eligible areas </w:t>
      </w:r>
      <w:r w:rsidR="0034457D" w:rsidRPr="001C19FE">
        <w:t>for MF-II</w:t>
      </w:r>
      <w:r w:rsidR="0034457D">
        <w:t xml:space="preserve"> support</w:t>
      </w:r>
      <w:r w:rsidR="0034457D">
        <w:rPr>
          <w:szCs w:val="22"/>
        </w:rPr>
        <w:t xml:space="preserve"> </w:t>
      </w:r>
      <w:r w:rsidR="00D13B99">
        <w:rPr>
          <w:szCs w:val="22"/>
        </w:rPr>
        <w:t xml:space="preserve">from the </w:t>
      </w:r>
      <w:r w:rsidR="00C839FF">
        <w:rPr>
          <w:szCs w:val="22"/>
        </w:rPr>
        <w:t xml:space="preserve">most recently available </w:t>
      </w:r>
      <w:r w:rsidR="00CC289B">
        <w:rPr>
          <w:szCs w:val="22"/>
        </w:rPr>
        <w:t xml:space="preserve">Form 477 </w:t>
      </w:r>
      <w:r w:rsidR="00D13B99">
        <w:rPr>
          <w:szCs w:val="22"/>
        </w:rPr>
        <w:t>data submissions</w:t>
      </w:r>
      <w:r w:rsidR="00AF6679">
        <w:rPr>
          <w:szCs w:val="22"/>
        </w:rPr>
        <w:t xml:space="preserve"> and </w:t>
      </w:r>
      <w:r w:rsidR="0046551A" w:rsidRPr="001C19FE">
        <w:t xml:space="preserve">provide a </w:t>
      </w:r>
      <w:r w:rsidR="0046551A">
        <w:t xml:space="preserve">robust </w:t>
      </w:r>
      <w:r w:rsidR="0046551A" w:rsidRPr="001C19FE">
        <w:t xml:space="preserve">process for interested parties to challenge </w:t>
      </w:r>
      <w:r w:rsidR="003275A8">
        <w:t>this</w:t>
      </w:r>
      <w:r w:rsidR="0046551A">
        <w:t xml:space="preserve"> list</w:t>
      </w:r>
      <w:r w:rsidR="0046551A" w:rsidRPr="001C19FE">
        <w:t>.</w:t>
      </w:r>
      <w:r w:rsidR="003275A8">
        <w:rPr>
          <w:rStyle w:val="FootnoteReference"/>
        </w:rPr>
        <w:footnoteReference w:id="6"/>
      </w:r>
      <w:r w:rsidR="00AF6679">
        <w:t xml:space="preserve">  </w:t>
      </w:r>
    </w:p>
    <w:p w:rsidR="00D13B99" w:rsidRPr="0088395E" w:rsidRDefault="00FB19F4" w:rsidP="00A23885">
      <w:pPr>
        <w:pStyle w:val="ParaNum"/>
        <w:widowControl/>
        <w:rPr>
          <w:szCs w:val="22"/>
        </w:rPr>
      </w:pPr>
      <w:r w:rsidRPr="00FB19F4">
        <w:rPr>
          <w:szCs w:val="22"/>
        </w:rPr>
        <w:lastRenderedPageBreak/>
        <w:t xml:space="preserve">In </w:t>
      </w:r>
      <w:r w:rsidR="00212E38">
        <w:rPr>
          <w:szCs w:val="22"/>
        </w:rPr>
        <w:t>its</w:t>
      </w:r>
      <w:r w:rsidRPr="00FB19F4">
        <w:rPr>
          <w:i/>
          <w:szCs w:val="22"/>
        </w:rPr>
        <w:t xml:space="preserve"> MF-II FNPRM</w:t>
      </w:r>
      <w:r w:rsidR="00212E38">
        <w:rPr>
          <w:szCs w:val="22"/>
        </w:rPr>
        <w:t>,</w:t>
      </w:r>
      <w:r w:rsidRPr="00FB19F4">
        <w:rPr>
          <w:szCs w:val="22"/>
        </w:rPr>
        <w:t xml:space="preserve"> the Commission </w:t>
      </w:r>
      <w:r>
        <w:rPr>
          <w:szCs w:val="22"/>
        </w:rPr>
        <w:t>sought</w:t>
      </w:r>
      <w:r w:rsidR="003275A8" w:rsidRPr="00FB19F4">
        <w:rPr>
          <w:szCs w:val="22"/>
        </w:rPr>
        <w:t xml:space="preserve"> general comment on </w:t>
      </w:r>
      <w:r>
        <w:rPr>
          <w:szCs w:val="22"/>
        </w:rPr>
        <w:t>two options</w:t>
      </w:r>
      <w:r w:rsidR="00CC289B">
        <w:rPr>
          <w:szCs w:val="22"/>
        </w:rPr>
        <w:t xml:space="preserve"> for</w:t>
      </w:r>
      <w:r w:rsidR="003275A8" w:rsidRPr="00FB19F4">
        <w:rPr>
          <w:szCs w:val="22"/>
        </w:rPr>
        <w:t xml:space="preserve"> potential structures for the challenge process</w:t>
      </w:r>
      <w:r w:rsidR="00BE268E">
        <w:rPr>
          <w:szCs w:val="22"/>
        </w:rPr>
        <w:t xml:space="preserve"> and </w:t>
      </w:r>
      <w:r>
        <w:rPr>
          <w:szCs w:val="22"/>
        </w:rPr>
        <w:t>explained that it</w:t>
      </w:r>
      <w:r w:rsidR="003275A8" w:rsidRPr="00FB19F4">
        <w:rPr>
          <w:szCs w:val="22"/>
        </w:rPr>
        <w:t xml:space="preserve"> intend</w:t>
      </w:r>
      <w:r>
        <w:rPr>
          <w:szCs w:val="22"/>
        </w:rPr>
        <w:t>ed</w:t>
      </w:r>
      <w:r w:rsidR="003275A8" w:rsidRPr="00FB19F4">
        <w:rPr>
          <w:szCs w:val="22"/>
        </w:rPr>
        <w:t xml:space="preserve"> to take the most effective parameters from </w:t>
      </w:r>
      <w:r>
        <w:rPr>
          <w:szCs w:val="22"/>
        </w:rPr>
        <w:t>the</w:t>
      </w:r>
      <w:r w:rsidR="003275A8" w:rsidRPr="00FB19F4">
        <w:rPr>
          <w:szCs w:val="22"/>
        </w:rPr>
        <w:t xml:space="preserve"> options</w:t>
      </w:r>
      <w:r>
        <w:rPr>
          <w:szCs w:val="22"/>
        </w:rPr>
        <w:t xml:space="preserve"> presented</w:t>
      </w:r>
      <w:r w:rsidR="003275A8" w:rsidRPr="00FB19F4">
        <w:rPr>
          <w:szCs w:val="22"/>
        </w:rPr>
        <w:t>, as well as possible additional alternatives</w:t>
      </w:r>
      <w:r w:rsidR="00544FD6">
        <w:rPr>
          <w:szCs w:val="22"/>
        </w:rPr>
        <w:t xml:space="preserve"> offered by commenters</w:t>
      </w:r>
      <w:r w:rsidR="003275A8" w:rsidRPr="00FB19F4">
        <w:rPr>
          <w:szCs w:val="22"/>
        </w:rPr>
        <w:t>, to assemble a “best in class” structure for the challenge process.</w:t>
      </w:r>
      <w:r w:rsidR="00EA247C">
        <w:rPr>
          <w:rStyle w:val="FootnoteReference"/>
          <w:szCs w:val="22"/>
        </w:rPr>
        <w:footnoteReference w:id="7"/>
      </w:r>
      <w:r w:rsidR="003275A8" w:rsidRPr="00FB19F4">
        <w:rPr>
          <w:szCs w:val="22"/>
        </w:rPr>
        <w:t xml:space="preserve">  </w:t>
      </w:r>
      <w:r w:rsidR="004E50A6">
        <w:t xml:space="preserve">Dates for </w:t>
      </w:r>
      <w:r w:rsidR="000C6DBB">
        <w:t xml:space="preserve">filing </w:t>
      </w:r>
      <w:r w:rsidR="004E50A6">
        <w:t>comments and reply com</w:t>
      </w:r>
      <w:r w:rsidR="00912A9E">
        <w:t>ments were set a</w:t>
      </w:r>
      <w:r w:rsidR="00A23885">
        <w:t>s</w:t>
      </w:r>
      <w:r w:rsidR="00912A9E">
        <w:t xml:space="preserve"> </w:t>
      </w:r>
      <w:r w:rsidR="00D13B99">
        <w:t>April 12</w:t>
      </w:r>
      <w:r w:rsidR="00912A9E">
        <w:t xml:space="preserve">, 2017 and </w:t>
      </w:r>
      <w:r w:rsidR="00D13B99">
        <w:t>April 27</w:t>
      </w:r>
      <w:r w:rsidR="00912A9E">
        <w:t>, 2017</w:t>
      </w:r>
      <w:r w:rsidR="004E50A6">
        <w:t>, respectively.</w:t>
      </w:r>
      <w:r w:rsidR="004E50A6">
        <w:rPr>
          <w:rStyle w:val="FootnoteReference"/>
        </w:rPr>
        <w:footnoteReference w:id="8"/>
      </w:r>
      <w:r w:rsidR="00BA3A86" w:rsidRPr="0088395E">
        <w:rPr>
          <w:snapToGrid/>
        </w:rPr>
        <w:t xml:space="preserve">  </w:t>
      </w:r>
    </w:p>
    <w:p w:rsidR="00703CA2" w:rsidRPr="00703CA2" w:rsidRDefault="00CC289B" w:rsidP="00D66B61">
      <w:pPr>
        <w:pStyle w:val="ParaNum"/>
        <w:widowControl/>
      </w:pPr>
      <w:r>
        <w:t>On March 29, 2017</w:t>
      </w:r>
      <w:r w:rsidR="00703CA2">
        <w:t xml:space="preserve">, the Wireless Telecommunications Bureau </w:t>
      </w:r>
      <w:r>
        <w:t xml:space="preserve">and the Wireline Competition Bureau </w:t>
      </w:r>
      <w:r w:rsidR="00703CA2">
        <w:t xml:space="preserve">released a </w:t>
      </w:r>
      <w:r w:rsidR="00703CA2" w:rsidRPr="00A23885">
        <w:rPr>
          <w:i/>
        </w:rPr>
        <w:t>Public Notice</w:t>
      </w:r>
      <w:r w:rsidR="00703CA2">
        <w:t xml:space="preserve"> </w:t>
      </w:r>
      <w:r w:rsidR="00B7014B">
        <w:t xml:space="preserve">proposing </w:t>
      </w:r>
      <w:r w:rsidR="00544FD6">
        <w:rPr>
          <w:szCs w:val="22"/>
        </w:rPr>
        <w:t>to provide additional information about the geographical areas eligible for M</w:t>
      </w:r>
      <w:r w:rsidR="00C839FF">
        <w:rPr>
          <w:szCs w:val="22"/>
        </w:rPr>
        <w:t>F-</w:t>
      </w:r>
      <w:r w:rsidR="00544FD6">
        <w:rPr>
          <w:szCs w:val="22"/>
        </w:rPr>
        <w:t xml:space="preserve">II support </w:t>
      </w:r>
      <w:r w:rsidR="00B7014B">
        <w:rPr>
          <w:szCs w:val="22"/>
        </w:rPr>
        <w:t xml:space="preserve">by releasing </w:t>
      </w:r>
      <w:r>
        <w:t>minimum advertised or expected 4G LTE speed</w:t>
      </w:r>
      <w:r w:rsidR="000D3A6F">
        <w:t>s</w:t>
      </w:r>
      <w:r>
        <w:t xml:space="preserve"> included in the December 31, 2015 and June 30, 2016 Form 477 filing</w:t>
      </w:r>
      <w:r w:rsidR="009247E5">
        <w:t xml:space="preserve">s (and any subsequent Form 477 filings) </w:t>
      </w:r>
      <w:r w:rsidR="00544FD6">
        <w:t xml:space="preserve">in order </w:t>
      </w:r>
      <w:r w:rsidR="009247E5">
        <w:t>to facilitate Mobility Fund II analysis.</w:t>
      </w:r>
      <w:r w:rsidR="009247E5">
        <w:rPr>
          <w:rStyle w:val="FootnoteReference"/>
        </w:rPr>
        <w:footnoteReference w:id="9"/>
      </w:r>
      <w:r w:rsidR="006434D0">
        <w:t xml:space="preserve">  Form 477 filers were given a deadline of April 12, 2017 to </w:t>
      </w:r>
      <w:r w:rsidR="00782B5B">
        <w:t xml:space="preserve">provide </w:t>
      </w:r>
      <w:r w:rsidR="006434D0">
        <w:t>a full justification in support of request</w:t>
      </w:r>
      <w:r w:rsidR="00782B5B">
        <w:t xml:space="preserve">s for confidential treatment of </w:t>
      </w:r>
      <w:r w:rsidR="000D3A6F">
        <w:t xml:space="preserve">their 4G LTE </w:t>
      </w:r>
      <w:r w:rsidR="00782B5B">
        <w:t>mobile speed</w:t>
      </w:r>
      <w:r w:rsidR="000D3A6F">
        <w:t>s</w:t>
      </w:r>
      <w:r w:rsidR="006434D0">
        <w:t>, pursuant to Section 0.459(b) of the Commission’s rules.</w:t>
      </w:r>
      <w:r w:rsidR="006434D0">
        <w:rPr>
          <w:rStyle w:val="FootnoteReference"/>
        </w:rPr>
        <w:footnoteReference w:id="10"/>
      </w:r>
    </w:p>
    <w:p w:rsidR="003A6C19" w:rsidRDefault="00BA3A86" w:rsidP="00544FD6">
      <w:pPr>
        <w:pStyle w:val="ParaNum"/>
        <w:widowControl/>
      </w:pPr>
      <w:r w:rsidRPr="00D66B61">
        <w:rPr>
          <w:snapToGrid/>
        </w:rPr>
        <w:t xml:space="preserve">On </w:t>
      </w:r>
      <w:r w:rsidR="00D13B99">
        <w:rPr>
          <w:snapToGrid/>
        </w:rPr>
        <w:t>April 7</w:t>
      </w:r>
      <w:r w:rsidR="004E50A6" w:rsidRPr="00D66B61">
        <w:rPr>
          <w:snapToGrid/>
        </w:rPr>
        <w:t>,</w:t>
      </w:r>
      <w:r w:rsidRPr="00D66B61">
        <w:rPr>
          <w:snapToGrid/>
        </w:rPr>
        <w:t xml:space="preserve"> 2017,</w:t>
      </w:r>
      <w:r w:rsidR="004E50A6" w:rsidRPr="00D66B61">
        <w:rPr>
          <w:snapToGrid/>
        </w:rPr>
        <w:t xml:space="preserve"> </w:t>
      </w:r>
      <w:r w:rsidR="00D13B99">
        <w:rPr>
          <w:snapToGrid/>
        </w:rPr>
        <w:t>CTIA</w:t>
      </w:r>
      <w:r w:rsidR="004E50A6" w:rsidRPr="00D66B61">
        <w:rPr>
          <w:snapToGrid/>
        </w:rPr>
        <w:t xml:space="preserve"> filed a Motion for Extension of Time seeking to extend the comment </w:t>
      </w:r>
      <w:r w:rsidR="00895FED" w:rsidRPr="00D66B61">
        <w:rPr>
          <w:snapToGrid/>
        </w:rPr>
        <w:t>deadline</w:t>
      </w:r>
      <w:r w:rsidR="0088395E">
        <w:rPr>
          <w:snapToGrid/>
        </w:rPr>
        <w:t>s</w:t>
      </w:r>
      <w:r w:rsidR="00FB19F4">
        <w:rPr>
          <w:snapToGrid/>
        </w:rPr>
        <w:t xml:space="preserve"> </w:t>
      </w:r>
      <w:r w:rsidR="006B5A8F">
        <w:rPr>
          <w:snapToGrid/>
        </w:rPr>
        <w:t xml:space="preserve">for the </w:t>
      </w:r>
      <w:r w:rsidR="006B5A8F" w:rsidRPr="00682D63">
        <w:rPr>
          <w:i/>
          <w:snapToGrid/>
        </w:rPr>
        <w:t>MF-II FNPRM</w:t>
      </w:r>
      <w:r w:rsidR="006B5A8F">
        <w:rPr>
          <w:snapToGrid/>
        </w:rPr>
        <w:t xml:space="preserve"> </w:t>
      </w:r>
      <w:r w:rsidR="00FB19F4">
        <w:rPr>
          <w:snapToGrid/>
        </w:rPr>
        <w:t>by 14 days</w:t>
      </w:r>
      <w:r w:rsidR="0088395E">
        <w:rPr>
          <w:snapToGrid/>
        </w:rPr>
        <w:t>, to April 26, 2017 and May 11, 2017</w:t>
      </w:r>
      <w:r w:rsidR="006B5A8F">
        <w:rPr>
          <w:snapToGrid/>
        </w:rPr>
        <w:t>, respectively</w:t>
      </w:r>
      <w:r w:rsidR="004E50A6" w:rsidRPr="00D66B61">
        <w:rPr>
          <w:snapToGrid/>
        </w:rPr>
        <w:t>.</w:t>
      </w:r>
      <w:r w:rsidR="004E50A6">
        <w:rPr>
          <w:rStyle w:val="FootnoteReference"/>
          <w:snapToGrid/>
        </w:rPr>
        <w:footnoteReference w:id="11"/>
      </w:r>
      <w:r w:rsidR="004E50A6" w:rsidRPr="00D66B61">
        <w:rPr>
          <w:snapToGrid/>
        </w:rPr>
        <w:t xml:space="preserve">  </w:t>
      </w:r>
      <w:bookmarkEnd w:id="1"/>
      <w:r w:rsidR="00544FD6">
        <w:t>CTIA also requested a 14-day extension of</w:t>
      </w:r>
      <w:r w:rsidR="00EA247C">
        <w:t xml:space="preserve"> time</w:t>
      </w:r>
      <w:r w:rsidR="00544FD6">
        <w:t xml:space="preserve"> </w:t>
      </w:r>
      <w:r w:rsidR="00EA247C">
        <w:t xml:space="preserve">for </w:t>
      </w:r>
      <w:r w:rsidR="00C839FF">
        <w:t xml:space="preserve">the </w:t>
      </w:r>
      <w:r w:rsidR="00544FD6">
        <w:t xml:space="preserve">April 12, 2017 deadline </w:t>
      </w:r>
      <w:r w:rsidR="00EA247C">
        <w:t>to file</w:t>
      </w:r>
      <w:r w:rsidR="00544FD6">
        <w:t xml:space="preserve"> confidentiality </w:t>
      </w:r>
      <w:r w:rsidR="00A1681A">
        <w:t xml:space="preserve">justifications </w:t>
      </w:r>
      <w:r w:rsidR="00544FD6">
        <w:t>for previously-filed Form 477 data.</w:t>
      </w:r>
      <w:r w:rsidR="00544FD6">
        <w:rPr>
          <w:rStyle w:val="FootnoteReference"/>
        </w:rPr>
        <w:footnoteReference w:id="12"/>
      </w:r>
      <w:r w:rsidR="00544FD6">
        <w:t xml:space="preserve">  </w:t>
      </w:r>
      <w:r w:rsidR="00D13B99">
        <w:t xml:space="preserve">CTIA </w:t>
      </w:r>
      <w:r w:rsidR="00B31BE9">
        <w:t xml:space="preserve">argues that a brief extension is consistent with precedent and the public interest </w:t>
      </w:r>
      <w:r w:rsidR="00A23885">
        <w:t>because</w:t>
      </w:r>
      <w:r w:rsidR="00B31BE9">
        <w:t xml:space="preserve"> the extra time </w:t>
      </w:r>
      <w:r w:rsidR="006B5A8F">
        <w:t xml:space="preserve">will allow the </w:t>
      </w:r>
      <w:r w:rsidR="00E63BFB">
        <w:t xml:space="preserve">parties </w:t>
      </w:r>
      <w:r w:rsidR="006B5A8F">
        <w:t xml:space="preserve">to </w:t>
      </w:r>
      <w:r w:rsidR="00190AE2">
        <w:t xml:space="preserve">1) </w:t>
      </w:r>
      <w:r w:rsidR="006D6080">
        <w:t xml:space="preserve">establish a full and complete record, </w:t>
      </w:r>
      <w:r w:rsidR="00190AE2">
        <w:t>and 2)</w:t>
      </w:r>
      <w:r w:rsidR="006D6080">
        <w:t xml:space="preserve"> </w:t>
      </w:r>
      <w:r w:rsidR="00190AE2">
        <w:t xml:space="preserve">better address </w:t>
      </w:r>
      <w:r w:rsidR="006D6080">
        <w:t xml:space="preserve">technically complex and </w:t>
      </w:r>
      <w:r w:rsidR="00B31BE9">
        <w:t xml:space="preserve">complicated questions.  CTIA states that the additional time will increase the possibility of </w:t>
      </w:r>
      <w:r w:rsidR="00645786">
        <w:t xml:space="preserve">its </w:t>
      </w:r>
      <w:r w:rsidR="00B31BE9">
        <w:t xml:space="preserve">developing an industry consensus proposal, which </w:t>
      </w:r>
      <w:r w:rsidR="00645786">
        <w:t xml:space="preserve">it </w:t>
      </w:r>
      <w:r w:rsidR="00B31BE9">
        <w:t xml:space="preserve">claims will address the Commission’s goals and facilitate prompt resolution of the issues </w:t>
      </w:r>
      <w:r w:rsidR="00645786">
        <w:t xml:space="preserve">relating to the challenge process </w:t>
      </w:r>
      <w:r w:rsidR="00470892">
        <w:t xml:space="preserve">without </w:t>
      </w:r>
      <w:r w:rsidR="00645786">
        <w:t xml:space="preserve">any impact on </w:t>
      </w:r>
      <w:r w:rsidR="00470892">
        <w:t xml:space="preserve">the Commission’s </w:t>
      </w:r>
      <w:r w:rsidR="00645786">
        <w:t xml:space="preserve">anticipated </w:t>
      </w:r>
      <w:r w:rsidR="00470892">
        <w:t xml:space="preserve">timeline </w:t>
      </w:r>
      <w:r w:rsidR="00645786">
        <w:t>for resolving challenges</w:t>
      </w:r>
      <w:r w:rsidR="000766AB">
        <w:t>.</w:t>
      </w:r>
      <w:r w:rsidR="006B5A8F">
        <w:rPr>
          <w:rStyle w:val="FootnoteReference"/>
        </w:rPr>
        <w:footnoteReference w:id="13"/>
      </w:r>
      <w:r w:rsidR="000766AB">
        <w:t xml:space="preserve">  </w:t>
      </w:r>
      <w:r w:rsidR="00AF6C01">
        <w:t xml:space="preserve">Additionally, CTIA argues that an extension for the deadline to respond to </w:t>
      </w:r>
      <w:r w:rsidR="008B50EC">
        <w:t>the</w:t>
      </w:r>
      <w:r w:rsidR="00AF6C01">
        <w:t xml:space="preserve"> </w:t>
      </w:r>
      <w:r w:rsidR="00AF6C01" w:rsidRPr="00951837">
        <w:rPr>
          <w:i/>
        </w:rPr>
        <w:t>Public Notice</w:t>
      </w:r>
      <w:r w:rsidR="00AF6C01">
        <w:t xml:space="preserve"> regarding the release of Form 477 4G LTE speed data is also warranted insofar as the Commission has not yet established the parameters of the challenge process</w:t>
      </w:r>
      <w:r w:rsidR="008B50EC">
        <w:t>,</w:t>
      </w:r>
      <w:r w:rsidR="00AF6C01">
        <w:t xml:space="preserve"> and </w:t>
      </w:r>
      <w:r w:rsidR="00C839FF">
        <w:t>grant of an extension</w:t>
      </w:r>
      <w:r w:rsidR="00AF6C01">
        <w:t xml:space="preserve"> would harmonize the filing deadlines of these related matters.</w:t>
      </w:r>
      <w:r w:rsidR="00AF6C01">
        <w:rPr>
          <w:rStyle w:val="FootnoteReference"/>
        </w:rPr>
        <w:footnoteReference w:id="14"/>
      </w:r>
    </w:p>
    <w:p w:rsidR="00605F87" w:rsidRDefault="004E50A6" w:rsidP="005477A1">
      <w:pPr>
        <w:pStyle w:val="ParaNum"/>
        <w:widowControl/>
      </w:pPr>
      <w:r>
        <w:t>Section 1.46 of the Commission’s rules provides that “[i]t is the policy of the Commission that extensions of time shall not be routinely granted.”</w:t>
      </w:r>
      <w:r>
        <w:rPr>
          <w:rStyle w:val="FootnoteReference"/>
        </w:rPr>
        <w:footnoteReference w:id="15"/>
      </w:r>
      <w:r>
        <w:t xml:space="preserve">  Upon review</w:t>
      </w:r>
      <w:r w:rsidR="00605F87">
        <w:t xml:space="preserve"> of the arguments raised in this matter</w:t>
      </w:r>
      <w:r>
        <w:t>, we agree that</w:t>
      </w:r>
      <w:r w:rsidR="0064593B">
        <w:t xml:space="preserve"> a limited extension of the pleading cycle is warranted</w:t>
      </w:r>
      <w:r w:rsidR="007171F0">
        <w:t>.</w:t>
      </w:r>
      <w:r w:rsidR="0064593B">
        <w:t xml:space="preserve"> </w:t>
      </w:r>
      <w:r w:rsidR="0034457D">
        <w:t xml:space="preserve"> </w:t>
      </w:r>
      <w:r w:rsidR="0064593B">
        <w:t>We find that</w:t>
      </w:r>
      <w:r>
        <w:t xml:space="preserve"> </w:t>
      </w:r>
      <w:r w:rsidR="00D0602E">
        <w:t xml:space="preserve">a </w:t>
      </w:r>
      <w:r>
        <w:t>brief extension</w:t>
      </w:r>
      <w:r w:rsidR="000C6DBB">
        <w:t xml:space="preserve"> of the filing deadline</w:t>
      </w:r>
      <w:r w:rsidR="006B5A8F">
        <w:t>s</w:t>
      </w:r>
      <w:r>
        <w:t xml:space="preserve"> </w:t>
      </w:r>
      <w:r w:rsidR="001B73B2">
        <w:t xml:space="preserve">to </w:t>
      </w:r>
      <w:r>
        <w:t xml:space="preserve">allow parties </w:t>
      </w:r>
      <w:r w:rsidR="00605F87">
        <w:t xml:space="preserve">to </w:t>
      </w:r>
      <w:r w:rsidR="001B73B2">
        <w:t>build industry</w:t>
      </w:r>
      <w:r w:rsidR="00605F87">
        <w:t xml:space="preserve"> consensus </w:t>
      </w:r>
      <w:r w:rsidR="001B73B2">
        <w:t>will</w:t>
      </w:r>
      <w:r>
        <w:t xml:space="preserve"> facilitate the compilation of a complete record </w:t>
      </w:r>
      <w:r w:rsidR="005525B1">
        <w:t>and will further the Commission’s goal of reaching a prompt resolution of this matter</w:t>
      </w:r>
      <w:r w:rsidR="00711C37">
        <w:t xml:space="preserve">.  </w:t>
      </w:r>
      <w:r w:rsidR="00605F87">
        <w:t xml:space="preserve">We further find that a 14-day extension of the deadline to submit </w:t>
      </w:r>
      <w:r w:rsidR="000D3A6F">
        <w:t xml:space="preserve">justifications for </w:t>
      </w:r>
      <w:r w:rsidR="00605F87">
        <w:t>confidentiality requests for</w:t>
      </w:r>
      <w:r w:rsidR="000D3A6F">
        <w:t xml:space="preserve"> the minimum advertised or expected 4G LTE mobile</w:t>
      </w:r>
      <w:r w:rsidR="00605F87">
        <w:t xml:space="preserve"> </w:t>
      </w:r>
      <w:r w:rsidR="00951837">
        <w:t>speed</w:t>
      </w:r>
      <w:r w:rsidR="000D3A6F">
        <w:t>s</w:t>
      </w:r>
      <w:r w:rsidR="00951837">
        <w:t xml:space="preserve"> </w:t>
      </w:r>
      <w:r w:rsidR="000D3A6F">
        <w:t xml:space="preserve">included in their Form 477 filings </w:t>
      </w:r>
      <w:r w:rsidR="00605F87">
        <w:t>is also warranted</w:t>
      </w:r>
      <w:r w:rsidR="00BB53D7">
        <w:t xml:space="preserve"> to allow the related deadlines to remain </w:t>
      </w:r>
      <w:r w:rsidR="00C8433A">
        <w:t>aligned</w:t>
      </w:r>
      <w:r w:rsidR="00BB53D7">
        <w:t xml:space="preserve">.  </w:t>
      </w:r>
    </w:p>
    <w:p w:rsidR="004E50A6" w:rsidRDefault="004E50A6" w:rsidP="004E50A6">
      <w:pPr>
        <w:pStyle w:val="ParaNum"/>
      </w:pPr>
      <w:r>
        <w:t xml:space="preserve">Accordingly, IT IS ORDERED, pursuant to </w:t>
      </w:r>
      <w:r w:rsidRPr="004769E4">
        <w:t>sections 4(i)</w:t>
      </w:r>
      <w:r>
        <w:t>, 4(j),</w:t>
      </w:r>
      <w:r w:rsidRPr="004769E4">
        <w:t xml:space="preserve"> </w:t>
      </w:r>
      <w:r>
        <w:t xml:space="preserve">5, </w:t>
      </w:r>
      <w:r w:rsidRPr="004769E4">
        <w:t xml:space="preserve">and 303(r) of the </w:t>
      </w:r>
      <w:r w:rsidRPr="004769E4">
        <w:lastRenderedPageBreak/>
        <w:t>Communications Act, as amended, 47 U.S.C. §§ 154(i)</w:t>
      </w:r>
      <w:r>
        <w:t xml:space="preserve">, </w:t>
      </w:r>
      <w:r w:rsidRPr="004769E4">
        <w:t>154</w:t>
      </w:r>
      <w:r>
        <w:t xml:space="preserve">(j), 155, </w:t>
      </w:r>
      <w:r w:rsidRPr="004769E4">
        <w:t>and 303(r)</w:t>
      </w:r>
      <w:r>
        <w:t>,</w:t>
      </w:r>
      <w:r w:rsidRPr="004769E4">
        <w:t xml:space="preserve"> and sections </w:t>
      </w:r>
      <w:r>
        <w:t>0.</w:t>
      </w:r>
      <w:r w:rsidR="002F3997">
        <w:t>131</w:t>
      </w:r>
      <w:r>
        <w:t>, 0.</w:t>
      </w:r>
      <w:r w:rsidR="002F3997">
        <w:t>33</w:t>
      </w:r>
      <w:r>
        <w:t>1, 1.46, and 1.415</w:t>
      </w:r>
      <w:r w:rsidR="00D66B61">
        <w:t xml:space="preserve"> of the Commission’s</w:t>
      </w:r>
      <w:r w:rsidRPr="004769E4">
        <w:t xml:space="preserve"> rules, 47 CFR §§ </w:t>
      </w:r>
      <w:r>
        <w:t>0.</w:t>
      </w:r>
      <w:r w:rsidR="002F3997">
        <w:t>13</w:t>
      </w:r>
      <w:r>
        <w:t>1, 0.</w:t>
      </w:r>
      <w:r w:rsidR="002F3997">
        <w:t>33</w:t>
      </w:r>
      <w:r>
        <w:t>1, 1.46</w:t>
      </w:r>
      <w:r w:rsidRPr="004769E4">
        <w:t>,</w:t>
      </w:r>
      <w:r w:rsidR="00C22681">
        <w:t xml:space="preserve"> and 1.415, that</w:t>
      </w:r>
      <w:r w:rsidR="00C22681">
        <w:rPr>
          <w:snapToGrid/>
        </w:rPr>
        <w:t xml:space="preserve"> the</w:t>
      </w:r>
      <w:r w:rsidR="003F77DB">
        <w:rPr>
          <w:snapToGrid/>
        </w:rPr>
        <w:t xml:space="preserve"> Motion for Extension of Time filed by</w:t>
      </w:r>
      <w:r w:rsidR="0088395E">
        <w:rPr>
          <w:snapToGrid/>
        </w:rPr>
        <w:t xml:space="preserve"> CTIA</w:t>
      </w:r>
      <w:r>
        <w:t>, IS GRANTED to the extent described herein, and the deadline</w:t>
      </w:r>
      <w:r w:rsidR="00BA3A86">
        <w:t>s</w:t>
      </w:r>
      <w:r>
        <w:t xml:space="preserve"> for filing </w:t>
      </w:r>
      <w:r w:rsidR="00BA3A86">
        <w:t>comment</w:t>
      </w:r>
      <w:r w:rsidR="00895FED">
        <w:t>s</w:t>
      </w:r>
      <w:r w:rsidR="00BA3A86">
        <w:t xml:space="preserve"> in response to</w:t>
      </w:r>
      <w:r w:rsidR="0088395E">
        <w:t xml:space="preserve"> </w:t>
      </w:r>
      <w:r w:rsidR="005477A1">
        <w:t xml:space="preserve">the </w:t>
      </w:r>
      <w:r w:rsidR="0088395E" w:rsidRPr="00FB19F4">
        <w:rPr>
          <w:i/>
          <w:szCs w:val="22"/>
        </w:rPr>
        <w:t>MF-II FNPRM</w:t>
      </w:r>
      <w:r w:rsidR="0088395E">
        <w:t xml:space="preserve"> </w:t>
      </w:r>
      <w:r w:rsidR="005477A1">
        <w:t xml:space="preserve">and </w:t>
      </w:r>
      <w:r w:rsidR="00A1681A">
        <w:t xml:space="preserve">justifications </w:t>
      </w:r>
      <w:r w:rsidR="005477A1">
        <w:t xml:space="preserve">for confidentiality of Form 477 </w:t>
      </w:r>
      <w:r w:rsidR="00C839FF">
        <w:t xml:space="preserve">speed </w:t>
      </w:r>
      <w:r w:rsidR="005477A1">
        <w:t>data</w:t>
      </w:r>
      <w:r w:rsidR="0088395E">
        <w:t xml:space="preserve"> </w:t>
      </w:r>
      <w:r w:rsidR="005477A1">
        <w:t xml:space="preserve">are </w:t>
      </w:r>
      <w:r w:rsidR="003F77DB">
        <w:t>extended to</w:t>
      </w:r>
      <w:r w:rsidR="0088395E">
        <w:t xml:space="preserve"> </w:t>
      </w:r>
      <w:r w:rsidR="0088395E">
        <w:rPr>
          <w:snapToGrid/>
        </w:rPr>
        <w:t>April 26, 2017</w:t>
      </w:r>
      <w:r w:rsidR="005477A1">
        <w:rPr>
          <w:snapToGrid/>
        </w:rPr>
        <w:t>,</w:t>
      </w:r>
      <w:r w:rsidR="0088395E">
        <w:rPr>
          <w:snapToGrid/>
        </w:rPr>
        <w:t xml:space="preserve"> and </w:t>
      </w:r>
      <w:r w:rsidR="005477A1">
        <w:rPr>
          <w:snapToGrid/>
        </w:rPr>
        <w:t xml:space="preserve">the deadline for filing reply comments to the </w:t>
      </w:r>
      <w:r w:rsidR="005477A1" w:rsidRPr="00FB19F4">
        <w:rPr>
          <w:i/>
          <w:szCs w:val="22"/>
        </w:rPr>
        <w:t>MF-II FNPRM</w:t>
      </w:r>
      <w:r w:rsidR="005477A1">
        <w:t xml:space="preserve"> </w:t>
      </w:r>
      <w:r w:rsidR="005477A1">
        <w:rPr>
          <w:snapToGrid/>
        </w:rPr>
        <w:t xml:space="preserve">is extended until </w:t>
      </w:r>
      <w:r w:rsidR="0088395E">
        <w:rPr>
          <w:snapToGrid/>
        </w:rPr>
        <w:t>May 11, 2017</w:t>
      </w:r>
      <w:r>
        <w:t>.</w:t>
      </w:r>
      <w:r w:rsidR="005477A1">
        <w:t xml:space="preserve"> </w:t>
      </w:r>
    </w:p>
    <w:p w:rsidR="004E50A6" w:rsidRDefault="004E50A6" w:rsidP="004E50A6">
      <w:pPr>
        <w:pStyle w:val="ParaNum"/>
        <w:numPr>
          <w:ilvl w:val="0"/>
          <w:numId w:val="0"/>
        </w:numPr>
      </w:pPr>
    </w:p>
    <w:p w:rsidR="004E50A6" w:rsidRDefault="004E50A6" w:rsidP="004E50A6">
      <w:pPr>
        <w:pStyle w:val="ParaNum"/>
        <w:widowControl/>
        <w:numPr>
          <w:ilvl w:val="0"/>
          <w:numId w:val="0"/>
        </w:numPr>
        <w:spacing w:after="0"/>
        <w:ind w:left="3600"/>
      </w:pPr>
      <w:r>
        <w:t>FEDERAL COMMUNICATIONS COMMISSION</w:t>
      </w:r>
    </w:p>
    <w:p w:rsidR="004E50A6" w:rsidRDefault="004E50A6" w:rsidP="004E50A6">
      <w:pPr>
        <w:pStyle w:val="ParaNum"/>
        <w:widowControl/>
        <w:numPr>
          <w:ilvl w:val="0"/>
          <w:numId w:val="0"/>
        </w:numPr>
        <w:spacing w:after="0"/>
        <w:ind w:left="3600"/>
      </w:pPr>
    </w:p>
    <w:p w:rsidR="004E50A6" w:rsidRDefault="004E50A6" w:rsidP="004E50A6">
      <w:pPr>
        <w:pStyle w:val="ParaNum"/>
        <w:widowControl/>
        <w:numPr>
          <w:ilvl w:val="0"/>
          <w:numId w:val="0"/>
        </w:numPr>
        <w:spacing w:after="0"/>
        <w:ind w:left="3600"/>
      </w:pPr>
    </w:p>
    <w:p w:rsidR="004E50A6" w:rsidRDefault="004E50A6" w:rsidP="004E50A6">
      <w:pPr>
        <w:pStyle w:val="ParaNum"/>
        <w:widowControl/>
        <w:numPr>
          <w:ilvl w:val="0"/>
          <w:numId w:val="0"/>
        </w:numPr>
        <w:spacing w:after="0"/>
        <w:ind w:left="3600"/>
      </w:pPr>
    </w:p>
    <w:p w:rsidR="004E50A6" w:rsidRDefault="004E50A6" w:rsidP="004E50A6">
      <w:pPr>
        <w:pStyle w:val="ParaNum"/>
        <w:widowControl/>
        <w:numPr>
          <w:ilvl w:val="0"/>
          <w:numId w:val="0"/>
        </w:numPr>
        <w:spacing w:after="0"/>
        <w:ind w:left="3600"/>
      </w:pPr>
    </w:p>
    <w:p w:rsidR="004E50A6" w:rsidRPr="005E3FE4" w:rsidRDefault="000D3A6F" w:rsidP="004E50A6">
      <w:pPr>
        <w:spacing w:before="40"/>
        <w:ind w:left="2880" w:firstLine="720"/>
        <w:rPr>
          <w:b/>
          <w:szCs w:val="22"/>
        </w:rPr>
      </w:pPr>
      <w:r>
        <w:rPr>
          <w:szCs w:val="22"/>
        </w:rPr>
        <w:t xml:space="preserve">James D. </w:t>
      </w:r>
      <w:r w:rsidR="001E55C2">
        <w:rPr>
          <w:szCs w:val="22"/>
        </w:rPr>
        <w:t>Schlichting</w:t>
      </w:r>
    </w:p>
    <w:p w:rsidR="004E50A6" w:rsidRDefault="001E55C2" w:rsidP="004E50A6">
      <w:pPr>
        <w:pStyle w:val="ParaNum"/>
        <w:widowControl/>
        <w:numPr>
          <w:ilvl w:val="0"/>
          <w:numId w:val="0"/>
        </w:numPr>
        <w:spacing w:after="0"/>
        <w:ind w:left="3600"/>
      </w:pPr>
      <w:r>
        <w:t xml:space="preserve">Senior Deputy </w:t>
      </w:r>
      <w:r w:rsidR="004E50A6">
        <w:t xml:space="preserve">Chief </w:t>
      </w:r>
    </w:p>
    <w:p w:rsidR="004C2EE3" w:rsidRDefault="00C22681" w:rsidP="004E50A6">
      <w:pPr>
        <w:ind w:left="2880" w:firstLine="720"/>
      </w:pPr>
      <w:r>
        <w:t>Wireless Telecommunications</w:t>
      </w:r>
      <w:r w:rsidR="004E50A6">
        <w:t xml:space="preserve"> Bureau</w:t>
      </w:r>
    </w:p>
    <w:sectPr w:rsidR="004C2EE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9D" w:rsidRDefault="009F6B9D">
      <w:pPr>
        <w:spacing w:line="20" w:lineRule="exact"/>
      </w:pPr>
    </w:p>
  </w:endnote>
  <w:endnote w:type="continuationSeparator" w:id="0">
    <w:p w:rsidR="009F6B9D" w:rsidRDefault="009F6B9D">
      <w:r>
        <w:t xml:space="preserve"> </w:t>
      </w:r>
    </w:p>
  </w:endnote>
  <w:endnote w:type="continuationNotice" w:id="1">
    <w:p w:rsidR="009F6B9D" w:rsidRDefault="009F6B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A2" w:rsidRDefault="00703CA2" w:rsidP="0055614C">
    <w:pPr>
      <w:pStyle w:val="Footer"/>
      <w:framePr w:wrap="around" w:vAnchor="text" w:hAnchor="margin" w:xAlign="center" w:y="1"/>
    </w:pPr>
    <w:r>
      <w:fldChar w:fldCharType="begin"/>
    </w:r>
    <w:r>
      <w:instrText xml:space="preserve">PAGE  </w:instrText>
    </w:r>
    <w:r>
      <w:fldChar w:fldCharType="end"/>
    </w:r>
  </w:p>
  <w:p w:rsidR="00703CA2" w:rsidRDefault="00703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A2" w:rsidRDefault="00703CA2" w:rsidP="0055614C">
    <w:pPr>
      <w:pStyle w:val="Footer"/>
      <w:framePr w:wrap="around" w:vAnchor="text" w:hAnchor="margin" w:xAlign="center" w:y="1"/>
    </w:pPr>
    <w:r>
      <w:fldChar w:fldCharType="begin"/>
    </w:r>
    <w:r>
      <w:instrText xml:space="preserve">PAGE  </w:instrText>
    </w:r>
    <w:r>
      <w:fldChar w:fldCharType="separate"/>
    </w:r>
    <w:r w:rsidR="006945AC">
      <w:rPr>
        <w:noProof/>
      </w:rPr>
      <w:t>2</w:t>
    </w:r>
    <w:r>
      <w:fldChar w:fldCharType="end"/>
    </w:r>
  </w:p>
  <w:p w:rsidR="00703CA2" w:rsidRDefault="00703CA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A2" w:rsidRDefault="00703CA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9D" w:rsidRDefault="009F6B9D">
      <w:r>
        <w:separator/>
      </w:r>
    </w:p>
  </w:footnote>
  <w:footnote w:type="continuationSeparator" w:id="0">
    <w:p w:rsidR="009F6B9D" w:rsidRDefault="009F6B9D" w:rsidP="00C721AC">
      <w:pPr>
        <w:spacing w:before="120"/>
        <w:rPr>
          <w:sz w:val="20"/>
        </w:rPr>
      </w:pPr>
      <w:r>
        <w:rPr>
          <w:sz w:val="20"/>
        </w:rPr>
        <w:t xml:space="preserve">(Continued from previous page)  </w:t>
      </w:r>
      <w:r>
        <w:rPr>
          <w:sz w:val="20"/>
        </w:rPr>
        <w:separator/>
      </w:r>
    </w:p>
  </w:footnote>
  <w:footnote w:type="continuationNotice" w:id="1">
    <w:p w:rsidR="009F6B9D" w:rsidRDefault="009F6B9D" w:rsidP="00C721AC">
      <w:pPr>
        <w:jc w:val="right"/>
        <w:rPr>
          <w:sz w:val="20"/>
        </w:rPr>
      </w:pPr>
      <w:r>
        <w:rPr>
          <w:sz w:val="20"/>
        </w:rPr>
        <w:t>(continued….)</w:t>
      </w:r>
    </w:p>
  </w:footnote>
  <w:footnote w:id="2">
    <w:p w:rsidR="00772B63" w:rsidRDefault="00772B63">
      <w:pPr>
        <w:pStyle w:val="FootnoteText"/>
      </w:pPr>
      <w:r>
        <w:rPr>
          <w:rStyle w:val="FootnoteReference"/>
        </w:rPr>
        <w:footnoteRef/>
      </w:r>
      <w:r>
        <w:t xml:space="preserve"> Motion for Extension of Time to File Comments and Reply Comments, and for Extension of Time to File Confidentiality Requests, WTB/WCB Docket Nos. 10-90 and 10-208 at 4, CTIA, filed April 7, 2017 (</w:t>
      </w:r>
      <w:r w:rsidRPr="00160BFF">
        <w:rPr>
          <w:i/>
        </w:rPr>
        <w:t>Motion for Extension)</w:t>
      </w:r>
      <w:r>
        <w:t>.</w:t>
      </w:r>
    </w:p>
  </w:footnote>
  <w:footnote w:id="3">
    <w:p w:rsidR="001E55C2" w:rsidRDefault="001E55C2">
      <w:pPr>
        <w:pStyle w:val="FootnoteText"/>
      </w:pPr>
      <w:r>
        <w:rPr>
          <w:rStyle w:val="FootnoteReference"/>
        </w:rPr>
        <w:footnoteRef/>
      </w:r>
      <w:r>
        <w:t xml:space="preserve"> </w:t>
      </w:r>
      <w:r w:rsidRPr="0085399C">
        <w:rPr>
          <w:i/>
          <w:iCs/>
          <w:snapToGrid w:val="0"/>
          <w:color w:val="000000"/>
          <w:kern w:val="28"/>
        </w:rPr>
        <w:t>Connect America Fund; Universal Service Reform – Mobility Fund</w:t>
      </w:r>
      <w:r>
        <w:rPr>
          <w:i/>
          <w:iCs/>
          <w:snapToGrid w:val="0"/>
          <w:color w:val="000000"/>
          <w:kern w:val="28"/>
        </w:rPr>
        <w:t xml:space="preserve"> Phase II</w:t>
      </w:r>
      <w:r w:rsidRPr="0085399C">
        <w:rPr>
          <w:snapToGrid w:val="0"/>
          <w:color w:val="000000"/>
          <w:kern w:val="28"/>
        </w:rPr>
        <w:t>, Report and Order and Further Notice of Proposed Rulemaking, FCC 17-11 (</w:t>
      </w:r>
      <w:r w:rsidR="00557975">
        <w:rPr>
          <w:snapToGrid w:val="0"/>
          <w:color w:val="000000"/>
          <w:kern w:val="28"/>
        </w:rPr>
        <w:t xml:space="preserve">rel. </w:t>
      </w:r>
      <w:r w:rsidRPr="0085399C">
        <w:rPr>
          <w:snapToGrid w:val="0"/>
          <w:color w:val="000000"/>
          <w:kern w:val="28"/>
        </w:rPr>
        <w:t>Mar. 7, 2017)</w:t>
      </w:r>
      <w:r>
        <w:rPr>
          <w:snapToGrid w:val="0"/>
          <w:color w:val="000000"/>
          <w:kern w:val="28"/>
        </w:rPr>
        <w:t xml:space="preserve"> (</w:t>
      </w:r>
      <w:r>
        <w:rPr>
          <w:i/>
          <w:snapToGrid w:val="0"/>
          <w:color w:val="000000"/>
          <w:kern w:val="28"/>
        </w:rPr>
        <w:t>MF-</w:t>
      </w:r>
      <w:r w:rsidRPr="0085399C">
        <w:rPr>
          <w:i/>
          <w:snapToGrid w:val="0"/>
          <w:color w:val="000000"/>
          <w:kern w:val="28"/>
        </w:rPr>
        <w:t>II R&amp;O and FNPRM</w:t>
      </w:r>
      <w:r>
        <w:rPr>
          <w:snapToGrid w:val="0"/>
          <w:color w:val="000000"/>
          <w:kern w:val="28"/>
        </w:rPr>
        <w:t>).</w:t>
      </w:r>
    </w:p>
  </w:footnote>
  <w:footnote w:id="4">
    <w:p w:rsidR="006E0A06" w:rsidRDefault="006E0A06" w:rsidP="006E0A06">
      <w:pPr>
        <w:pStyle w:val="FootnoteText"/>
      </w:pPr>
      <w:r>
        <w:rPr>
          <w:rStyle w:val="FootnoteReference"/>
        </w:rPr>
        <w:footnoteRef/>
      </w:r>
      <w:r>
        <w:t xml:space="preserve"> </w:t>
      </w:r>
      <w:r w:rsidR="00557975" w:rsidRPr="00951837">
        <w:rPr>
          <w:i/>
        </w:rPr>
        <w:t>Modernizing the FCC Form 477 Data Program</w:t>
      </w:r>
      <w:r w:rsidR="00557975">
        <w:t xml:space="preserve">, Report and Order, 28 FCC Rcd 9887 (2013); </w:t>
      </w:r>
      <w:r w:rsidR="00772B63" w:rsidRPr="009247E5">
        <w:rPr>
          <w:i/>
        </w:rPr>
        <w:t>WTB and WCB Propose to Release Form 477 4G LTE Mobile Speed Data to Facilitate Implementation of Mobility Fund II Support</w:t>
      </w:r>
      <w:r w:rsidR="00772B63">
        <w:t>, Public Notice, FCC 17-286 at para. 2, (</w:t>
      </w:r>
      <w:r w:rsidR="00557975">
        <w:t xml:space="preserve">rel. </w:t>
      </w:r>
      <w:r w:rsidR="00772B63">
        <w:t>March 29, 2017) (</w:t>
      </w:r>
      <w:r w:rsidR="002B7EA3">
        <w:rPr>
          <w:i/>
        </w:rPr>
        <w:t>MF-</w:t>
      </w:r>
      <w:r w:rsidR="00772B63" w:rsidRPr="009247E5">
        <w:rPr>
          <w:i/>
        </w:rPr>
        <w:t>II Form 477 Data Release P</w:t>
      </w:r>
      <w:r w:rsidR="00772B63">
        <w:rPr>
          <w:i/>
        </w:rPr>
        <w:t xml:space="preserve">ublic </w:t>
      </w:r>
      <w:r w:rsidR="00772B63" w:rsidRPr="009247E5">
        <w:rPr>
          <w:i/>
        </w:rPr>
        <w:t>N</w:t>
      </w:r>
      <w:r w:rsidR="00772B63">
        <w:rPr>
          <w:i/>
        </w:rPr>
        <w:t>otice</w:t>
      </w:r>
      <w:r w:rsidR="00772B63">
        <w:t xml:space="preserve">). </w:t>
      </w:r>
    </w:p>
  </w:footnote>
  <w:footnote w:id="5">
    <w:p w:rsidR="00703CA2" w:rsidRDefault="00703CA2" w:rsidP="004E50A6">
      <w:pPr>
        <w:pStyle w:val="FootnoteText"/>
      </w:pPr>
      <w:r>
        <w:rPr>
          <w:rStyle w:val="FootnoteReference"/>
        </w:rPr>
        <w:footnoteRef/>
      </w:r>
      <w:r>
        <w:t xml:space="preserve"> </w:t>
      </w:r>
      <w:r w:rsidR="00772B63">
        <w:t xml:space="preserve">See generally </w:t>
      </w:r>
      <w:r w:rsidR="00772B63" w:rsidRPr="00A23885">
        <w:rPr>
          <w:i/>
        </w:rPr>
        <w:t>MF-II R&amp;O and FNPRM</w:t>
      </w:r>
      <w:r w:rsidR="00772B63">
        <w:t>.</w:t>
      </w:r>
    </w:p>
  </w:footnote>
  <w:footnote w:id="6">
    <w:p w:rsidR="00703CA2" w:rsidRDefault="00703CA2">
      <w:pPr>
        <w:pStyle w:val="FootnoteText"/>
      </w:pPr>
      <w:r>
        <w:rPr>
          <w:rStyle w:val="FootnoteReference"/>
        </w:rPr>
        <w:footnoteRef/>
      </w:r>
      <w:r>
        <w:t xml:space="preserve"> </w:t>
      </w:r>
      <w:r w:rsidR="00002DD4" w:rsidRPr="00D45214">
        <w:rPr>
          <w:i/>
        </w:rPr>
        <w:t>See</w:t>
      </w:r>
      <w:r w:rsidR="00002DD4">
        <w:t xml:space="preserve"> </w:t>
      </w:r>
      <w:r w:rsidR="00C839FF">
        <w:rPr>
          <w:i/>
        </w:rPr>
        <w:t>i</w:t>
      </w:r>
      <w:r w:rsidR="00FB6690" w:rsidRPr="00D45214">
        <w:rPr>
          <w:i/>
        </w:rPr>
        <w:t>d</w:t>
      </w:r>
      <w:r w:rsidR="00FB6690">
        <w:t>. at para. 66.</w:t>
      </w:r>
    </w:p>
  </w:footnote>
  <w:footnote w:id="7">
    <w:p w:rsidR="00EA247C" w:rsidRDefault="00EA247C">
      <w:pPr>
        <w:pStyle w:val="FootnoteText"/>
      </w:pPr>
      <w:r>
        <w:rPr>
          <w:rStyle w:val="FootnoteReference"/>
        </w:rPr>
        <w:footnoteRef/>
      </w:r>
      <w:r>
        <w:t xml:space="preserve"> </w:t>
      </w:r>
      <w:r w:rsidR="00002DD4" w:rsidRPr="00D45214">
        <w:rPr>
          <w:i/>
        </w:rPr>
        <w:t>Id</w:t>
      </w:r>
      <w:r w:rsidR="00002DD4">
        <w:t xml:space="preserve">. at </w:t>
      </w:r>
      <w:r w:rsidR="00E716D4">
        <w:t>para.</w:t>
      </w:r>
      <w:r w:rsidR="00002DD4">
        <w:t xml:space="preserve"> 231.</w:t>
      </w:r>
    </w:p>
  </w:footnote>
  <w:footnote w:id="8">
    <w:p w:rsidR="00703CA2" w:rsidRPr="00B45F96" w:rsidRDefault="00703CA2" w:rsidP="004E50A6">
      <w:pPr>
        <w:pStyle w:val="FootnoteText"/>
      </w:pPr>
      <w:r>
        <w:rPr>
          <w:rStyle w:val="FootnoteReference"/>
        </w:rPr>
        <w:footnoteRef/>
      </w:r>
      <w:r>
        <w:t xml:space="preserve"> </w:t>
      </w:r>
      <w:r w:rsidR="00D45214">
        <w:t>Federal Communications Commission, Connect America Fund; Universal Service Reform --Mobility Fund, Proposed Rule, 82 F</w:t>
      </w:r>
      <w:r w:rsidR="00C92E5E">
        <w:t xml:space="preserve">ed. </w:t>
      </w:r>
      <w:r w:rsidR="00D45214">
        <w:t>R</w:t>
      </w:r>
      <w:r w:rsidR="00C92E5E">
        <w:t>eg.</w:t>
      </w:r>
      <w:r w:rsidR="00D45214">
        <w:t xml:space="preserve"> 13413 (</w:t>
      </w:r>
      <w:r w:rsidR="00557975">
        <w:t xml:space="preserve">rel. </w:t>
      </w:r>
      <w:r w:rsidR="00D45214">
        <w:t xml:space="preserve">March 13, 2017).  </w:t>
      </w:r>
    </w:p>
  </w:footnote>
  <w:footnote w:id="9">
    <w:p w:rsidR="009247E5" w:rsidRDefault="009247E5">
      <w:pPr>
        <w:pStyle w:val="FootnoteText"/>
      </w:pPr>
      <w:r>
        <w:rPr>
          <w:rStyle w:val="FootnoteReference"/>
        </w:rPr>
        <w:footnoteRef/>
      </w:r>
      <w:r>
        <w:t xml:space="preserve"> </w:t>
      </w:r>
      <w:r w:rsidRPr="009247E5">
        <w:rPr>
          <w:i/>
        </w:rPr>
        <w:t>WTB and WCB Propose to Release Form 477 4G LTE Mobile Speed Data to Facilitate Implementation of Mobility Fund II Support</w:t>
      </w:r>
      <w:r>
        <w:t>, Public Notice, FCC 17-286 at para. 2, (March 29, 2017) (</w:t>
      </w:r>
      <w:r w:rsidR="00C92E5E">
        <w:rPr>
          <w:i/>
        </w:rPr>
        <w:t>MF-</w:t>
      </w:r>
      <w:r w:rsidRPr="009247E5">
        <w:rPr>
          <w:i/>
        </w:rPr>
        <w:t>II Form 477 Data Release PN</w:t>
      </w:r>
      <w:r>
        <w:t xml:space="preserve">). </w:t>
      </w:r>
    </w:p>
  </w:footnote>
  <w:footnote w:id="10">
    <w:p w:rsidR="006434D0" w:rsidRDefault="006434D0">
      <w:pPr>
        <w:pStyle w:val="FootnoteText"/>
      </w:pPr>
      <w:r>
        <w:rPr>
          <w:rStyle w:val="FootnoteReference"/>
        </w:rPr>
        <w:footnoteRef/>
      </w:r>
      <w:r>
        <w:t xml:space="preserve"> </w:t>
      </w:r>
      <w:r w:rsidR="002B7EA3" w:rsidRPr="00951837">
        <w:rPr>
          <w:i/>
        </w:rPr>
        <w:t>Id</w:t>
      </w:r>
      <w:r w:rsidR="002B7EA3">
        <w:t xml:space="preserve">. </w:t>
      </w:r>
      <w:r>
        <w:rPr>
          <w:i/>
        </w:rPr>
        <w:t>at para. 4.</w:t>
      </w:r>
    </w:p>
  </w:footnote>
  <w:footnote w:id="11">
    <w:p w:rsidR="00703CA2" w:rsidRDefault="00703CA2" w:rsidP="004E50A6">
      <w:pPr>
        <w:pStyle w:val="FootnoteText"/>
      </w:pPr>
      <w:r>
        <w:rPr>
          <w:rStyle w:val="FootnoteReference"/>
        </w:rPr>
        <w:footnoteRef/>
      </w:r>
      <w:r>
        <w:t xml:space="preserve"> </w:t>
      </w:r>
      <w:r w:rsidR="00072AF4" w:rsidRPr="00951837">
        <w:rPr>
          <w:i/>
        </w:rPr>
        <w:t>Motion for Extension</w:t>
      </w:r>
      <w:r w:rsidR="00072AF4">
        <w:t xml:space="preserve"> at 4</w:t>
      </w:r>
      <w:r>
        <w:t>.</w:t>
      </w:r>
    </w:p>
  </w:footnote>
  <w:footnote w:id="12">
    <w:p w:rsidR="00544FD6" w:rsidRDefault="00544FD6" w:rsidP="00544FD6">
      <w:pPr>
        <w:pStyle w:val="FootnoteText"/>
      </w:pPr>
      <w:r>
        <w:rPr>
          <w:rStyle w:val="FootnoteReference"/>
        </w:rPr>
        <w:footnoteRef/>
      </w:r>
      <w:r>
        <w:t xml:space="preserve"> </w:t>
      </w:r>
      <w:r w:rsidR="00D45214" w:rsidRPr="00951837">
        <w:rPr>
          <w:i/>
        </w:rPr>
        <w:t xml:space="preserve">Motion for Extension </w:t>
      </w:r>
      <w:r w:rsidR="00D45214">
        <w:t>at 5.</w:t>
      </w:r>
    </w:p>
  </w:footnote>
  <w:footnote w:id="13">
    <w:p w:rsidR="006B5A8F" w:rsidRDefault="006B5A8F">
      <w:pPr>
        <w:pStyle w:val="FootnoteText"/>
      </w:pPr>
      <w:r>
        <w:rPr>
          <w:rStyle w:val="FootnoteReference"/>
        </w:rPr>
        <w:footnoteRef/>
      </w:r>
      <w:r>
        <w:t xml:space="preserve"> </w:t>
      </w:r>
      <w:r w:rsidR="00D45214" w:rsidRPr="00160BFF">
        <w:rPr>
          <w:i/>
        </w:rPr>
        <w:t>See</w:t>
      </w:r>
      <w:r w:rsidR="00D45214">
        <w:t xml:space="preserve"> </w:t>
      </w:r>
      <w:r w:rsidR="00D45214" w:rsidRPr="00951837">
        <w:rPr>
          <w:i/>
        </w:rPr>
        <w:t>Motion for Extension</w:t>
      </w:r>
      <w:r w:rsidR="00D45214">
        <w:t xml:space="preserve"> at 2-4.</w:t>
      </w:r>
    </w:p>
  </w:footnote>
  <w:footnote w:id="14">
    <w:p w:rsidR="00AF6C01" w:rsidRDefault="00AF6C01">
      <w:pPr>
        <w:pStyle w:val="FootnoteText"/>
      </w:pPr>
      <w:r>
        <w:rPr>
          <w:rStyle w:val="FootnoteReference"/>
        </w:rPr>
        <w:footnoteRef/>
      </w:r>
      <w:r>
        <w:t xml:space="preserve"> </w:t>
      </w:r>
      <w:r w:rsidR="00682D63" w:rsidRPr="00BA229F">
        <w:rPr>
          <w:i/>
        </w:rPr>
        <w:t>See</w:t>
      </w:r>
      <w:r w:rsidR="00682D63">
        <w:t xml:space="preserve"> </w:t>
      </w:r>
      <w:r w:rsidR="00682D63" w:rsidRPr="00951837">
        <w:rPr>
          <w:i/>
        </w:rPr>
        <w:t>Motion for Extension</w:t>
      </w:r>
      <w:r w:rsidR="00682D63">
        <w:t xml:space="preserve"> at 5.</w:t>
      </w:r>
    </w:p>
  </w:footnote>
  <w:footnote w:id="15">
    <w:p w:rsidR="00703CA2" w:rsidRDefault="00703CA2" w:rsidP="004E50A6">
      <w:pPr>
        <w:pStyle w:val="FootnoteText"/>
      </w:pPr>
      <w:r>
        <w:rPr>
          <w:rStyle w:val="FootnoteReference"/>
        </w:rPr>
        <w:footnoteRef/>
      </w:r>
      <w:r w:rsidR="006434D0">
        <w:t xml:space="preserve"> 47 C.F.R. § </w:t>
      </w:r>
      <w:r>
        <w:t xml:space="preserve">1.46.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51" w:rsidRDefault="00980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A2" w:rsidRDefault="00703CA2" w:rsidP="00810B6F">
    <w:pPr>
      <w:pStyle w:val="Header"/>
      <w:rPr>
        <w:b w:val="0"/>
      </w:rPr>
    </w:pPr>
    <w:r>
      <w:tab/>
      <w:t>Federal Communications Commission</w:t>
    </w:r>
    <w:r>
      <w:tab/>
      <w:t>DA 17-</w:t>
    </w:r>
    <w:r w:rsidR="001B618E">
      <w:t>347</w:t>
    </w:r>
  </w:p>
  <w:p w:rsidR="00703CA2" w:rsidRDefault="00703CA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9608ABE" wp14:editId="47B7793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BFFF2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703CA2" w:rsidRDefault="00703CA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A2" w:rsidRDefault="00703CA2" w:rsidP="00810B6F">
    <w:pPr>
      <w:pStyle w:val="Header"/>
      <w:rPr>
        <w:b w:val="0"/>
      </w:rPr>
    </w:pPr>
    <w:r>
      <w:rPr>
        <w:noProof/>
      </w:rPr>
      <mc:AlternateContent>
        <mc:Choice Requires="wps">
          <w:drawing>
            <wp:anchor distT="0" distB="0" distL="114300" distR="114300" simplePos="0" relativeHeight="251658240" behindDoc="1" locked="0" layoutInCell="0" allowOverlap="1" wp14:anchorId="64B1CC74" wp14:editId="13FD750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D1158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1B618E">
      <w:rPr>
        <w:spacing w:val="-2"/>
      </w:rPr>
      <w:t>DA 17-347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5543355"/>
    <w:multiLevelType w:val="hybridMultilevel"/>
    <w:tmpl w:val="C6B24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A6"/>
    <w:rsid w:val="00002DD4"/>
    <w:rsid w:val="00011833"/>
    <w:rsid w:val="00025E3B"/>
    <w:rsid w:val="000315B2"/>
    <w:rsid w:val="00036039"/>
    <w:rsid w:val="00037F90"/>
    <w:rsid w:val="00072AF4"/>
    <w:rsid w:val="000766AB"/>
    <w:rsid w:val="00086965"/>
    <w:rsid w:val="000875BF"/>
    <w:rsid w:val="00096D8C"/>
    <w:rsid w:val="000C0B65"/>
    <w:rsid w:val="000C6DBB"/>
    <w:rsid w:val="000D3A6F"/>
    <w:rsid w:val="000E05FE"/>
    <w:rsid w:val="000E1717"/>
    <w:rsid w:val="000E3D42"/>
    <w:rsid w:val="000F6640"/>
    <w:rsid w:val="00120907"/>
    <w:rsid w:val="00121D4E"/>
    <w:rsid w:val="00122BD5"/>
    <w:rsid w:val="00133F79"/>
    <w:rsid w:val="001718E5"/>
    <w:rsid w:val="00190AE2"/>
    <w:rsid w:val="00194A66"/>
    <w:rsid w:val="001B618E"/>
    <w:rsid w:val="001B620F"/>
    <w:rsid w:val="001B73B2"/>
    <w:rsid w:val="001D6BCF"/>
    <w:rsid w:val="001E01CA"/>
    <w:rsid w:val="001E55C2"/>
    <w:rsid w:val="00212E38"/>
    <w:rsid w:val="00216270"/>
    <w:rsid w:val="00232140"/>
    <w:rsid w:val="00234FA2"/>
    <w:rsid w:val="00272E9B"/>
    <w:rsid w:val="00275CF5"/>
    <w:rsid w:val="0028301F"/>
    <w:rsid w:val="00285017"/>
    <w:rsid w:val="0029167A"/>
    <w:rsid w:val="00294CA7"/>
    <w:rsid w:val="002A2D2E"/>
    <w:rsid w:val="002B7EA3"/>
    <w:rsid w:val="002C00E8"/>
    <w:rsid w:val="002F3997"/>
    <w:rsid w:val="00323CA4"/>
    <w:rsid w:val="003249E2"/>
    <w:rsid w:val="003275A8"/>
    <w:rsid w:val="00343749"/>
    <w:rsid w:val="0034457D"/>
    <w:rsid w:val="003549D8"/>
    <w:rsid w:val="003660ED"/>
    <w:rsid w:val="003755C5"/>
    <w:rsid w:val="00392385"/>
    <w:rsid w:val="00393A60"/>
    <w:rsid w:val="00395758"/>
    <w:rsid w:val="003A6C19"/>
    <w:rsid w:val="003B0550"/>
    <w:rsid w:val="003B1C48"/>
    <w:rsid w:val="003B4165"/>
    <w:rsid w:val="003B521D"/>
    <w:rsid w:val="003B694F"/>
    <w:rsid w:val="003E6684"/>
    <w:rsid w:val="003F0F10"/>
    <w:rsid w:val="003F171C"/>
    <w:rsid w:val="003F77DB"/>
    <w:rsid w:val="00412FC5"/>
    <w:rsid w:val="00422276"/>
    <w:rsid w:val="004242F1"/>
    <w:rsid w:val="0044589E"/>
    <w:rsid w:val="00445A00"/>
    <w:rsid w:val="00451B0F"/>
    <w:rsid w:val="00461275"/>
    <w:rsid w:val="0046551A"/>
    <w:rsid w:val="00470892"/>
    <w:rsid w:val="004C2EE3"/>
    <w:rsid w:val="004E4A22"/>
    <w:rsid w:val="004E50A6"/>
    <w:rsid w:val="004F1A52"/>
    <w:rsid w:val="00511968"/>
    <w:rsid w:val="005124AC"/>
    <w:rsid w:val="005375C9"/>
    <w:rsid w:val="00544FD6"/>
    <w:rsid w:val="005477A1"/>
    <w:rsid w:val="005525B1"/>
    <w:rsid w:val="0055614C"/>
    <w:rsid w:val="00557975"/>
    <w:rsid w:val="005A3688"/>
    <w:rsid w:val="005D3031"/>
    <w:rsid w:val="005E14C2"/>
    <w:rsid w:val="005F7D9B"/>
    <w:rsid w:val="00605F87"/>
    <w:rsid w:val="00607BA5"/>
    <w:rsid w:val="0061180A"/>
    <w:rsid w:val="00614C8D"/>
    <w:rsid w:val="00626EB6"/>
    <w:rsid w:val="006434D0"/>
    <w:rsid w:val="00645786"/>
    <w:rsid w:val="0064593B"/>
    <w:rsid w:val="00655D03"/>
    <w:rsid w:val="00682D63"/>
    <w:rsid w:val="00683388"/>
    <w:rsid w:val="00683F84"/>
    <w:rsid w:val="00686F9C"/>
    <w:rsid w:val="00691473"/>
    <w:rsid w:val="006945AC"/>
    <w:rsid w:val="006A6A81"/>
    <w:rsid w:val="006B5A8F"/>
    <w:rsid w:val="006D6080"/>
    <w:rsid w:val="006E0A06"/>
    <w:rsid w:val="006E4A6E"/>
    <w:rsid w:val="006E59DF"/>
    <w:rsid w:val="006F7393"/>
    <w:rsid w:val="0070224F"/>
    <w:rsid w:val="00703CA2"/>
    <w:rsid w:val="007115F7"/>
    <w:rsid w:val="00711C37"/>
    <w:rsid w:val="007132A2"/>
    <w:rsid w:val="007171F0"/>
    <w:rsid w:val="00741AE8"/>
    <w:rsid w:val="00763CFE"/>
    <w:rsid w:val="00767CFF"/>
    <w:rsid w:val="00772B63"/>
    <w:rsid w:val="00782B5B"/>
    <w:rsid w:val="00785689"/>
    <w:rsid w:val="0079754B"/>
    <w:rsid w:val="007A1E6D"/>
    <w:rsid w:val="007B0EB2"/>
    <w:rsid w:val="007C2C5D"/>
    <w:rsid w:val="00810B6F"/>
    <w:rsid w:val="00817315"/>
    <w:rsid w:val="00822CE0"/>
    <w:rsid w:val="00841AB1"/>
    <w:rsid w:val="008514C1"/>
    <w:rsid w:val="0088395E"/>
    <w:rsid w:val="0089387C"/>
    <w:rsid w:val="00895FED"/>
    <w:rsid w:val="008B50EC"/>
    <w:rsid w:val="008C68F1"/>
    <w:rsid w:val="008F3237"/>
    <w:rsid w:val="008F654C"/>
    <w:rsid w:val="00912A9E"/>
    <w:rsid w:val="00921803"/>
    <w:rsid w:val="009247E5"/>
    <w:rsid w:val="00924B49"/>
    <w:rsid w:val="00926503"/>
    <w:rsid w:val="00951837"/>
    <w:rsid w:val="009726D8"/>
    <w:rsid w:val="00980951"/>
    <w:rsid w:val="009F6B9D"/>
    <w:rsid w:val="009F76DB"/>
    <w:rsid w:val="00A1681A"/>
    <w:rsid w:val="00A23885"/>
    <w:rsid w:val="00A32C3B"/>
    <w:rsid w:val="00A45F4F"/>
    <w:rsid w:val="00A600A9"/>
    <w:rsid w:val="00A672F7"/>
    <w:rsid w:val="00AA55B7"/>
    <w:rsid w:val="00AA5B9E"/>
    <w:rsid w:val="00AB2407"/>
    <w:rsid w:val="00AB53DF"/>
    <w:rsid w:val="00AB7371"/>
    <w:rsid w:val="00AF6679"/>
    <w:rsid w:val="00AF6C01"/>
    <w:rsid w:val="00B05AF9"/>
    <w:rsid w:val="00B07E5C"/>
    <w:rsid w:val="00B1787E"/>
    <w:rsid w:val="00B3056E"/>
    <w:rsid w:val="00B30CB6"/>
    <w:rsid w:val="00B31BE9"/>
    <w:rsid w:val="00B4584E"/>
    <w:rsid w:val="00B45F96"/>
    <w:rsid w:val="00B7014B"/>
    <w:rsid w:val="00B811F7"/>
    <w:rsid w:val="00B96D31"/>
    <w:rsid w:val="00BA3A86"/>
    <w:rsid w:val="00BA5DC6"/>
    <w:rsid w:val="00BA6196"/>
    <w:rsid w:val="00BA73D6"/>
    <w:rsid w:val="00BB44D7"/>
    <w:rsid w:val="00BB53D7"/>
    <w:rsid w:val="00BC6D8C"/>
    <w:rsid w:val="00BD4CC2"/>
    <w:rsid w:val="00BE268E"/>
    <w:rsid w:val="00C04B8C"/>
    <w:rsid w:val="00C22681"/>
    <w:rsid w:val="00C34006"/>
    <w:rsid w:val="00C426B1"/>
    <w:rsid w:val="00C45E68"/>
    <w:rsid w:val="00C66160"/>
    <w:rsid w:val="00C721AC"/>
    <w:rsid w:val="00C839FF"/>
    <w:rsid w:val="00C8433A"/>
    <w:rsid w:val="00C86F3A"/>
    <w:rsid w:val="00C90D6A"/>
    <w:rsid w:val="00C92E5E"/>
    <w:rsid w:val="00CA247E"/>
    <w:rsid w:val="00CC289B"/>
    <w:rsid w:val="00CC72B6"/>
    <w:rsid w:val="00CD6918"/>
    <w:rsid w:val="00D0218D"/>
    <w:rsid w:val="00D0602E"/>
    <w:rsid w:val="00D13B99"/>
    <w:rsid w:val="00D25FB5"/>
    <w:rsid w:val="00D44223"/>
    <w:rsid w:val="00D45214"/>
    <w:rsid w:val="00D62DCA"/>
    <w:rsid w:val="00D66B61"/>
    <w:rsid w:val="00D74EB4"/>
    <w:rsid w:val="00DA2529"/>
    <w:rsid w:val="00DB130A"/>
    <w:rsid w:val="00DB2EBB"/>
    <w:rsid w:val="00DC10A1"/>
    <w:rsid w:val="00DC655F"/>
    <w:rsid w:val="00DD0B59"/>
    <w:rsid w:val="00DD7EBD"/>
    <w:rsid w:val="00DF62B6"/>
    <w:rsid w:val="00E07225"/>
    <w:rsid w:val="00E37116"/>
    <w:rsid w:val="00E5409F"/>
    <w:rsid w:val="00E63BFB"/>
    <w:rsid w:val="00E716D4"/>
    <w:rsid w:val="00E73506"/>
    <w:rsid w:val="00E916B0"/>
    <w:rsid w:val="00EA247C"/>
    <w:rsid w:val="00EE6488"/>
    <w:rsid w:val="00EF0E4D"/>
    <w:rsid w:val="00EF2DCB"/>
    <w:rsid w:val="00F021FA"/>
    <w:rsid w:val="00F20089"/>
    <w:rsid w:val="00F35606"/>
    <w:rsid w:val="00F62E97"/>
    <w:rsid w:val="00F64209"/>
    <w:rsid w:val="00F93BF5"/>
    <w:rsid w:val="00FB19F4"/>
    <w:rsid w:val="00FB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 w:type="character" w:styleId="CommentReference">
    <w:name w:val="annotation reference"/>
    <w:basedOn w:val="DefaultParagraphFont"/>
    <w:semiHidden/>
    <w:unhideWhenUsed/>
    <w:rsid w:val="00B7014B"/>
    <w:rPr>
      <w:sz w:val="16"/>
      <w:szCs w:val="16"/>
    </w:rPr>
  </w:style>
  <w:style w:type="paragraph" w:styleId="CommentText">
    <w:name w:val="annotation text"/>
    <w:basedOn w:val="Normal"/>
    <w:link w:val="CommentTextChar"/>
    <w:semiHidden/>
    <w:unhideWhenUsed/>
    <w:rsid w:val="00B7014B"/>
    <w:rPr>
      <w:sz w:val="20"/>
    </w:rPr>
  </w:style>
  <w:style w:type="character" w:customStyle="1" w:styleId="CommentTextChar">
    <w:name w:val="Comment Text Char"/>
    <w:basedOn w:val="DefaultParagraphFont"/>
    <w:link w:val="CommentText"/>
    <w:semiHidden/>
    <w:rsid w:val="00B7014B"/>
    <w:rPr>
      <w:snapToGrid w:val="0"/>
      <w:kern w:val="28"/>
    </w:rPr>
  </w:style>
  <w:style w:type="paragraph" w:styleId="CommentSubject">
    <w:name w:val="annotation subject"/>
    <w:basedOn w:val="CommentText"/>
    <w:next w:val="CommentText"/>
    <w:link w:val="CommentSubjectChar"/>
    <w:semiHidden/>
    <w:unhideWhenUsed/>
    <w:rsid w:val="00B7014B"/>
    <w:rPr>
      <w:b/>
      <w:bCs/>
    </w:rPr>
  </w:style>
  <w:style w:type="character" w:customStyle="1" w:styleId="CommentSubjectChar">
    <w:name w:val="Comment Subject Char"/>
    <w:basedOn w:val="CommentTextChar"/>
    <w:link w:val="CommentSubject"/>
    <w:semiHidden/>
    <w:rsid w:val="00B7014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 w:type="character" w:styleId="CommentReference">
    <w:name w:val="annotation reference"/>
    <w:basedOn w:val="DefaultParagraphFont"/>
    <w:semiHidden/>
    <w:unhideWhenUsed/>
    <w:rsid w:val="00B7014B"/>
    <w:rPr>
      <w:sz w:val="16"/>
      <w:szCs w:val="16"/>
    </w:rPr>
  </w:style>
  <w:style w:type="paragraph" w:styleId="CommentText">
    <w:name w:val="annotation text"/>
    <w:basedOn w:val="Normal"/>
    <w:link w:val="CommentTextChar"/>
    <w:semiHidden/>
    <w:unhideWhenUsed/>
    <w:rsid w:val="00B7014B"/>
    <w:rPr>
      <w:sz w:val="20"/>
    </w:rPr>
  </w:style>
  <w:style w:type="character" w:customStyle="1" w:styleId="CommentTextChar">
    <w:name w:val="Comment Text Char"/>
    <w:basedOn w:val="DefaultParagraphFont"/>
    <w:link w:val="CommentText"/>
    <w:semiHidden/>
    <w:rsid w:val="00B7014B"/>
    <w:rPr>
      <w:snapToGrid w:val="0"/>
      <w:kern w:val="28"/>
    </w:rPr>
  </w:style>
  <w:style w:type="paragraph" w:styleId="CommentSubject">
    <w:name w:val="annotation subject"/>
    <w:basedOn w:val="CommentText"/>
    <w:next w:val="CommentText"/>
    <w:link w:val="CommentSubjectChar"/>
    <w:semiHidden/>
    <w:unhideWhenUsed/>
    <w:rsid w:val="00B7014B"/>
    <w:rPr>
      <w:b/>
      <w:bCs/>
    </w:rPr>
  </w:style>
  <w:style w:type="character" w:customStyle="1" w:styleId="CommentSubjectChar">
    <w:name w:val="Comment Subject Char"/>
    <w:basedOn w:val="CommentTextChar"/>
    <w:link w:val="CommentSubject"/>
    <w:semiHidden/>
    <w:rsid w:val="00B7014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elly.Quinn\AppData\Local\Microsoft\Windows\Temporary%20Internet%20Files\Content.MSO\6F023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6F023210</Template>
  <TotalTime>0</TotalTime>
  <Pages>3</Pages>
  <Words>921</Words>
  <Characters>4805</Characters>
  <Application>Microsoft Office Word</Application>
  <DocSecurity>0</DocSecurity>
  <Lines>102</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2017-04-11T14:38:00Z</cp:lastPrinted>
  <dcterms:created xsi:type="dcterms:W3CDTF">2017-04-11T16:15:00Z</dcterms:created>
  <dcterms:modified xsi:type="dcterms:W3CDTF">2017-04-11T16:15:00Z</dcterms:modified>
  <cp:category> </cp:category>
  <cp:contentStatus> </cp:contentStatus>
</cp:coreProperties>
</file>