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150" w:rsidRPr="00B20363" w:rsidRDefault="00850D55" w:rsidP="00850D55">
      <w:pPr>
        <w:ind w:left="5040"/>
        <w:jc w:val="center"/>
        <w:rPr>
          <w:b/>
          <w:sz w:val="24"/>
        </w:rPr>
      </w:pPr>
      <w:bookmarkStart w:id="0" w:name="_GoBack"/>
      <w:bookmarkEnd w:id="0"/>
      <w:r>
        <w:rPr>
          <w:b/>
          <w:sz w:val="24"/>
        </w:rPr>
        <w:t xml:space="preserve">      </w:t>
      </w:r>
      <w:r w:rsidR="00750150">
        <w:rPr>
          <w:b/>
          <w:sz w:val="24"/>
        </w:rPr>
        <w:t>DA 1</w:t>
      </w:r>
      <w:r w:rsidR="00F41547">
        <w:rPr>
          <w:b/>
          <w:sz w:val="24"/>
        </w:rPr>
        <w:t>7</w:t>
      </w:r>
      <w:r w:rsidR="00750150">
        <w:rPr>
          <w:b/>
          <w:sz w:val="24"/>
        </w:rPr>
        <w:t>-</w:t>
      </w:r>
      <w:r>
        <w:rPr>
          <w:b/>
          <w:sz w:val="24"/>
        </w:rPr>
        <w:t>353</w:t>
      </w:r>
    </w:p>
    <w:p w:rsidR="00750150" w:rsidRPr="00B20363" w:rsidRDefault="00F41547" w:rsidP="00750150">
      <w:pPr>
        <w:spacing w:before="60"/>
        <w:jc w:val="right"/>
        <w:rPr>
          <w:b/>
          <w:sz w:val="24"/>
        </w:rPr>
      </w:pPr>
      <w:r>
        <w:rPr>
          <w:b/>
          <w:sz w:val="24"/>
        </w:rPr>
        <w:t xml:space="preserve">Released:  </w:t>
      </w:r>
      <w:r w:rsidR="00974E5E">
        <w:rPr>
          <w:b/>
          <w:sz w:val="24"/>
        </w:rPr>
        <w:t>April</w:t>
      </w:r>
      <w:r>
        <w:rPr>
          <w:b/>
          <w:sz w:val="24"/>
        </w:rPr>
        <w:t xml:space="preserve"> </w:t>
      </w:r>
      <w:r w:rsidR="00265513" w:rsidRPr="00A92110">
        <w:rPr>
          <w:b/>
          <w:sz w:val="24"/>
        </w:rPr>
        <w:t>1</w:t>
      </w:r>
      <w:r w:rsidR="00523BFF">
        <w:rPr>
          <w:b/>
          <w:sz w:val="24"/>
        </w:rPr>
        <w:t>3</w:t>
      </w:r>
      <w:r>
        <w:rPr>
          <w:b/>
          <w:sz w:val="24"/>
        </w:rPr>
        <w:t>, 2017</w:t>
      </w:r>
    </w:p>
    <w:p w:rsidR="00750150" w:rsidRDefault="00750150" w:rsidP="00750150">
      <w:pPr>
        <w:jc w:val="right"/>
        <w:rPr>
          <w:sz w:val="24"/>
        </w:rPr>
      </w:pPr>
    </w:p>
    <w:p w:rsidR="00750150" w:rsidRPr="00F00661" w:rsidRDefault="00750150" w:rsidP="00750150">
      <w:pPr>
        <w:spacing w:after="240"/>
        <w:jc w:val="center"/>
        <w:rPr>
          <w:rFonts w:ascii="Times New Roman Bold" w:hAnsi="Times New Roman Bold"/>
          <w:b/>
          <w:caps/>
          <w:sz w:val="24"/>
        </w:rPr>
      </w:pPr>
      <w:r>
        <w:rPr>
          <w:rFonts w:ascii="Times New Roman Bold" w:hAnsi="Times New Roman Bold"/>
          <w:b/>
          <w:caps/>
          <w:sz w:val="24"/>
        </w:rPr>
        <w:t xml:space="preserve">the </w:t>
      </w:r>
      <w:r w:rsidR="00E018D5">
        <w:rPr>
          <w:rFonts w:ascii="Times New Roman Bold" w:hAnsi="Times New Roman Bold"/>
          <w:b/>
          <w:caps/>
          <w:sz w:val="24"/>
        </w:rPr>
        <w:t xml:space="preserve">INCENTIVE AUCTION TASK FORCE </w:t>
      </w:r>
      <w:r w:rsidR="00875A4B">
        <w:rPr>
          <w:rFonts w:ascii="Times New Roman Bold" w:hAnsi="Times New Roman Bold"/>
          <w:b/>
          <w:caps/>
          <w:sz w:val="24"/>
        </w:rPr>
        <w:t xml:space="preserve">AND MEDIA BUREAU </w:t>
      </w:r>
      <w:r w:rsidR="005641CE">
        <w:rPr>
          <w:rFonts w:ascii="Times New Roman Bold" w:hAnsi="Times New Roman Bold"/>
          <w:b/>
          <w:caps/>
          <w:sz w:val="24"/>
        </w:rPr>
        <w:t xml:space="preserve">ANNOUNCE </w:t>
      </w:r>
      <w:r w:rsidR="00974E5E">
        <w:rPr>
          <w:rFonts w:ascii="Times New Roman Bold" w:hAnsi="Times New Roman Bold"/>
          <w:b/>
          <w:caps/>
          <w:sz w:val="24"/>
        </w:rPr>
        <w:t xml:space="preserve">the </w:t>
      </w:r>
      <w:r w:rsidR="002477D5">
        <w:rPr>
          <w:rFonts w:ascii="Times New Roman Bold" w:hAnsi="Times New Roman Bold"/>
          <w:b/>
          <w:caps/>
          <w:sz w:val="24"/>
        </w:rPr>
        <w:t>Availability of the post-</w:t>
      </w:r>
      <w:r w:rsidR="00974E5E">
        <w:rPr>
          <w:rFonts w:ascii="Times New Roman Bold" w:hAnsi="Times New Roman Bold"/>
          <w:b/>
          <w:caps/>
          <w:sz w:val="24"/>
        </w:rPr>
        <w:t xml:space="preserve">incentive </w:t>
      </w:r>
      <w:r w:rsidR="002477D5">
        <w:rPr>
          <w:rFonts w:ascii="Times New Roman Bold" w:hAnsi="Times New Roman Bold"/>
          <w:b/>
          <w:caps/>
          <w:sz w:val="24"/>
        </w:rPr>
        <w:t>a</w:t>
      </w:r>
      <w:r w:rsidR="00974E5E">
        <w:rPr>
          <w:rFonts w:ascii="Times New Roman Bold" w:hAnsi="Times New Roman Bold"/>
          <w:b/>
          <w:caps/>
          <w:sz w:val="24"/>
        </w:rPr>
        <w:t>u</w:t>
      </w:r>
      <w:r w:rsidR="002477D5">
        <w:rPr>
          <w:rFonts w:ascii="Times New Roman Bold" w:hAnsi="Times New Roman Bold"/>
          <w:b/>
          <w:caps/>
          <w:sz w:val="24"/>
        </w:rPr>
        <w:t>ction reimbursement</w:t>
      </w:r>
      <w:r w:rsidR="00C7091D">
        <w:rPr>
          <w:rFonts w:ascii="Times New Roman Bold" w:hAnsi="Times New Roman Bold"/>
          <w:b/>
          <w:caps/>
          <w:sz w:val="24"/>
        </w:rPr>
        <w:t xml:space="preserve"> and banking information</w:t>
      </w:r>
      <w:r w:rsidR="002477D5">
        <w:rPr>
          <w:rFonts w:ascii="Times New Roman Bold" w:hAnsi="Times New Roman Bold"/>
          <w:b/>
          <w:caps/>
          <w:sz w:val="24"/>
        </w:rPr>
        <w:t xml:space="preserve"> </w:t>
      </w:r>
      <w:r w:rsidR="00C7091D">
        <w:rPr>
          <w:rFonts w:ascii="Times New Roman Bold" w:hAnsi="Times New Roman Bold"/>
          <w:b/>
          <w:caps/>
          <w:sz w:val="24"/>
        </w:rPr>
        <w:t>FORMs for repacked stations and MVPDs</w:t>
      </w:r>
      <w:r w:rsidR="00241C4F">
        <w:rPr>
          <w:rFonts w:ascii="Times New Roman Bold" w:hAnsi="Times New Roman Bold"/>
          <w:b/>
          <w:caps/>
          <w:sz w:val="24"/>
        </w:rPr>
        <w:t xml:space="preserve"> </w:t>
      </w:r>
    </w:p>
    <w:p w:rsidR="00750150" w:rsidRDefault="00750150" w:rsidP="00750150">
      <w:pPr>
        <w:jc w:val="center"/>
        <w:rPr>
          <w:b/>
          <w:sz w:val="24"/>
        </w:rPr>
      </w:pPr>
      <w:r>
        <w:rPr>
          <w:b/>
          <w:sz w:val="24"/>
        </w:rPr>
        <w:t>MB Docket No. 16-306</w:t>
      </w:r>
    </w:p>
    <w:p w:rsidR="001D7681" w:rsidRDefault="001D7681" w:rsidP="00750150">
      <w:pPr>
        <w:jc w:val="center"/>
        <w:rPr>
          <w:b/>
          <w:sz w:val="24"/>
        </w:rPr>
      </w:pPr>
      <w:r>
        <w:rPr>
          <w:b/>
          <w:sz w:val="24"/>
        </w:rPr>
        <w:t>GN Docket No. 12-268</w:t>
      </w:r>
    </w:p>
    <w:p w:rsidR="00750150" w:rsidRPr="005D4529" w:rsidRDefault="00750150" w:rsidP="00750150">
      <w:pPr>
        <w:spacing w:after="120"/>
        <w:contextualSpacing/>
        <w:jc w:val="center"/>
        <w:rPr>
          <w:szCs w:val="22"/>
        </w:rPr>
      </w:pPr>
    </w:p>
    <w:p w:rsidR="00265513" w:rsidRDefault="00A961E2" w:rsidP="0080135F">
      <w:pPr>
        <w:autoSpaceDE w:val="0"/>
        <w:autoSpaceDN w:val="0"/>
        <w:spacing w:after="220"/>
        <w:ind w:firstLine="720"/>
        <w:rPr>
          <w:szCs w:val="22"/>
        </w:rPr>
      </w:pPr>
      <w:r>
        <w:rPr>
          <w:szCs w:val="22"/>
        </w:rPr>
        <w:t>Th</w:t>
      </w:r>
      <w:r w:rsidR="00750150" w:rsidRPr="005D4529">
        <w:rPr>
          <w:szCs w:val="22"/>
        </w:rPr>
        <w:t xml:space="preserve">e </w:t>
      </w:r>
      <w:r w:rsidR="00E018D5">
        <w:rPr>
          <w:szCs w:val="22"/>
        </w:rPr>
        <w:t xml:space="preserve">Incentive Auction Task Force </w:t>
      </w:r>
      <w:r w:rsidR="00B5789C">
        <w:rPr>
          <w:szCs w:val="22"/>
        </w:rPr>
        <w:t xml:space="preserve">and Media Bureau </w:t>
      </w:r>
      <w:r w:rsidR="002477D5">
        <w:rPr>
          <w:szCs w:val="22"/>
        </w:rPr>
        <w:t>a</w:t>
      </w:r>
      <w:r w:rsidR="00356908">
        <w:rPr>
          <w:szCs w:val="22"/>
        </w:rPr>
        <w:t xml:space="preserve">nnounce </w:t>
      </w:r>
      <w:r w:rsidR="00B75C01">
        <w:rPr>
          <w:szCs w:val="22"/>
        </w:rPr>
        <w:t xml:space="preserve">that </w:t>
      </w:r>
      <w:r w:rsidR="00C8443B">
        <w:rPr>
          <w:szCs w:val="22"/>
        </w:rPr>
        <w:t>FCC Form 2100, Schedule 399</w:t>
      </w:r>
      <w:r w:rsidR="00942166">
        <w:rPr>
          <w:szCs w:val="22"/>
        </w:rPr>
        <w:t xml:space="preserve"> (Reimbursement Form</w:t>
      </w:r>
      <w:r w:rsidR="00B75C01">
        <w:rPr>
          <w:szCs w:val="22"/>
        </w:rPr>
        <w:t xml:space="preserve">), is now </w:t>
      </w:r>
      <w:r w:rsidR="00443AE0">
        <w:rPr>
          <w:szCs w:val="22"/>
        </w:rPr>
        <w:t>accessible via</w:t>
      </w:r>
      <w:r w:rsidR="00A374BB">
        <w:rPr>
          <w:szCs w:val="22"/>
        </w:rPr>
        <w:t xml:space="preserve"> the </w:t>
      </w:r>
      <w:r w:rsidR="00356908">
        <w:rPr>
          <w:szCs w:val="22"/>
        </w:rPr>
        <w:t>Media Bureau’s</w:t>
      </w:r>
      <w:r w:rsidR="00A374BB">
        <w:rPr>
          <w:szCs w:val="22"/>
        </w:rPr>
        <w:t xml:space="preserve"> </w:t>
      </w:r>
      <w:r w:rsidR="00BE68D9">
        <w:rPr>
          <w:szCs w:val="22"/>
        </w:rPr>
        <w:t xml:space="preserve">Licensing and Management System (LMS).  </w:t>
      </w:r>
      <w:r w:rsidR="00CA7D52">
        <w:rPr>
          <w:szCs w:val="22"/>
        </w:rPr>
        <w:t>Reimbursement-eligible b</w:t>
      </w:r>
      <w:r w:rsidR="00B17F9D" w:rsidRPr="00B17F9D">
        <w:rPr>
          <w:szCs w:val="22"/>
        </w:rPr>
        <w:t xml:space="preserve">roadcast television stations </w:t>
      </w:r>
      <w:r w:rsidR="00CA7D52">
        <w:rPr>
          <w:szCs w:val="22"/>
        </w:rPr>
        <w:t xml:space="preserve">(i.e., those stations that are </w:t>
      </w:r>
      <w:r w:rsidR="00B17F9D" w:rsidRPr="00B17F9D">
        <w:rPr>
          <w:szCs w:val="22"/>
        </w:rPr>
        <w:t>not winni</w:t>
      </w:r>
      <w:r w:rsidR="00B17F9D">
        <w:rPr>
          <w:szCs w:val="22"/>
        </w:rPr>
        <w:t xml:space="preserve">ng bidders </w:t>
      </w:r>
      <w:r w:rsidR="00CA7D52">
        <w:rPr>
          <w:szCs w:val="22"/>
        </w:rPr>
        <w:t>and are assigned a new channel)</w:t>
      </w:r>
      <w:r w:rsidR="00942166">
        <w:rPr>
          <w:szCs w:val="22"/>
        </w:rPr>
        <w:t xml:space="preserve"> in the post-incentive auction </w:t>
      </w:r>
      <w:r w:rsidR="00443AE0">
        <w:rPr>
          <w:szCs w:val="22"/>
        </w:rPr>
        <w:t xml:space="preserve">channel </w:t>
      </w:r>
      <w:r w:rsidR="00946D0D">
        <w:rPr>
          <w:szCs w:val="22"/>
        </w:rPr>
        <w:t>repacking</w:t>
      </w:r>
      <w:r w:rsidR="00CA7D52">
        <w:rPr>
          <w:szCs w:val="22"/>
        </w:rPr>
        <w:t>)</w:t>
      </w:r>
      <w:r w:rsidR="00916F2F">
        <w:rPr>
          <w:szCs w:val="22"/>
        </w:rPr>
        <w:t>,</w:t>
      </w:r>
      <w:r w:rsidR="00942166">
        <w:rPr>
          <w:szCs w:val="22"/>
        </w:rPr>
        <w:t xml:space="preserve"> </w:t>
      </w:r>
      <w:r w:rsidR="00946D0D">
        <w:rPr>
          <w:szCs w:val="22"/>
        </w:rPr>
        <w:t>and m</w:t>
      </w:r>
      <w:r w:rsidR="00942166">
        <w:rPr>
          <w:szCs w:val="22"/>
        </w:rPr>
        <w:t xml:space="preserve">ultichannel video programing distributors (MVPDs) </w:t>
      </w:r>
      <w:r w:rsidR="00443AE0">
        <w:rPr>
          <w:szCs w:val="22"/>
        </w:rPr>
        <w:t>continuing to</w:t>
      </w:r>
      <w:r w:rsidR="00946D0D" w:rsidRPr="00942166">
        <w:rPr>
          <w:szCs w:val="22"/>
        </w:rPr>
        <w:t xml:space="preserve"> carry the signals of </w:t>
      </w:r>
      <w:r w:rsidR="00265513">
        <w:rPr>
          <w:szCs w:val="22"/>
        </w:rPr>
        <w:t xml:space="preserve">relocated </w:t>
      </w:r>
      <w:r w:rsidR="00916F2F">
        <w:rPr>
          <w:szCs w:val="22"/>
        </w:rPr>
        <w:t>broadcast television stations</w:t>
      </w:r>
      <w:r w:rsidR="00946D0D">
        <w:rPr>
          <w:szCs w:val="22"/>
        </w:rPr>
        <w:t xml:space="preserve">, </w:t>
      </w:r>
      <w:r w:rsidR="00443AE0">
        <w:rPr>
          <w:szCs w:val="22"/>
        </w:rPr>
        <w:t xml:space="preserve">may now begin using </w:t>
      </w:r>
      <w:r w:rsidR="00946D0D">
        <w:rPr>
          <w:szCs w:val="22"/>
        </w:rPr>
        <w:t xml:space="preserve">the Reimbursement Form to </w:t>
      </w:r>
      <w:r w:rsidR="00726480">
        <w:rPr>
          <w:szCs w:val="22"/>
        </w:rPr>
        <w:t xml:space="preserve">submit </w:t>
      </w:r>
      <w:r w:rsidR="00265513">
        <w:rPr>
          <w:szCs w:val="22"/>
        </w:rPr>
        <w:t xml:space="preserve">estimates </w:t>
      </w:r>
      <w:r w:rsidR="00916F2F">
        <w:rPr>
          <w:szCs w:val="22"/>
        </w:rPr>
        <w:t xml:space="preserve">and </w:t>
      </w:r>
      <w:r w:rsidR="00726480">
        <w:rPr>
          <w:szCs w:val="22"/>
        </w:rPr>
        <w:t>file</w:t>
      </w:r>
      <w:r w:rsidR="00916F2F">
        <w:rPr>
          <w:szCs w:val="22"/>
        </w:rPr>
        <w:t xml:space="preserve"> </w:t>
      </w:r>
      <w:r w:rsidR="00443AE0">
        <w:rPr>
          <w:szCs w:val="22"/>
        </w:rPr>
        <w:t>claims</w:t>
      </w:r>
      <w:r w:rsidR="00946D0D">
        <w:rPr>
          <w:szCs w:val="22"/>
        </w:rPr>
        <w:t xml:space="preserve"> </w:t>
      </w:r>
      <w:r w:rsidR="00443AE0">
        <w:rPr>
          <w:szCs w:val="22"/>
        </w:rPr>
        <w:t>for their reasonably incurred</w:t>
      </w:r>
      <w:r w:rsidR="002D2C19">
        <w:rPr>
          <w:szCs w:val="22"/>
        </w:rPr>
        <w:t>, eligible</w:t>
      </w:r>
      <w:r w:rsidR="00D41228">
        <w:rPr>
          <w:szCs w:val="22"/>
        </w:rPr>
        <w:t xml:space="preserve"> </w:t>
      </w:r>
      <w:r w:rsidR="00443AE0">
        <w:rPr>
          <w:szCs w:val="22"/>
        </w:rPr>
        <w:t>expenses</w:t>
      </w:r>
      <w:r w:rsidR="00773E43">
        <w:rPr>
          <w:szCs w:val="22"/>
        </w:rPr>
        <w:t>.</w:t>
      </w:r>
      <w:r w:rsidR="00773E43">
        <w:rPr>
          <w:rStyle w:val="FootnoteReference"/>
          <w:szCs w:val="22"/>
        </w:rPr>
        <w:footnoteReference w:id="2"/>
      </w:r>
      <w:r w:rsidR="00265513">
        <w:rPr>
          <w:szCs w:val="22"/>
        </w:rPr>
        <w:t xml:space="preserve"> </w:t>
      </w:r>
      <w:r w:rsidR="00046A13">
        <w:rPr>
          <w:szCs w:val="22"/>
        </w:rPr>
        <w:t xml:space="preserve"> </w:t>
      </w:r>
      <w:r w:rsidR="00265513">
        <w:rPr>
          <w:szCs w:val="22"/>
        </w:rPr>
        <w:t>E</w:t>
      </w:r>
      <w:r w:rsidR="00D41228">
        <w:rPr>
          <w:szCs w:val="22"/>
        </w:rPr>
        <w:t xml:space="preserve">ligible entities will use the Reimbursement Form to claim reimbursement from the </w:t>
      </w:r>
      <w:r w:rsidR="00D41228" w:rsidRPr="00D41228">
        <w:rPr>
          <w:szCs w:val="22"/>
        </w:rPr>
        <w:t>TV Broadcaster Relocation Fund</w:t>
      </w:r>
      <w:r w:rsidR="00323BC5" w:rsidRPr="00323BC5">
        <w:rPr>
          <w:szCs w:val="22"/>
        </w:rPr>
        <w:t xml:space="preserve"> </w:t>
      </w:r>
      <w:r w:rsidR="00323BC5">
        <w:rPr>
          <w:szCs w:val="22"/>
        </w:rPr>
        <w:t>during the three-year reimbursement period</w:t>
      </w:r>
      <w:r w:rsidR="00B75C01">
        <w:rPr>
          <w:szCs w:val="22"/>
        </w:rPr>
        <w:t xml:space="preserve"> that </w:t>
      </w:r>
      <w:r w:rsidR="00265513">
        <w:rPr>
          <w:szCs w:val="22"/>
        </w:rPr>
        <w:t>commenc</w:t>
      </w:r>
      <w:r w:rsidR="00B75C01">
        <w:rPr>
          <w:szCs w:val="22"/>
        </w:rPr>
        <w:t>es</w:t>
      </w:r>
      <w:r w:rsidR="00323BC5">
        <w:rPr>
          <w:szCs w:val="22"/>
        </w:rPr>
        <w:t xml:space="preserve"> upon </w:t>
      </w:r>
      <w:r w:rsidR="00773E43">
        <w:rPr>
          <w:szCs w:val="22"/>
        </w:rPr>
        <w:t>release of</w:t>
      </w:r>
      <w:r w:rsidR="00C8443B">
        <w:rPr>
          <w:szCs w:val="22"/>
        </w:rPr>
        <w:t xml:space="preserve"> the </w:t>
      </w:r>
      <w:r w:rsidR="00C8443B" w:rsidRPr="00916F2F">
        <w:rPr>
          <w:i/>
          <w:szCs w:val="22"/>
        </w:rPr>
        <w:t xml:space="preserve">Closing and Channel Reassignment </w:t>
      </w:r>
      <w:r w:rsidR="00916F2F">
        <w:rPr>
          <w:i/>
          <w:szCs w:val="22"/>
        </w:rPr>
        <w:t>PN</w:t>
      </w:r>
      <w:r w:rsidR="00323BC5">
        <w:rPr>
          <w:szCs w:val="22"/>
        </w:rPr>
        <w:t>.</w:t>
      </w:r>
      <w:r w:rsidR="00323BC5" w:rsidRPr="00323BC5">
        <w:rPr>
          <w:szCs w:val="22"/>
          <w:vertAlign w:val="superscript"/>
        </w:rPr>
        <w:t xml:space="preserve"> </w:t>
      </w:r>
      <w:r w:rsidR="00323BC5" w:rsidRPr="00D41228">
        <w:rPr>
          <w:szCs w:val="22"/>
          <w:vertAlign w:val="superscript"/>
        </w:rPr>
        <w:footnoteReference w:id="3"/>
      </w:r>
      <w:r w:rsidR="00323BC5">
        <w:rPr>
          <w:szCs w:val="22"/>
          <w:vertAlign w:val="superscript"/>
        </w:rPr>
        <w:t xml:space="preserve"> </w:t>
      </w:r>
      <w:r w:rsidR="00437270">
        <w:rPr>
          <w:szCs w:val="22"/>
        </w:rPr>
        <w:t xml:space="preserve"> </w:t>
      </w:r>
    </w:p>
    <w:p w:rsidR="00736234" w:rsidRDefault="00323BC5" w:rsidP="0080135F">
      <w:pPr>
        <w:autoSpaceDE w:val="0"/>
        <w:autoSpaceDN w:val="0"/>
        <w:spacing w:after="220"/>
        <w:ind w:firstLine="720"/>
        <w:rPr>
          <w:szCs w:val="22"/>
        </w:rPr>
      </w:pPr>
      <w:r>
        <w:rPr>
          <w:szCs w:val="22"/>
        </w:rPr>
        <w:t xml:space="preserve">The first deadline for submitting reimbursement estimates </w:t>
      </w:r>
      <w:r w:rsidR="00C7091D">
        <w:rPr>
          <w:szCs w:val="22"/>
        </w:rPr>
        <w:t xml:space="preserve">is </w:t>
      </w:r>
      <w:r w:rsidR="00B75C01" w:rsidRPr="007474BF">
        <w:rPr>
          <w:szCs w:val="22"/>
        </w:rPr>
        <w:t>July 12, 2017</w:t>
      </w:r>
      <w:r w:rsidR="00B75C01">
        <w:rPr>
          <w:szCs w:val="22"/>
        </w:rPr>
        <w:t xml:space="preserve"> (</w:t>
      </w:r>
      <w:r>
        <w:rPr>
          <w:szCs w:val="22"/>
        </w:rPr>
        <w:t xml:space="preserve">90 days after release of the </w:t>
      </w:r>
      <w:r w:rsidRPr="00916F2F">
        <w:rPr>
          <w:i/>
          <w:szCs w:val="22"/>
        </w:rPr>
        <w:t xml:space="preserve">Closing and Channel Reassignment </w:t>
      </w:r>
      <w:r>
        <w:rPr>
          <w:i/>
          <w:szCs w:val="22"/>
        </w:rPr>
        <w:t>PN</w:t>
      </w:r>
      <w:r w:rsidR="00B75C01">
        <w:rPr>
          <w:szCs w:val="22"/>
        </w:rPr>
        <w:t>)</w:t>
      </w:r>
      <w:r>
        <w:rPr>
          <w:szCs w:val="22"/>
        </w:rPr>
        <w:t>.</w:t>
      </w:r>
      <w:r>
        <w:rPr>
          <w:rStyle w:val="FootnoteReference"/>
          <w:szCs w:val="22"/>
        </w:rPr>
        <w:footnoteReference w:id="4"/>
      </w:r>
      <w:r>
        <w:rPr>
          <w:szCs w:val="22"/>
        </w:rPr>
        <w:t xml:space="preserve">  </w:t>
      </w:r>
      <w:r w:rsidR="00437270">
        <w:rPr>
          <w:szCs w:val="22"/>
        </w:rPr>
        <w:t>By that date</w:t>
      </w:r>
      <w:r w:rsidR="00C8443B">
        <w:rPr>
          <w:szCs w:val="22"/>
        </w:rPr>
        <w:t xml:space="preserve">, eligible entities must file </w:t>
      </w:r>
      <w:r w:rsidR="007474BF">
        <w:rPr>
          <w:szCs w:val="22"/>
        </w:rPr>
        <w:t xml:space="preserve">estimates on </w:t>
      </w:r>
      <w:r w:rsidR="00493318">
        <w:rPr>
          <w:szCs w:val="22"/>
        </w:rPr>
        <w:t xml:space="preserve">the Reimbursement Form </w:t>
      </w:r>
      <w:r w:rsidR="007474BF">
        <w:rPr>
          <w:szCs w:val="22"/>
        </w:rPr>
        <w:t xml:space="preserve">for </w:t>
      </w:r>
      <w:r w:rsidR="00493318">
        <w:rPr>
          <w:szCs w:val="22"/>
        </w:rPr>
        <w:t>al</w:t>
      </w:r>
      <w:r w:rsidR="007474BF">
        <w:rPr>
          <w:szCs w:val="22"/>
        </w:rPr>
        <w:t>l</w:t>
      </w:r>
      <w:r w:rsidR="00493318">
        <w:rPr>
          <w:szCs w:val="22"/>
        </w:rPr>
        <w:t xml:space="preserve"> of the equipment and services expenses</w:t>
      </w:r>
      <w:r w:rsidR="00C8443B">
        <w:rPr>
          <w:szCs w:val="22"/>
        </w:rPr>
        <w:t xml:space="preserve"> </w:t>
      </w:r>
      <w:r w:rsidR="00512AB5">
        <w:rPr>
          <w:szCs w:val="22"/>
        </w:rPr>
        <w:t xml:space="preserve">that </w:t>
      </w:r>
      <w:r w:rsidR="00C8443B">
        <w:rPr>
          <w:szCs w:val="22"/>
        </w:rPr>
        <w:t xml:space="preserve">they expect to incur </w:t>
      </w:r>
      <w:r w:rsidR="00E601F4">
        <w:rPr>
          <w:szCs w:val="22"/>
        </w:rPr>
        <w:t xml:space="preserve">in order </w:t>
      </w:r>
      <w:r w:rsidR="00C8443B">
        <w:rPr>
          <w:szCs w:val="22"/>
        </w:rPr>
        <w:t xml:space="preserve">to complete their </w:t>
      </w:r>
      <w:r w:rsidR="002D2C19">
        <w:rPr>
          <w:szCs w:val="22"/>
        </w:rPr>
        <w:t>post-</w:t>
      </w:r>
      <w:r w:rsidR="00493318">
        <w:rPr>
          <w:szCs w:val="22"/>
        </w:rPr>
        <w:t xml:space="preserve">incentive </w:t>
      </w:r>
      <w:r w:rsidR="006A714B">
        <w:rPr>
          <w:szCs w:val="22"/>
        </w:rPr>
        <w:t xml:space="preserve">auction </w:t>
      </w:r>
      <w:r w:rsidR="002D2C19">
        <w:rPr>
          <w:szCs w:val="22"/>
        </w:rPr>
        <w:t>transition</w:t>
      </w:r>
      <w:r w:rsidR="00437270">
        <w:rPr>
          <w:szCs w:val="22"/>
        </w:rPr>
        <w:t>.</w:t>
      </w:r>
      <w:r w:rsidR="00736234">
        <w:rPr>
          <w:rStyle w:val="FootnoteReference"/>
          <w:szCs w:val="22"/>
        </w:rPr>
        <w:footnoteReference w:id="5"/>
      </w:r>
      <w:r w:rsidR="00C8443B">
        <w:rPr>
          <w:szCs w:val="22"/>
        </w:rPr>
        <w:t xml:space="preserve">  </w:t>
      </w:r>
      <w:r w:rsidR="00ED717C">
        <w:rPr>
          <w:szCs w:val="22"/>
        </w:rPr>
        <w:t xml:space="preserve">The Reimbursement Form </w:t>
      </w:r>
      <w:r w:rsidR="00B75C01">
        <w:rPr>
          <w:szCs w:val="22"/>
        </w:rPr>
        <w:t xml:space="preserve">accessed by each eligible entity will include that </w:t>
      </w:r>
      <w:r w:rsidR="00736234">
        <w:rPr>
          <w:szCs w:val="22"/>
        </w:rPr>
        <w:t xml:space="preserve">station’s </w:t>
      </w:r>
      <w:r w:rsidR="006A714B">
        <w:rPr>
          <w:szCs w:val="22"/>
        </w:rPr>
        <w:t xml:space="preserve">new </w:t>
      </w:r>
      <w:r w:rsidR="00437270">
        <w:rPr>
          <w:szCs w:val="22"/>
        </w:rPr>
        <w:t>channel assignment</w:t>
      </w:r>
      <w:r w:rsidR="00A2722E">
        <w:rPr>
          <w:szCs w:val="22"/>
        </w:rPr>
        <w:t>.</w:t>
      </w:r>
      <w:r w:rsidR="00191D00">
        <w:rPr>
          <w:rStyle w:val="FootnoteReference"/>
          <w:szCs w:val="22"/>
        </w:rPr>
        <w:footnoteReference w:id="6"/>
      </w:r>
      <w:r w:rsidR="00A2722E">
        <w:rPr>
          <w:szCs w:val="22"/>
        </w:rPr>
        <w:t xml:space="preserve">  </w:t>
      </w:r>
    </w:p>
    <w:p w:rsidR="00353EEE" w:rsidRDefault="00D401B0" w:rsidP="00353EEE">
      <w:pPr>
        <w:autoSpaceDE w:val="0"/>
        <w:autoSpaceDN w:val="0"/>
        <w:spacing w:after="220"/>
        <w:ind w:firstLine="720"/>
      </w:pPr>
      <w:r w:rsidRPr="006B4966">
        <w:t>We also announce that FCC Form 1876</w:t>
      </w:r>
      <w:r w:rsidR="00C7091D">
        <w:t xml:space="preserve">, the form </w:t>
      </w:r>
      <w:r w:rsidR="00B75C01">
        <w:t xml:space="preserve">that </w:t>
      </w:r>
      <w:r w:rsidR="00C7091D">
        <w:t>eligible entities will use to submit banking information to the Commission,</w:t>
      </w:r>
      <w:r w:rsidRPr="006B4966">
        <w:t xml:space="preserve"> </w:t>
      </w:r>
      <w:r w:rsidR="00C7091D">
        <w:t xml:space="preserve">is </w:t>
      </w:r>
      <w:r w:rsidR="00B75C01">
        <w:t xml:space="preserve">now </w:t>
      </w:r>
      <w:r w:rsidRPr="006B4966">
        <w:t>available</w:t>
      </w:r>
      <w:r w:rsidR="00F50285">
        <w:t xml:space="preserve"> for download</w:t>
      </w:r>
      <w:r w:rsidR="00C7091D">
        <w:t xml:space="preserve"> </w:t>
      </w:r>
      <w:r w:rsidR="00F065F7">
        <w:t>by accessing the Reimbursement Form</w:t>
      </w:r>
      <w:r w:rsidR="003D309A">
        <w:br/>
      </w:r>
      <w:r w:rsidR="00F065F7">
        <w:lastRenderedPageBreak/>
        <w:t xml:space="preserve">on </w:t>
      </w:r>
      <w:r w:rsidR="00C7091D">
        <w:t>LMS</w:t>
      </w:r>
      <w:r w:rsidRPr="006B4966">
        <w:t>.</w:t>
      </w:r>
      <w:r w:rsidR="00C7091D">
        <w:t xml:space="preserve">  A paper copy Form 1876 must be submitted to the Commission consistent with the directions set out in the </w:t>
      </w:r>
      <w:r w:rsidR="00C7091D" w:rsidRPr="00A92110">
        <w:rPr>
          <w:i/>
        </w:rPr>
        <w:t>Financial Procedures Public Notice</w:t>
      </w:r>
      <w:r w:rsidR="00C7091D">
        <w:t>.</w:t>
      </w:r>
      <w:r w:rsidR="00353EEE" w:rsidRPr="006B4966">
        <w:rPr>
          <w:rStyle w:val="FootnoteReference"/>
        </w:rPr>
        <w:footnoteReference w:id="7"/>
      </w:r>
      <w:r w:rsidR="00353EEE" w:rsidRPr="006B4966">
        <w:t xml:space="preserve">  </w:t>
      </w:r>
    </w:p>
    <w:p w:rsidR="006A714B" w:rsidRDefault="00D401B0" w:rsidP="00736234">
      <w:pPr>
        <w:autoSpaceDE w:val="0"/>
        <w:autoSpaceDN w:val="0"/>
        <w:spacing w:after="220"/>
        <w:ind w:firstLine="720"/>
      </w:pPr>
      <w:r>
        <w:rPr>
          <w:szCs w:val="22"/>
        </w:rPr>
        <w:t xml:space="preserve">Educational resources and reference materials for navigating and filing the Reimbursement Form, will be accessible via </w:t>
      </w:r>
      <w:r w:rsidR="002E4952">
        <w:rPr>
          <w:szCs w:val="22"/>
        </w:rPr>
        <w:t>the Commission’s website at</w:t>
      </w:r>
      <w:r w:rsidR="002E4952" w:rsidRPr="002E4952">
        <w:t xml:space="preserve"> </w:t>
      </w:r>
      <w:hyperlink r:id="rId8" w:history="1">
        <w:r w:rsidR="006A714B" w:rsidRPr="006A714B">
          <w:rPr>
            <w:rStyle w:val="Hyperlink"/>
          </w:rPr>
          <w:t>https://www.fcc.gov/incentiveauctions/reimbursement</w:t>
        </w:r>
      </w:hyperlink>
      <w:r w:rsidR="006A714B">
        <w:t>.</w:t>
      </w:r>
      <w:r>
        <w:t xml:space="preserve"> These materials will be updated periodically throughout the reimbursement period.</w:t>
      </w:r>
    </w:p>
    <w:p w:rsidR="006A714B" w:rsidRPr="006A714B" w:rsidRDefault="00D401B0" w:rsidP="006A714B">
      <w:pPr>
        <w:spacing w:after="120"/>
        <w:ind w:firstLine="720"/>
      </w:pPr>
      <w:r>
        <w:t xml:space="preserve">For questions about the Reimbursement Form, please call (202-418-2009), or e-mail </w:t>
      </w:r>
      <w:hyperlink r:id="rId9" w:history="1">
        <w:r w:rsidRPr="00E81BEA">
          <w:rPr>
            <w:rStyle w:val="Hyperlink"/>
          </w:rPr>
          <w:t>Reimburse@fcc.gov</w:t>
        </w:r>
      </w:hyperlink>
      <w:r>
        <w:t xml:space="preserve">.  </w:t>
      </w:r>
      <w:r w:rsidR="006A714B" w:rsidRPr="006A714B">
        <w:t xml:space="preserve">For additional information </w:t>
      </w:r>
      <w:r>
        <w:t>on</w:t>
      </w:r>
      <w:r w:rsidR="006A714B" w:rsidRPr="006A714B">
        <w:t xml:space="preserve"> this proceeding,</w:t>
      </w:r>
      <w:r>
        <w:t xml:space="preserve"> please</w:t>
      </w:r>
      <w:r w:rsidR="006A714B" w:rsidRPr="006A714B">
        <w:t xml:space="preserve"> contact</w:t>
      </w:r>
      <w:r w:rsidR="006A714B">
        <w:t xml:space="preserve"> Jeffrey Neumann, </w:t>
      </w:r>
      <w:hyperlink r:id="rId10" w:history="1">
        <w:r w:rsidR="00A03AF1" w:rsidRPr="00E81BEA">
          <w:rPr>
            <w:rStyle w:val="Hyperlink"/>
          </w:rPr>
          <w:t>Jeffrey.Neumann@fcc.gov</w:t>
        </w:r>
      </w:hyperlink>
      <w:r w:rsidR="00A03AF1">
        <w:t xml:space="preserve"> </w:t>
      </w:r>
      <w:r w:rsidR="006A714B" w:rsidRPr="006A714B">
        <w:t>(202- 418-</w:t>
      </w:r>
      <w:r w:rsidR="006A714B">
        <w:t>2046</w:t>
      </w:r>
      <w:r w:rsidR="006A714B" w:rsidRPr="006A714B">
        <w:t xml:space="preserve">), or Raphael Sznajder, </w:t>
      </w:r>
      <w:hyperlink r:id="rId11" w:history="1">
        <w:r w:rsidR="006A714B" w:rsidRPr="006A714B">
          <w:rPr>
            <w:rStyle w:val="Hyperlink"/>
          </w:rPr>
          <w:t>Raphael.Sznajder@fcc.gov</w:t>
        </w:r>
      </w:hyperlink>
      <w:r w:rsidR="006A714B" w:rsidRPr="006A714B">
        <w:t xml:space="preserve"> (202-418-1648) of the Media Bureau.  Press contact: </w:t>
      </w:r>
      <w:r w:rsidR="006A714B">
        <w:t xml:space="preserve">Charlie Meisch, </w:t>
      </w:r>
      <w:hyperlink r:id="rId12" w:history="1">
        <w:r w:rsidR="006A714B" w:rsidRPr="00E81BEA">
          <w:rPr>
            <w:rStyle w:val="Hyperlink"/>
          </w:rPr>
          <w:t>Charles.Meisch@fcc.gov</w:t>
        </w:r>
      </w:hyperlink>
      <w:r w:rsidR="006A714B">
        <w:t xml:space="preserve"> (202-418-2943)</w:t>
      </w:r>
      <w:r w:rsidR="006A714B" w:rsidRPr="006A714B">
        <w:t>.</w:t>
      </w:r>
    </w:p>
    <w:p w:rsidR="00A961E2" w:rsidRDefault="00A961E2" w:rsidP="00F3180E">
      <w:pPr>
        <w:spacing w:after="120"/>
        <w:ind w:firstLine="720"/>
        <w:rPr>
          <w:szCs w:val="22"/>
        </w:rPr>
      </w:pPr>
    </w:p>
    <w:p w:rsidR="00750150" w:rsidRDefault="00750150" w:rsidP="00F3180E">
      <w:pPr>
        <w:jc w:val="center"/>
        <w:rPr>
          <w:b/>
        </w:rPr>
      </w:pPr>
      <w:r>
        <w:rPr>
          <w:b/>
        </w:rPr>
        <w:t xml:space="preserve">- </w:t>
      </w:r>
      <w:r w:rsidRPr="00546956">
        <w:rPr>
          <w:b/>
        </w:rPr>
        <w:t>FCC</w:t>
      </w:r>
      <w:r>
        <w:rPr>
          <w:b/>
        </w:rPr>
        <w:t xml:space="preserve"> </w:t>
      </w:r>
      <w:r w:rsidR="00537D03">
        <w:rPr>
          <w:b/>
        </w:rPr>
        <w:t>–</w:t>
      </w:r>
      <w:r>
        <w:rPr>
          <w:b/>
        </w:rPr>
        <w:t xml:space="preserve"> </w:t>
      </w:r>
    </w:p>
    <w:p w:rsidR="00537D03" w:rsidRDefault="00537D03" w:rsidP="00F3180E">
      <w:pPr>
        <w:jc w:val="center"/>
        <w:rPr>
          <w:b/>
        </w:rPr>
      </w:pPr>
    </w:p>
    <w:p w:rsidR="00537D03" w:rsidRDefault="00537D03" w:rsidP="00F3180E">
      <w:pPr>
        <w:jc w:val="center"/>
        <w:rPr>
          <w:b/>
        </w:rPr>
      </w:pPr>
    </w:p>
    <w:p w:rsidR="00537D03" w:rsidRDefault="00537D03" w:rsidP="00F3180E">
      <w:pPr>
        <w:jc w:val="center"/>
        <w:rPr>
          <w:b/>
        </w:rPr>
      </w:pPr>
    </w:p>
    <w:p w:rsidR="00537D03" w:rsidRDefault="00537D03" w:rsidP="00537D03">
      <w:pPr>
        <w:ind w:firstLine="720"/>
        <w:rPr>
          <w:szCs w:val="22"/>
        </w:rPr>
      </w:pPr>
    </w:p>
    <w:p w:rsidR="00537D03" w:rsidRPr="00750150" w:rsidRDefault="00537D03" w:rsidP="00F3180E">
      <w:pPr>
        <w:jc w:val="center"/>
      </w:pPr>
    </w:p>
    <w:sectPr w:rsidR="00537D03" w:rsidRPr="00750150" w:rsidSect="0055614C">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722" w:rsidRDefault="00187722">
      <w:pPr>
        <w:spacing w:line="20" w:lineRule="exact"/>
      </w:pPr>
    </w:p>
  </w:endnote>
  <w:endnote w:type="continuationSeparator" w:id="0">
    <w:p w:rsidR="00187722" w:rsidRDefault="00187722">
      <w:r>
        <w:t xml:space="preserve"> </w:t>
      </w:r>
    </w:p>
  </w:endnote>
  <w:endnote w:type="continuationNotice" w:id="1">
    <w:p w:rsidR="00187722" w:rsidRDefault="0018772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294EB9">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722" w:rsidRDefault="00187722">
      <w:r>
        <w:separator/>
      </w:r>
    </w:p>
  </w:footnote>
  <w:footnote w:type="continuationSeparator" w:id="0">
    <w:p w:rsidR="00187722" w:rsidRDefault="00187722" w:rsidP="00C721AC">
      <w:pPr>
        <w:spacing w:before="120"/>
        <w:rPr>
          <w:sz w:val="20"/>
        </w:rPr>
      </w:pPr>
      <w:r>
        <w:rPr>
          <w:sz w:val="20"/>
        </w:rPr>
        <w:t xml:space="preserve">(Continued from previous page)  </w:t>
      </w:r>
      <w:r>
        <w:rPr>
          <w:sz w:val="20"/>
        </w:rPr>
        <w:separator/>
      </w:r>
    </w:p>
  </w:footnote>
  <w:footnote w:type="continuationNotice" w:id="1">
    <w:p w:rsidR="00187722" w:rsidRDefault="00187722" w:rsidP="00C721AC">
      <w:pPr>
        <w:jc w:val="right"/>
        <w:rPr>
          <w:sz w:val="20"/>
        </w:rPr>
      </w:pPr>
      <w:r>
        <w:rPr>
          <w:sz w:val="20"/>
        </w:rPr>
        <w:t>(continued….)</w:t>
      </w:r>
    </w:p>
  </w:footnote>
  <w:footnote w:id="2">
    <w:p w:rsidR="00773E43" w:rsidRPr="00FE0C3E" w:rsidRDefault="00773E43" w:rsidP="00773E43">
      <w:pPr>
        <w:pStyle w:val="FootnoteText"/>
      </w:pPr>
      <w:r>
        <w:rPr>
          <w:rStyle w:val="FootnoteReference"/>
        </w:rPr>
        <w:footnoteRef/>
      </w:r>
      <w:r>
        <w:t xml:space="preserve"> 47 U.S.C. § 1452(b)(4)(A)(i)-(ii)</w:t>
      </w:r>
      <w:r w:rsidR="00443AE0">
        <w:t xml:space="preserve"> (Spectrum Act)</w:t>
      </w:r>
      <w:r>
        <w:t xml:space="preserve">; </w:t>
      </w:r>
      <w:r w:rsidRPr="00EA6088">
        <w:rPr>
          <w:i/>
        </w:rPr>
        <w:t xml:space="preserve">Expanding the Economic and Innovation Opportunities of Spectrum Through Incentive Auctions, </w:t>
      </w:r>
      <w:r w:rsidRPr="00EA6088">
        <w:t xml:space="preserve">Report </w:t>
      </w:r>
      <w:r>
        <w:t>and Order, 29 FCC Rcd 6567, 6812, para. 598</w:t>
      </w:r>
      <w:r w:rsidRPr="00EA6088">
        <w:t xml:space="preserve"> (2014),</w:t>
      </w:r>
      <w:r w:rsidRPr="00EA6088">
        <w:rPr>
          <w:i/>
        </w:rPr>
        <w:t xml:space="preserve"> aff’d, Nat’l Assoc. of Broadcasters, et al v. FCC, </w:t>
      </w:r>
      <w:r w:rsidRPr="00EA6088">
        <w:t>789 F.3d 165 (D.C. Cir. 2015)</w:t>
      </w:r>
      <w:r w:rsidRPr="00EA6088">
        <w:rPr>
          <w:i/>
        </w:rPr>
        <w:t xml:space="preserve"> </w:t>
      </w:r>
      <w:r w:rsidRPr="00A41CFD">
        <w:t>(</w:t>
      </w:r>
      <w:r w:rsidRPr="00EA6088">
        <w:rPr>
          <w:i/>
        </w:rPr>
        <w:t>Incentive Auction R&amp;O</w:t>
      </w:r>
      <w:r>
        <w:t>).</w:t>
      </w:r>
    </w:p>
  </w:footnote>
  <w:footnote w:id="3">
    <w:p w:rsidR="00323BC5" w:rsidRPr="00AD182A" w:rsidRDefault="00323BC5" w:rsidP="00323BC5">
      <w:pPr>
        <w:pStyle w:val="FootnoteText"/>
      </w:pPr>
      <w:r w:rsidRPr="00AD182A">
        <w:rPr>
          <w:rStyle w:val="FootnoteReference"/>
        </w:rPr>
        <w:footnoteRef/>
      </w:r>
      <w:r w:rsidRPr="00AD182A">
        <w:t xml:space="preserve"> </w:t>
      </w:r>
      <w:r w:rsidR="007474BF">
        <w:rPr>
          <w:i/>
        </w:rPr>
        <w:t xml:space="preserve">Id.  </w:t>
      </w:r>
      <w:r w:rsidRPr="00D11F2A">
        <w:t xml:space="preserve">The “reimbursement period” is the </w:t>
      </w:r>
      <w:r w:rsidR="005E2E90">
        <w:t>three year</w:t>
      </w:r>
      <w:r w:rsidRPr="00D11F2A">
        <w:t xml:space="preserve"> period beginning upon the </w:t>
      </w:r>
      <w:r>
        <w:t xml:space="preserve">Commission’s </w:t>
      </w:r>
      <w:r w:rsidRPr="00D11F2A">
        <w:t xml:space="preserve">release of the </w:t>
      </w:r>
      <w:r w:rsidRPr="00D11F2A">
        <w:rPr>
          <w:i/>
          <w:iCs/>
        </w:rPr>
        <w:t xml:space="preserve">Closing and Channel Reassignment </w:t>
      </w:r>
      <w:r w:rsidRPr="00D11F2A">
        <w:rPr>
          <w:i/>
        </w:rPr>
        <w:t>Public Notice</w:t>
      </w:r>
      <w:r w:rsidRPr="00D11F2A">
        <w:t xml:space="preserve"> </w:t>
      </w:r>
      <w:r>
        <w:t>announcing</w:t>
      </w:r>
      <w:r w:rsidRPr="00D11F2A">
        <w:t xml:space="preserve"> that the forw</w:t>
      </w:r>
      <w:r>
        <w:t>ard auction has concluded</w:t>
      </w:r>
      <w:r w:rsidRPr="00D11F2A">
        <w:t xml:space="preserve">.  </w:t>
      </w:r>
      <w:r w:rsidRPr="00D11F2A">
        <w:rPr>
          <w:i/>
        </w:rPr>
        <w:t>See</w:t>
      </w:r>
      <w:r w:rsidRPr="00D11F2A">
        <w:t xml:space="preserve"> 47 U.S.C. § 1452(b)(4)(D); 47 CFR § 73.3700(a)(13).  </w:t>
      </w:r>
      <w:r w:rsidRPr="00D11F2A">
        <w:rPr>
          <w:i/>
        </w:rPr>
        <w:t xml:space="preserve">See also </w:t>
      </w:r>
      <w:r w:rsidRPr="00D11F2A">
        <w:rPr>
          <w:i/>
          <w:iCs/>
        </w:rPr>
        <w:t xml:space="preserve">Incentive Auction R&amp;O, </w:t>
      </w:r>
      <w:r w:rsidRPr="00D11F2A">
        <w:t>29 FCC Rcd</w:t>
      </w:r>
      <w:r w:rsidRPr="00D11F2A">
        <w:rPr>
          <w:i/>
        </w:rPr>
        <w:t xml:space="preserve"> </w:t>
      </w:r>
      <w:r w:rsidRPr="00D11F2A">
        <w:t>at 681</w:t>
      </w:r>
      <w:r w:rsidR="005E2E90">
        <w:t>6</w:t>
      </w:r>
      <w:r w:rsidRPr="00D11F2A">
        <w:t xml:space="preserve">, para. </w:t>
      </w:r>
      <w:r w:rsidR="005E2E90" w:rsidRPr="005E2E90">
        <w:t>608</w:t>
      </w:r>
      <w:r w:rsidRPr="00D11F2A">
        <w:t>.</w:t>
      </w:r>
    </w:p>
  </w:footnote>
  <w:footnote w:id="4">
    <w:p w:rsidR="00323BC5" w:rsidRDefault="00323BC5" w:rsidP="00323BC5">
      <w:pPr>
        <w:pStyle w:val="FootnoteText"/>
      </w:pPr>
      <w:r>
        <w:rPr>
          <w:rStyle w:val="FootnoteReference"/>
        </w:rPr>
        <w:footnoteRef/>
      </w:r>
      <w:r>
        <w:t xml:space="preserve"> </w:t>
      </w:r>
      <w:r w:rsidRPr="008E50F4">
        <w:rPr>
          <w:i/>
        </w:rPr>
        <w:t>Incentive Auction R&amp;O</w:t>
      </w:r>
      <w:r w:rsidRPr="008E50F4">
        <w:t>, 29 FCC Rcd at 681</w:t>
      </w:r>
      <w:r>
        <w:t>7</w:t>
      </w:r>
      <w:r w:rsidRPr="008E50F4">
        <w:t>, para. 6</w:t>
      </w:r>
      <w:r>
        <w:t>10</w:t>
      </w:r>
      <w:r w:rsidRPr="008E50F4">
        <w:rPr>
          <w:i/>
        </w:rPr>
        <w:t>.</w:t>
      </w:r>
      <w:r w:rsidRPr="008E50F4">
        <w:t xml:space="preserve">  </w:t>
      </w:r>
    </w:p>
  </w:footnote>
  <w:footnote w:id="5">
    <w:p w:rsidR="00736234" w:rsidRDefault="00736234">
      <w:pPr>
        <w:pStyle w:val="FootnoteText"/>
      </w:pPr>
      <w:r>
        <w:rPr>
          <w:rStyle w:val="FootnoteReference"/>
        </w:rPr>
        <w:footnoteRef/>
      </w:r>
      <w:r>
        <w:t xml:space="preserve"> </w:t>
      </w:r>
      <w:r w:rsidR="00CA7D52">
        <w:t>Using</w:t>
      </w:r>
      <w:r>
        <w:rPr>
          <w:szCs w:val="22"/>
        </w:rPr>
        <w:t xml:space="preserve"> these estimates the Media Bureau will calculate an allocation for each station and MVPD, against which the entity can “draw down” </w:t>
      </w:r>
      <w:r w:rsidR="00512AB5">
        <w:rPr>
          <w:szCs w:val="22"/>
        </w:rPr>
        <w:t xml:space="preserve">following submission, review and approval of </w:t>
      </w:r>
      <w:r>
        <w:rPr>
          <w:szCs w:val="22"/>
        </w:rPr>
        <w:t>it</w:t>
      </w:r>
      <w:r w:rsidR="00512AB5">
        <w:rPr>
          <w:szCs w:val="22"/>
        </w:rPr>
        <w:t>s</w:t>
      </w:r>
      <w:r>
        <w:rPr>
          <w:szCs w:val="22"/>
        </w:rPr>
        <w:t xml:space="preserve"> actual expenses.  </w:t>
      </w:r>
      <w:r w:rsidR="0080135F" w:rsidRPr="0080135F">
        <w:rPr>
          <w:i/>
          <w:szCs w:val="22"/>
        </w:rPr>
        <w:t xml:space="preserve">See </w:t>
      </w:r>
      <w:r w:rsidR="00A92110" w:rsidRPr="00A92110">
        <w:rPr>
          <w:i/>
          <w:szCs w:val="22"/>
        </w:rPr>
        <w:t>Media Bureau Finalizes Reimbursement Form for Submission to OMB and Adopts Catalog of Expenses</w:t>
      </w:r>
      <w:r w:rsidR="00A92110" w:rsidRPr="00A92110">
        <w:rPr>
          <w:szCs w:val="22"/>
        </w:rPr>
        <w:t>, Public Notice, 30 FCC Rcd 11701, 11704 (MB 2015)</w:t>
      </w:r>
      <w:r w:rsidR="0080135F">
        <w:rPr>
          <w:szCs w:val="22"/>
        </w:rPr>
        <w:t>.</w:t>
      </w:r>
    </w:p>
  </w:footnote>
  <w:footnote w:id="6">
    <w:p w:rsidR="00191D00" w:rsidRDefault="00191D00">
      <w:pPr>
        <w:pStyle w:val="FootnoteText"/>
      </w:pPr>
      <w:r>
        <w:rPr>
          <w:rStyle w:val="FootnoteReference"/>
        </w:rPr>
        <w:footnoteRef/>
      </w:r>
      <w:r>
        <w:t xml:space="preserve"> Information submitted on </w:t>
      </w:r>
      <w:r w:rsidR="00F50285">
        <w:t>Reimbursement Forms</w:t>
      </w:r>
      <w:r>
        <w:t xml:space="preserve"> will </w:t>
      </w:r>
      <w:r w:rsidR="00124FA7">
        <w:t xml:space="preserve">be publicly available </w:t>
      </w:r>
      <w:r w:rsidR="0080135F">
        <w:t xml:space="preserve">with the exception of cost documentation and name, address or identifying information pertaining to the vendor or station contact.  </w:t>
      </w:r>
      <w:r w:rsidR="0080135F" w:rsidRPr="0080135F">
        <w:rPr>
          <w:i/>
        </w:rPr>
        <w:t>Id</w:t>
      </w:r>
      <w:r w:rsidR="0080135F">
        <w:t>. at 11704-05.</w:t>
      </w:r>
    </w:p>
  </w:footnote>
  <w:footnote w:id="7">
    <w:p w:rsidR="00353EEE" w:rsidRPr="00353EEE" w:rsidRDefault="00353EEE">
      <w:pPr>
        <w:pStyle w:val="FootnoteText"/>
      </w:pPr>
      <w:r>
        <w:rPr>
          <w:rStyle w:val="FootnoteReference"/>
        </w:rPr>
        <w:footnoteRef/>
      </w:r>
      <w:r>
        <w:t xml:space="preserve"> </w:t>
      </w:r>
      <w:r>
        <w:rPr>
          <w:i/>
        </w:rPr>
        <w:t>See</w:t>
      </w:r>
      <w:r w:rsidR="00D401B0">
        <w:rPr>
          <w:i/>
        </w:rPr>
        <w:t xml:space="preserve"> also</w:t>
      </w:r>
      <w:r>
        <w:rPr>
          <w:i/>
        </w:rPr>
        <w:t xml:space="preserve"> </w:t>
      </w:r>
      <w:r w:rsidRPr="00353EEE">
        <w:rPr>
          <w:i/>
        </w:rPr>
        <w:t>Procedures for Submitting Financial Information Required for the Disbursement of Incentive Payments and Reimbursement Payments After the Incentive Auction Closes</w:t>
      </w:r>
      <w:r>
        <w:t>,</w:t>
      </w:r>
      <w:r w:rsidR="00251824">
        <w:t xml:space="preserve"> Public Notice, </w:t>
      </w:r>
      <w:r w:rsidR="00251824" w:rsidRPr="00251824">
        <w:t xml:space="preserve">GN Docket No. 12-268; </w:t>
      </w:r>
      <w:r w:rsidR="0060694B">
        <w:t xml:space="preserve">AU Docket No. </w:t>
      </w:r>
      <w:r w:rsidR="00251824" w:rsidRPr="00251824">
        <w:t>MB Docket No. 16-306, DA No. 17-</w:t>
      </w:r>
      <w:r w:rsidR="00A92110">
        <w:t>282</w:t>
      </w:r>
      <w:r w:rsidR="00251824" w:rsidRPr="00251824">
        <w:t xml:space="preserve">, para. </w:t>
      </w:r>
      <w:r w:rsidR="0060694B">
        <w:t>71</w:t>
      </w:r>
      <w:r w:rsidR="00251824">
        <w:t xml:space="preserve"> </w:t>
      </w:r>
      <w:r w:rsidR="00251824" w:rsidRPr="00251824">
        <w:t>(rel. Mar. 29,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1A9" w:rsidRDefault="004261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6A0217">
      <w:t>DA 1</w:t>
    </w:r>
    <w:r w:rsidR="009951EE">
      <w:t>7</w:t>
    </w:r>
    <w:r w:rsidR="006A0217">
      <w:t>-</w:t>
    </w:r>
    <w:r w:rsidR="009951EE">
      <w:t>353</w:t>
    </w:r>
  </w:p>
  <w:p w:rsidR="00D25FB5" w:rsidRDefault="00F06C1E">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3F19D9F0" wp14:editId="5DCA90BF">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3821B4"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150" w:rsidRPr="00BA6E7A" w:rsidRDefault="00F06C1E" w:rsidP="00750150">
    <w:pPr>
      <w:spacing w:before="40"/>
      <w:rPr>
        <w:rFonts w:ascii="Arial" w:hAnsi="Arial" w:cs="Arial"/>
        <w:b/>
        <w:sz w:val="96"/>
      </w:rPr>
    </w:pPr>
    <w:r>
      <w:rPr>
        <w:noProof/>
      </w:rPr>
      <mc:AlternateContent>
        <mc:Choice Requires="wps">
          <w:drawing>
            <wp:anchor distT="0" distB="0" distL="114300" distR="114300" simplePos="0" relativeHeight="251659264" behindDoc="0" locked="0" layoutInCell="0" allowOverlap="1" wp14:anchorId="3F1FD0F2" wp14:editId="429F9A6C">
              <wp:simplePos x="0" y="0"/>
              <wp:positionH relativeFrom="margin">
                <wp:posOffset>-57150</wp:posOffset>
              </wp:positionH>
              <wp:positionV relativeFrom="paragraph">
                <wp:posOffset>741045</wp:posOffset>
              </wp:positionV>
              <wp:extent cx="3108960" cy="64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150" w:rsidRDefault="00750150" w:rsidP="00750150">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F1FD0F2"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" o:allowincell="f" stroked="f">
              <v:textbox>
                <w:txbxContent>
                  <w:p w:rsidR="00750150" w:rsidRDefault="00750150" w:rsidP="00750150">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proofErr w:type="gramStart"/>
                    <w:r>
                      <w:rPr>
                        <w:rFonts w:ascii="Arial" w:hAnsi="Arial"/>
                        <w:b/>
                      </w:rPr>
                      <w:t>.</w:t>
                    </w:r>
                    <w:proofErr w:type="gramEnd"/>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14:anchorId="7FF3F826" wp14:editId="4D83BE9E">
          <wp:extent cx="525780" cy="525780"/>
          <wp:effectExtent l="0" t="0" r="7620" b="7620"/>
          <wp:docPr id="1"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r w:rsidR="00750150" w:rsidRPr="00BA6E7A">
      <w:rPr>
        <w:rFonts w:ascii="Arial" w:hAnsi="Arial" w:cs="Arial"/>
        <w:b/>
        <w:sz w:val="96"/>
      </w:rPr>
      <w:t xml:space="preserve"> PUBLIC NOTICE</w:t>
    </w:r>
  </w:p>
  <w:p w:rsidR="00750150" w:rsidRPr="005068D8" w:rsidRDefault="00F06C1E" w:rsidP="00750150">
    <w:pPr>
      <w:spacing w:before="40"/>
      <w:rPr>
        <w:rFonts w:ascii="Arial" w:hAnsi="Arial" w:cs="Arial"/>
        <w:b/>
        <w:sz w:val="96"/>
      </w:rPr>
    </w:pPr>
    <w:r>
      <w:rPr>
        <w:noProof/>
      </w:rPr>
      <mc:AlternateContent>
        <mc:Choice Requires="wps">
          <w:drawing>
            <wp:anchor distT="4294967295" distB="4294967295" distL="114300" distR="114300" simplePos="0" relativeHeight="251660288" behindDoc="0" locked="0" layoutInCell="0" allowOverlap="1" wp14:anchorId="52349421" wp14:editId="4623A2EF">
              <wp:simplePos x="0" y="0"/>
              <wp:positionH relativeFrom="margin">
                <wp:align>right</wp:align>
              </wp:positionH>
              <wp:positionV relativeFrom="paragraph">
                <wp:posOffset>720089</wp:posOffset>
              </wp:positionV>
              <wp:extent cx="59436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D99237" id="Line 4" o:spid="_x0000_s1026" style="position:absolute;z-index:25166028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78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d5E+z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rgK+/BEC&#10;AAAoBAAADgAAAAAAAAAAAAAAAAAuAgAAZHJzL2Uyb0RvYy54bWxQSwECLQAUAAYACAAAACEA6gJq&#10;DNsAAAAIAQAADwAAAAAAAAAAAAAAAABrBAAAZHJzL2Rvd25yZXYueG1sUEsFBgAAAAAEAAQA8wAA&#10;AHMFAAAAAA==&#10;" o:allowincell="f">
              <w10:wrap anchorx="margin"/>
            </v:line>
          </w:pict>
        </mc:Fallback>
      </mc:AlternateContent>
    </w:r>
    <w:r>
      <w:rPr>
        <w:noProof/>
      </w:rPr>
      <mc:AlternateContent>
        <mc:Choice Requires="wps">
          <w:drawing>
            <wp:anchor distT="0" distB="0" distL="114300" distR="114300" simplePos="0" relativeHeight="251661312" behindDoc="0" locked="0" layoutInCell="0" allowOverlap="1" wp14:anchorId="602E88B5" wp14:editId="743F7871">
              <wp:simplePos x="0" y="0"/>
              <wp:positionH relativeFrom="column">
                <wp:posOffset>3343275</wp:posOffset>
              </wp:positionH>
              <wp:positionV relativeFrom="paragraph">
                <wp:posOffset>178435</wp:posOffset>
              </wp:positionV>
              <wp:extent cx="2640965" cy="447675"/>
              <wp:effectExtent l="0" t="0" r="698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150" w:rsidRDefault="00750150" w:rsidP="00750150">
                          <w:pPr>
                            <w:spacing w:before="40"/>
                            <w:jc w:val="right"/>
                          </w:pPr>
                          <w:r>
                            <w:rPr>
                              <w:rFonts w:ascii="Arial" w:hAnsi="Arial"/>
                              <w:b/>
                              <w:sz w:val="16"/>
                            </w:rPr>
                            <w:t>News Media Information: 202-418-0500</w:t>
                          </w:r>
                          <w:r>
                            <w:rPr>
                              <w:rFonts w:ascii="Arial" w:hAnsi="Arial"/>
                              <w:b/>
                              <w:sz w:val="16"/>
                            </w:rPr>
                            <w:br/>
                            <w:t xml:space="preserve">Internet: </w:t>
                          </w:r>
                          <w:hyperlink r:id="rId2" w:history="1">
                            <w:r w:rsidRPr="00967716">
                              <w:rPr>
                                <w:rStyle w:val="Hyperlink"/>
                                <w:rFonts w:ascii="Arial" w:hAnsi="Arial"/>
                                <w:b/>
                                <w:sz w:val="16"/>
                              </w:rPr>
                              <w:t>www.fcc.gov</w:t>
                            </w:r>
                          </w:hyperlink>
                          <w:r>
                            <w:rPr>
                              <w:rFonts w:ascii="Arial" w:hAnsi="Arial"/>
                              <w:b/>
                              <w:sz w:val="16"/>
                            </w:rPr>
                            <w:br/>
                            <w:t>TTY: 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YCyO&#10;D4ICAAAOBQAADgAAAAAAAAAAAAAAAAAuAgAAZHJzL2Uyb0RvYy54bWxQSwECLQAUAAYACAAAACEA&#10;pgCLut8AAAAJAQAADwAAAAAAAAAAAAAAAADcBAAAZHJzL2Rvd25yZXYueG1sUEsFBgAAAAAEAAQA&#10;8wAAAOgFAAAAAA==&#10;" o:allowincell="f" stroked="f">
              <v:textbox inset=",0,,0">
                <w:txbxContent>
                  <w:p w:rsidR="00750150" w:rsidRDefault="00750150" w:rsidP="00750150">
                    <w:pPr>
                      <w:spacing w:before="40"/>
                      <w:jc w:val="right"/>
                    </w:pPr>
                    <w:r>
                      <w:rPr>
                        <w:rFonts w:ascii="Arial" w:hAnsi="Arial"/>
                        <w:b/>
                        <w:sz w:val="16"/>
                      </w:rPr>
                      <w:t>News Media Information: 202-418-0500</w:t>
                    </w:r>
                    <w:r>
                      <w:rPr>
                        <w:rFonts w:ascii="Arial" w:hAnsi="Arial"/>
                        <w:b/>
                        <w:sz w:val="16"/>
                      </w:rPr>
                      <w:br/>
                      <w:t xml:space="preserve">Internet: </w:t>
                    </w:r>
                    <w:hyperlink r:id="rId3" w:history="1">
                      <w:r w:rsidRPr="00967716">
                        <w:rPr>
                          <w:rStyle w:val="Hyperlink"/>
                          <w:rFonts w:ascii="Arial" w:hAnsi="Arial"/>
                          <w:b/>
                          <w:sz w:val="16"/>
                        </w:rPr>
                        <w:t>www.fcc.gov</w:t>
                      </w:r>
                    </w:hyperlink>
                    <w:r>
                      <w:rPr>
                        <w:rFonts w:ascii="Arial" w:hAnsi="Arial"/>
                        <w:b/>
                        <w:sz w:val="16"/>
                      </w:rPr>
                      <w:br/>
                      <w:t>TTY: 888-835-5322</w:t>
                    </w:r>
                  </w:p>
                </w:txbxContent>
              </v:textbox>
            </v:shape>
          </w:pict>
        </mc:Fallback>
      </mc:AlternateContent>
    </w:r>
  </w:p>
  <w:p w:rsidR="00D25FB5" w:rsidRPr="00750150" w:rsidRDefault="00D25FB5" w:rsidP="007501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77CF2319"/>
    <w:multiLevelType w:val="hybridMultilevel"/>
    <w:tmpl w:val="3F0AC7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150"/>
    <w:rsid w:val="00013F69"/>
    <w:rsid w:val="00036039"/>
    <w:rsid w:val="00037F90"/>
    <w:rsid w:val="00046A13"/>
    <w:rsid w:val="00065CA5"/>
    <w:rsid w:val="00085F6B"/>
    <w:rsid w:val="000875BF"/>
    <w:rsid w:val="00096D8C"/>
    <w:rsid w:val="000C0B65"/>
    <w:rsid w:val="000E05FE"/>
    <w:rsid w:val="000E3D42"/>
    <w:rsid w:val="00122BD5"/>
    <w:rsid w:val="001238FB"/>
    <w:rsid w:val="00124FA7"/>
    <w:rsid w:val="0013358C"/>
    <w:rsid w:val="00133F79"/>
    <w:rsid w:val="00171758"/>
    <w:rsid w:val="00187722"/>
    <w:rsid w:val="00191D00"/>
    <w:rsid w:val="00194A66"/>
    <w:rsid w:val="001D6BCF"/>
    <w:rsid w:val="001D7681"/>
    <w:rsid w:val="001E01CA"/>
    <w:rsid w:val="001F0513"/>
    <w:rsid w:val="002240A2"/>
    <w:rsid w:val="00241C4F"/>
    <w:rsid w:val="002477D5"/>
    <w:rsid w:val="00251824"/>
    <w:rsid w:val="00265513"/>
    <w:rsid w:val="00275CF5"/>
    <w:rsid w:val="0028301F"/>
    <w:rsid w:val="00285017"/>
    <w:rsid w:val="00294EB9"/>
    <w:rsid w:val="002A2D2E"/>
    <w:rsid w:val="002C00E8"/>
    <w:rsid w:val="002D2C19"/>
    <w:rsid w:val="002E4952"/>
    <w:rsid w:val="002F57A4"/>
    <w:rsid w:val="00323BC5"/>
    <w:rsid w:val="00343749"/>
    <w:rsid w:val="00353EEE"/>
    <w:rsid w:val="00356908"/>
    <w:rsid w:val="003660ED"/>
    <w:rsid w:val="00376AC6"/>
    <w:rsid w:val="003B0550"/>
    <w:rsid w:val="003B694F"/>
    <w:rsid w:val="003D309A"/>
    <w:rsid w:val="003F171C"/>
    <w:rsid w:val="00406684"/>
    <w:rsid w:val="00412FC5"/>
    <w:rsid w:val="00422276"/>
    <w:rsid w:val="004242F1"/>
    <w:rsid w:val="004261A9"/>
    <w:rsid w:val="00437270"/>
    <w:rsid w:val="00443AE0"/>
    <w:rsid w:val="00445A00"/>
    <w:rsid w:val="00451B0F"/>
    <w:rsid w:val="00464F0C"/>
    <w:rsid w:val="0048454E"/>
    <w:rsid w:val="00490337"/>
    <w:rsid w:val="00493318"/>
    <w:rsid w:val="004A494C"/>
    <w:rsid w:val="004B2A92"/>
    <w:rsid w:val="004C2EE3"/>
    <w:rsid w:val="004E4A22"/>
    <w:rsid w:val="004F740F"/>
    <w:rsid w:val="00507A79"/>
    <w:rsid w:val="00511968"/>
    <w:rsid w:val="00512AB5"/>
    <w:rsid w:val="00523BFF"/>
    <w:rsid w:val="00537D03"/>
    <w:rsid w:val="0055614C"/>
    <w:rsid w:val="005641CE"/>
    <w:rsid w:val="005A4512"/>
    <w:rsid w:val="005D0EC2"/>
    <w:rsid w:val="005E14C2"/>
    <w:rsid w:val="005E2E90"/>
    <w:rsid w:val="00604761"/>
    <w:rsid w:val="0060694B"/>
    <w:rsid w:val="00607BA5"/>
    <w:rsid w:val="0061002C"/>
    <w:rsid w:val="0061180A"/>
    <w:rsid w:val="00626EB6"/>
    <w:rsid w:val="00634245"/>
    <w:rsid w:val="0064686C"/>
    <w:rsid w:val="0065069D"/>
    <w:rsid w:val="00655D03"/>
    <w:rsid w:val="006757EC"/>
    <w:rsid w:val="00683388"/>
    <w:rsid w:val="00683F84"/>
    <w:rsid w:val="006A0217"/>
    <w:rsid w:val="006A6A81"/>
    <w:rsid w:val="006A714B"/>
    <w:rsid w:val="006B4966"/>
    <w:rsid w:val="006F7126"/>
    <w:rsid w:val="006F7393"/>
    <w:rsid w:val="0070224F"/>
    <w:rsid w:val="007115F7"/>
    <w:rsid w:val="0071712A"/>
    <w:rsid w:val="00723B12"/>
    <w:rsid w:val="00726480"/>
    <w:rsid w:val="00736234"/>
    <w:rsid w:val="0074661C"/>
    <w:rsid w:val="007474BF"/>
    <w:rsid w:val="00750150"/>
    <w:rsid w:val="007624B8"/>
    <w:rsid w:val="00773E43"/>
    <w:rsid w:val="00785689"/>
    <w:rsid w:val="0079754B"/>
    <w:rsid w:val="007A1E6D"/>
    <w:rsid w:val="007B0EB2"/>
    <w:rsid w:val="0080135F"/>
    <w:rsid w:val="00802E45"/>
    <w:rsid w:val="008031CE"/>
    <w:rsid w:val="00810B6F"/>
    <w:rsid w:val="00822CE0"/>
    <w:rsid w:val="00841AB1"/>
    <w:rsid w:val="008431E4"/>
    <w:rsid w:val="00850D55"/>
    <w:rsid w:val="008528F5"/>
    <w:rsid w:val="00875A4B"/>
    <w:rsid w:val="008C68F1"/>
    <w:rsid w:val="008D650B"/>
    <w:rsid w:val="00916F2F"/>
    <w:rsid w:val="00921803"/>
    <w:rsid w:val="00926503"/>
    <w:rsid w:val="009320C1"/>
    <w:rsid w:val="009370AA"/>
    <w:rsid w:val="00942166"/>
    <w:rsid w:val="00946D0D"/>
    <w:rsid w:val="00962833"/>
    <w:rsid w:val="009726D8"/>
    <w:rsid w:val="00974E5E"/>
    <w:rsid w:val="0097710C"/>
    <w:rsid w:val="00985690"/>
    <w:rsid w:val="009951EE"/>
    <w:rsid w:val="009F76DB"/>
    <w:rsid w:val="00A03AF1"/>
    <w:rsid w:val="00A25BAA"/>
    <w:rsid w:val="00A2722E"/>
    <w:rsid w:val="00A32C3B"/>
    <w:rsid w:val="00A374BB"/>
    <w:rsid w:val="00A45F4F"/>
    <w:rsid w:val="00A55700"/>
    <w:rsid w:val="00A600A9"/>
    <w:rsid w:val="00A90A53"/>
    <w:rsid w:val="00A92110"/>
    <w:rsid w:val="00A94E07"/>
    <w:rsid w:val="00A961E2"/>
    <w:rsid w:val="00AA55B7"/>
    <w:rsid w:val="00AA5B9E"/>
    <w:rsid w:val="00AB2407"/>
    <w:rsid w:val="00AB2442"/>
    <w:rsid w:val="00AB53DF"/>
    <w:rsid w:val="00B07E5C"/>
    <w:rsid w:val="00B16EFD"/>
    <w:rsid w:val="00B17F9D"/>
    <w:rsid w:val="00B32042"/>
    <w:rsid w:val="00B5789C"/>
    <w:rsid w:val="00B75C01"/>
    <w:rsid w:val="00B811F7"/>
    <w:rsid w:val="00BA5DC6"/>
    <w:rsid w:val="00BA6196"/>
    <w:rsid w:val="00BC6D8C"/>
    <w:rsid w:val="00BE68D9"/>
    <w:rsid w:val="00BF0D31"/>
    <w:rsid w:val="00BF5A9F"/>
    <w:rsid w:val="00C04DC7"/>
    <w:rsid w:val="00C172E6"/>
    <w:rsid w:val="00C34006"/>
    <w:rsid w:val="00C362FF"/>
    <w:rsid w:val="00C426B1"/>
    <w:rsid w:val="00C66160"/>
    <w:rsid w:val="00C7091D"/>
    <w:rsid w:val="00C721AC"/>
    <w:rsid w:val="00C8443B"/>
    <w:rsid w:val="00C90D6A"/>
    <w:rsid w:val="00CA247E"/>
    <w:rsid w:val="00CA7D52"/>
    <w:rsid w:val="00CB1CC8"/>
    <w:rsid w:val="00CC72B6"/>
    <w:rsid w:val="00CE12CB"/>
    <w:rsid w:val="00CE63C3"/>
    <w:rsid w:val="00D0218D"/>
    <w:rsid w:val="00D04282"/>
    <w:rsid w:val="00D122A2"/>
    <w:rsid w:val="00D25FB5"/>
    <w:rsid w:val="00D401B0"/>
    <w:rsid w:val="00D41228"/>
    <w:rsid w:val="00D44223"/>
    <w:rsid w:val="00DA2529"/>
    <w:rsid w:val="00DB130A"/>
    <w:rsid w:val="00DB2EBB"/>
    <w:rsid w:val="00DC10A1"/>
    <w:rsid w:val="00DC655F"/>
    <w:rsid w:val="00DD0B59"/>
    <w:rsid w:val="00DD7EBD"/>
    <w:rsid w:val="00DF62B6"/>
    <w:rsid w:val="00E018D5"/>
    <w:rsid w:val="00E07225"/>
    <w:rsid w:val="00E50D32"/>
    <w:rsid w:val="00E5409F"/>
    <w:rsid w:val="00E601F4"/>
    <w:rsid w:val="00E60CA6"/>
    <w:rsid w:val="00E927C4"/>
    <w:rsid w:val="00EB4376"/>
    <w:rsid w:val="00ED717C"/>
    <w:rsid w:val="00EE6488"/>
    <w:rsid w:val="00EF1FA6"/>
    <w:rsid w:val="00F021FA"/>
    <w:rsid w:val="00F065F7"/>
    <w:rsid w:val="00F06C1E"/>
    <w:rsid w:val="00F162FE"/>
    <w:rsid w:val="00F3180E"/>
    <w:rsid w:val="00F41547"/>
    <w:rsid w:val="00F50285"/>
    <w:rsid w:val="00F62E97"/>
    <w:rsid w:val="00F64209"/>
    <w:rsid w:val="00F66D64"/>
    <w:rsid w:val="00F93BF5"/>
    <w:rsid w:val="00FD78D3"/>
    <w:rsid w:val="00FE0C3E"/>
    <w:rsid w:val="00FE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15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
    <w:rsid w:val="000E3D42"/>
    <w:pPr>
      <w:spacing w:after="120"/>
    </w:pPr>
  </w:style>
  <w:style w:type="character" w:styleId="FootnoteReference">
    <w:name w:val="footnote reference"/>
    <w:aliases w:val="Style 12,(NECG) Footnote Reference,Appel note de bas de p,Style 124,Style 13,o,fr,Style 3,FR,Style 17,Style 6,Footnote Reference/,Style 4,Style 7,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basedOn w:val="DefaultParagraphFont"/>
    <w:rsid w:val="00C362FF"/>
    <w:rPr>
      <w:sz w:val="16"/>
      <w:szCs w:val="16"/>
    </w:rPr>
  </w:style>
  <w:style w:type="paragraph" w:styleId="CommentText">
    <w:name w:val="annotation text"/>
    <w:basedOn w:val="Normal"/>
    <w:link w:val="CommentTextChar"/>
    <w:rsid w:val="00C362FF"/>
    <w:rPr>
      <w:sz w:val="20"/>
    </w:rPr>
  </w:style>
  <w:style w:type="character" w:customStyle="1" w:styleId="CommentTextChar">
    <w:name w:val="Comment Text Char"/>
    <w:basedOn w:val="DefaultParagraphFont"/>
    <w:link w:val="CommentText"/>
    <w:rsid w:val="00C362FF"/>
    <w:rPr>
      <w:snapToGrid w:val="0"/>
      <w:kern w:val="28"/>
    </w:rPr>
  </w:style>
  <w:style w:type="paragraph" w:styleId="CommentSubject">
    <w:name w:val="annotation subject"/>
    <w:basedOn w:val="CommentText"/>
    <w:next w:val="CommentText"/>
    <w:link w:val="CommentSubjectChar"/>
    <w:rsid w:val="00C362FF"/>
    <w:rPr>
      <w:b/>
      <w:bCs/>
    </w:rPr>
  </w:style>
  <w:style w:type="character" w:customStyle="1" w:styleId="CommentSubjectChar">
    <w:name w:val="Comment Subject Char"/>
    <w:basedOn w:val="CommentTextChar"/>
    <w:link w:val="CommentSubject"/>
    <w:rsid w:val="00C362FF"/>
    <w:rPr>
      <w:b/>
      <w:bCs/>
      <w:snapToGrid w:val="0"/>
      <w:kern w:val="28"/>
    </w:rPr>
  </w:style>
  <w:style w:type="paragraph" w:styleId="BalloonText">
    <w:name w:val="Balloon Text"/>
    <w:basedOn w:val="Normal"/>
    <w:link w:val="BalloonTextChar"/>
    <w:rsid w:val="00C362FF"/>
    <w:rPr>
      <w:rFonts w:ascii="Segoe UI" w:hAnsi="Segoe UI" w:cs="Segoe UI"/>
      <w:sz w:val="18"/>
      <w:szCs w:val="18"/>
    </w:rPr>
  </w:style>
  <w:style w:type="character" w:customStyle="1" w:styleId="BalloonTextChar">
    <w:name w:val="Balloon Text Char"/>
    <w:basedOn w:val="DefaultParagraphFont"/>
    <w:link w:val="BalloonText"/>
    <w:rsid w:val="00C362FF"/>
    <w:rPr>
      <w:rFonts w:ascii="Segoe UI" w:hAnsi="Segoe UI" w:cs="Segoe UI"/>
      <w:snapToGrid w:val="0"/>
      <w:kern w:val="28"/>
      <w:sz w:val="18"/>
      <w:szCs w:val="18"/>
    </w:rPr>
  </w:style>
  <w:style w:type="character" w:styleId="FollowedHyperlink">
    <w:name w:val="FollowedHyperlink"/>
    <w:basedOn w:val="DefaultParagraphFont"/>
    <w:rsid w:val="004A494C"/>
    <w:rPr>
      <w:color w:val="954F72" w:themeColor="followedHyperlink"/>
      <w:u w:val="single"/>
    </w:rPr>
  </w:style>
  <w:style w:type="paragraph" w:styleId="ListParagraph">
    <w:name w:val="List Paragraph"/>
    <w:basedOn w:val="Normal"/>
    <w:uiPriority w:val="34"/>
    <w:qFormat/>
    <w:rsid w:val="00537D03"/>
    <w:pPr>
      <w:widowControl/>
      <w:spacing w:after="160" w:line="252" w:lineRule="auto"/>
      <w:ind w:left="720"/>
      <w:contextualSpacing/>
    </w:pPr>
    <w:rPr>
      <w:rFonts w:ascii="Calibri" w:eastAsiaTheme="minorHAnsi" w:hAnsi="Calibri" w:cs="Calibri"/>
      <w:snapToGrid/>
      <w:kern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15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
    <w:rsid w:val="000E3D42"/>
    <w:pPr>
      <w:spacing w:after="120"/>
    </w:pPr>
  </w:style>
  <w:style w:type="character" w:styleId="FootnoteReference">
    <w:name w:val="footnote reference"/>
    <w:aliases w:val="Style 12,(NECG) Footnote Reference,Appel note de bas de p,Style 124,Style 13,o,fr,Style 3,FR,Style 17,Style 6,Footnote Reference/,Style 4,Style 7,Footnote Reference1"/>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basedOn w:val="DefaultParagraphFont"/>
    <w:rsid w:val="00C362FF"/>
    <w:rPr>
      <w:sz w:val="16"/>
      <w:szCs w:val="16"/>
    </w:rPr>
  </w:style>
  <w:style w:type="paragraph" w:styleId="CommentText">
    <w:name w:val="annotation text"/>
    <w:basedOn w:val="Normal"/>
    <w:link w:val="CommentTextChar"/>
    <w:rsid w:val="00C362FF"/>
    <w:rPr>
      <w:sz w:val="20"/>
    </w:rPr>
  </w:style>
  <w:style w:type="character" w:customStyle="1" w:styleId="CommentTextChar">
    <w:name w:val="Comment Text Char"/>
    <w:basedOn w:val="DefaultParagraphFont"/>
    <w:link w:val="CommentText"/>
    <w:rsid w:val="00C362FF"/>
    <w:rPr>
      <w:snapToGrid w:val="0"/>
      <w:kern w:val="28"/>
    </w:rPr>
  </w:style>
  <w:style w:type="paragraph" w:styleId="CommentSubject">
    <w:name w:val="annotation subject"/>
    <w:basedOn w:val="CommentText"/>
    <w:next w:val="CommentText"/>
    <w:link w:val="CommentSubjectChar"/>
    <w:rsid w:val="00C362FF"/>
    <w:rPr>
      <w:b/>
      <w:bCs/>
    </w:rPr>
  </w:style>
  <w:style w:type="character" w:customStyle="1" w:styleId="CommentSubjectChar">
    <w:name w:val="Comment Subject Char"/>
    <w:basedOn w:val="CommentTextChar"/>
    <w:link w:val="CommentSubject"/>
    <w:rsid w:val="00C362FF"/>
    <w:rPr>
      <w:b/>
      <w:bCs/>
      <w:snapToGrid w:val="0"/>
      <w:kern w:val="28"/>
    </w:rPr>
  </w:style>
  <w:style w:type="paragraph" w:styleId="BalloonText">
    <w:name w:val="Balloon Text"/>
    <w:basedOn w:val="Normal"/>
    <w:link w:val="BalloonTextChar"/>
    <w:rsid w:val="00C362FF"/>
    <w:rPr>
      <w:rFonts w:ascii="Segoe UI" w:hAnsi="Segoe UI" w:cs="Segoe UI"/>
      <w:sz w:val="18"/>
      <w:szCs w:val="18"/>
    </w:rPr>
  </w:style>
  <w:style w:type="character" w:customStyle="1" w:styleId="BalloonTextChar">
    <w:name w:val="Balloon Text Char"/>
    <w:basedOn w:val="DefaultParagraphFont"/>
    <w:link w:val="BalloonText"/>
    <w:rsid w:val="00C362FF"/>
    <w:rPr>
      <w:rFonts w:ascii="Segoe UI" w:hAnsi="Segoe UI" w:cs="Segoe UI"/>
      <w:snapToGrid w:val="0"/>
      <w:kern w:val="28"/>
      <w:sz w:val="18"/>
      <w:szCs w:val="18"/>
    </w:rPr>
  </w:style>
  <w:style w:type="character" w:styleId="FollowedHyperlink">
    <w:name w:val="FollowedHyperlink"/>
    <w:basedOn w:val="DefaultParagraphFont"/>
    <w:rsid w:val="004A494C"/>
    <w:rPr>
      <w:color w:val="954F72" w:themeColor="followedHyperlink"/>
      <w:u w:val="single"/>
    </w:rPr>
  </w:style>
  <w:style w:type="paragraph" w:styleId="ListParagraph">
    <w:name w:val="List Paragraph"/>
    <w:basedOn w:val="Normal"/>
    <w:uiPriority w:val="34"/>
    <w:qFormat/>
    <w:rsid w:val="00537D03"/>
    <w:pPr>
      <w:widowControl/>
      <w:spacing w:after="160" w:line="252" w:lineRule="auto"/>
      <w:ind w:left="720"/>
      <w:contextualSpacing/>
    </w:pPr>
    <w:rPr>
      <w:rFonts w:ascii="Calibri" w:eastAsiaTheme="minorHAnsi" w:hAnsi="Calibri" w:cs="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19311">
      <w:bodyDiv w:val="1"/>
      <w:marLeft w:val="0"/>
      <w:marRight w:val="0"/>
      <w:marTop w:val="0"/>
      <w:marBottom w:val="0"/>
      <w:divBdr>
        <w:top w:val="none" w:sz="0" w:space="0" w:color="auto"/>
        <w:left w:val="none" w:sz="0" w:space="0" w:color="auto"/>
        <w:bottom w:val="none" w:sz="0" w:space="0" w:color="auto"/>
        <w:right w:val="none" w:sz="0" w:space="0" w:color="auto"/>
      </w:divBdr>
    </w:div>
    <w:div w:id="1302810027">
      <w:bodyDiv w:val="1"/>
      <w:marLeft w:val="0"/>
      <w:marRight w:val="0"/>
      <w:marTop w:val="0"/>
      <w:marBottom w:val="0"/>
      <w:divBdr>
        <w:top w:val="none" w:sz="0" w:space="0" w:color="auto"/>
        <w:left w:val="none" w:sz="0" w:space="0" w:color="auto"/>
        <w:bottom w:val="none" w:sz="0" w:space="0" w:color="auto"/>
        <w:right w:val="none" w:sz="0" w:space="0" w:color="auto"/>
      </w:divBdr>
    </w:div>
    <w:div w:id="1492212309">
      <w:bodyDiv w:val="1"/>
      <w:marLeft w:val="0"/>
      <w:marRight w:val="0"/>
      <w:marTop w:val="0"/>
      <w:marBottom w:val="0"/>
      <w:divBdr>
        <w:top w:val="none" w:sz="0" w:space="0" w:color="auto"/>
        <w:left w:val="none" w:sz="0" w:space="0" w:color="auto"/>
        <w:bottom w:val="none" w:sz="0" w:space="0" w:color="auto"/>
        <w:right w:val="none" w:sz="0" w:space="0" w:color="auto"/>
      </w:divBdr>
    </w:div>
    <w:div w:id="162715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cc.gov/incentiveauctions/reimbursement"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harles.Meisch@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aphael.Sznajder@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effrey.Neumann@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imburse@fcc.gov"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hyperlink" Target="file:///C:\Users\craig.bomberger\AppData\Local\Microsoft\Windows\Temporary%20Internet%20Files\Content.Outlook\BCL5QM18\www.fcc.gov" TargetMode="External"/><Relationship Id="rId2" Type="http://schemas.openxmlformats.org/officeDocument/2006/relationships/hyperlink" Target="file:///C:\Users\craig.bomberger\AppData\Local\Microsoft\Windows\Temporary%20Internet%20Files\Content.Outlook\BCL5QM18\www.fcc.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2243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2017-04-13T17:58:00Z</dcterms:created>
  <dcterms:modified xsi:type="dcterms:W3CDTF">2017-04-13T17:58:00Z</dcterms:modified>
  <cp:category> </cp:category>
  <cp:contentStatus> </cp:contentStatus>
</cp:coreProperties>
</file>