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7CDBD" w14:textId="77777777" w:rsidR="00200A63" w:rsidRDefault="00200A63" w:rsidP="00200A6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235C917F" w14:textId="77777777" w:rsidR="00200A63" w:rsidRDefault="00200A63" w:rsidP="00200A63">
      <w:pPr>
        <w:pStyle w:val="StyleBoldCentered"/>
      </w:pPr>
      <w:r>
        <w:t>F</w:t>
      </w:r>
      <w:r>
        <w:rPr>
          <w:caps w:val="0"/>
        </w:rPr>
        <w:t>ederal Communications Commission</w:t>
      </w:r>
    </w:p>
    <w:p w14:paraId="314673B4" w14:textId="77777777" w:rsidR="00200A63" w:rsidRDefault="00200A63" w:rsidP="00200A63">
      <w:pPr>
        <w:pStyle w:val="StyleBoldCentered"/>
      </w:pPr>
      <w:r>
        <w:rPr>
          <w:caps w:val="0"/>
        </w:rPr>
        <w:t>Washington, D.C. 20554</w:t>
      </w:r>
    </w:p>
    <w:p w14:paraId="76D18D90" w14:textId="77777777" w:rsidR="00200A63" w:rsidRDefault="00200A63" w:rsidP="00200A63"/>
    <w:p w14:paraId="6030D0F6" w14:textId="77777777" w:rsidR="00200A63" w:rsidRDefault="00200A63" w:rsidP="00200A63"/>
    <w:tbl>
      <w:tblPr>
        <w:tblW w:w="0" w:type="auto"/>
        <w:tblLayout w:type="fixed"/>
        <w:tblLook w:val="0000" w:firstRow="0" w:lastRow="0" w:firstColumn="0" w:lastColumn="0" w:noHBand="0" w:noVBand="0"/>
      </w:tblPr>
      <w:tblGrid>
        <w:gridCol w:w="4698"/>
        <w:gridCol w:w="630"/>
        <w:gridCol w:w="4248"/>
      </w:tblGrid>
      <w:tr w:rsidR="00200A63" w14:paraId="3A6EEFF3" w14:textId="77777777" w:rsidTr="00651352">
        <w:tc>
          <w:tcPr>
            <w:tcW w:w="4698" w:type="dxa"/>
          </w:tcPr>
          <w:p w14:paraId="4BCD4CC0" w14:textId="77777777" w:rsidR="00200A63" w:rsidRDefault="00200A63" w:rsidP="00651352">
            <w:pPr>
              <w:tabs>
                <w:tab w:val="center" w:pos="4680"/>
              </w:tabs>
              <w:suppressAutoHyphens/>
              <w:rPr>
                <w:spacing w:val="-2"/>
              </w:rPr>
            </w:pPr>
            <w:r>
              <w:rPr>
                <w:spacing w:val="-2"/>
              </w:rPr>
              <w:t>In the Matter of</w:t>
            </w:r>
          </w:p>
          <w:p w14:paraId="1E06445C" w14:textId="77777777" w:rsidR="00200A63" w:rsidRDefault="00200A63" w:rsidP="00651352">
            <w:pPr>
              <w:tabs>
                <w:tab w:val="center" w:pos="4680"/>
              </w:tabs>
              <w:suppressAutoHyphens/>
              <w:rPr>
                <w:spacing w:val="-2"/>
              </w:rPr>
            </w:pPr>
          </w:p>
          <w:p w14:paraId="71793265" w14:textId="77777777" w:rsidR="00200A63" w:rsidRDefault="00200A63" w:rsidP="00651352">
            <w:pPr>
              <w:tabs>
                <w:tab w:val="center" w:pos="4680"/>
              </w:tabs>
              <w:suppressAutoHyphens/>
              <w:rPr>
                <w:spacing w:val="-2"/>
              </w:rPr>
            </w:pPr>
            <w:r>
              <w:rPr>
                <w:spacing w:val="-2"/>
              </w:rPr>
              <w:t>Amendment of 47 CFR Part 90 of the Commission’s Rules to Allow an</w:t>
            </w:r>
          </w:p>
          <w:p w14:paraId="518F36A4" w14:textId="77777777" w:rsidR="00200A63" w:rsidRDefault="00200A63" w:rsidP="00651352">
            <w:pPr>
              <w:tabs>
                <w:tab w:val="center" w:pos="4680"/>
              </w:tabs>
              <w:suppressAutoHyphens/>
              <w:rPr>
                <w:spacing w:val="-2"/>
              </w:rPr>
            </w:pPr>
            <w:r>
              <w:rPr>
                <w:spacing w:val="-2"/>
              </w:rPr>
              <w:t>Additional Frequency and Emission to be</w:t>
            </w:r>
          </w:p>
          <w:p w14:paraId="7E30056B" w14:textId="77777777" w:rsidR="00200A63" w:rsidRDefault="00200A63" w:rsidP="00651352">
            <w:pPr>
              <w:tabs>
                <w:tab w:val="center" w:pos="4680"/>
              </w:tabs>
              <w:suppressAutoHyphens/>
              <w:rPr>
                <w:spacing w:val="-2"/>
              </w:rPr>
            </w:pPr>
            <w:r>
              <w:rPr>
                <w:spacing w:val="-2"/>
              </w:rPr>
              <w:t>Designated for Travelers’ Information</w:t>
            </w:r>
          </w:p>
          <w:p w14:paraId="134CE3E4" w14:textId="77777777" w:rsidR="00200A63" w:rsidRPr="007115F7" w:rsidRDefault="00200A63" w:rsidP="00651352">
            <w:pPr>
              <w:tabs>
                <w:tab w:val="center" w:pos="4680"/>
              </w:tabs>
              <w:suppressAutoHyphens/>
              <w:rPr>
                <w:spacing w:val="-2"/>
              </w:rPr>
            </w:pPr>
            <w:r>
              <w:rPr>
                <w:spacing w:val="-2"/>
              </w:rPr>
              <w:t>Stations</w:t>
            </w:r>
          </w:p>
        </w:tc>
        <w:tc>
          <w:tcPr>
            <w:tcW w:w="630" w:type="dxa"/>
          </w:tcPr>
          <w:p w14:paraId="07CF6BC9" w14:textId="77777777" w:rsidR="00200A63" w:rsidRDefault="00200A63" w:rsidP="00651352">
            <w:pPr>
              <w:tabs>
                <w:tab w:val="center" w:pos="4680"/>
              </w:tabs>
              <w:suppressAutoHyphens/>
              <w:rPr>
                <w:b/>
                <w:spacing w:val="-2"/>
              </w:rPr>
            </w:pPr>
            <w:r>
              <w:rPr>
                <w:b/>
                <w:spacing w:val="-2"/>
              </w:rPr>
              <w:t>)</w:t>
            </w:r>
          </w:p>
          <w:p w14:paraId="3B66BC36" w14:textId="77777777" w:rsidR="00200A63" w:rsidRDefault="00200A63" w:rsidP="00651352">
            <w:pPr>
              <w:tabs>
                <w:tab w:val="center" w:pos="4680"/>
              </w:tabs>
              <w:suppressAutoHyphens/>
              <w:rPr>
                <w:b/>
                <w:spacing w:val="-2"/>
              </w:rPr>
            </w:pPr>
            <w:r>
              <w:rPr>
                <w:b/>
                <w:spacing w:val="-2"/>
              </w:rPr>
              <w:t>)</w:t>
            </w:r>
          </w:p>
          <w:p w14:paraId="6F4F3450" w14:textId="77777777" w:rsidR="00200A63" w:rsidRDefault="00200A63" w:rsidP="00651352">
            <w:pPr>
              <w:tabs>
                <w:tab w:val="center" w:pos="4680"/>
              </w:tabs>
              <w:suppressAutoHyphens/>
              <w:rPr>
                <w:b/>
                <w:spacing w:val="-2"/>
              </w:rPr>
            </w:pPr>
            <w:r>
              <w:rPr>
                <w:b/>
                <w:spacing w:val="-2"/>
              </w:rPr>
              <w:t>)</w:t>
            </w:r>
          </w:p>
          <w:p w14:paraId="4C96D2F4" w14:textId="77777777" w:rsidR="00200A63" w:rsidRDefault="00200A63" w:rsidP="00651352">
            <w:pPr>
              <w:tabs>
                <w:tab w:val="center" w:pos="4680"/>
              </w:tabs>
              <w:suppressAutoHyphens/>
              <w:rPr>
                <w:b/>
                <w:spacing w:val="-2"/>
              </w:rPr>
            </w:pPr>
            <w:r>
              <w:rPr>
                <w:b/>
                <w:spacing w:val="-2"/>
              </w:rPr>
              <w:t>)</w:t>
            </w:r>
          </w:p>
          <w:p w14:paraId="5127B813" w14:textId="77777777" w:rsidR="00200A63" w:rsidRDefault="00200A63" w:rsidP="00651352">
            <w:pPr>
              <w:tabs>
                <w:tab w:val="center" w:pos="4680"/>
              </w:tabs>
              <w:suppressAutoHyphens/>
              <w:rPr>
                <w:b/>
                <w:spacing w:val="-2"/>
              </w:rPr>
            </w:pPr>
            <w:r>
              <w:rPr>
                <w:b/>
                <w:spacing w:val="-2"/>
              </w:rPr>
              <w:t>)</w:t>
            </w:r>
          </w:p>
          <w:p w14:paraId="7BCD9E25" w14:textId="77777777" w:rsidR="00200A63" w:rsidRDefault="00200A63" w:rsidP="00651352">
            <w:pPr>
              <w:tabs>
                <w:tab w:val="center" w:pos="4680"/>
              </w:tabs>
              <w:suppressAutoHyphens/>
              <w:rPr>
                <w:b/>
                <w:spacing w:val="-2"/>
              </w:rPr>
            </w:pPr>
            <w:r>
              <w:rPr>
                <w:b/>
                <w:spacing w:val="-2"/>
              </w:rPr>
              <w:t>)</w:t>
            </w:r>
          </w:p>
          <w:p w14:paraId="1A38EB34" w14:textId="77777777" w:rsidR="00200A63" w:rsidRPr="00E4392E" w:rsidRDefault="00200A63" w:rsidP="00651352">
            <w:pPr>
              <w:tabs>
                <w:tab w:val="center" w:pos="4680"/>
              </w:tabs>
              <w:suppressAutoHyphens/>
              <w:rPr>
                <w:b/>
                <w:spacing w:val="-2"/>
              </w:rPr>
            </w:pPr>
            <w:r>
              <w:rPr>
                <w:b/>
                <w:spacing w:val="-2"/>
              </w:rPr>
              <w:t>)</w:t>
            </w:r>
          </w:p>
        </w:tc>
        <w:tc>
          <w:tcPr>
            <w:tcW w:w="4248" w:type="dxa"/>
          </w:tcPr>
          <w:p w14:paraId="14A3E3D0" w14:textId="77777777" w:rsidR="00200A63" w:rsidRDefault="00200A63" w:rsidP="00651352">
            <w:pPr>
              <w:tabs>
                <w:tab w:val="center" w:pos="4680"/>
              </w:tabs>
              <w:suppressAutoHyphens/>
              <w:rPr>
                <w:spacing w:val="-2"/>
              </w:rPr>
            </w:pPr>
          </w:p>
          <w:p w14:paraId="6E6765B2" w14:textId="77777777" w:rsidR="00200A63" w:rsidRDefault="00200A63" w:rsidP="00651352">
            <w:pPr>
              <w:pStyle w:val="TOAHeading"/>
              <w:tabs>
                <w:tab w:val="clear" w:pos="9360"/>
                <w:tab w:val="center" w:pos="4680"/>
              </w:tabs>
              <w:rPr>
                <w:spacing w:val="-2"/>
              </w:rPr>
            </w:pPr>
          </w:p>
          <w:p w14:paraId="0FB55447" w14:textId="77777777" w:rsidR="00200A63" w:rsidRDefault="00200A63" w:rsidP="00651352">
            <w:pPr>
              <w:tabs>
                <w:tab w:val="center" w:pos="4680"/>
              </w:tabs>
              <w:suppressAutoHyphens/>
              <w:rPr>
                <w:spacing w:val="-2"/>
              </w:rPr>
            </w:pPr>
            <w:r>
              <w:rPr>
                <w:spacing w:val="-2"/>
              </w:rPr>
              <w:t>PRM15PS</w:t>
            </w:r>
          </w:p>
        </w:tc>
      </w:tr>
    </w:tbl>
    <w:p w14:paraId="4CF8140B" w14:textId="77777777" w:rsidR="00200A63" w:rsidRDefault="00200A63" w:rsidP="00200A63"/>
    <w:p w14:paraId="6425D0DF" w14:textId="77777777" w:rsidR="00200A63" w:rsidRDefault="00200A63" w:rsidP="00200A63">
      <w:pPr>
        <w:pStyle w:val="StyleBoldCentered"/>
      </w:pPr>
      <w:r>
        <w:t>Order</w:t>
      </w:r>
    </w:p>
    <w:p w14:paraId="19CAE3EA" w14:textId="77777777" w:rsidR="00200A63" w:rsidRDefault="00200A63" w:rsidP="00200A63">
      <w:pPr>
        <w:tabs>
          <w:tab w:val="left" w:pos="-720"/>
        </w:tabs>
        <w:suppressAutoHyphens/>
        <w:spacing w:line="227" w:lineRule="auto"/>
        <w:rPr>
          <w:spacing w:val="-2"/>
        </w:rPr>
      </w:pPr>
    </w:p>
    <w:p w14:paraId="179646E0" w14:textId="0C99A600" w:rsidR="00200A63" w:rsidRDefault="00200A63" w:rsidP="00200A63">
      <w:pPr>
        <w:tabs>
          <w:tab w:val="left" w:pos="720"/>
          <w:tab w:val="right" w:pos="9360"/>
        </w:tabs>
        <w:suppressAutoHyphens/>
        <w:spacing w:line="227" w:lineRule="auto"/>
        <w:rPr>
          <w:spacing w:val="-2"/>
        </w:rPr>
      </w:pPr>
      <w:r>
        <w:rPr>
          <w:b/>
          <w:spacing w:val="-2"/>
        </w:rPr>
        <w:t xml:space="preserve">Adopted:  </w:t>
      </w:r>
      <w:r w:rsidR="0096300F">
        <w:rPr>
          <w:b/>
          <w:spacing w:val="-2"/>
        </w:rPr>
        <w:t>April 17, 2017</w:t>
      </w:r>
      <w:r>
        <w:rPr>
          <w:b/>
          <w:spacing w:val="-2"/>
        </w:rPr>
        <w:tab/>
        <w:t xml:space="preserve">Released:  </w:t>
      </w:r>
      <w:r w:rsidR="0096300F">
        <w:rPr>
          <w:b/>
          <w:spacing w:val="-2"/>
        </w:rPr>
        <w:t>April 17, 2017</w:t>
      </w:r>
    </w:p>
    <w:p w14:paraId="7B29C20F" w14:textId="77777777" w:rsidR="00200A63" w:rsidRDefault="00200A63" w:rsidP="00200A63"/>
    <w:p w14:paraId="0C06AC9E" w14:textId="77777777" w:rsidR="00200A63" w:rsidRDefault="00200A63" w:rsidP="00200A63">
      <w:pPr>
        <w:rPr>
          <w:spacing w:val="-2"/>
        </w:rPr>
      </w:pPr>
      <w:r>
        <w:t xml:space="preserve">By the </w:t>
      </w:r>
      <w:r w:rsidR="0064307B">
        <w:t xml:space="preserve">Acting </w:t>
      </w:r>
      <w:r>
        <w:rPr>
          <w:szCs w:val="22"/>
        </w:rPr>
        <w:t>Chief, Policy and Licensing Division, Public Safety and Homeland Security Bureau</w:t>
      </w:r>
      <w:r>
        <w:rPr>
          <w:spacing w:val="-2"/>
        </w:rPr>
        <w:t>:</w:t>
      </w:r>
    </w:p>
    <w:p w14:paraId="7718E3EA" w14:textId="77777777" w:rsidR="00200A63" w:rsidRDefault="00200A63" w:rsidP="00200A63"/>
    <w:p w14:paraId="10EC82E5" w14:textId="77777777" w:rsidR="00200A63" w:rsidRDefault="00200A63" w:rsidP="00200A63">
      <w:pPr>
        <w:pStyle w:val="Heading1"/>
      </w:pPr>
      <w:r>
        <w:t>Introduction</w:t>
      </w:r>
    </w:p>
    <w:p w14:paraId="5C663A78" w14:textId="77777777" w:rsidR="00200A63" w:rsidRDefault="00200A63" w:rsidP="00200A63">
      <w:pPr>
        <w:pStyle w:val="ParaNum"/>
      </w:pPr>
      <w:r>
        <w:t xml:space="preserve">By this Order, we dismiss the December 1, 2015 Petition for Rule Making (Petition) filed jointly by </w:t>
      </w:r>
      <w:r w:rsidRPr="00590885">
        <w:t>Robert L. Coyle, Jr. and Claude B. Parker</w:t>
      </w:r>
      <w:r>
        <w:t xml:space="preserve"> (collectively, Petitioners).</w:t>
      </w:r>
      <w:r>
        <w:rPr>
          <w:rStyle w:val="FootnoteReference"/>
          <w:sz w:val="22"/>
          <w:szCs w:val="22"/>
        </w:rPr>
        <w:footnoteReference w:id="2"/>
      </w:r>
      <w:r>
        <w:t xml:space="preserve">  The Petition asks the Commission to begin a proceeding that seeks comment on allowing Travelers’ Information Stations (TIS),</w:t>
      </w:r>
      <w:r>
        <w:rPr>
          <w:rStyle w:val="FootnoteReference"/>
          <w:sz w:val="22"/>
          <w:szCs w:val="22"/>
        </w:rPr>
        <w:footnoteReference w:id="3"/>
      </w:r>
      <w:r>
        <w:t xml:space="preserve"> which operate in the AM broadcast band, to operate on </w:t>
      </w:r>
      <w:r w:rsidRPr="00C85E5C">
        <w:t xml:space="preserve">FM Channel 200 (87.9 MHz) </w:t>
      </w:r>
      <w:r>
        <w:t>in the FM broadcast band on a primary basis.</w:t>
      </w:r>
      <w:r>
        <w:rPr>
          <w:rStyle w:val="FootnoteReference"/>
          <w:sz w:val="22"/>
          <w:szCs w:val="22"/>
        </w:rPr>
        <w:footnoteReference w:id="4"/>
      </w:r>
      <w:r>
        <w:t xml:space="preserve">  We conclude that Petitioners have not made a sufficient showing to support the commencement of a rulemaking at this time.  We therefore dismiss the Petition.</w:t>
      </w:r>
    </w:p>
    <w:p w14:paraId="58DDFF09" w14:textId="77777777" w:rsidR="00200A63" w:rsidRDefault="00200A63" w:rsidP="00200A63">
      <w:pPr>
        <w:pStyle w:val="Heading1"/>
      </w:pPr>
      <w:r>
        <w:t>Background</w:t>
      </w:r>
    </w:p>
    <w:p w14:paraId="578DD642" w14:textId="4831CC96" w:rsidR="00200A63" w:rsidRPr="008A2DD8" w:rsidRDefault="00200A63" w:rsidP="00200A63">
      <w:pPr>
        <w:pStyle w:val="ParaNum"/>
        <w:rPr>
          <w:sz w:val="24"/>
        </w:rPr>
      </w:pPr>
      <w:r w:rsidRPr="008A2DD8">
        <w:t>Commission rules authorize Public Safety Pool-eligible entities to use TIS to transmit noncommercial, travel-related information over AM band frequencies to motorists on a localized basis.</w:t>
      </w:r>
      <w:r w:rsidRPr="008A2DD8">
        <w:rPr>
          <w:rStyle w:val="FootnoteReference"/>
          <w:sz w:val="24"/>
          <w:szCs w:val="22"/>
        </w:rPr>
        <w:footnoteReference w:id="5"/>
      </w:r>
      <w:r>
        <w:t xml:space="preserve">  TIS are authorized to operate on a primary basis on frequency 530 kHz and on a secondary basis on all other AM band channels.</w:t>
      </w:r>
      <w:r>
        <w:rPr>
          <w:rStyle w:val="FootnoteReference"/>
          <w:sz w:val="22"/>
        </w:rPr>
        <w:footnoteReference w:id="6"/>
      </w:r>
    </w:p>
    <w:p w14:paraId="77618195" w14:textId="77777777" w:rsidR="00200A63" w:rsidRDefault="00200A63" w:rsidP="00200A63">
      <w:pPr>
        <w:pStyle w:val="ParaNum"/>
      </w:pPr>
      <w:r>
        <w:t>Petitioners propose that an FM radio band channel be designated for TIS use, given the FM band’s greater listenership, higher audio fidelity, and greater immunity to atmospheric disturbances and interference, in comparison to the AM band.</w:t>
      </w:r>
      <w:r>
        <w:rPr>
          <w:rStyle w:val="FootnoteReference"/>
          <w:sz w:val="22"/>
          <w:szCs w:val="22"/>
        </w:rPr>
        <w:footnoteReference w:id="7"/>
      </w:r>
      <w:r>
        <w:t xml:space="preserve">  Petitioners state that </w:t>
      </w:r>
      <w:r w:rsidRPr="00783726">
        <w:t>“AM broadcast is no longer the dominant band for the listening public, and the technical superiority of FM broadcast allows for a host of improvements, audio clarity being the most obvious, and from a public safety standpoint, perhaps the most important.”</w:t>
      </w:r>
      <w:r>
        <w:rPr>
          <w:rStyle w:val="FootnoteReference"/>
          <w:sz w:val="22"/>
          <w:szCs w:val="22"/>
        </w:rPr>
        <w:footnoteReference w:id="8"/>
      </w:r>
      <w:r>
        <w:t xml:space="preserve">  </w:t>
      </w:r>
      <w:r w:rsidRPr="00783726">
        <w:t xml:space="preserve">Petitioners cite </w:t>
      </w:r>
      <w:r>
        <w:t>the 2</w:t>
      </w:r>
      <w:r w:rsidRPr="00783726">
        <w:t xml:space="preserve">015 </w:t>
      </w:r>
      <w:r w:rsidRPr="0001491B">
        <w:rPr>
          <w:i/>
        </w:rPr>
        <w:t>TIS Second Report and Order</w:t>
      </w:r>
      <w:r w:rsidRPr="00783726">
        <w:t xml:space="preserve">, where the Commission relaxed </w:t>
      </w:r>
      <w:r w:rsidRPr="00783726">
        <w:lastRenderedPageBreak/>
        <w:t>the TIS</w:t>
      </w:r>
      <w:r>
        <w:t xml:space="preserve"> audio</w:t>
      </w:r>
      <w:r w:rsidRPr="00783726">
        <w:t xml:space="preserve"> filtering requirement to</w:t>
      </w:r>
      <w:r>
        <w:t xml:space="preserve"> permit TIS licensees to</w:t>
      </w:r>
      <w:r w:rsidRPr="00783726">
        <w:t xml:space="preserve"> improve audio quality</w:t>
      </w:r>
      <w:r>
        <w:t xml:space="preserve"> on a voluntary basis</w:t>
      </w:r>
      <w:r w:rsidRPr="00783726">
        <w:t>.</w:t>
      </w:r>
      <w:r>
        <w:rPr>
          <w:rStyle w:val="FootnoteReference"/>
          <w:sz w:val="22"/>
          <w:szCs w:val="22"/>
        </w:rPr>
        <w:footnoteReference w:id="9"/>
      </w:r>
      <w:r w:rsidRPr="00783726">
        <w:t xml:space="preserve">  </w:t>
      </w:r>
      <w:r>
        <w:t>Petitioners state that “[i]ncreasing the audio quality to the level of AM broadcast stations would be an improvement, … [h]owever, … atmospheric disturbances and propagation characteristics hinder reception of AM broadcast signals.”</w:t>
      </w:r>
      <w:r>
        <w:rPr>
          <w:rStyle w:val="FootnoteReference"/>
          <w:sz w:val="22"/>
          <w:szCs w:val="22"/>
        </w:rPr>
        <w:footnoteReference w:id="10"/>
      </w:r>
      <w:r>
        <w:t xml:space="preserve">  Petitioners state that </w:t>
      </w:r>
      <w:r w:rsidRPr="00783726">
        <w:t>AM operation is “susceptible to skywave interference at night and atmospheric or electr</w:t>
      </w:r>
      <w:r>
        <w:t>ical interference at all hours;”</w:t>
      </w:r>
      <w:r w:rsidRPr="00783726">
        <w:t xml:space="preserve"> </w:t>
      </w:r>
      <w:r>
        <w:t>by comparison, t</w:t>
      </w:r>
      <w:r w:rsidRPr="00783726">
        <w:t>he FM band lacks these disturbances.</w:t>
      </w:r>
      <w:r>
        <w:rPr>
          <w:rStyle w:val="FootnoteReference"/>
          <w:sz w:val="22"/>
          <w:szCs w:val="22"/>
        </w:rPr>
        <w:footnoteReference w:id="11"/>
      </w:r>
      <w:r>
        <w:t xml:space="preserve">  </w:t>
      </w:r>
    </w:p>
    <w:p w14:paraId="72B528A3" w14:textId="16F34368" w:rsidR="00200A63" w:rsidRDefault="00200A63" w:rsidP="00200A63">
      <w:pPr>
        <w:pStyle w:val="ParaNum"/>
      </w:pPr>
      <w:r>
        <w:t>Petitioners recommend creating a primary TIS allocation on FM channel 200 (87.9 MHz), which is currently a</w:t>
      </w:r>
      <w:r w:rsidRPr="001913E8">
        <w:t xml:space="preserve">vailable only for </w:t>
      </w:r>
      <w:r>
        <w:t xml:space="preserve">use by </w:t>
      </w:r>
      <w:r w:rsidRPr="001913E8">
        <w:t>existing Class D noncommercial educational (NCE) FM broadcasting stations</w:t>
      </w:r>
      <w:r>
        <w:t xml:space="preserve"> </w:t>
      </w:r>
      <w:r w:rsidR="00B12BA0">
        <w:t xml:space="preserve">that must change frequency </w:t>
      </w:r>
      <w:r>
        <w:t>to avoid causing interference to full-service stations.  FM Channel 200 l</w:t>
      </w:r>
      <w:r w:rsidRPr="001913E8">
        <w:t>icensees operate on a secondary noninterference basis with respect to TV Channel 6 (82.0-88.0 MHz) stations and adjacent channel NCE FM stations</w:t>
      </w:r>
      <w:r>
        <w:t>.</w:t>
      </w:r>
      <w:r>
        <w:rPr>
          <w:rStyle w:val="FootnoteReference"/>
          <w:sz w:val="22"/>
          <w:szCs w:val="22"/>
        </w:rPr>
        <w:footnoteReference w:id="12"/>
      </w:r>
      <w:r>
        <w:t xml:space="preserve">  Petitioners argue that FM Channel 200 is ideal for TIS because only two incumbent broadcast stations operate on the channel and applications for new stations are no longer being accepted.</w:t>
      </w:r>
      <w:r>
        <w:rPr>
          <w:rStyle w:val="FootnoteReference"/>
          <w:sz w:val="22"/>
          <w:szCs w:val="22"/>
        </w:rPr>
        <w:footnoteReference w:id="13"/>
      </w:r>
      <w:r>
        <w:t xml:space="preserve">  Thus, Petitioners argue, </w:t>
      </w:r>
      <w:r w:rsidRPr="00783726">
        <w:t xml:space="preserve">TIS </w:t>
      </w:r>
      <w:r>
        <w:t>operations on Channel 200 are</w:t>
      </w:r>
      <w:r w:rsidRPr="00783726">
        <w:t xml:space="preserve"> not likely to cause co-channel interference to existing stations </w:t>
      </w:r>
      <w:r>
        <w:t xml:space="preserve">or </w:t>
      </w:r>
      <w:r w:rsidRPr="00783726">
        <w:t>require displacement of existing broadcasters.</w:t>
      </w:r>
      <w:r>
        <w:rPr>
          <w:rStyle w:val="FootnoteReference"/>
          <w:sz w:val="22"/>
          <w:szCs w:val="22"/>
        </w:rPr>
        <w:footnoteReference w:id="14"/>
      </w:r>
      <w:r>
        <w:t xml:space="preserve"> </w:t>
      </w:r>
      <w:r w:rsidRPr="001B3C21">
        <w:t xml:space="preserve"> </w:t>
      </w:r>
      <w:r>
        <w:t xml:space="preserve">Petitioners also contend that </w:t>
      </w:r>
      <w:r w:rsidRPr="00783726">
        <w:t xml:space="preserve">FM equipment is </w:t>
      </w:r>
      <w:r>
        <w:t>readily a</w:t>
      </w:r>
      <w:r w:rsidRPr="00783726">
        <w:t>vailable on the market</w:t>
      </w:r>
      <w:r>
        <w:t xml:space="preserve"> and is more compact and </w:t>
      </w:r>
      <w:r w:rsidRPr="00783726">
        <w:t>easier to install and maintain than AM equipment</w:t>
      </w:r>
      <w:r>
        <w:t>.</w:t>
      </w:r>
      <w:r>
        <w:rPr>
          <w:rStyle w:val="FootnoteReference"/>
          <w:sz w:val="22"/>
          <w:szCs w:val="22"/>
        </w:rPr>
        <w:footnoteReference w:id="15"/>
      </w:r>
    </w:p>
    <w:p w14:paraId="2AE4EAA1" w14:textId="77777777" w:rsidR="00200A63" w:rsidRDefault="00200A63" w:rsidP="00200A63">
      <w:pPr>
        <w:pStyle w:val="Heading1"/>
      </w:pPr>
      <w:r>
        <w:t>Discussion</w:t>
      </w:r>
    </w:p>
    <w:p w14:paraId="2B09EE3E" w14:textId="77777777" w:rsidR="00200A63" w:rsidRPr="0096300F" w:rsidRDefault="00200A63" w:rsidP="00200A63">
      <w:pPr>
        <w:pStyle w:val="ParaNum"/>
        <w:widowControl/>
      </w:pPr>
      <w:r w:rsidRPr="00DB310C">
        <w:t xml:space="preserve">Section 1.401 of the Commission’s rules requires, in pertinent part, that </w:t>
      </w:r>
      <w:r w:rsidRPr="0096300F">
        <w:t>“</w:t>
      </w:r>
      <w:r w:rsidRPr="0096300F">
        <w:rPr>
          <w:shd w:val="clear" w:color="auto" w:fill="FFFFFF"/>
        </w:rPr>
        <w:t>[a]ny interested person may petition for the issuance, amendment or repeal of a rule or regulation,”</w:t>
      </w:r>
      <w:r w:rsidRPr="0096300F">
        <w:rPr>
          <w:rStyle w:val="FootnoteReference"/>
          <w:sz w:val="22"/>
          <w:szCs w:val="22"/>
          <w:shd w:val="clear" w:color="auto" w:fill="FFFFFF"/>
        </w:rPr>
        <w:footnoteReference w:id="16"/>
      </w:r>
      <w:r w:rsidRPr="0096300F">
        <w:rPr>
          <w:shd w:val="clear" w:color="auto" w:fill="FFFFFF"/>
        </w:rPr>
        <w:t xml:space="preserve"> and that such “petition shall set forth the text or substance of the proposed rule, amendment, or rule to be repealed, together with all facts, views, arguments and data deemed to support the action requested, and shall indicate how the interests of petitioner will be affected.”</w:t>
      </w:r>
      <w:r w:rsidRPr="0096300F">
        <w:rPr>
          <w:rStyle w:val="FootnoteReference"/>
          <w:sz w:val="22"/>
          <w:szCs w:val="22"/>
          <w:shd w:val="clear" w:color="auto" w:fill="FFFFFF"/>
        </w:rPr>
        <w:footnoteReference w:id="17"/>
      </w:r>
      <w:r w:rsidRPr="0096300F">
        <w:rPr>
          <w:shd w:val="clear" w:color="auto" w:fill="FFFFFF"/>
        </w:rPr>
        <w:t xml:space="preserve">  “Petitions which are moot, premature, repetitive, frivolous, or which plainly do not warrant consideration by the Commission may be denied or dismissed without prejudice to the petitioner.”</w:t>
      </w:r>
      <w:r w:rsidRPr="0096300F">
        <w:rPr>
          <w:rStyle w:val="FootnoteReference"/>
          <w:sz w:val="22"/>
          <w:szCs w:val="22"/>
          <w:shd w:val="clear" w:color="auto" w:fill="FFFFFF"/>
        </w:rPr>
        <w:footnoteReference w:id="18"/>
      </w:r>
    </w:p>
    <w:p w14:paraId="37058C80" w14:textId="6CA16F73" w:rsidR="00200A63" w:rsidRDefault="00200A63" w:rsidP="00200A63">
      <w:pPr>
        <w:pStyle w:val="ParaNum"/>
      </w:pPr>
      <w:r>
        <w:t xml:space="preserve">As described below, we dismiss the Petition without prejudice.  First, we find that the </w:t>
      </w:r>
      <w:r w:rsidRPr="001E2982">
        <w:t xml:space="preserve">Petition </w:t>
      </w:r>
      <w:r>
        <w:t xml:space="preserve">overlooks the interference potential that TIS stations on FM Channel 200 would have </w:t>
      </w:r>
      <w:r w:rsidRPr="001E2982">
        <w:t>on co-channel TV Channel 6</w:t>
      </w:r>
      <w:r>
        <w:t xml:space="preserve"> </w:t>
      </w:r>
      <w:r w:rsidRPr="001E2982">
        <w:t xml:space="preserve">and adjacent channel </w:t>
      </w:r>
      <w:r>
        <w:t xml:space="preserve">stations on </w:t>
      </w:r>
      <w:r w:rsidRPr="001E2982">
        <w:t>FM channels 201, 202, and 203.</w:t>
      </w:r>
      <w:r>
        <w:rPr>
          <w:rStyle w:val="FootnoteReference"/>
          <w:sz w:val="22"/>
          <w:szCs w:val="22"/>
        </w:rPr>
        <w:footnoteReference w:id="19"/>
      </w:r>
      <w:r w:rsidRPr="001E2982">
        <w:t xml:space="preserve">  FM Channel 200 (87.9 MHz) is within the passband of TV Channel 6 (82-88 MHz)</w:t>
      </w:r>
      <w:r>
        <w:t xml:space="preserve">, which has </w:t>
      </w:r>
      <w:r w:rsidR="00AC6E35">
        <w:t>103</w:t>
      </w:r>
      <w:r w:rsidRPr="001E2982">
        <w:t xml:space="preserve"> TV </w:t>
      </w:r>
      <w:r>
        <w:t xml:space="preserve">broadcast </w:t>
      </w:r>
      <w:r w:rsidRPr="001E2982">
        <w:lastRenderedPageBreak/>
        <w:t>stations</w:t>
      </w:r>
      <w:r>
        <w:t xml:space="preserve">.  In addition, there are </w:t>
      </w:r>
      <w:r w:rsidR="00AC6E35">
        <w:t>923</w:t>
      </w:r>
      <w:r w:rsidRPr="001E2982">
        <w:t xml:space="preserve"> FM </w:t>
      </w:r>
      <w:r>
        <w:t xml:space="preserve">broadcast </w:t>
      </w:r>
      <w:r w:rsidRPr="001E2982">
        <w:t xml:space="preserve">stations on </w:t>
      </w:r>
      <w:r>
        <w:t xml:space="preserve">frequencies </w:t>
      </w:r>
      <w:r w:rsidRPr="001E2982">
        <w:t>88.1, 88.3, and 88.5 MHz</w:t>
      </w:r>
      <w:r>
        <w:t>.</w:t>
      </w:r>
      <w:r>
        <w:rPr>
          <w:rStyle w:val="FootnoteReference"/>
          <w:sz w:val="22"/>
          <w:szCs w:val="22"/>
        </w:rPr>
        <w:footnoteReference w:id="20"/>
      </w:r>
      <w:r>
        <w:t xml:space="preserve">  </w:t>
      </w:r>
      <w:r w:rsidRPr="001E2982">
        <w:t>Petitioners do not address how TIS would be coordinated to minimize potential interference to these stations</w:t>
      </w:r>
      <w:r>
        <w:t xml:space="preserve"> or explain why TIS on FM Channel 200 should be primary with respect to these stations.  Moreover, the Petition does not consider that use of FM Channel 200 is restricted by international border area exclusion zones of 402 kilometers from the Canada border and 320 kilometers from the Mexico border.</w:t>
      </w:r>
      <w:r>
        <w:rPr>
          <w:rStyle w:val="FootnoteReference"/>
          <w:sz w:val="22"/>
          <w:szCs w:val="22"/>
        </w:rPr>
        <w:footnoteReference w:id="21"/>
      </w:r>
    </w:p>
    <w:p w14:paraId="6AEBEB61" w14:textId="77777777" w:rsidR="00200A63" w:rsidRDefault="00200A63" w:rsidP="00200A63">
      <w:pPr>
        <w:pStyle w:val="ParaNum"/>
      </w:pPr>
      <w:r>
        <w:t xml:space="preserve">Second, Petitioners have not demonstrated that the current AM band allocation for TIS is insufficient for meeting the needs of the travelers served by TIS.  Petitioners offer no evidence that TIS now lacks sufficient channels or capacity in the AM band to serve current and potential listeners adequately. </w:t>
      </w:r>
    </w:p>
    <w:p w14:paraId="77B1E31E" w14:textId="3DC89030" w:rsidR="00200A63" w:rsidRDefault="00200A63" w:rsidP="00200A63">
      <w:pPr>
        <w:pStyle w:val="ParaNum"/>
      </w:pPr>
      <w:r>
        <w:t>Third, even if Petitioners were able to address these issues, their proposal for r</w:t>
      </w:r>
      <w:r w:rsidRPr="00AD0339">
        <w:t xml:space="preserve">ulemaking action </w:t>
      </w:r>
      <w:r>
        <w:t xml:space="preserve">is </w:t>
      </w:r>
      <w:r w:rsidRPr="00AD0339">
        <w:t xml:space="preserve">premature </w:t>
      </w:r>
      <w:r>
        <w:t xml:space="preserve">until after completion of the </w:t>
      </w:r>
      <w:r w:rsidRPr="00AD0339">
        <w:t>Incentive Auction</w:t>
      </w:r>
      <w:r w:rsidR="00D84A4B">
        <w:t>, which includes the</w:t>
      </w:r>
      <w:r>
        <w:t xml:space="preserve"> </w:t>
      </w:r>
      <w:r w:rsidRPr="00AD0339">
        <w:t>repacking</w:t>
      </w:r>
      <w:r>
        <w:t xml:space="preserve"> of </w:t>
      </w:r>
      <w:r w:rsidR="00D84A4B">
        <w:t>television stations</w:t>
      </w:r>
      <w:r>
        <w:t>.</w:t>
      </w:r>
      <w:r w:rsidR="00D84A4B" w:rsidRPr="00D84A4B">
        <w:rPr>
          <w:vertAlign w:val="superscript"/>
        </w:rPr>
        <w:t xml:space="preserve"> </w:t>
      </w:r>
      <w:r w:rsidR="00D84A4B" w:rsidRPr="00307784">
        <w:rPr>
          <w:vertAlign w:val="superscript"/>
        </w:rPr>
        <w:footnoteReference w:id="22"/>
      </w:r>
      <w:r w:rsidRPr="00AD0339">
        <w:t xml:space="preserve"> </w:t>
      </w:r>
      <w:r>
        <w:t xml:space="preserve"> The Incentive Auction </w:t>
      </w:r>
      <w:r w:rsidR="00D84A4B">
        <w:t xml:space="preserve">will </w:t>
      </w:r>
      <w:r>
        <w:t xml:space="preserve">result in </w:t>
      </w:r>
      <w:r w:rsidRPr="00AD0339">
        <w:t>a</w:t>
      </w:r>
      <w:r w:rsidR="00D84A4B">
        <w:t>n 84 MHz</w:t>
      </w:r>
      <w:r w:rsidRPr="00AD0339">
        <w:t xml:space="preserve"> reduction </w:t>
      </w:r>
      <w:r>
        <w:t xml:space="preserve">of </w:t>
      </w:r>
      <w:r w:rsidR="00D84A4B">
        <w:t xml:space="preserve">spectrum available for </w:t>
      </w:r>
      <w:r w:rsidRPr="00AD0339">
        <w:t>TV broadcast</w:t>
      </w:r>
      <w:r>
        <w:t>,</w:t>
      </w:r>
      <w:r>
        <w:rPr>
          <w:rStyle w:val="FootnoteReference"/>
          <w:sz w:val="22"/>
          <w:szCs w:val="22"/>
        </w:rPr>
        <w:footnoteReference w:id="23"/>
      </w:r>
      <w:r>
        <w:t xml:space="preserve"> and the </w:t>
      </w:r>
      <w:r w:rsidR="00D84A4B">
        <w:t xml:space="preserve">subsequent </w:t>
      </w:r>
      <w:r>
        <w:t>repacking process</w:t>
      </w:r>
      <w:r w:rsidR="007E784B">
        <w:t xml:space="preserve"> </w:t>
      </w:r>
      <w:r w:rsidR="007E784B">
        <w:rPr>
          <w:szCs w:val="22"/>
        </w:rPr>
        <w:t>(including the filing windows in which stations can request alternative channels)</w:t>
      </w:r>
      <w:r w:rsidR="007E784B">
        <w:rPr>
          <w:rStyle w:val="FootnoteReference"/>
          <w:szCs w:val="22"/>
        </w:rPr>
        <w:footnoteReference w:id="24"/>
      </w:r>
      <w:r>
        <w:t xml:space="preserve"> </w:t>
      </w:r>
      <w:r w:rsidR="007E784B">
        <w:t xml:space="preserve">will </w:t>
      </w:r>
      <w:r w:rsidRPr="00AD0339">
        <w:t xml:space="preserve">put more stations on </w:t>
      </w:r>
      <w:r w:rsidR="007E784B">
        <w:rPr>
          <w:szCs w:val="22"/>
        </w:rPr>
        <w:t xml:space="preserve">the remaining TV channels – including </w:t>
      </w:r>
      <w:r w:rsidRPr="00AD0339">
        <w:t>TV Channel</w:t>
      </w:r>
      <w:r>
        <w:t xml:space="preserve"> 6 </w:t>
      </w:r>
      <w:r w:rsidR="007E784B">
        <w:rPr>
          <w:szCs w:val="22"/>
        </w:rPr>
        <w:t xml:space="preserve">– </w:t>
      </w:r>
      <w:r>
        <w:t xml:space="preserve">as the Commission clears higher TV broadcast bands </w:t>
      </w:r>
      <w:r w:rsidR="007E784B">
        <w:rPr>
          <w:szCs w:val="22"/>
        </w:rPr>
        <w:t xml:space="preserve">within the UHF band </w:t>
      </w:r>
      <w:r>
        <w:t>for commercial wireless services.</w:t>
      </w:r>
      <w:r>
        <w:rPr>
          <w:rStyle w:val="FootnoteReference"/>
          <w:sz w:val="22"/>
          <w:szCs w:val="22"/>
        </w:rPr>
        <w:footnoteReference w:id="25"/>
      </w:r>
      <w:r>
        <w:t xml:space="preserve">  Moreover, because FM Channel 200 is in the TV Channel 6 passband, adding TIS stations on Channel 200 would limit the Commission’s flexibility to repack TV stations on TV Channel 6.</w:t>
      </w:r>
    </w:p>
    <w:p w14:paraId="7E62F1E7" w14:textId="4C41235E" w:rsidR="00200A63" w:rsidRDefault="00200A63" w:rsidP="00BB29B3">
      <w:pPr>
        <w:pStyle w:val="ParaNum"/>
        <w:widowControl/>
      </w:pPr>
      <w:r>
        <w:t xml:space="preserve">Finally, we anticipate that the rule changes adopted in the recent </w:t>
      </w:r>
      <w:r w:rsidRPr="00DE25C2">
        <w:rPr>
          <w:i/>
        </w:rPr>
        <w:t>TIS Second Report and Order</w:t>
      </w:r>
      <w:r>
        <w:t xml:space="preserve"> will yield improvements in TIS audio quality.  To date, the Commission has granted at least one manufacturer’s permissive change request for new audio filters to be installed in a certain model of TIS equipment,</w:t>
      </w:r>
      <w:r>
        <w:rPr>
          <w:rStyle w:val="FootnoteReference"/>
          <w:sz w:val="22"/>
          <w:szCs w:val="22"/>
        </w:rPr>
        <w:footnoteReference w:id="26"/>
      </w:r>
      <w:r>
        <w:t xml:space="preserve"> and licensees now have the opportunity to install the new audio filters.  Therefore, we regard the Petition as premature until there has been more time to evaluate the effect of the new </w:t>
      </w:r>
      <w:r w:rsidR="00A54169">
        <w:t xml:space="preserve">audio filter </w:t>
      </w:r>
      <w:r>
        <w:t xml:space="preserve">rules, which could render the changes proposed by the Petition unnecessary.   </w:t>
      </w:r>
      <w:r w:rsidDel="00DE25C2">
        <w:t xml:space="preserve"> </w:t>
      </w:r>
    </w:p>
    <w:p w14:paraId="34E71C6F" w14:textId="77777777" w:rsidR="00200A63" w:rsidRDefault="00200A63" w:rsidP="00200A63">
      <w:pPr>
        <w:pStyle w:val="Heading1"/>
      </w:pPr>
      <w:r>
        <w:t>Ordering clauses</w:t>
      </w:r>
    </w:p>
    <w:p w14:paraId="213AAF5C" w14:textId="765B714B" w:rsidR="00200A63" w:rsidRDefault="00200A63" w:rsidP="00200A63">
      <w:pPr>
        <w:pStyle w:val="ParaNum"/>
        <w:widowControl/>
      </w:pPr>
      <w:r>
        <w:t xml:space="preserve">Accordingly, </w:t>
      </w:r>
      <w:r w:rsidRPr="008F5494">
        <w:t>IT IS ORDERED, pursuant to Sections 4(i)</w:t>
      </w:r>
      <w:r>
        <w:t xml:space="preserve">, </w:t>
      </w:r>
      <w:r w:rsidRPr="008F5494">
        <w:t>5(c)(i)</w:t>
      </w:r>
      <w:r>
        <w:t>, 303(c), 303(e), and 303(f)</w:t>
      </w:r>
      <w:r w:rsidRPr="008F5494">
        <w:t xml:space="preserve"> of the Communications Act</w:t>
      </w:r>
      <w:r>
        <w:t xml:space="preserve"> of 1934</w:t>
      </w:r>
      <w:r w:rsidRPr="008F5494">
        <w:t>, as amended, 47 USC §§ 154(i)</w:t>
      </w:r>
      <w:r>
        <w:t>,</w:t>
      </w:r>
      <w:r w:rsidRPr="008F5494">
        <w:t>155(c)(i),</w:t>
      </w:r>
      <w:r>
        <w:t xml:space="preserve"> 303(c), 303(e), and 303(f),</w:t>
      </w:r>
      <w:r w:rsidRPr="008F5494">
        <w:t xml:space="preserve"> and </w:t>
      </w:r>
      <w:r>
        <w:t>S</w:t>
      </w:r>
      <w:r w:rsidRPr="008F5494">
        <w:t>ections 0.1</w:t>
      </w:r>
      <w:r>
        <w:t>9</w:t>
      </w:r>
      <w:r w:rsidRPr="008F5494">
        <w:t>1, 0.204(b),</w:t>
      </w:r>
      <w:r>
        <w:t xml:space="preserve"> </w:t>
      </w:r>
      <w:r w:rsidRPr="008F5494">
        <w:t>0.</w:t>
      </w:r>
      <w:r>
        <w:t>392</w:t>
      </w:r>
      <w:r w:rsidRPr="008F5494">
        <w:t xml:space="preserve">, </w:t>
      </w:r>
      <w:r>
        <w:t xml:space="preserve">and </w:t>
      </w:r>
      <w:r w:rsidRPr="008F5494">
        <w:t>1.401 of the Commission’s rules, 47 CF</w:t>
      </w:r>
      <w:r>
        <w:t>R</w:t>
      </w:r>
      <w:r w:rsidRPr="008F5494">
        <w:t xml:space="preserve"> §§ 0.1</w:t>
      </w:r>
      <w:r>
        <w:t>9</w:t>
      </w:r>
      <w:r w:rsidRPr="008F5494">
        <w:t>1, 0.204(b), 0.3</w:t>
      </w:r>
      <w:r>
        <w:t>92</w:t>
      </w:r>
      <w:r w:rsidRPr="008F5494">
        <w:t xml:space="preserve">, </w:t>
      </w:r>
      <w:r>
        <w:t xml:space="preserve">and </w:t>
      </w:r>
      <w:r w:rsidRPr="008F5494">
        <w:t>1.401, that the</w:t>
      </w:r>
      <w:r>
        <w:t xml:space="preserve"> </w:t>
      </w:r>
      <w:r w:rsidRPr="008F5494">
        <w:t xml:space="preserve">Petition for Rule Making filed by </w:t>
      </w:r>
      <w:r>
        <w:t>Robert L. Coyle, Jr. and Claude B. Parker</w:t>
      </w:r>
      <w:r w:rsidRPr="008F5494">
        <w:t xml:space="preserve">, on </w:t>
      </w:r>
      <w:r>
        <w:t>December 1</w:t>
      </w:r>
      <w:r w:rsidRPr="008F5494">
        <w:t>, 20</w:t>
      </w:r>
      <w:r>
        <w:t>15</w:t>
      </w:r>
      <w:r w:rsidRPr="008F5494">
        <w:t>, IS D</w:t>
      </w:r>
      <w:r>
        <w:t>ISMISSED</w:t>
      </w:r>
      <w:r w:rsidR="00A54169">
        <w:t xml:space="preserve"> without prejudice</w:t>
      </w:r>
      <w:r>
        <w:t>.</w:t>
      </w:r>
    </w:p>
    <w:p w14:paraId="63661883" w14:textId="3981287F" w:rsidR="005F38B9" w:rsidRDefault="00200A63" w:rsidP="00200A63">
      <w:pPr>
        <w:pStyle w:val="ParaNum"/>
        <w:widowControl/>
        <w:rPr>
          <w:szCs w:val="22"/>
        </w:rPr>
      </w:pPr>
      <w:r>
        <w:t xml:space="preserve">IS FURTHER ORDERED that this Order SHALL BE SENT by certified mail, return receipt requested, to </w:t>
      </w:r>
      <w:r w:rsidR="00423263">
        <w:t xml:space="preserve">Mr. </w:t>
      </w:r>
      <w:r w:rsidRPr="000F3A67">
        <w:rPr>
          <w:szCs w:val="22"/>
        </w:rPr>
        <w:t>Robert L. Coyle, Jr. and Mr. Claude B. Parker, 5929 Queensloch Drive, Apt. 109, Houston, TX 77096.</w:t>
      </w:r>
    </w:p>
    <w:p w14:paraId="5EC74D5A" w14:textId="77777777" w:rsidR="00200A63" w:rsidRDefault="00200A63" w:rsidP="00200A63">
      <w:pPr>
        <w:pStyle w:val="ParaNum"/>
      </w:pPr>
      <w:r>
        <w:t>This action is taken under delegated authority pursuant to Sections 0.191 and 0.392 of the Commission’s rules, 47 CFR §§ 0.191, 0.392.</w:t>
      </w:r>
    </w:p>
    <w:p w14:paraId="1EEF67E3" w14:textId="77777777" w:rsidR="00200A63" w:rsidRDefault="00200A63" w:rsidP="00200A63">
      <w:pPr>
        <w:ind w:left="4320"/>
      </w:pPr>
    </w:p>
    <w:p w14:paraId="61714269" w14:textId="77777777" w:rsidR="00200A63" w:rsidRDefault="00200A63" w:rsidP="00200A63">
      <w:pPr>
        <w:ind w:left="4320"/>
      </w:pPr>
      <w:r>
        <w:t>FEDERAL COMMUNICATIONS COMMISSION</w:t>
      </w:r>
    </w:p>
    <w:p w14:paraId="510D92E8" w14:textId="77777777" w:rsidR="00200A63" w:rsidRDefault="00200A63" w:rsidP="00200A63">
      <w:pPr>
        <w:ind w:left="4320"/>
      </w:pPr>
    </w:p>
    <w:p w14:paraId="10C9A32E" w14:textId="77777777" w:rsidR="00200A63" w:rsidRDefault="00200A63" w:rsidP="00200A63">
      <w:pPr>
        <w:ind w:left="4320"/>
      </w:pPr>
    </w:p>
    <w:p w14:paraId="2285C779" w14:textId="77777777" w:rsidR="00200A63" w:rsidRDefault="00200A63" w:rsidP="00200A63">
      <w:pPr>
        <w:ind w:left="4320"/>
      </w:pPr>
    </w:p>
    <w:p w14:paraId="0142236F" w14:textId="77777777" w:rsidR="00200A63" w:rsidRDefault="00200A63" w:rsidP="00200A63">
      <w:pPr>
        <w:ind w:left="4320"/>
      </w:pPr>
    </w:p>
    <w:p w14:paraId="61560ED2" w14:textId="77777777" w:rsidR="00200A63" w:rsidRDefault="0064307B" w:rsidP="00200A63">
      <w:pPr>
        <w:ind w:left="4320"/>
      </w:pPr>
      <w:r>
        <w:t>Michael J. Wilhelm</w:t>
      </w:r>
    </w:p>
    <w:p w14:paraId="3D8382A8" w14:textId="77777777" w:rsidR="00200A63" w:rsidRDefault="0064307B" w:rsidP="00200A63">
      <w:pPr>
        <w:ind w:left="4320"/>
      </w:pPr>
      <w:r>
        <w:t xml:space="preserve">Acting </w:t>
      </w:r>
      <w:r w:rsidR="00200A63">
        <w:t>Chief, Policy and Licensing Division</w:t>
      </w:r>
    </w:p>
    <w:p w14:paraId="79382957" w14:textId="77777777" w:rsidR="00200A63" w:rsidRPr="0001491B" w:rsidRDefault="00200A63" w:rsidP="00200A63">
      <w:pPr>
        <w:ind w:left="4320"/>
      </w:pPr>
      <w:r>
        <w:t>Public Safety and Homeland Security Bureau</w:t>
      </w:r>
    </w:p>
    <w:p w14:paraId="7A96E54A" w14:textId="77777777" w:rsidR="00200A63" w:rsidRPr="00E4392E" w:rsidRDefault="00200A63" w:rsidP="00200A63">
      <w:pPr>
        <w:pStyle w:val="ParaNum"/>
        <w:numPr>
          <w:ilvl w:val="0"/>
          <w:numId w:val="0"/>
        </w:numPr>
      </w:pPr>
    </w:p>
    <w:p w14:paraId="09E73D4D" w14:textId="77777777" w:rsidR="002C00E8" w:rsidRPr="00200A63" w:rsidRDefault="002C00E8" w:rsidP="00200A63"/>
    <w:sectPr w:rsidR="002C00E8" w:rsidRPr="00200A63"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1D46F" w14:textId="77777777" w:rsidR="00F75C33" w:rsidRDefault="00F75C33">
      <w:pPr>
        <w:spacing w:line="20" w:lineRule="exact"/>
      </w:pPr>
    </w:p>
  </w:endnote>
  <w:endnote w:type="continuationSeparator" w:id="0">
    <w:p w14:paraId="49CA882E" w14:textId="77777777" w:rsidR="00F75C33" w:rsidRDefault="00F75C33">
      <w:r>
        <w:t xml:space="preserve"> </w:t>
      </w:r>
    </w:p>
  </w:endnote>
  <w:endnote w:type="continuationNotice" w:id="1">
    <w:p w14:paraId="4FDA4AC7" w14:textId="77777777" w:rsidR="00F75C33" w:rsidRDefault="00F75C3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51107"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0E1B0021"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3D0EC"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FA0911">
      <w:rPr>
        <w:noProof/>
      </w:rPr>
      <w:t>2</w:t>
    </w:r>
    <w:r>
      <w:fldChar w:fldCharType="end"/>
    </w:r>
  </w:p>
  <w:p w14:paraId="0602A868"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76935"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DCF4E" w14:textId="77777777" w:rsidR="00F75C33" w:rsidRDefault="00F75C33">
      <w:r>
        <w:separator/>
      </w:r>
    </w:p>
  </w:footnote>
  <w:footnote w:type="continuationSeparator" w:id="0">
    <w:p w14:paraId="458CB786" w14:textId="77777777" w:rsidR="00F75C33" w:rsidRDefault="00F75C33" w:rsidP="00C721AC">
      <w:pPr>
        <w:spacing w:before="120"/>
        <w:rPr>
          <w:sz w:val="20"/>
        </w:rPr>
      </w:pPr>
      <w:r>
        <w:rPr>
          <w:sz w:val="20"/>
        </w:rPr>
        <w:t xml:space="preserve">(Continued from previous page)  </w:t>
      </w:r>
      <w:r>
        <w:rPr>
          <w:sz w:val="20"/>
        </w:rPr>
        <w:separator/>
      </w:r>
    </w:p>
  </w:footnote>
  <w:footnote w:type="continuationNotice" w:id="1">
    <w:p w14:paraId="61F639FE" w14:textId="77777777" w:rsidR="00F75C33" w:rsidRDefault="00F75C33" w:rsidP="00C721AC">
      <w:pPr>
        <w:jc w:val="right"/>
        <w:rPr>
          <w:sz w:val="20"/>
        </w:rPr>
      </w:pPr>
      <w:r>
        <w:rPr>
          <w:sz w:val="20"/>
        </w:rPr>
        <w:t>(continued….)</w:t>
      </w:r>
    </w:p>
  </w:footnote>
  <w:footnote w:id="2">
    <w:p w14:paraId="0727585E" w14:textId="77777777" w:rsidR="00200A63" w:rsidRDefault="00200A63" w:rsidP="00200A63">
      <w:pPr>
        <w:pStyle w:val="FootnoteText"/>
      </w:pPr>
      <w:r>
        <w:rPr>
          <w:rStyle w:val="FootnoteReference"/>
        </w:rPr>
        <w:footnoteRef/>
      </w:r>
      <w:r>
        <w:t xml:space="preserve"> </w:t>
      </w:r>
      <w:r w:rsidRPr="00590885">
        <w:t>Robert L. Coyle, Jr. and Claude B. Parker</w:t>
      </w:r>
      <w:r>
        <w:t>,</w:t>
      </w:r>
      <w:r w:rsidRPr="00590885">
        <w:t xml:space="preserve"> </w:t>
      </w:r>
      <w:r>
        <w:t xml:space="preserve">Petition for Rule Making, </w:t>
      </w:r>
      <w:r w:rsidRPr="00E17EC5">
        <w:t>Amendment of 47 CFR Part 90 of the Commission’s Rules to Allow an Addition</w:t>
      </w:r>
      <w:r>
        <w:t xml:space="preserve"> [sic]</w:t>
      </w:r>
      <w:r w:rsidRPr="00E17EC5">
        <w:t xml:space="preserve"> Frequency and Emission to be Designated for the Travelers Information Service</w:t>
      </w:r>
      <w:r>
        <w:t xml:space="preserve"> [sic] (filed December 1, 2015).</w:t>
      </w:r>
    </w:p>
  </w:footnote>
  <w:footnote w:id="3">
    <w:p w14:paraId="0B75B3C4" w14:textId="77777777" w:rsidR="00200A63" w:rsidRDefault="00200A63" w:rsidP="00200A63">
      <w:pPr>
        <w:pStyle w:val="FootnoteText"/>
      </w:pPr>
      <w:r>
        <w:rPr>
          <w:rStyle w:val="FootnoteReference"/>
        </w:rPr>
        <w:footnoteRef/>
      </w:r>
      <w:r>
        <w:t xml:space="preserve"> </w:t>
      </w:r>
      <w:r w:rsidRPr="005A3D42">
        <w:rPr>
          <w:i/>
        </w:rPr>
        <w:t>See</w:t>
      </w:r>
      <w:r>
        <w:t xml:space="preserve"> 47 CFR </w:t>
      </w:r>
      <w:r w:rsidRPr="005A3D42">
        <w:t>§</w:t>
      </w:r>
      <w:r>
        <w:t xml:space="preserve"> 90.242.</w:t>
      </w:r>
    </w:p>
  </w:footnote>
  <w:footnote w:id="4">
    <w:p w14:paraId="3D7E20B9" w14:textId="77777777" w:rsidR="00200A63" w:rsidRDefault="00200A63" w:rsidP="00200A63">
      <w:pPr>
        <w:pStyle w:val="FootnoteText"/>
      </w:pPr>
      <w:r>
        <w:rPr>
          <w:rStyle w:val="FootnoteReference"/>
        </w:rPr>
        <w:footnoteRef/>
      </w:r>
      <w:r>
        <w:t xml:space="preserve"> Petition at 1.</w:t>
      </w:r>
    </w:p>
  </w:footnote>
  <w:footnote w:id="5">
    <w:p w14:paraId="2ABA2DBA" w14:textId="06DB64CD" w:rsidR="00200A63" w:rsidRPr="009F19B3" w:rsidRDefault="00200A63" w:rsidP="00200A63">
      <w:pPr>
        <w:pStyle w:val="FootnoteText"/>
      </w:pPr>
      <w:r w:rsidRPr="009F19B3">
        <w:rPr>
          <w:rStyle w:val="FootnoteReference"/>
        </w:rPr>
        <w:footnoteRef/>
      </w:r>
      <w:r w:rsidRPr="009F19B3">
        <w:t xml:space="preserve"> 47 CFR § 90.242.</w:t>
      </w:r>
    </w:p>
  </w:footnote>
  <w:footnote w:id="6">
    <w:p w14:paraId="43790E37" w14:textId="77777777" w:rsidR="00200A63" w:rsidRDefault="00200A63" w:rsidP="00200A63">
      <w:pPr>
        <w:pStyle w:val="FootnoteText"/>
      </w:pPr>
      <w:r>
        <w:rPr>
          <w:rStyle w:val="FootnoteReference"/>
        </w:rPr>
        <w:footnoteRef/>
      </w:r>
      <w:r>
        <w:t xml:space="preserve"> </w:t>
      </w:r>
      <w:r w:rsidRPr="009F19B3">
        <w:t>47 CFR § 90.242</w:t>
      </w:r>
      <w:r>
        <w:t>(a)(3).</w:t>
      </w:r>
    </w:p>
  </w:footnote>
  <w:footnote w:id="7">
    <w:p w14:paraId="16231F10" w14:textId="77777777" w:rsidR="00200A63" w:rsidRDefault="00200A63" w:rsidP="00200A63">
      <w:pPr>
        <w:pStyle w:val="FootnoteText"/>
      </w:pPr>
      <w:r>
        <w:rPr>
          <w:rStyle w:val="FootnoteReference"/>
        </w:rPr>
        <w:footnoteRef/>
      </w:r>
      <w:r>
        <w:t xml:space="preserve"> Petition at 2.</w:t>
      </w:r>
    </w:p>
  </w:footnote>
  <w:footnote w:id="8">
    <w:p w14:paraId="5C6B5C70" w14:textId="77777777" w:rsidR="00200A63" w:rsidRDefault="00200A63" w:rsidP="00200A63">
      <w:pPr>
        <w:pStyle w:val="FootnoteText"/>
      </w:pPr>
      <w:r>
        <w:rPr>
          <w:rStyle w:val="FootnoteReference"/>
        </w:rPr>
        <w:footnoteRef/>
      </w:r>
      <w:r>
        <w:t xml:space="preserve"> </w:t>
      </w:r>
      <w:r>
        <w:rPr>
          <w:i/>
        </w:rPr>
        <w:t>Id</w:t>
      </w:r>
      <w:r>
        <w:t>.at 6.</w:t>
      </w:r>
    </w:p>
  </w:footnote>
  <w:footnote w:id="9">
    <w:p w14:paraId="1DC6144C" w14:textId="63059DEA" w:rsidR="00200A63" w:rsidRPr="00783726" w:rsidRDefault="00200A63" w:rsidP="00200A63">
      <w:pPr>
        <w:pStyle w:val="FootnoteText"/>
      </w:pPr>
      <w:r>
        <w:rPr>
          <w:rStyle w:val="FootnoteReference"/>
        </w:rPr>
        <w:footnoteRef/>
      </w:r>
      <w:r>
        <w:t xml:space="preserve"> </w:t>
      </w:r>
      <w:r>
        <w:rPr>
          <w:i/>
        </w:rPr>
        <w:t>Id</w:t>
      </w:r>
      <w:r>
        <w:t xml:space="preserve">.at 4-5 </w:t>
      </w:r>
      <w:r w:rsidRPr="00A54169">
        <w:rPr>
          <w:i/>
        </w:rPr>
        <w:t>citing</w:t>
      </w:r>
      <w:r>
        <w:t xml:space="preserve"> </w:t>
      </w:r>
      <w:r>
        <w:rPr>
          <w:i/>
        </w:rPr>
        <w:t>Travelers’ Information Stations</w:t>
      </w:r>
      <w:r>
        <w:t>, PS Docket No. 09-19, Order on Reconsideration and Second Report and Order, 30 FCC Rcd 3179 (2015) (</w:t>
      </w:r>
      <w:r w:rsidRPr="0001491B">
        <w:rPr>
          <w:i/>
        </w:rPr>
        <w:t>TIS Second Report and Order</w:t>
      </w:r>
      <w:r>
        <w:t>).  The Commission modified 47 CFR § 90.242(b)(8) to give TIS licensees the option to replace 3 kHz low pass audio filters with 5 kHz filters, which allow higher audio frequency content to be transmitted over TIS for greater clarity and intelligibility</w:t>
      </w:r>
      <w:r w:rsidR="00A54169">
        <w:t>.</w:t>
      </w:r>
      <w:r>
        <w:t xml:space="preserve"> </w:t>
      </w:r>
    </w:p>
  </w:footnote>
  <w:footnote w:id="10">
    <w:p w14:paraId="530578C2" w14:textId="77777777" w:rsidR="00200A63" w:rsidRDefault="00200A63" w:rsidP="00200A63">
      <w:pPr>
        <w:pStyle w:val="FootnoteText"/>
      </w:pPr>
      <w:r>
        <w:rPr>
          <w:rStyle w:val="FootnoteReference"/>
        </w:rPr>
        <w:footnoteRef/>
      </w:r>
      <w:r>
        <w:t xml:space="preserve"> Petition at 5.</w:t>
      </w:r>
    </w:p>
  </w:footnote>
  <w:footnote w:id="11">
    <w:p w14:paraId="13F67974" w14:textId="77777777" w:rsidR="00200A63" w:rsidRDefault="00200A63" w:rsidP="00200A63">
      <w:pPr>
        <w:pStyle w:val="FootnoteText"/>
      </w:pPr>
      <w:r>
        <w:rPr>
          <w:rStyle w:val="FootnoteReference"/>
        </w:rPr>
        <w:footnoteRef/>
      </w:r>
      <w:r>
        <w:t xml:space="preserve"> </w:t>
      </w:r>
      <w:r w:rsidRPr="009D7DD4">
        <w:rPr>
          <w:i/>
        </w:rPr>
        <w:t>Id</w:t>
      </w:r>
      <w:r>
        <w:t>. at 2.</w:t>
      </w:r>
    </w:p>
  </w:footnote>
  <w:footnote w:id="12">
    <w:p w14:paraId="719E1BD9" w14:textId="77777777" w:rsidR="00200A63" w:rsidRDefault="00200A63" w:rsidP="00200A63">
      <w:pPr>
        <w:pStyle w:val="FootnoteText"/>
      </w:pPr>
      <w:r>
        <w:rPr>
          <w:rStyle w:val="FootnoteReference"/>
        </w:rPr>
        <w:footnoteRef/>
      </w:r>
      <w:r>
        <w:t xml:space="preserve"> 47 CFR § 73.501(a) note 1.</w:t>
      </w:r>
    </w:p>
  </w:footnote>
  <w:footnote w:id="13">
    <w:p w14:paraId="599F4353" w14:textId="77777777" w:rsidR="00200A63" w:rsidRDefault="00200A63" w:rsidP="00200A63">
      <w:pPr>
        <w:pStyle w:val="FootnoteText"/>
      </w:pPr>
      <w:r>
        <w:rPr>
          <w:rStyle w:val="FootnoteReference"/>
        </w:rPr>
        <w:footnoteRef/>
      </w:r>
      <w:r>
        <w:t xml:space="preserve"> Petition at 2-3.</w:t>
      </w:r>
    </w:p>
  </w:footnote>
  <w:footnote w:id="14">
    <w:p w14:paraId="4DE6ABC8" w14:textId="77777777" w:rsidR="00200A63" w:rsidRPr="00783726" w:rsidRDefault="00200A63" w:rsidP="00200A63">
      <w:pPr>
        <w:pStyle w:val="FootnoteText"/>
      </w:pPr>
      <w:r>
        <w:rPr>
          <w:rStyle w:val="FootnoteReference"/>
        </w:rPr>
        <w:footnoteRef/>
      </w:r>
      <w:r>
        <w:t xml:space="preserve"> </w:t>
      </w:r>
      <w:r>
        <w:rPr>
          <w:i/>
        </w:rPr>
        <w:t>Id</w:t>
      </w:r>
      <w:r>
        <w:t>.</w:t>
      </w:r>
    </w:p>
  </w:footnote>
  <w:footnote w:id="15">
    <w:p w14:paraId="2558EF53" w14:textId="77777777" w:rsidR="00200A63" w:rsidRDefault="00200A63" w:rsidP="00200A63">
      <w:pPr>
        <w:pStyle w:val="FootnoteText"/>
      </w:pPr>
      <w:r>
        <w:rPr>
          <w:rStyle w:val="FootnoteReference"/>
        </w:rPr>
        <w:footnoteRef/>
      </w:r>
      <w:r>
        <w:t xml:space="preserve"> </w:t>
      </w:r>
      <w:r w:rsidRPr="009D7DD4">
        <w:rPr>
          <w:i/>
        </w:rPr>
        <w:t>Id</w:t>
      </w:r>
      <w:r>
        <w:t>. at 4.</w:t>
      </w:r>
    </w:p>
  </w:footnote>
  <w:footnote w:id="16">
    <w:p w14:paraId="5FE20A8F" w14:textId="77777777" w:rsidR="00200A63" w:rsidRDefault="00200A63" w:rsidP="00200A63">
      <w:pPr>
        <w:pStyle w:val="FootnoteText"/>
      </w:pPr>
      <w:r>
        <w:rPr>
          <w:rStyle w:val="FootnoteReference"/>
        </w:rPr>
        <w:footnoteRef/>
      </w:r>
      <w:r>
        <w:t xml:space="preserve"> 47 CFR § 1.401(a).</w:t>
      </w:r>
    </w:p>
  </w:footnote>
  <w:footnote w:id="17">
    <w:p w14:paraId="7DBBEDC2" w14:textId="77777777" w:rsidR="00200A63" w:rsidRDefault="00200A63" w:rsidP="00200A63">
      <w:pPr>
        <w:pStyle w:val="FootnoteText"/>
      </w:pPr>
      <w:r>
        <w:rPr>
          <w:rStyle w:val="FootnoteReference"/>
        </w:rPr>
        <w:footnoteRef/>
      </w:r>
      <w:r>
        <w:t xml:space="preserve"> </w:t>
      </w:r>
      <w:r w:rsidRPr="006443FB">
        <w:rPr>
          <w:i/>
        </w:rPr>
        <w:t>Id.</w:t>
      </w:r>
      <w:r>
        <w:t xml:space="preserve"> § 1.401(c).</w:t>
      </w:r>
    </w:p>
  </w:footnote>
  <w:footnote w:id="18">
    <w:p w14:paraId="2D9D1534" w14:textId="77777777" w:rsidR="00200A63" w:rsidRDefault="00200A63" w:rsidP="00200A63">
      <w:pPr>
        <w:pStyle w:val="FootnoteText"/>
      </w:pPr>
      <w:r>
        <w:rPr>
          <w:rStyle w:val="FootnoteReference"/>
        </w:rPr>
        <w:footnoteRef/>
      </w:r>
      <w:r>
        <w:t xml:space="preserve"> </w:t>
      </w:r>
      <w:r w:rsidRPr="006443FB">
        <w:rPr>
          <w:i/>
        </w:rPr>
        <w:t>Id.</w:t>
      </w:r>
      <w:r>
        <w:t xml:space="preserve"> § 1.401(e).</w:t>
      </w:r>
    </w:p>
  </w:footnote>
  <w:footnote w:id="19">
    <w:p w14:paraId="7E432AC1" w14:textId="140A9EB0" w:rsidR="00200A63" w:rsidRDefault="00200A63" w:rsidP="00200A63">
      <w:pPr>
        <w:pStyle w:val="FootnoteText"/>
      </w:pPr>
      <w:r>
        <w:rPr>
          <w:rStyle w:val="FootnoteReference"/>
        </w:rPr>
        <w:footnoteRef/>
      </w:r>
      <w:r>
        <w:t xml:space="preserve"> 47 CFR § 73.501(a) note</w:t>
      </w:r>
      <w:r w:rsidR="00B12BA0">
        <w:t xml:space="preserve"> 1.</w:t>
      </w:r>
      <w:r>
        <w:t xml:space="preserve">  47 CFR § 73.509 </w:t>
      </w:r>
      <w:r w:rsidR="00B12BA0">
        <w:t>states</w:t>
      </w:r>
      <w:r>
        <w:t xml:space="preserve"> that the Commission will not accept</w:t>
      </w:r>
      <w:r w:rsidR="00A54169">
        <w:t xml:space="preserve"> applications for</w:t>
      </w:r>
      <w:r>
        <w:t xml:space="preserve"> new </w:t>
      </w:r>
      <w:r w:rsidR="00A54169">
        <w:t>or modified stations on</w:t>
      </w:r>
      <w:r>
        <w:t xml:space="preserve"> FM Channels 200-220 if the proposed operation would involve overlap of certain signal strength contours with any other licensed stations up to 600 kHz frequency separation, or three FM channels of separation.</w:t>
      </w:r>
    </w:p>
  </w:footnote>
  <w:footnote w:id="20">
    <w:p w14:paraId="71CC1729" w14:textId="0AACB6AF" w:rsidR="00200A63" w:rsidRDefault="00200A63" w:rsidP="00200A63">
      <w:pPr>
        <w:pStyle w:val="FootnoteText"/>
      </w:pPr>
      <w:r>
        <w:rPr>
          <w:rStyle w:val="FootnoteReference"/>
        </w:rPr>
        <w:footnoteRef/>
      </w:r>
      <w:r>
        <w:t xml:space="preserve"> </w:t>
      </w:r>
      <w:r w:rsidRPr="00CD74F7">
        <w:rPr>
          <w:i/>
        </w:rPr>
        <w:t>See</w:t>
      </w:r>
      <w:r>
        <w:t xml:space="preserve"> </w:t>
      </w:r>
      <w:hyperlink r:id="rId1" w:history="1">
        <w:r w:rsidRPr="00137880">
          <w:rPr>
            <w:rStyle w:val="Hyperlink"/>
          </w:rPr>
          <w:t>https://www.fcc.gov/media/television/tv-query</w:t>
        </w:r>
      </w:hyperlink>
      <w:r>
        <w:t xml:space="preserve">.  Search of TV Channel 6 </w:t>
      </w:r>
      <w:r w:rsidR="00AC6E35">
        <w:t xml:space="preserve">licensed stations </w:t>
      </w:r>
      <w:r>
        <w:t xml:space="preserve">performed </w:t>
      </w:r>
      <w:r w:rsidR="00AC6E35">
        <w:t>March 7, 2017</w:t>
      </w:r>
      <w:r>
        <w:t xml:space="preserve">.  </w:t>
      </w:r>
      <w:r w:rsidRPr="00CD74F7">
        <w:rPr>
          <w:i/>
        </w:rPr>
        <w:t>See also</w:t>
      </w:r>
      <w:r>
        <w:t xml:space="preserve"> </w:t>
      </w:r>
      <w:hyperlink r:id="rId2" w:history="1">
        <w:r w:rsidRPr="00CD74F7">
          <w:rPr>
            <w:rStyle w:val="Hyperlink"/>
          </w:rPr>
          <w:t>https://www.fcc.gov/media/radio/fm-query</w:t>
        </w:r>
      </w:hyperlink>
      <w:r>
        <w:t xml:space="preserve">. </w:t>
      </w:r>
      <w:r w:rsidRPr="00CD74F7">
        <w:t xml:space="preserve"> </w:t>
      </w:r>
      <w:r>
        <w:t>S</w:t>
      </w:r>
      <w:r w:rsidRPr="00CD74F7">
        <w:t xml:space="preserve">earch of </w:t>
      </w:r>
      <w:r>
        <w:t xml:space="preserve">FM </w:t>
      </w:r>
      <w:r w:rsidRPr="00CD74F7">
        <w:t>Channel 201-203</w:t>
      </w:r>
      <w:r>
        <w:t xml:space="preserve"> </w:t>
      </w:r>
      <w:r w:rsidR="00AC6E35">
        <w:t xml:space="preserve">licensed stations </w:t>
      </w:r>
      <w:r>
        <w:t xml:space="preserve">performed </w:t>
      </w:r>
      <w:r w:rsidR="00AC6E35">
        <w:t>March 7, 2017</w:t>
      </w:r>
      <w:r>
        <w:t>.</w:t>
      </w:r>
    </w:p>
  </w:footnote>
  <w:footnote w:id="21">
    <w:p w14:paraId="3DA17336" w14:textId="77777777" w:rsidR="00200A63" w:rsidRDefault="00200A63" w:rsidP="00200A63">
      <w:pPr>
        <w:pStyle w:val="FootnoteText"/>
      </w:pPr>
      <w:r>
        <w:rPr>
          <w:rStyle w:val="FootnoteReference"/>
        </w:rPr>
        <w:footnoteRef/>
      </w:r>
      <w:r>
        <w:t xml:space="preserve"> 47 CFR § 73.501(a) note 1 stipulates that Channel 200 “</w:t>
      </w:r>
      <w:r w:rsidRPr="00CC1FF6">
        <w:t>is not available at all within 402 kilometers (250 miles) of Canada and 320 kilometers (199 miles) of Mexico</w:t>
      </w:r>
      <w:r>
        <w:t>.”</w:t>
      </w:r>
    </w:p>
  </w:footnote>
  <w:footnote w:id="22">
    <w:p w14:paraId="3F7776BC" w14:textId="27DC7E31" w:rsidR="00D84A4B" w:rsidRPr="00F2470A" w:rsidRDefault="00D84A4B" w:rsidP="00D84A4B">
      <w:pPr>
        <w:pStyle w:val="FootnoteText"/>
      </w:pPr>
      <w:r>
        <w:rPr>
          <w:rStyle w:val="FootnoteReference"/>
        </w:rPr>
        <w:footnoteRef/>
      </w:r>
      <w:r w:rsidRPr="00BD230F">
        <w:t xml:space="preserve"> </w:t>
      </w:r>
      <w:r>
        <w:t xml:space="preserve">Pub. L. No. 112-96, 126 Stat. 156 </w:t>
      </w:r>
      <w:r w:rsidRPr="00BD230F">
        <w:t>§</w:t>
      </w:r>
      <w:r>
        <w:t xml:space="preserve"> 6402 (2012).  </w:t>
      </w:r>
      <w:r>
        <w:rPr>
          <w:i/>
        </w:rPr>
        <w:t>See also Expanding the Economic and Innovation Opportunities of Spectrum Through Incentive Auctions</w:t>
      </w:r>
      <w:r>
        <w:t>, GN Docket No. 12-268, Report and Order, 29 FCC Rcd 6567 (2014) (</w:t>
      </w:r>
      <w:r>
        <w:rPr>
          <w:i/>
        </w:rPr>
        <w:t>Incentive Auction Report and Order</w:t>
      </w:r>
      <w:r>
        <w:t>).</w:t>
      </w:r>
    </w:p>
  </w:footnote>
  <w:footnote w:id="23">
    <w:p w14:paraId="75CDA712" w14:textId="57BF0200" w:rsidR="00200A63" w:rsidRPr="002C32DA" w:rsidRDefault="00200A63" w:rsidP="00200A63">
      <w:pPr>
        <w:pStyle w:val="FootnoteText"/>
      </w:pPr>
      <w:r>
        <w:rPr>
          <w:rStyle w:val="FootnoteReference"/>
        </w:rPr>
        <w:footnoteRef/>
      </w:r>
      <w:r>
        <w:t xml:space="preserve"> </w:t>
      </w:r>
      <w:r w:rsidR="00D84A4B" w:rsidRPr="00864C3B">
        <w:t xml:space="preserve">The final stage rule was satisfied on Jan. 18, 2017.  </w:t>
      </w:r>
      <w:r w:rsidR="00D84A4B" w:rsidRPr="00864C3B">
        <w:rPr>
          <w:i/>
        </w:rPr>
        <w:t xml:space="preserve">See </w:t>
      </w:r>
      <w:r w:rsidR="00D84A4B" w:rsidRPr="00864C3B">
        <w:t xml:space="preserve">Incentive Auction Public Reporting System, Forward Auction – Announcements, </w:t>
      </w:r>
      <w:hyperlink r:id="rId3" w:history="1">
        <w:r w:rsidR="00D84A4B" w:rsidRPr="009F6FBD">
          <w:rPr>
            <w:rStyle w:val="Hyperlink"/>
          </w:rPr>
          <w:t>https://auctiondata.fcc.gov/public/projects/1000/reports/forward_announcements</w:t>
        </w:r>
      </w:hyperlink>
      <w:r w:rsidR="00D84A4B">
        <w:t xml:space="preserve"> </w:t>
      </w:r>
      <w:r w:rsidR="00D84A4B" w:rsidRPr="00864C3B">
        <w:t xml:space="preserve">(last visited </w:t>
      </w:r>
      <w:r w:rsidR="00D84A4B">
        <w:t>Mar</w:t>
      </w:r>
      <w:r w:rsidR="00D84A4B" w:rsidRPr="00864C3B">
        <w:t xml:space="preserve">. </w:t>
      </w:r>
      <w:r w:rsidR="00D84A4B">
        <w:t>16</w:t>
      </w:r>
      <w:r w:rsidR="00D84A4B" w:rsidRPr="00864C3B">
        <w:t>, 2017</w:t>
      </w:r>
      <w:r w:rsidR="00D84A4B">
        <w:t xml:space="preserve">).  </w:t>
      </w:r>
      <w:r w:rsidR="00D84A4B">
        <w:rPr>
          <w:i/>
        </w:rPr>
        <w:t>See</w:t>
      </w:r>
      <w:r w:rsidR="00D84A4B">
        <w:t xml:space="preserve"> </w:t>
      </w:r>
      <w:r w:rsidR="00D84A4B" w:rsidRPr="005C25AB">
        <w:rPr>
          <w:i/>
        </w:rPr>
        <w:t>also</w:t>
      </w:r>
      <w:r w:rsidR="00D84A4B">
        <w:t xml:space="preserve"> </w:t>
      </w:r>
      <w:hyperlink r:id="rId4" w:history="1">
        <w:r w:rsidR="00D84A4B" w:rsidRPr="00AB5B5B">
          <w:rPr>
            <w:rStyle w:val="Hyperlink"/>
          </w:rPr>
          <w:t>https://www.fcc.gov/news-events/blog/2017/02/10/incentive-auction-clock-phase-over-what%E2%80%99s-next</w:t>
        </w:r>
      </w:hyperlink>
      <w:r w:rsidR="00D84A4B">
        <w:t xml:space="preserve"> </w:t>
      </w:r>
      <w:r w:rsidR="00D84A4B" w:rsidRPr="00864C3B">
        <w:t xml:space="preserve">(last visited </w:t>
      </w:r>
      <w:r w:rsidR="00D84A4B">
        <w:t>Mar</w:t>
      </w:r>
      <w:r w:rsidR="00D84A4B" w:rsidRPr="00864C3B">
        <w:t xml:space="preserve">. </w:t>
      </w:r>
      <w:r w:rsidR="00D84A4B">
        <w:t>16</w:t>
      </w:r>
      <w:r w:rsidR="00D84A4B" w:rsidRPr="00864C3B">
        <w:t>, 2017</w:t>
      </w:r>
      <w:r w:rsidR="00D84A4B">
        <w:t>) (announcing the close of the clock phase of the Incentive Auction).</w:t>
      </w:r>
      <w:r>
        <w:t>.</w:t>
      </w:r>
    </w:p>
  </w:footnote>
  <w:footnote w:id="24">
    <w:p w14:paraId="03852FCD" w14:textId="4ECBF778" w:rsidR="007E784B" w:rsidRDefault="007E784B" w:rsidP="007E784B">
      <w:pPr>
        <w:pStyle w:val="FootnoteText"/>
      </w:pPr>
      <w:r>
        <w:rPr>
          <w:rStyle w:val="FootnoteReference"/>
        </w:rPr>
        <w:footnoteRef/>
      </w:r>
      <w:r>
        <w:t xml:space="preserve"> </w:t>
      </w:r>
      <w:r w:rsidRPr="00EA6088">
        <w:rPr>
          <w:i/>
        </w:rPr>
        <w:t>Incentive Auction Task Force and Media Bureau Announce Procedures for the Post-Incentive Auction Broadcast Transition</w:t>
      </w:r>
      <w:r w:rsidRPr="00EA6088">
        <w:t>, Public Notice, 32 FCC Rcd 858, 8</w:t>
      </w:r>
      <w:r>
        <w:t>66</w:t>
      </w:r>
      <w:r w:rsidRPr="00EA6088">
        <w:t>-</w:t>
      </w:r>
      <w:r>
        <w:t>70, paras. 27</w:t>
      </w:r>
      <w:r w:rsidRPr="00EA6088">
        <w:t>-</w:t>
      </w:r>
      <w:r>
        <w:t>38</w:t>
      </w:r>
      <w:r w:rsidRPr="00EA6088">
        <w:t xml:space="preserve"> (MB 2017) (</w:t>
      </w:r>
      <w:r w:rsidRPr="00EA6088">
        <w:rPr>
          <w:i/>
        </w:rPr>
        <w:t>Broadcast Transition Procedures Public Notice</w:t>
      </w:r>
      <w:r w:rsidRPr="00EA6088">
        <w:t>)</w:t>
      </w:r>
      <w:r>
        <w:t>.</w:t>
      </w:r>
    </w:p>
  </w:footnote>
  <w:footnote w:id="25">
    <w:p w14:paraId="6D8F502D" w14:textId="01E199E1" w:rsidR="00200A63" w:rsidRDefault="00200A63" w:rsidP="00200A63">
      <w:pPr>
        <w:pStyle w:val="FootnoteText"/>
      </w:pPr>
      <w:r>
        <w:rPr>
          <w:rStyle w:val="FootnoteReference"/>
        </w:rPr>
        <w:footnoteRef/>
      </w:r>
      <w:r>
        <w:t xml:space="preserve"> </w:t>
      </w:r>
      <w:r w:rsidR="007E784B">
        <w:rPr>
          <w:i/>
        </w:rPr>
        <w:t>Expanding the Economic and Innovation Opportunities of Spectrum Through Incentive Auctions</w:t>
      </w:r>
      <w:r w:rsidR="007E784B">
        <w:t>, GN Docket No. 12-268, Report and Order, 29 FCC Rcd 6567 (2014)</w:t>
      </w:r>
      <w:r>
        <w:t>.</w:t>
      </w:r>
    </w:p>
  </w:footnote>
  <w:footnote w:id="26">
    <w:p w14:paraId="2E03CB41" w14:textId="7A891DE4" w:rsidR="00200A63" w:rsidRDefault="00200A63" w:rsidP="00200A63">
      <w:pPr>
        <w:pStyle w:val="FootnoteText"/>
      </w:pPr>
      <w:r>
        <w:rPr>
          <w:rStyle w:val="FootnoteReference"/>
        </w:rPr>
        <w:footnoteRef/>
      </w:r>
      <w:r>
        <w:t xml:space="preserve"> </w:t>
      </w:r>
      <w:r>
        <w:rPr>
          <w:i/>
        </w:rPr>
        <w:t>See, e.g.</w:t>
      </w:r>
      <w:r>
        <w:t>,</w:t>
      </w:r>
      <w:r w:rsidRPr="00E20774">
        <w:t xml:space="preserve"> </w:t>
      </w:r>
      <w:r>
        <w:t xml:space="preserve">FCC ID: </w:t>
      </w:r>
      <w:r w:rsidRPr="00E20774">
        <w:t>B7MTR-6000TIS-WB</w:t>
      </w:r>
      <w:r>
        <w:t>.</w:t>
      </w:r>
      <w:r w:rsidRPr="00E20774">
        <w:t xml:space="preserve"> </w:t>
      </w:r>
      <w:r>
        <w:t xml:space="preserve"> Record available by searching grant code B7M at </w:t>
      </w:r>
      <w:hyperlink r:id="rId5" w:history="1">
        <w:r w:rsidRPr="00D2171E">
          <w:rPr>
            <w:rStyle w:val="Hyperlink"/>
          </w:rPr>
          <w:t>https://apps.fcc.gov/oetcf/eas/reports/GenericSearch.cfm</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BAD08" w14:textId="77777777" w:rsidR="00471D65" w:rsidRDefault="00471D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94EA8" w14:textId="5EEA6482" w:rsidR="00D25FB5" w:rsidRDefault="00D25FB5" w:rsidP="00810B6F">
    <w:pPr>
      <w:pStyle w:val="Header"/>
      <w:rPr>
        <w:b w:val="0"/>
      </w:rPr>
    </w:pPr>
    <w:r>
      <w:tab/>
      <w:t>Federal Communications Commission</w:t>
    </w:r>
    <w:r>
      <w:tab/>
    </w:r>
    <w:r w:rsidR="0096300F">
      <w:t>DA 17-364</w:t>
    </w:r>
  </w:p>
  <w:p w14:paraId="2E6B7F44" w14:textId="346B8B81" w:rsidR="00D25FB5" w:rsidRDefault="00EF67F5">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5E530B94" wp14:editId="1B981508">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FE0B2F"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6CFE0D52"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BB3C7" w14:textId="7174BDE9" w:rsidR="00D25FB5" w:rsidRDefault="00EF67F5" w:rsidP="00810B6F">
    <w:pPr>
      <w:pStyle w:val="Header"/>
      <w:rPr>
        <w:b w:val="0"/>
      </w:rPr>
    </w:pPr>
    <w:r>
      <w:rPr>
        <w:noProof/>
      </w:rPr>
      <mc:AlternateContent>
        <mc:Choice Requires="wps">
          <w:drawing>
            <wp:anchor distT="0" distB="0" distL="114300" distR="114300" simplePos="0" relativeHeight="251658240" behindDoc="1" locked="0" layoutInCell="0" allowOverlap="1" wp14:anchorId="2BDF6550" wp14:editId="08BA2BCD">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B19471"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96300F">
      <w:rPr>
        <w:spacing w:val="-2"/>
      </w:rPr>
      <w:t>DA 17-364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63"/>
    <w:rsid w:val="00036039"/>
    <w:rsid w:val="00037F90"/>
    <w:rsid w:val="00081D98"/>
    <w:rsid w:val="000875BF"/>
    <w:rsid w:val="00096D8C"/>
    <w:rsid w:val="000C0B65"/>
    <w:rsid w:val="000E05FE"/>
    <w:rsid w:val="000E3D42"/>
    <w:rsid w:val="000E5461"/>
    <w:rsid w:val="00122BD5"/>
    <w:rsid w:val="00133F79"/>
    <w:rsid w:val="00194A66"/>
    <w:rsid w:val="001D6BCF"/>
    <w:rsid w:val="001E01CA"/>
    <w:rsid w:val="00200A63"/>
    <w:rsid w:val="00202D37"/>
    <w:rsid w:val="00275CF5"/>
    <w:rsid w:val="0028301F"/>
    <w:rsid w:val="00285017"/>
    <w:rsid w:val="002A2D2E"/>
    <w:rsid w:val="002C00E8"/>
    <w:rsid w:val="002E313E"/>
    <w:rsid w:val="00343749"/>
    <w:rsid w:val="003660ED"/>
    <w:rsid w:val="003B0550"/>
    <w:rsid w:val="003B694F"/>
    <w:rsid w:val="003F171C"/>
    <w:rsid w:val="00412FC5"/>
    <w:rsid w:val="00422276"/>
    <w:rsid w:val="00423263"/>
    <w:rsid w:val="004242F1"/>
    <w:rsid w:val="00445A00"/>
    <w:rsid w:val="00451B0F"/>
    <w:rsid w:val="00471D65"/>
    <w:rsid w:val="004C2EE3"/>
    <w:rsid w:val="004E4A22"/>
    <w:rsid w:val="00507DE0"/>
    <w:rsid w:val="00511968"/>
    <w:rsid w:val="0055614C"/>
    <w:rsid w:val="005E14C2"/>
    <w:rsid w:val="005E2942"/>
    <w:rsid w:val="005F38B9"/>
    <w:rsid w:val="00607BA5"/>
    <w:rsid w:val="0061180A"/>
    <w:rsid w:val="00626EB6"/>
    <w:rsid w:val="0064307B"/>
    <w:rsid w:val="00655D03"/>
    <w:rsid w:val="00683388"/>
    <w:rsid w:val="00683F84"/>
    <w:rsid w:val="006A6A81"/>
    <w:rsid w:val="006F7393"/>
    <w:rsid w:val="0070224F"/>
    <w:rsid w:val="007115F7"/>
    <w:rsid w:val="00763CFC"/>
    <w:rsid w:val="00785689"/>
    <w:rsid w:val="0079754B"/>
    <w:rsid w:val="007A1E6D"/>
    <w:rsid w:val="007B0EB2"/>
    <w:rsid w:val="007E784B"/>
    <w:rsid w:val="00810B6F"/>
    <w:rsid w:val="00822CE0"/>
    <w:rsid w:val="00841AB1"/>
    <w:rsid w:val="00854D2C"/>
    <w:rsid w:val="008C4F2D"/>
    <w:rsid w:val="008C68F1"/>
    <w:rsid w:val="00921803"/>
    <w:rsid w:val="00926503"/>
    <w:rsid w:val="0096300F"/>
    <w:rsid w:val="009726D8"/>
    <w:rsid w:val="009F76DB"/>
    <w:rsid w:val="00A32C3B"/>
    <w:rsid w:val="00A45F4F"/>
    <w:rsid w:val="00A54169"/>
    <w:rsid w:val="00A600A9"/>
    <w:rsid w:val="00A752A8"/>
    <w:rsid w:val="00AA55B7"/>
    <w:rsid w:val="00AA5B9E"/>
    <w:rsid w:val="00AB2407"/>
    <w:rsid w:val="00AB53DF"/>
    <w:rsid w:val="00AC6E35"/>
    <w:rsid w:val="00B07E5C"/>
    <w:rsid w:val="00B12BA0"/>
    <w:rsid w:val="00B811F7"/>
    <w:rsid w:val="00BA5DC6"/>
    <w:rsid w:val="00BA6196"/>
    <w:rsid w:val="00BB29B3"/>
    <w:rsid w:val="00BC6D8C"/>
    <w:rsid w:val="00BD4A37"/>
    <w:rsid w:val="00C07130"/>
    <w:rsid w:val="00C34006"/>
    <w:rsid w:val="00C34D8D"/>
    <w:rsid w:val="00C426B1"/>
    <w:rsid w:val="00C66160"/>
    <w:rsid w:val="00C721AC"/>
    <w:rsid w:val="00C90D6A"/>
    <w:rsid w:val="00CA247E"/>
    <w:rsid w:val="00CC72B6"/>
    <w:rsid w:val="00D0218D"/>
    <w:rsid w:val="00D25FB5"/>
    <w:rsid w:val="00D44223"/>
    <w:rsid w:val="00D553A4"/>
    <w:rsid w:val="00D84A4B"/>
    <w:rsid w:val="00DA2529"/>
    <w:rsid w:val="00DB130A"/>
    <w:rsid w:val="00DB2EBB"/>
    <w:rsid w:val="00DC10A1"/>
    <w:rsid w:val="00DC655F"/>
    <w:rsid w:val="00DD0B59"/>
    <w:rsid w:val="00DD7EBD"/>
    <w:rsid w:val="00DF62B6"/>
    <w:rsid w:val="00E07225"/>
    <w:rsid w:val="00E5409F"/>
    <w:rsid w:val="00EE6488"/>
    <w:rsid w:val="00EF67F5"/>
    <w:rsid w:val="00F021FA"/>
    <w:rsid w:val="00F62E97"/>
    <w:rsid w:val="00F64209"/>
    <w:rsid w:val="00F75C33"/>
    <w:rsid w:val="00F93BF5"/>
    <w:rsid w:val="00FA0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0A63"/>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3 Char,Footnote Text Char4 Char1 Char,Footnote Text Char Char2 Char Char,Footnote Text Char3 Char Char Char2 Char,Footnote Text Char Char2 Char Char Char2 Char,Footnote Text Char3,fn Char Char,f,fn,FOOT"/>
    <w:link w:val="FootnoteTextChar"/>
    <w:rsid w:val="000E3D42"/>
    <w:pPr>
      <w:spacing w:after="120"/>
    </w:pPr>
  </w:style>
  <w:style w:type="character" w:styleId="FootnoteReference">
    <w:name w:val="footnote reference"/>
    <w:aliases w:val="Style 12,(NECG) Footnote Reference,o,fr,Style 3,Appel note de bas de p,Style 124,Style 17,FR,Style 13,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Heading1Char">
    <w:name w:val="Heading 1 Char"/>
    <w:link w:val="Heading1"/>
    <w:rsid w:val="00200A63"/>
    <w:rPr>
      <w:rFonts w:ascii="Times New Roman Bold" w:hAnsi="Times New Roman Bold"/>
      <w:b/>
      <w:caps/>
      <w:snapToGrid w:val="0"/>
      <w:kern w:val="28"/>
      <w:sz w:val="22"/>
    </w:rPr>
  </w:style>
  <w:style w:type="character" w:customStyle="1" w:styleId="FootnoteTextChar">
    <w:name w:val="Footnote Text Char"/>
    <w:aliases w:val="Footnote Text Char3 Char Char,Footnote Text Char4 Char1 Char Char,Footnote Text Char Char2 Char Char Char,Footnote Text Char3 Char Char Char2 Char Char,Footnote Text Char Char2 Char Char Char2 Char Char,Footnote Text Char3 Char1"/>
    <w:link w:val="FootnoteText"/>
    <w:uiPriority w:val="99"/>
    <w:rsid w:val="00200A63"/>
  </w:style>
  <w:style w:type="character" w:styleId="FollowedHyperlink">
    <w:name w:val="FollowedHyperlink"/>
    <w:basedOn w:val="DefaultParagraphFont"/>
    <w:rsid w:val="00AC6E35"/>
    <w:rPr>
      <w:color w:val="954F72" w:themeColor="followedHyperlink"/>
      <w:u w:val="single"/>
    </w:rPr>
  </w:style>
  <w:style w:type="paragraph" w:styleId="Revision">
    <w:name w:val="Revision"/>
    <w:hidden/>
    <w:uiPriority w:val="99"/>
    <w:semiHidden/>
    <w:rsid w:val="00081D98"/>
    <w:rPr>
      <w:snapToGrid w:val="0"/>
      <w:kern w:val="28"/>
      <w:sz w:val="22"/>
    </w:rPr>
  </w:style>
  <w:style w:type="paragraph" w:styleId="BalloonText">
    <w:name w:val="Balloon Text"/>
    <w:basedOn w:val="Normal"/>
    <w:link w:val="BalloonTextChar"/>
    <w:rsid w:val="00081D98"/>
    <w:rPr>
      <w:rFonts w:ascii="Segoe UI" w:hAnsi="Segoe UI" w:cs="Segoe UI"/>
      <w:sz w:val="18"/>
      <w:szCs w:val="18"/>
    </w:rPr>
  </w:style>
  <w:style w:type="character" w:customStyle="1" w:styleId="BalloonTextChar">
    <w:name w:val="Balloon Text Char"/>
    <w:basedOn w:val="DefaultParagraphFont"/>
    <w:link w:val="BalloonText"/>
    <w:rsid w:val="00081D98"/>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0A63"/>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3 Char,Footnote Text Char4 Char1 Char,Footnote Text Char Char2 Char Char,Footnote Text Char3 Char Char Char2 Char,Footnote Text Char Char2 Char Char Char2 Char,Footnote Text Char3,fn Char Char,f,fn,FOOT"/>
    <w:link w:val="FootnoteTextChar"/>
    <w:rsid w:val="000E3D42"/>
    <w:pPr>
      <w:spacing w:after="120"/>
    </w:pPr>
  </w:style>
  <w:style w:type="character" w:styleId="FootnoteReference">
    <w:name w:val="footnote reference"/>
    <w:aliases w:val="Style 12,(NECG) Footnote Reference,o,fr,Style 3,Appel note de bas de p,Style 124,Style 17,FR,Style 13,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Heading1Char">
    <w:name w:val="Heading 1 Char"/>
    <w:link w:val="Heading1"/>
    <w:rsid w:val="00200A63"/>
    <w:rPr>
      <w:rFonts w:ascii="Times New Roman Bold" w:hAnsi="Times New Roman Bold"/>
      <w:b/>
      <w:caps/>
      <w:snapToGrid w:val="0"/>
      <w:kern w:val="28"/>
      <w:sz w:val="22"/>
    </w:rPr>
  </w:style>
  <w:style w:type="character" w:customStyle="1" w:styleId="FootnoteTextChar">
    <w:name w:val="Footnote Text Char"/>
    <w:aliases w:val="Footnote Text Char3 Char Char,Footnote Text Char4 Char1 Char Char,Footnote Text Char Char2 Char Char Char,Footnote Text Char3 Char Char Char2 Char Char,Footnote Text Char Char2 Char Char Char2 Char Char,Footnote Text Char3 Char1"/>
    <w:link w:val="FootnoteText"/>
    <w:uiPriority w:val="99"/>
    <w:rsid w:val="00200A63"/>
  </w:style>
  <w:style w:type="character" w:styleId="FollowedHyperlink">
    <w:name w:val="FollowedHyperlink"/>
    <w:basedOn w:val="DefaultParagraphFont"/>
    <w:rsid w:val="00AC6E35"/>
    <w:rPr>
      <w:color w:val="954F72" w:themeColor="followedHyperlink"/>
      <w:u w:val="single"/>
    </w:rPr>
  </w:style>
  <w:style w:type="paragraph" w:styleId="Revision">
    <w:name w:val="Revision"/>
    <w:hidden/>
    <w:uiPriority w:val="99"/>
    <w:semiHidden/>
    <w:rsid w:val="00081D98"/>
    <w:rPr>
      <w:snapToGrid w:val="0"/>
      <w:kern w:val="28"/>
      <w:sz w:val="22"/>
    </w:rPr>
  </w:style>
  <w:style w:type="paragraph" w:styleId="BalloonText">
    <w:name w:val="Balloon Text"/>
    <w:basedOn w:val="Normal"/>
    <w:link w:val="BalloonTextChar"/>
    <w:rsid w:val="00081D98"/>
    <w:rPr>
      <w:rFonts w:ascii="Segoe UI" w:hAnsi="Segoe UI" w:cs="Segoe UI"/>
      <w:sz w:val="18"/>
      <w:szCs w:val="18"/>
    </w:rPr>
  </w:style>
  <w:style w:type="character" w:customStyle="1" w:styleId="BalloonTextChar">
    <w:name w:val="Balloon Text Char"/>
    <w:basedOn w:val="DefaultParagraphFont"/>
    <w:link w:val="BalloonText"/>
    <w:rsid w:val="00081D98"/>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auctiondata.fcc.gov/public/projects/1000/reports/forward_announcements" TargetMode="External"/><Relationship Id="rId2" Type="http://schemas.openxmlformats.org/officeDocument/2006/relationships/hyperlink" Target="https://www.fcc.gov/media/radio/fm-query" TargetMode="External"/><Relationship Id="rId1" Type="http://schemas.openxmlformats.org/officeDocument/2006/relationships/hyperlink" Target="https://www.fcc.gov/media/television/tv-query" TargetMode="External"/><Relationship Id="rId5" Type="http://schemas.openxmlformats.org/officeDocument/2006/relationships/hyperlink" Target="https://apps.fcc.gov/oetcf/eas/reports/GenericSearch.cfm" TargetMode="External"/><Relationship Id="rId4" Type="http://schemas.openxmlformats.org/officeDocument/2006/relationships/hyperlink" Target="https://www.fcc.gov/news-events/blog/2017/02/10/incentive-auction-clock-phase-over-what%E2%80%99s-n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1204</Words>
  <Characters>6468</Characters>
  <Application>Microsoft Office Word</Application>
  <DocSecurity>0</DocSecurity>
  <Lines>120</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7668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2017-04-17T17:09:00Z</dcterms:created>
  <dcterms:modified xsi:type="dcterms:W3CDTF">2017-04-17T17:09:00Z</dcterms:modified>
  <cp:category> </cp:category>
  <cp:contentStatus> </cp:contentStatus>
</cp:coreProperties>
</file>