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50F60" w:rsidP="00F50F60">
      <w:pPr>
        <w:ind w:left="7920"/>
        <w:rPr>
          <w:sz w:val="22"/>
          <w:szCs w:val="22"/>
        </w:rPr>
      </w:pPr>
      <w:bookmarkStart w:id="0" w:name="_GoBack"/>
      <w:bookmarkEnd w:id="0"/>
    </w:p>
    <w:p w:rsidR="006D7304" w:rsidP="006D7304">
      <w:pPr>
        <w:jc w:val="center"/>
        <w:rPr>
          <w:sz w:val="22"/>
          <w:szCs w:val="22"/>
        </w:rPr>
      </w:pPr>
      <w:r>
        <w:rPr>
          <w:sz w:val="22"/>
          <w:szCs w:val="22"/>
        </w:rPr>
        <w:t>April 17, 2017</w:t>
      </w:r>
    </w:p>
    <w:p w:rsidR="00E24E2C" w:rsidRPr="00E24E2C" w:rsidP="00F50F60">
      <w:pPr>
        <w:ind w:left="7920"/>
        <w:rPr>
          <w:sz w:val="22"/>
          <w:szCs w:val="22"/>
        </w:rPr>
      </w:pPr>
      <w:r>
        <w:rPr>
          <w:sz w:val="22"/>
          <w:szCs w:val="22"/>
        </w:rPr>
        <w:t>DA 17-367</w:t>
      </w:r>
    </w:p>
    <w:p w:rsidR="00E24E2C" w:rsidRPr="00E24E2C" w:rsidP="00E24E2C">
      <w:pPr>
        <w:rPr>
          <w:sz w:val="22"/>
          <w:szCs w:val="22"/>
        </w:rPr>
      </w:pPr>
      <w:r w:rsidRPr="00E24E2C">
        <w:rPr>
          <w:sz w:val="22"/>
          <w:szCs w:val="22"/>
        </w:rPr>
        <w:t>Mr. Chris Henderson</w:t>
      </w:r>
    </w:p>
    <w:p w:rsidR="00E24E2C" w:rsidRPr="00E24E2C" w:rsidP="00E24E2C">
      <w:pPr>
        <w:rPr>
          <w:sz w:val="22"/>
          <w:szCs w:val="22"/>
        </w:rPr>
      </w:pPr>
      <w:r w:rsidRPr="00E24E2C">
        <w:rPr>
          <w:sz w:val="22"/>
          <w:szCs w:val="22"/>
        </w:rPr>
        <w:t>Chief Executive Officer</w:t>
      </w:r>
    </w:p>
    <w:p w:rsidR="00E24E2C" w:rsidRPr="00E24E2C" w:rsidP="00E24E2C">
      <w:pPr>
        <w:rPr>
          <w:sz w:val="22"/>
          <w:szCs w:val="22"/>
        </w:rPr>
      </w:pPr>
      <w:r w:rsidRPr="00E24E2C">
        <w:rPr>
          <w:sz w:val="22"/>
          <w:szCs w:val="22"/>
        </w:rPr>
        <w:t>Universal Service Administrative Company</w:t>
      </w:r>
    </w:p>
    <w:p w:rsidR="006417CD" w:rsidRPr="006417CD" w:rsidP="006417CD">
      <w:pPr>
        <w:rPr>
          <w:sz w:val="22"/>
          <w:szCs w:val="22"/>
        </w:rPr>
      </w:pPr>
      <w:r w:rsidRPr="006417CD">
        <w:rPr>
          <w:sz w:val="22"/>
          <w:szCs w:val="22"/>
        </w:rPr>
        <w:t>700 12th Street NW, Suite 900</w:t>
      </w:r>
    </w:p>
    <w:p w:rsidR="006417CD" w:rsidP="00E24E2C">
      <w:pPr>
        <w:rPr>
          <w:sz w:val="22"/>
          <w:szCs w:val="22"/>
        </w:rPr>
      </w:pPr>
      <w:r w:rsidRPr="006417CD">
        <w:rPr>
          <w:sz w:val="22"/>
          <w:szCs w:val="22"/>
        </w:rPr>
        <w:t>Washington, DC 20005</w:t>
      </w:r>
    </w:p>
    <w:p w:rsidR="00F50F60" w:rsidRPr="00E24E2C" w:rsidP="00E24E2C">
      <w:pPr>
        <w:rPr>
          <w:sz w:val="22"/>
          <w:szCs w:val="22"/>
        </w:rPr>
      </w:pPr>
    </w:p>
    <w:p w:rsidR="00E24E2C" w:rsidP="00E24E2C">
      <w:pPr>
        <w:rPr>
          <w:sz w:val="22"/>
          <w:szCs w:val="22"/>
        </w:rPr>
      </w:pPr>
      <w:r w:rsidRPr="00E24E2C">
        <w:rPr>
          <w:sz w:val="22"/>
          <w:szCs w:val="22"/>
        </w:rPr>
        <w:t>RE: Schools and Libraries Universal Service Support Mechanism - Reserve Funding</w:t>
      </w:r>
    </w:p>
    <w:p w:rsidR="00F50F60" w:rsidRPr="00E24E2C" w:rsidP="00E24E2C">
      <w:pPr>
        <w:rPr>
          <w:sz w:val="22"/>
          <w:szCs w:val="22"/>
        </w:rPr>
      </w:pPr>
    </w:p>
    <w:p w:rsidR="00E24E2C" w:rsidP="00E24E2C">
      <w:pPr>
        <w:rPr>
          <w:sz w:val="22"/>
          <w:szCs w:val="22"/>
        </w:rPr>
      </w:pPr>
      <w:r w:rsidRPr="00E24E2C">
        <w:rPr>
          <w:sz w:val="22"/>
          <w:szCs w:val="22"/>
        </w:rPr>
        <w:t xml:space="preserve">Dear Mr. </w:t>
      </w:r>
      <w:r w:rsidRPr="00E24E2C">
        <w:rPr>
          <w:sz w:val="22"/>
          <w:szCs w:val="22"/>
        </w:rPr>
        <w:t>Henderson:</w:t>
      </w:r>
    </w:p>
    <w:p w:rsidR="00F50F60" w:rsidRPr="00E24E2C" w:rsidP="00E24E2C">
      <w:pPr>
        <w:rPr>
          <w:sz w:val="22"/>
          <w:szCs w:val="22"/>
        </w:rPr>
      </w:pPr>
    </w:p>
    <w:p w:rsidR="00F818AD" w:rsidP="0001292D">
      <w:pPr>
        <w:ind w:firstLine="720"/>
        <w:rPr>
          <w:sz w:val="22"/>
          <w:szCs w:val="22"/>
        </w:rPr>
      </w:pPr>
      <w:r>
        <w:rPr>
          <w:sz w:val="22"/>
          <w:szCs w:val="22"/>
        </w:rPr>
        <w:t xml:space="preserve">As part of the Commission’s </w:t>
      </w:r>
      <w:r w:rsidR="00532C96">
        <w:rPr>
          <w:sz w:val="22"/>
          <w:szCs w:val="22"/>
        </w:rPr>
        <w:t>ong</w:t>
      </w:r>
      <w:r w:rsidR="00BA3D4B">
        <w:rPr>
          <w:sz w:val="22"/>
          <w:szCs w:val="22"/>
        </w:rPr>
        <w:t>oing management and oversight of</w:t>
      </w:r>
      <w:r w:rsidR="00532C96">
        <w:rPr>
          <w:sz w:val="22"/>
          <w:szCs w:val="22"/>
        </w:rPr>
        <w:t xml:space="preserve"> the Universal Service Fund</w:t>
      </w:r>
      <w:r w:rsidR="000B7C88">
        <w:rPr>
          <w:sz w:val="22"/>
          <w:szCs w:val="22"/>
        </w:rPr>
        <w:t xml:space="preserve"> (USF)</w:t>
      </w:r>
      <w:r w:rsidR="00532C96">
        <w:rPr>
          <w:sz w:val="22"/>
          <w:szCs w:val="22"/>
        </w:rPr>
        <w:t xml:space="preserve">, </w:t>
      </w:r>
      <w:r>
        <w:rPr>
          <w:sz w:val="22"/>
          <w:szCs w:val="22"/>
        </w:rPr>
        <w:t>t</w:t>
      </w:r>
      <w:r w:rsidR="0001292D">
        <w:rPr>
          <w:sz w:val="22"/>
          <w:szCs w:val="22"/>
        </w:rPr>
        <w:t>his letter provides revised directions</w:t>
      </w:r>
      <w:r w:rsidRPr="00E24E2C" w:rsidR="00E24E2C">
        <w:rPr>
          <w:sz w:val="22"/>
          <w:szCs w:val="22"/>
        </w:rPr>
        <w:t xml:space="preserve"> </w:t>
      </w:r>
      <w:r w:rsidR="0001292D">
        <w:rPr>
          <w:sz w:val="22"/>
          <w:szCs w:val="22"/>
        </w:rPr>
        <w:t xml:space="preserve">to </w:t>
      </w:r>
      <w:r w:rsidR="00F901DD">
        <w:rPr>
          <w:sz w:val="22"/>
          <w:szCs w:val="22"/>
        </w:rPr>
        <w:t xml:space="preserve">the </w:t>
      </w:r>
      <w:r w:rsidRPr="0001292D" w:rsidR="0001292D">
        <w:rPr>
          <w:sz w:val="22"/>
          <w:szCs w:val="22"/>
        </w:rPr>
        <w:t xml:space="preserve">Universal Service Administrative Company (USAC) </w:t>
      </w:r>
      <w:r w:rsidR="00D45EBC">
        <w:rPr>
          <w:sz w:val="22"/>
          <w:szCs w:val="22"/>
        </w:rPr>
        <w:t xml:space="preserve">regarding how USAC </w:t>
      </w:r>
      <w:r w:rsidR="0001292D">
        <w:rPr>
          <w:sz w:val="22"/>
          <w:szCs w:val="22"/>
        </w:rPr>
        <w:t>should administer schools and libraries universal support mechanism (“E-rate program”) funds</w:t>
      </w:r>
      <w:r>
        <w:rPr>
          <w:sz w:val="22"/>
          <w:szCs w:val="22"/>
        </w:rPr>
        <w:t>, and in particular, how USAC should account for the different categories of</w:t>
      </w:r>
      <w:r w:rsidR="00033AEF">
        <w:rPr>
          <w:sz w:val="22"/>
          <w:szCs w:val="22"/>
        </w:rPr>
        <w:t xml:space="preserve"> potential funding disbursements</w:t>
      </w:r>
      <w:r>
        <w:rPr>
          <w:sz w:val="22"/>
          <w:szCs w:val="22"/>
        </w:rPr>
        <w:t>.</w:t>
      </w:r>
      <w:r>
        <w:rPr>
          <w:rStyle w:val="FootnoteReference"/>
          <w:sz w:val="22"/>
          <w:szCs w:val="22"/>
        </w:rPr>
        <w:footnoteReference w:id="3"/>
      </w:r>
      <w:r w:rsidR="00E54261">
        <w:rPr>
          <w:sz w:val="22"/>
          <w:szCs w:val="22"/>
        </w:rPr>
        <w:t xml:space="preserve">  </w:t>
      </w:r>
      <w:r w:rsidR="00892A53">
        <w:rPr>
          <w:sz w:val="22"/>
          <w:szCs w:val="22"/>
        </w:rPr>
        <w:t>The</w:t>
      </w:r>
      <w:r w:rsidR="00FA29A0">
        <w:rPr>
          <w:sz w:val="22"/>
          <w:szCs w:val="22"/>
        </w:rPr>
        <w:t xml:space="preserve"> revised guidance</w:t>
      </w:r>
      <w:r w:rsidR="00756190">
        <w:rPr>
          <w:sz w:val="22"/>
          <w:szCs w:val="22"/>
        </w:rPr>
        <w:t xml:space="preserve"> we issue today</w:t>
      </w:r>
      <w:r w:rsidR="00FA29A0">
        <w:rPr>
          <w:sz w:val="22"/>
          <w:szCs w:val="22"/>
        </w:rPr>
        <w:t xml:space="preserve"> </w:t>
      </w:r>
      <w:r w:rsidR="00E54261">
        <w:rPr>
          <w:sz w:val="22"/>
          <w:szCs w:val="22"/>
        </w:rPr>
        <w:t>becomes effective immediately</w:t>
      </w:r>
      <w:r w:rsidR="00643E55">
        <w:rPr>
          <w:sz w:val="22"/>
          <w:szCs w:val="22"/>
        </w:rPr>
        <w:t>, should be reflected in USAC’s quarterly filings beginning with 3Q 2017,</w:t>
      </w:r>
      <w:r w:rsidR="00E54261">
        <w:rPr>
          <w:sz w:val="22"/>
          <w:szCs w:val="22"/>
        </w:rPr>
        <w:t xml:space="preserve"> and </w:t>
      </w:r>
      <w:r w:rsidR="006F293A">
        <w:rPr>
          <w:sz w:val="22"/>
          <w:szCs w:val="22"/>
        </w:rPr>
        <w:t>supersedes</w:t>
      </w:r>
      <w:r>
        <w:rPr>
          <w:sz w:val="22"/>
          <w:szCs w:val="22"/>
        </w:rPr>
        <w:t xml:space="preserve"> </w:t>
      </w:r>
      <w:r w:rsidR="00E54261">
        <w:rPr>
          <w:sz w:val="22"/>
          <w:szCs w:val="22"/>
        </w:rPr>
        <w:t xml:space="preserve">the </w:t>
      </w:r>
      <w:r>
        <w:rPr>
          <w:sz w:val="22"/>
          <w:szCs w:val="22"/>
        </w:rPr>
        <w:t>letter sent to USAC on December 14, 2014 (DA 14-1820)</w:t>
      </w:r>
      <w:r w:rsidR="006F293A">
        <w:rPr>
          <w:sz w:val="22"/>
          <w:szCs w:val="22"/>
        </w:rPr>
        <w:t xml:space="preserve"> (“2014 Letter”)</w:t>
      </w:r>
      <w:r>
        <w:rPr>
          <w:sz w:val="22"/>
          <w:szCs w:val="22"/>
        </w:rPr>
        <w:t>.</w:t>
      </w:r>
      <w:r>
        <w:rPr>
          <w:rStyle w:val="FootnoteReference"/>
          <w:sz w:val="22"/>
          <w:szCs w:val="22"/>
        </w:rPr>
        <w:footnoteReference w:id="4"/>
      </w:r>
      <w:r>
        <w:rPr>
          <w:sz w:val="22"/>
          <w:szCs w:val="22"/>
        </w:rPr>
        <w:t xml:space="preserve"> </w:t>
      </w:r>
      <w:r w:rsidR="00643E55">
        <w:rPr>
          <w:sz w:val="22"/>
          <w:szCs w:val="22"/>
        </w:rPr>
        <w:t xml:space="preserve"> </w:t>
      </w:r>
    </w:p>
    <w:p w:rsidR="00F818AD" w:rsidP="0001292D">
      <w:pPr>
        <w:ind w:firstLine="720"/>
        <w:rPr>
          <w:sz w:val="22"/>
          <w:szCs w:val="22"/>
        </w:rPr>
      </w:pPr>
    </w:p>
    <w:p w:rsidR="002217A7" w:rsidP="00F45D71">
      <w:pPr>
        <w:ind w:firstLine="720"/>
        <w:rPr>
          <w:sz w:val="22"/>
          <w:szCs w:val="22"/>
        </w:rPr>
      </w:pPr>
      <w:r>
        <w:rPr>
          <w:i/>
          <w:sz w:val="22"/>
          <w:szCs w:val="22"/>
          <w:u w:val="single"/>
        </w:rPr>
        <w:t xml:space="preserve">Reserving E-rate </w:t>
      </w:r>
      <w:r w:rsidRPr="00960D77">
        <w:rPr>
          <w:i/>
          <w:sz w:val="22"/>
          <w:szCs w:val="22"/>
          <w:u w:val="single"/>
        </w:rPr>
        <w:t>Funds</w:t>
      </w:r>
      <w:r>
        <w:rPr>
          <w:sz w:val="22"/>
          <w:szCs w:val="22"/>
          <w:u w:val="single"/>
        </w:rPr>
        <w:t>.</w:t>
      </w:r>
      <w:r>
        <w:rPr>
          <w:sz w:val="22"/>
          <w:szCs w:val="22"/>
        </w:rPr>
        <w:t xml:space="preserve">  </w:t>
      </w:r>
      <w:r w:rsidRPr="00CB0737" w:rsidR="00CB0737">
        <w:rPr>
          <w:sz w:val="22"/>
          <w:szCs w:val="22"/>
        </w:rPr>
        <w:t>The Commission has directed USAC to prepare financial statements for the USF consistent with generally accepted accounting principles for federal agencies (Federal GAAP) and to keep the USF in accordance with the United States Standard General Ledger (USSGL).</w:t>
      </w:r>
      <w:r>
        <w:rPr>
          <w:rStyle w:val="FootnoteReference"/>
          <w:sz w:val="22"/>
          <w:szCs w:val="22"/>
        </w:rPr>
        <w:footnoteReference w:id="5"/>
      </w:r>
      <w:r w:rsidRPr="00CB0737" w:rsidR="00CB0737">
        <w:rPr>
          <w:sz w:val="22"/>
          <w:szCs w:val="22"/>
        </w:rPr>
        <w:t xml:space="preserve">  </w:t>
      </w:r>
      <w:r w:rsidR="00CB0737">
        <w:rPr>
          <w:sz w:val="22"/>
          <w:szCs w:val="22"/>
        </w:rPr>
        <w:t xml:space="preserve">The Office of the Managing Director </w:t>
      </w:r>
      <w:r w:rsidR="00BF63EC">
        <w:rPr>
          <w:sz w:val="22"/>
          <w:szCs w:val="22"/>
        </w:rPr>
        <w:t xml:space="preserve">(OMD) </w:t>
      </w:r>
      <w:r w:rsidR="00CB0737">
        <w:rPr>
          <w:sz w:val="22"/>
          <w:szCs w:val="22"/>
        </w:rPr>
        <w:t xml:space="preserve">is tasked with the </w:t>
      </w:r>
      <w:r w:rsidRPr="00CB0737" w:rsidR="00CB0737">
        <w:rPr>
          <w:sz w:val="22"/>
          <w:szCs w:val="22"/>
        </w:rPr>
        <w:t>general responsibility over the Commission's financial matters</w:t>
      </w:r>
      <w:r w:rsidR="00CB0737">
        <w:rPr>
          <w:sz w:val="22"/>
          <w:szCs w:val="22"/>
        </w:rPr>
        <w:t xml:space="preserve">, including the </w:t>
      </w:r>
      <w:r w:rsidRPr="00CB0737" w:rsidR="00CB0737">
        <w:rPr>
          <w:sz w:val="22"/>
          <w:szCs w:val="22"/>
        </w:rPr>
        <w:t xml:space="preserve">preparation of </w:t>
      </w:r>
      <w:r w:rsidR="00CB0737">
        <w:rPr>
          <w:sz w:val="22"/>
          <w:szCs w:val="22"/>
        </w:rPr>
        <w:t xml:space="preserve">the Commission’s </w:t>
      </w:r>
      <w:r w:rsidRPr="00CB0737" w:rsidR="00CB0737">
        <w:rPr>
          <w:sz w:val="22"/>
          <w:szCs w:val="22"/>
        </w:rPr>
        <w:t xml:space="preserve">financial statements </w:t>
      </w:r>
      <w:r w:rsidR="00CB0737">
        <w:rPr>
          <w:sz w:val="22"/>
          <w:szCs w:val="22"/>
        </w:rPr>
        <w:t>which include the USF.</w:t>
      </w:r>
      <w:r>
        <w:rPr>
          <w:rStyle w:val="FootnoteReference"/>
          <w:sz w:val="22"/>
          <w:szCs w:val="22"/>
        </w:rPr>
        <w:footnoteReference w:id="6"/>
      </w:r>
      <w:r w:rsidR="00CB0737">
        <w:rPr>
          <w:sz w:val="22"/>
          <w:szCs w:val="22"/>
        </w:rPr>
        <w:t xml:space="preserve">  It is by this authority that w</w:t>
      </w:r>
      <w:r w:rsidRPr="00960D77" w:rsidR="003D2083">
        <w:rPr>
          <w:sz w:val="22"/>
          <w:szCs w:val="22"/>
        </w:rPr>
        <w:t>e</w:t>
      </w:r>
      <w:r w:rsidR="003D2083">
        <w:rPr>
          <w:sz w:val="22"/>
          <w:szCs w:val="22"/>
        </w:rPr>
        <w:t xml:space="preserve"> are issuing replacement guida</w:t>
      </w:r>
      <w:r w:rsidR="00BC1D10">
        <w:rPr>
          <w:sz w:val="22"/>
          <w:szCs w:val="22"/>
        </w:rPr>
        <w:t>nce to help USAC improve</w:t>
      </w:r>
      <w:r w:rsidR="00F45D71">
        <w:rPr>
          <w:sz w:val="22"/>
          <w:szCs w:val="22"/>
        </w:rPr>
        <w:t xml:space="preserve"> </w:t>
      </w:r>
      <w:r w:rsidR="00BC1D10">
        <w:rPr>
          <w:sz w:val="22"/>
          <w:szCs w:val="22"/>
        </w:rPr>
        <w:t xml:space="preserve">its </w:t>
      </w:r>
      <w:r w:rsidR="003C2913">
        <w:rPr>
          <w:sz w:val="22"/>
          <w:szCs w:val="22"/>
        </w:rPr>
        <w:t xml:space="preserve">management </w:t>
      </w:r>
      <w:r w:rsidR="00BC1D10">
        <w:rPr>
          <w:sz w:val="22"/>
          <w:szCs w:val="22"/>
        </w:rPr>
        <w:t xml:space="preserve">of </w:t>
      </w:r>
      <w:r w:rsidR="003C2913">
        <w:rPr>
          <w:sz w:val="22"/>
          <w:szCs w:val="22"/>
        </w:rPr>
        <w:t>E-rate program</w:t>
      </w:r>
      <w:r w:rsidR="0090464A">
        <w:rPr>
          <w:sz w:val="22"/>
          <w:szCs w:val="22"/>
        </w:rPr>
        <w:t xml:space="preserve"> funds</w:t>
      </w:r>
      <w:r w:rsidR="00BC1D10">
        <w:rPr>
          <w:sz w:val="22"/>
          <w:szCs w:val="22"/>
        </w:rPr>
        <w:t xml:space="preserve"> and </w:t>
      </w:r>
      <w:r w:rsidR="00A51594">
        <w:rPr>
          <w:sz w:val="22"/>
          <w:szCs w:val="22"/>
        </w:rPr>
        <w:t xml:space="preserve">thus </w:t>
      </w:r>
      <w:r w:rsidR="000345AB">
        <w:rPr>
          <w:sz w:val="22"/>
          <w:szCs w:val="22"/>
        </w:rPr>
        <w:t>ensuring</w:t>
      </w:r>
      <w:r w:rsidR="00BC1D10">
        <w:rPr>
          <w:sz w:val="22"/>
          <w:szCs w:val="22"/>
        </w:rPr>
        <w:t xml:space="preserve"> consistency and transparency in how USAC reserves funds for </w:t>
      </w:r>
      <w:r w:rsidR="00D90687">
        <w:rPr>
          <w:sz w:val="22"/>
          <w:szCs w:val="22"/>
        </w:rPr>
        <w:t xml:space="preserve">pending </w:t>
      </w:r>
      <w:r w:rsidR="00BC1D10">
        <w:rPr>
          <w:sz w:val="22"/>
          <w:szCs w:val="22"/>
        </w:rPr>
        <w:t>applications,</w:t>
      </w:r>
      <w:r>
        <w:rPr>
          <w:rStyle w:val="FootnoteReference"/>
          <w:sz w:val="22"/>
          <w:szCs w:val="22"/>
        </w:rPr>
        <w:footnoteReference w:id="7"/>
      </w:r>
      <w:r w:rsidR="00BC1D10">
        <w:rPr>
          <w:sz w:val="22"/>
          <w:szCs w:val="22"/>
        </w:rPr>
        <w:t xml:space="preserve"> committed but undisbu</w:t>
      </w:r>
      <w:r w:rsidR="00F45D71">
        <w:rPr>
          <w:sz w:val="22"/>
          <w:szCs w:val="22"/>
        </w:rPr>
        <w:t xml:space="preserve">rsed funds, and pending appeals.  </w:t>
      </w:r>
      <w:r w:rsidR="006417CD">
        <w:rPr>
          <w:sz w:val="22"/>
          <w:szCs w:val="22"/>
        </w:rPr>
        <w:t>T</w:t>
      </w:r>
      <w:r w:rsidR="007747CC">
        <w:rPr>
          <w:sz w:val="22"/>
          <w:szCs w:val="22"/>
        </w:rPr>
        <w:t xml:space="preserve">he </w:t>
      </w:r>
      <w:r w:rsidR="00423625">
        <w:rPr>
          <w:sz w:val="22"/>
          <w:szCs w:val="22"/>
        </w:rPr>
        <w:t>2014 Letter instructed USAC to</w:t>
      </w:r>
      <w:r w:rsidR="007747CC">
        <w:rPr>
          <w:sz w:val="22"/>
          <w:szCs w:val="22"/>
        </w:rPr>
        <w:t xml:space="preserve"> </w:t>
      </w:r>
      <w:r w:rsidR="00FD0B0E">
        <w:rPr>
          <w:sz w:val="22"/>
          <w:szCs w:val="22"/>
        </w:rPr>
        <w:t xml:space="preserve">generally </w:t>
      </w:r>
      <w:r w:rsidR="007747CC">
        <w:rPr>
          <w:sz w:val="22"/>
          <w:szCs w:val="22"/>
        </w:rPr>
        <w:t xml:space="preserve">not reserve funding for </w:t>
      </w:r>
      <w:r w:rsidR="00D90687">
        <w:rPr>
          <w:sz w:val="22"/>
          <w:szCs w:val="22"/>
        </w:rPr>
        <w:t xml:space="preserve">pending </w:t>
      </w:r>
      <w:r w:rsidR="003B3B56">
        <w:rPr>
          <w:sz w:val="22"/>
          <w:szCs w:val="22"/>
        </w:rPr>
        <w:t xml:space="preserve">applications </w:t>
      </w:r>
      <w:r w:rsidRPr="00FD0B0E" w:rsidR="00FD0B0E">
        <w:rPr>
          <w:sz w:val="22"/>
          <w:szCs w:val="22"/>
        </w:rPr>
        <w:t xml:space="preserve">that are older than the last three </w:t>
      </w:r>
      <w:r w:rsidR="009F7FA5">
        <w:rPr>
          <w:sz w:val="22"/>
          <w:szCs w:val="22"/>
        </w:rPr>
        <w:t xml:space="preserve">funding </w:t>
      </w:r>
      <w:r w:rsidRPr="00FD0B0E" w:rsidR="00FD0B0E">
        <w:rPr>
          <w:sz w:val="22"/>
          <w:szCs w:val="22"/>
        </w:rPr>
        <w:t xml:space="preserve">years </w:t>
      </w:r>
      <w:r w:rsidR="003B3B56">
        <w:rPr>
          <w:sz w:val="22"/>
          <w:szCs w:val="22"/>
        </w:rPr>
        <w:t>and pending appeals</w:t>
      </w:r>
      <w:r w:rsidR="00423625">
        <w:rPr>
          <w:sz w:val="22"/>
          <w:szCs w:val="22"/>
        </w:rPr>
        <w:t>.</w:t>
      </w:r>
      <w:r w:rsidR="003B3B56">
        <w:rPr>
          <w:sz w:val="22"/>
          <w:szCs w:val="22"/>
        </w:rPr>
        <w:t xml:space="preserve"> </w:t>
      </w:r>
      <w:r w:rsidR="00423625">
        <w:rPr>
          <w:sz w:val="22"/>
          <w:szCs w:val="22"/>
        </w:rPr>
        <w:t xml:space="preserve"> </w:t>
      </w:r>
      <w:r w:rsidR="007C215D">
        <w:rPr>
          <w:sz w:val="22"/>
          <w:szCs w:val="22"/>
        </w:rPr>
        <w:t>Despite the 2014 guidance</w:t>
      </w:r>
      <w:r w:rsidR="00423625">
        <w:rPr>
          <w:sz w:val="22"/>
          <w:szCs w:val="22"/>
        </w:rPr>
        <w:t xml:space="preserve">, </w:t>
      </w:r>
      <w:r w:rsidRPr="00D842F3" w:rsidR="00D842F3">
        <w:rPr>
          <w:sz w:val="22"/>
          <w:szCs w:val="22"/>
        </w:rPr>
        <w:t>USAC’s recent quarterly filings reveal that USAC ha</w:t>
      </w:r>
      <w:r w:rsidR="003B3B56">
        <w:rPr>
          <w:sz w:val="22"/>
          <w:szCs w:val="22"/>
        </w:rPr>
        <w:t>s</w:t>
      </w:r>
      <w:r w:rsidRPr="00D842F3" w:rsidR="00D842F3">
        <w:rPr>
          <w:sz w:val="22"/>
          <w:szCs w:val="22"/>
        </w:rPr>
        <w:t xml:space="preserve"> been reserving some funds </w:t>
      </w:r>
      <w:r w:rsidR="003B3B56">
        <w:rPr>
          <w:sz w:val="22"/>
          <w:szCs w:val="22"/>
        </w:rPr>
        <w:t xml:space="preserve">for </w:t>
      </w:r>
      <w:r w:rsidR="007C215D">
        <w:rPr>
          <w:sz w:val="22"/>
          <w:szCs w:val="22"/>
        </w:rPr>
        <w:t xml:space="preserve">older </w:t>
      </w:r>
      <w:r w:rsidR="003B3B56">
        <w:rPr>
          <w:sz w:val="22"/>
          <w:szCs w:val="22"/>
        </w:rPr>
        <w:t xml:space="preserve">appeals </w:t>
      </w:r>
      <w:r w:rsidRPr="00D842F3" w:rsidR="00D842F3">
        <w:rPr>
          <w:sz w:val="22"/>
          <w:szCs w:val="22"/>
        </w:rPr>
        <w:t>on an ad hoc basis</w:t>
      </w:r>
      <w:r w:rsidR="00F45D71">
        <w:rPr>
          <w:sz w:val="22"/>
          <w:szCs w:val="22"/>
        </w:rPr>
        <w:t>.</w:t>
      </w:r>
      <w:r>
        <w:rPr>
          <w:rStyle w:val="FootnoteReference"/>
          <w:sz w:val="22"/>
          <w:szCs w:val="22"/>
        </w:rPr>
        <w:footnoteReference w:id="8"/>
      </w:r>
      <w:r w:rsidR="00F45D71">
        <w:rPr>
          <w:sz w:val="22"/>
          <w:szCs w:val="22"/>
        </w:rPr>
        <w:t xml:space="preserve"> </w:t>
      </w:r>
      <w:r w:rsidR="000B7C88">
        <w:rPr>
          <w:sz w:val="22"/>
          <w:szCs w:val="22"/>
        </w:rPr>
        <w:t xml:space="preserve"> Also, </w:t>
      </w:r>
      <w:r w:rsidR="00D144AD">
        <w:rPr>
          <w:sz w:val="22"/>
          <w:szCs w:val="22"/>
        </w:rPr>
        <w:t xml:space="preserve">the </w:t>
      </w:r>
      <w:r w:rsidR="006F293A">
        <w:rPr>
          <w:sz w:val="22"/>
          <w:szCs w:val="22"/>
        </w:rPr>
        <w:t xml:space="preserve">Commission’s </w:t>
      </w:r>
      <w:r w:rsidR="006F293A">
        <w:rPr>
          <w:i/>
          <w:sz w:val="22"/>
          <w:szCs w:val="22"/>
        </w:rPr>
        <w:t xml:space="preserve">Second </w:t>
      </w:r>
      <w:r w:rsidR="00213BA7">
        <w:rPr>
          <w:i/>
          <w:sz w:val="22"/>
          <w:szCs w:val="22"/>
        </w:rPr>
        <w:t xml:space="preserve">E-rate </w:t>
      </w:r>
      <w:r w:rsidR="006F293A">
        <w:rPr>
          <w:i/>
          <w:sz w:val="22"/>
          <w:szCs w:val="22"/>
        </w:rPr>
        <w:t>Modernization Order</w:t>
      </w:r>
      <w:r w:rsidR="000B7C88">
        <w:rPr>
          <w:sz w:val="22"/>
          <w:szCs w:val="22"/>
        </w:rPr>
        <w:t>, which</w:t>
      </w:r>
      <w:r w:rsidR="00033AEF">
        <w:rPr>
          <w:sz w:val="22"/>
          <w:szCs w:val="22"/>
        </w:rPr>
        <w:t xml:space="preserve"> </w:t>
      </w:r>
      <w:r w:rsidR="000B7C88">
        <w:rPr>
          <w:sz w:val="22"/>
          <w:szCs w:val="22"/>
        </w:rPr>
        <w:t>was released</w:t>
      </w:r>
      <w:r w:rsidR="00426183">
        <w:rPr>
          <w:sz w:val="22"/>
          <w:szCs w:val="22"/>
        </w:rPr>
        <w:t xml:space="preserve"> </w:t>
      </w:r>
      <w:r w:rsidR="009F7FA5">
        <w:rPr>
          <w:sz w:val="22"/>
          <w:szCs w:val="22"/>
        </w:rPr>
        <w:t xml:space="preserve">shortly </w:t>
      </w:r>
      <w:r w:rsidR="000B7C88">
        <w:rPr>
          <w:sz w:val="22"/>
          <w:szCs w:val="22"/>
        </w:rPr>
        <w:t xml:space="preserve">after the 2014 Letter was sent to USAC, </w:t>
      </w:r>
      <w:r w:rsidR="00033AEF">
        <w:rPr>
          <w:sz w:val="22"/>
          <w:szCs w:val="22"/>
        </w:rPr>
        <w:t xml:space="preserve">directed USAC </w:t>
      </w:r>
      <w:r w:rsidR="00D144AD">
        <w:rPr>
          <w:sz w:val="22"/>
          <w:szCs w:val="22"/>
        </w:rPr>
        <w:t>to review and upd</w:t>
      </w:r>
      <w:r w:rsidR="00A854C5">
        <w:rPr>
          <w:sz w:val="22"/>
          <w:szCs w:val="22"/>
        </w:rPr>
        <w:t>ate its processes for evaluating</w:t>
      </w:r>
      <w:r w:rsidR="00D144AD">
        <w:rPr>
          <w:sz w:val="22"/>
          <w:szCs w:val="22"/>
        </w:rPr>
        <w:t xml:space="preserve"> and</w:t>
      </w:r>
      <w:r w:rsidR="00A854C5">
        <w:rPr>
          <w:sz w:val="22"/>
          <w:szCs w:val="22"/>
        </w:rPr>
        <w:t xml:space="preserve"> recommending </w:t>
      </w:r>
      <w:r w:rsidR="000B7C88">
        <w:rPr>
          <w:sz w:val="22"/>
          <w:szCs w:val="22"/>
        </w:rPr>
        <w:t xml:space="preserve">reserve </w:t>
      </w:r>
      <w:r w:rsidR="00A854C5">
        <w:rPr>
          <w:sz w:val="22"/>
          <w:szCs w:val="22"/>
        </w:rPr>
        <w:t xml:space="preserve">amounts to fund </w:t>
      </w:r>
      <w:r w:rsidR="00861D4D">
        <w:rPr>
          <w:sz w:val="22"/>
          <w:szCs w:val="22"/>
        </w:rPr>
        <w:t xml:space="preserve">pending applications, </w:t>
      </w:r>
      <w:r w:rsidR="00A854C5">
        <w:rPr>
          <w:sz w:val="22"/>
          <w:szCs w:val="22"/>
        </w:rPr>
        <w:t>undisbursed funding commitments</w:t>
      </w:r>
      <w:r w:rsidR="00861D4D">
        <w:rPr>
          <w:sz w:val="22"/>
          <w:szCs w:val="22"/>
        </w:rPr>
        <w:t>, and pending appeals</w:t>
      </w:r>
      <w:r w:rsidR="00A854C5">
        <w:rPr>
          <w:sz w:val="22"/>
          <w:szCs w:val="22"/>
        </w:rPr>
        <w:t>.</w:t>
      </w:r>
      <w:r>
        <w:rPr>
          <w:rStyle w:val="FootnoteReference"/>
          <w:sz w:val="22"/>
          <w:szCs w:val="22"/>
        </w:rPr>
        <w:footnoteReference w:id="9"/>
      </w:r>
      <w:r w:rsidR="0090464A">
        <w:rPr>
          <w:sz w:val="22"/>
          <w:szCs w:val="22"/>
        </w:rPr>
        <w:t xml:space="preserve">  </w:t>
      </w:r>
      <w:r w:rsidR="00423625">
        <w:rPr>
          <w:sz w:val="22"/>
          <w:szCs w:val="22"/>
        </w:rPr>
        <w:t>T</w:t>
      </w:r>
      <w:r w:rsidR="009A513E">
        <w:rPr>
          <w:sz w:val="22"/>
          <w:szCs w:val="22"/>
        </w:rPr>
        <w:t>herefore, today’s</w:t>
      </w:r>
      <w:r w:rsidR="00423625">
        <w:rPr>
          <w:sz w:val="22"/>
          <w:szCs w:val="22"/>
        </w:rPr>
        <w:t xml:space="preserve"> letter</w:t>
      </w:r>
      <w:r w:rsidR="00643E55">
        <w:rPr>
          <w:sz w:val="22"/>
          <w:szCs w:val="22"/>
        </w:rPr>
        <w:t xml:space="preserve"> </w:t>
      </w:r>
      <w:r w:rsidR="00423625">
        <w:rPr>
          <w:sz w:val="22"/>
          <w:szCs w:val="22"/>
        </w:rPr>
        <w:t xml:space="preserve">seeks to </w:t>
      </w:r>
      <w:r w:rsidRPr="007B0102" w:rsidR="007B0102">
        <w:rPr>
          <w:sz w:val="22"/>
          <w:szCs w:val="22"/>
        </w:rPr>
        <w:t xml:space="preserve">clarify the different instructions that came in </w:t>
      </w:r>
      <w:r w:rsidR="00423625">
        <w:rPr>
          <w:sz w:val="22"/>
          <w:szCs w:val="22"/>
        </w:rPr>
        <w:t xml:space="preserve">the 2014 Letter and the </w:t>
      </w:r>
      <w:r w:rsidRPr="003371DD" w:rsidR="00423625">
        <w:rPr>
          <w:i/>
          <w:sz w:val="22"/>
          <w:szCs w:val="22"/>
        </w:rPr>
        <w:t xml:space="preserve">Second </w:t>
      </w:r>
      <w:r w:rsidR="00213BA7">
        <w:rPr>
          <w:i/>
          <w:sz w:val="22"/>
          <w:szCs w:val="22"/>
        </w:rPr>
        <w:t xml:space="preserve">E-rate </w:t>
      </w:r>
      <w:r w:rsidRPr="003371DD" w:rsidR="00423625">
        <w:rPr>
          <w:i/>
          <w:sz w:val="22"/>
          <w:szCs w:val="22"/>
        </w:rPr>
        <w:t>Modernization Order</w:t>
      </w:r>
      <w:r w:rsidR="009F7FA5">
        <w:rPr>
          <w:sz w:val="22"/>
          <w:szCs w:val="22"/>
        </w:rPr>
        <w:t xml:space="preserve">, provide a clearer and more consistent E-rate </w:t>
      </w:r>
      <w:r w:rsidR="00861D4D">
        <w:rPr>
          <w:sz w:val="22"/>
          <w:szCs w:val="22"/>
        </w:rPr>
        <w:t xml:space="preserve">fund </w:t>
      </w:r>
      <w:r w:rsidR="009F7FA5">
        <w:rPr>
          <w:sz w:val="22"/>
          <w:szCs w:val="22"/>
        </w:rPr>
        <w:t xml:space="preserve">reserve practice for USAC to follow, and emphasize that the Commission expects USAC to </w:t>
      </w:r>
      <w:r w:rsidR="00877341">
        <w:rPr>
          <w:sz w:val="22"/>
          <w:szCs w:val="22"/>
        </w:rPr>
        <w:t>implement the guidance contained in this letter</w:t>
      </w:r>
      <w:r w:rsidR="003B3B56">
        <w:rPr>
          <w:sz w:val="22"/>
          <w:szCs w:val="22"/>
        </w:rPr>
        <w:t>.</w:t>
      </w:r>
      <w:r w:rsidR="00EF4498">
        <w:rPr>
          <w:sz w:val="22"/>
          <w:szCs w:val="22"/>
        </w:rPr>
        <w:t xml:space="preserve">  </w:t>
      </w:r>
    </w:p>
    <w:p w:rsidR="00957100" w:rsidRPr="005718E3" w:rsidP="00F45D71">
      <w:pPr>
        <w:ind w:firstLine="720"/>
        <w:rPr>
          <w:sz w:val="22"/>
          <w:szCs w:val="22"/>
        </w:rPr>
      </w:pPr>
    </w:p>
    <w:p w:rsidR="00F71EC8" w:rsidP="00554805">
      <w:pPr>
        <w:ind w:firstLine="720"/>
        <w:rPr>
          <w:sz w:val="22"/>
          <w:szCs w:val="22"/>
        </w:rPr>
      </w:pPr>
      <w:r>
        <w:rPr>
          <w:sz w:val="22"/>
          <w:szCs w:val="22"/>
        </w:rPr>
        <w:t>As mentioned above, t</w:t>
      </w:r>
      <w:r w:rsidR="000B7C88">
        <w:rPr>
          <w:sz w:val="22"/>
          <w:szCs w:val="22"/>
        </w:rPr>
        <w:t xml:space="preserve">here are three categories for which USAC should maintain </w:t>
      </w:r>
      <w:r w:rsidRPr="00E24E2C" w:rsidR="00E24E2C">
        <w:rPr>
          <w:sz w:val="22"/>
          <w:szCs w:val="22"/>
        </w:rPr>
        <w:t>reserve</w:t>
      </w:r>
      <w:r w:rsidR="000B7C88">
        <w:rPr>
          <w:sz w:val="22"/>
          <w:szCs w:val="22"/>
        </w:rPr>
        <w:t>s</w:t>
      </w:r>
      <w:r w:rsidRPr="00E24E2C" w:rsidR="00E24E2C">
        <w:rPr>
          <w:sz w:val="22"/>
          <w:szCs w:val="22"/>
        </w:rPr>
        <w:t xml:space="preserve">: (1) </w:t>
      </w:r>
      <w:r w:rsidR="00577EFE">
        <w:rPr>
          <w:sz w:val="22"/>
          <w:szCs w:val="22"/>
        </w:rPr>
        <w:t xml:space="preserve">pending applications; </w:t>
      </w:r>
      <w:r w:rsidRPr="00E24E2C" w:rsidR="00E24E2C">
        <w:rPr>
          <w:sz w:val="22"/>
          <w:szCs w:val="22"/>
        </w:rPr>
        <w:t>(2) funding that has been committed but not</w:t>
      </w:r>
      <w:r w:rsidR="000607AD">
        <w:rPr>
          <w:sz w:val="22"/>
          <w:szCs w:val="22"/>
        </w:rPr>
        <w:t xml:space="preserve"> </w:t>
      </w:r>
      <w:r w:rsidR="00577EFE">
        <w:rPr>
          <w:sz w:val="22"/>
          <w:szCs w:val="22"/>
        </w:rPr>
        <w:t xml:space="preserve">yet </w:t>
      </w:r>
      <w:r w:rsidRPr="00E24E2C" w:rsidR="00E24E2C">
        <w:rPr>
          <w:sz w:val="22"/>
          <w:szCs w:val="22"/>
        </w:rPr>
        <w:t xml:space="preserve">disbursed; and (3) </w:t>
      </w:r>
      <w:r w:rsidR="00577EFE">
        <w:rPr>
          <w:sz w:val="22"/>
          <w:szCs w:val="22"/>
        </w:rPr>
        <w:t xml:space="preserve">appeals pending with </w:t>
      </w:r>
      <w:r w:rsidRPr="00E24E2C" w:rsidR="00E24E2C">
        <w:rPr>
          <w:sz w:val="22"/>
          <w:szCs w:val="22"/>
        </w:rPr>
        <w:t xml:space="preserve">USAC </w:t>
      </w:r>
      <w:r w:rsidR="00861D4D">
        <w:rPr>
          <w:sz w:val="22"/>
          <w:szCs w:val="22"/>
        </w:rPr>
        <w:t>and</w:t>
      </w:r>
      <w:r w:rsidR="00FE3A54">
        <w:rPr>
          <w:sz w:val="22"/>
          <w:szCs w:val="22"/>
        </w:rPr>
        <w:t xml:space="preserve"> </w:t>
      </w:r>
      <w:r w:rsidRPr="00E24E2C" w:rsidR="00E24E2C">
        <w:rPr>
          <w:sz w:val="22"/>
          <w:szCs w:val="22"/>
        </w:rPr>
        <w:t>the Commission.</w:t>
      </w:r>
      <w:r w:rsidR="000607AD">
        <w:rPr>
          <w:sz w:val="22"/>
          <w:szCs w:val="22"/>
        </w:rPr>
        <w:t xml:space="preserve">  </w:t>
      </w:r>
      <w:r w:rsidR="003C52B5">
        <w:rPr>
          <w:sz w:val="22"/>
          <w:szCs w:val="22"/>
        </w:rPr>
        <w:t xml:space="preserve">We direct </w:t>
      </w:r>
      <w:r w:rsidRPr="00E24E2C" w:rsidR="00577EFE">
        <w:rPr>
          <w:sz w:val="22"/>
          <w:szCs w:val="22"/>
        </w:rPr>
        <w:t>USAC</w:t>
      </w:r>
      <w:r w:rsidR="003C52B5">
        <w:rPr>
          <w:sz w:val="22"/>
          <w:szCs w:val="22"/>
        </w:rPr>
        <w:t xml:space="preserve"> to</w:t>
      </w:r>
      <w:r w:rsidRPr="00E24E2C" w:rsidR="00577EFE">
        <w:rPr>
          <w:sz w:val="22"/>
          <w:szCs w:val="22"/>
        </w:rPr>
        <w:t xml:space="preserve"> reserve 100 percent </w:t>
      </w:r>
      <w:r w:rsidR="00577EFE">
        <w:rPr>
          <w:sz w:val="22"/>
          <w:szCs w:val="22"/>
        </w:rPr>
        <w:t>of the funds it would need for all of these categories of potential disbursements.</w:t>
      </w:r>
      <w:r>
        <w:rPr>
          <w:rStyle w:val="FootnoteReference"/>
          <w:sz w:val="22"/>
          <w:szCs w:val="22"/>
        </w:rPr>
        <w:footnoteReference w:id="10"/>
      </w:r>
      <w:r w:rsidR="00577EFE">
        <w:rPr>
          <w:sz w:val="22"/>
          <w:szCs w:val="22"/>
        </w:rPr>
        <w:t xml:space="preserve">  </w:t>
      </w:r>
    </w:p>
    <w:p w:rsidR="00F71EC8" w:rsidP="00554805">
      <w:pPr>
        <w:ind w:firstLine="720"/>
        <w:rPr>
          <w:sz w:val="22"/>
          <w:szCs w:val="22"/>
        </w:rPr>
      </w:pPr>
    </w:p>
    <w:p w:rsidR="00AB7DE6" w:rsidP="00554805">
      <w:pPr>
        <w:ind w:firstLine="720"/>
        <w:rPr>
          <w:sz w:val="22"/>
          <w:szCs w:val="22"/>
        </w:rPr>
      </w:pPr>
      <w:r>
        <w:rPr>
          <w:sz w:val="22"/>
          <w:szCs w:val="22"/>
        </w:rPr>
        <w:t xml:space="preserve">For the first category, pending applications, </w:t>
      </w:r>
      <w:r w:rsidR="00F71EC8">
        <w:rPr>
          <w:sz w:val="22"/>
          <w:szCs w:val="22"/>
        </w:rPr>
        <w:t xml:space="preserve">the amount reserved should equal </w:t>
      </w:r>
      <w:r w:rsidRPr="00B5713E" w:rsidR="00B5713E">
        <w:rPr>
          <w:sz w:val="22"/>
          <w:szCs w:val="22"/>
        </w:rPr>
        <w:t>the amounts requested in applications for which USAC has not yet issued a funding commitment decision letter (FCDL)</w:t>
      </w:r>
      <w:r w:rsidR="00DD7B6E">
        <w:rPr>
          <w:sz w:val="22"/>
          <w:szCs w:val="22"/>
        </w:rPr>
        <w:t xml:space="preserve">, which is the decision </w:t>
      </w:r>
      <w:r w:rsidR="00745DFC">
        <w:rPr>
          <w:sz w:val="22"/>
          <w:szCs w:val="22"/>
        </w:rPr>
        <w:t xml:space="preserve">letter informing applicants </w:t>
      </w:r>
      <w:r w:rsidR="00DD7B6E">
        <w:rPr>
          <w:sz w:val="22"/>
          <w:szCs w:val="22"/>
        </w:rPr>
        <w:t xml:space="preserve">whether </w:t>
      </w:r>
      <w:r w:rsidR="00745DFC">
        <w:rPr>
          <w:sz w:val="22"/>
          <w:szCs w:val="22"/>
        </w:rPr>
        <w:t xml:space="preserve">the funds requested have been </w:t>
      </w:r>
      <w:r w:rsidR="00DD7B6E">
        <w:rPr>
          <w:sz w:val="22"/>
          <w:szCs w:val="22"/>
        </w:rPr>
        <w:t>granted or denied</w:t>
      </w:r>
      <w:r w:rsidR="00B5713E">
        <w:rPr>
          <w:sz w:val="22"/>
          <w:szCs w:val="22"/>
        </w:rPr>
        <w:t xml:space="preserve">.  </w:t>
      </w:r>
      <w:r>
        <w:rPr>
          <w:sz w:val="22"/>
          <w:szCs w:val="22"/>
        </w:rPr>
        <w:t xml:space="preserve">USAC </w:t>
      </w:r>
      <w:r>
        <w:rPr>
          <w:sz w:val="22"/>
          <w:szCs w:val="22"/>
        </w:rPr>
        <w:t>sh</w:t>
      </w:r>
      <w:r w:rsidR="00AB146B">
        <w:rPr>
          <w:sz w:val="22"/>
          <w:szCs w:val="22"/>
        </w:rPr>
        <w:t xml:space="preserve">ould reserve 100 percent for </w:t>
      </w:r>
      <w:r w:rsidR="00861D4D">
        <w:rPr>
          <w:sz w:val="22"/>
          <w:szCs w:val="22"/>
        </w:rPr>
        <w:t xml:space="preserve">these </w:t>
      </w:r>
      <w:r w:rsidR="00AB146B">
        <w:rPr>
          <w:sz w:val="22"/>
          <w:szCs w:val="22"/>
        </w:rPr>
        <w:t xml:space="preserve">funding requests </w:t>
      </w:r>
      <w:r>
        <w:rPr>
          <w:sz w:val="22"/>
          <w:szCs w:val="22"/>
        </w:rPr>
        <w:t>until a decisio</w:t>
      </w:r>
      <w:r w:rsidR="00AB146B">
        <w:rPr>
          <w:sz w:val="22"/>
          <w:szCs w:val="22"/>
        </w:rPr>
        <w:t>n is made to grant or deny the funding</w:t>
      </w:r>
      <w:r>
        <w:rPr>
          <w:sz w:val="22"/>
          <w:szCs w:val="22"/>
        </w:rPr>
        <w:t xml:space="preserve">.  As explained below, any </w:t>
      </w:r>
      <w:r w:rsidR="00AB146B">
        <w:rPr>
          <w:sz w:val="22"/>
          <w:szCs w:val="22"/>
        </w:rPr>
        <w:t xml:space="preserve">funding request </w:t>
      </w:r>
      <w:r>
        <w:rPr>
          <w:sz w:val="22"/>
          <w:szCs w:val="22"/>
        </w:rPr>
        <w:t xml:space="preserve">amounts that are denied should </w:t>
      </w:r>
      <w:r w:rsidR="00601F26">
        <w:rPr>
          <w:sz w:val="22"/>
          <w:szCs w:val="22"/>
        </w:rPr>
        <w:t>no longer be reserved</w:t>
      </w:r>
      <w:r>
        <w:rPr>
          <w:sz w:val="22"/>
          <w:szCs w:val="22"/>
        </w:rPr>
        <w:t xml:space="preserve"> and </w:t>
      </w:r>
      <w:r w:rsidR="00601F26">
        <w:rPr>
          <w:sz w:val="22"/>
          <w:szCs w:val="22"/>
        </w:rPr>
        <w:t xml:space="preserve">should be </w:t>
      </w:r>
      <w:r>
        <w:rPr>
          <w:sz w:val="22"/>
          <w:szCs w:val="22"/>
        </w:rPr>
        <w:t xml:space="preserve">included in the carry forward amount.  </w:t>
      </w:r>
      <w:r>
        <w:rPr>
          <w:sz w:val="22"/>
          <w:szCs w:val="22"/>
        </w:rPr>
        <w:t xml:space="preserve">Any amounts that are granted would shift to the second category </w:t>
      </w:r>
      <w:r w:rsidRPr="00641AE0" w:rsidR="00641AE0">
        <w:rPr>
          <w:sz w:val="22"/>
          <w:szCs w:val="22"/>
        </w:rPr>
        <w:t>–</w:t>
      </w:r>
      <w:r>
        <w:rPr>
          <w:sz w:val="22"/>
          <w:szCs w:val="22"/>
        </w:rPr>
        <w:t xml:space="preserve"> committed-but-</w:t>
      </w:r>
      <w:r w:rsidRPr="00BC41F3">
        <w:rPr>
          <w:sz w:val="22"/>
          <w:szCs w:val="22"/>
        </w:rPr>
        <w:t>undisbursed funds</w:t>
      </w:r>
      <w:r>
        <w:rPr>
          <w:sz w:val="22"/>
          <w:szCs w:val="22"/>
        </w:rPr>
        <w:t xml:space="preserve">.  </w:t>
      </w:r>
    </w:p>
    <w:p w:rsidR="00AB7DE6" w:rsidP="00554805">
      <w:pPr>
        <w:ind w:firstLine="720"/>
        <w:rPr>
          <w:sz w:val="22"/>
          <w:szCs w:val="22"/>
        </w:rPr>
      </w:pPr>
    </w:p>
    <w:p w:rsidR="00AB7DE6" w:rsidP="00554805">
      <w:pPr>
        <w:ind w:firstLine="720"/>
        <w:rPr>
          <w:sz w:val="22"/>
          <w:szCs w:val="22"/>
        </w:rPr>
      </w:pPr>
      <w:r>
        <w:rPr>
          <w:sz w:val="22"/>
          <w:szCs w:val="22"/>
        </w:rPr>
        <w:t>For t</w:t>
      </w:r>
      <w:r w:rsidR="00AB146B">
        <w:rPr>
          <w:sz w:val="22"/>
          <w:szCs w:val="22"/>
        </w:rPr>
        <w:t xml:space="preserve">he second category – committed-but-undisbursed funds – </w:t>
      </w:r>
      <w:r w:rsidR="00F71EC8">
        <w:rPr>
          <w:sz w:val="22"/>
          <w:szCs w:val="22"/>
        </w:rPr>
        <w:t xml:space="preserve">the amount reserved </w:t>
      </w:r>
      <w:r w:rsidR="00AB146B">
        <w:rPr>
          <w:sz w:val="22"/>
          <w:szCs w:val="22"/>
        </w:rPr>
        <w:t>should include</w:t>
      </w:r>
      <w:r w:rsidR="00F71EC8">
        <w:rPr>
          <w:sz w:val="22"/>
          <w:szCs w:val="22"/>
        </w:rPr>
        <w:t xml:space="preserve"> </w:t>
      </w:r>
      <w:r w:rsidR="00AB146B">
        <w:rPr>
          <w:sz w:val="22"/>
          <w:szCs w:val="22"/>
        </w:rPr>
        <w:t xml:space="preserve">any </w:t>
      </w:r>
      <w:r w:rsidR="00DA21CC">
        <w:rPr>
          <w:sz w:val="22"/>
          <w:szCs w:val="22"/>
        </w:rPr>
        <w:t xml:space="preserve">funding that has been granted through a </w:t>
      </w:r>
      <w:r w:rsidR="00AB146B">
        <w:rPr>
          <w:sz w:val="22"/>
          <w:szCs w:val="22"/>
        </w:rPr>
        <w:t xml:space="preserve">FCDL.  </w:t>
      </w:r>
      <w:r w:rsidR="00F71EC8">
        <w:rPr>
          <w:sz w:val="22"/>
          <w:szCs w:val="22"/>
        </w:rPr>
        <w:t xml:space="preserve">The amount reserved should be adjusted downward once </w:t>
      </w:r>
      <w:r w:rsidR="00AB146B">
        <w:rPr>
          <w:sz w:val="22"/>
          <w:szCs w:val="22"/>
        </w:rPr>
        <w:t>these amounts are invoiced</w:t>
      </w:r>
      <w:r w:rsidR="003C52B5">
        <w:rPr>
          <w:sz w:val="22"/>
          <w:szCs w:val="22"/>
        </w:rPr>
        <w:t xml:space="preserve"> and paid</w:t>
      </w:r>
      <w:r w:rsidR="006C4734">
        <w:rPr>
          <w:sz w:val="22"/>
          <w:szCs w:val="22"/>
        </w:rPr>
        <w:t xml:space="preserve"> or once an applicant misses the invoice deadline or fails to request an extension of the invoice deadline</w:t>
      </w:r>
      <w:r w:rsidR="00F71EC8">
        <w:rPr>
          <w:sz w:val="22"/>
          <w:szCs w:val="22"/>
        </w:rPr>
        <w:t>.</w:t>
      </w:r>
      <w:r w:rsidR="00745DFC">
        <w:rPr>
          <w:sz w:val="22"/>
          <w:szCs w:val="22"/>
        </w:rPr>
        <w:t xml:space="preserve"> </w:t>
      </w:r>
      <w:r w:rsidR="00AB146B">
        <w:rPr>
          <w:sz w:val="22"/>
          <w:szCs w:val="22"/>
        </w:rPr>
        <w:t xml:space="preserve"> If an applicant has not yet invoiced but has submitted a timely </w:t>
      </w:r>
      <w:r w:rsidR="00423625">
        <w:rPr>
          <w:sz w:val="22"/>
          <w:szCs w:val="22"/>
        </w:rPr>
        <w:t>invoice extension request</w:t>
      </w:r>
      <w:r w:rsidR="00AB146B">
        <w:rPr>
          <w:sz w:val="22"/>
          <w:szCs w:val="22"/>
        </w:rPr>
        <w:t xml:space="preserve">, the amount of the commitment </w:t>
      </w:r>
      <w:r w:rsidR="00423625">
        <w:rPr>
          <w:sz w:val="22"/>
          <w:szCs w:val="22"/>
        </w:rPr>
        <w:t xml:space="preserve">should </w:t>
      </w:r>
      <w:r w:rsidR="00AB146B">
        <w:rPr>
          <w:sz w:val="22"/>
          <w:szCs w:val="22"/>
        </w:rPr>
        <w:t xml:space="preserve">remain reserved in the category of </w:t>
      </w:r>
      <w:r w:rsidR="00423625">
        <w:rPr>
          <w:sz w:val="22"/>
          <w:szCs w:val="22"/>
        </w:rPr>
        <w:t>committed</w:t>
      </w:r>
      <w:r w:rsidR="009F7FA5">
        <w:rPr>
          <w:sz w:val="22"/>
          <w:szCs w:val="22"/>
        </w:rPr>
        <w:t>-</w:t>
      </w:r>
      <w:r w:rsidR="00423625">
        <w:rPr>
          <w:sz w:val="22"/>
          <w:szCs w:val="22"/>
        </w:rPr>
        <w:t>but</w:t>
      </w:r>
      <w:r w:rsidR="009F7FA5">
        <w:rPr>
          <w:sz w:val="22"/>
          <w:szCs w:val="22"/>
        </w:rPr>
        <w:t>-</w:t>
      </w:r>
      <w:r w:rsidR="00423625">
        <w:rPr>
          <w:sz w:val="22"/>
          <w:szCs w:val="22"/>
        </w:rPr>
        <w:t>undisbursed funds</w:t>
      </w:r>
      <w:r w:rsidR="001075B3">
        <w:rPr>
          <w:sz w:val="22"/>
          <w:szCs w:val="22"/>
        </w:rPr>
        <w:t xml:space="preserve"> until the invoice is paid or the extension expires</w:t>
      </w:r>
      <w:r w:rsidR="009F7FA5">
        <w:rPr>
          <w:sz w:val="22"/>
          <w:szCs w:val="22"/>
        </w:rPr>
        <w:t>.</w:t>
      </w:r>
      <w:r>
        <w:rPr>
          <w:rStyle w:val="FootnoteReference"/>
          <w:sz w:val="22"/>
          <w:szCs w:val="22"/>
        </w:rPr>
        <w:footnoteReference w:id="11"/>
      </w:r>
      <w:r w:rsidR="00423625">
        <w:rPr>
          <w:sz w:val="22"/>
          <w:szCs w:val="22"/>
        </w:rPr>
        <w:t xml:space="preserve"> </w:t>
      </w:r>
      <w:r w:rsidR="00643E55">
        <w:rPr>
          <w:sz w:val="22"/>
          <w:szCs w:val="22"/>
        </w:rPr>
        <w:t xml:space="preserve"> </w:t>
      </w:r>
      <w:r w:rsidRPr="00BC41F3" w:rsidR="00BC41F3">
        <w:rPr>
          <w:sz w:val="22"/>
          <w:szCs w:val="22"/>
        </w:rPr>
        <w:t>USAC is able to determine the dollars associated with invoice extensions</w:t>
      </w:r>
      <w:r w:rsidR="00BC41F3">
        <w:rPr>
          <w:sz w:val="22"/>
          <w:szCs w:val="22"/>
        </w:rPr>
        <w:t>,</w:t>
      </w:r>
      <w:r w:rsidRPr="00BC41F3" w:rsidR="00BC41F3">
        <w:rPr>
          <w:sz w:val="22"/>
          <w:szCs w:val="22"/>
        </w:rPr>
        <w:t xml:space="preserve"> </w:t>
      </w:r>
      <w:r w:rsidR="00032022">
        <w:rPr>
          <w:sz w:val="22"/>
          <w:szCs w:val="22"/>
        </w:rPr>
        <w:t xml:space="preserve">now that </w:t>
      </w:r>
      <w:r w:rsidR="00E85BF7">
        <w:rPr>
          <w:sz w:val="22"/>
          <w:szCs w:val="22"/>
        </w:rPr>
        <w:t xml:space="preserve">the </w:t>
      </w:r>
      <w:r w:rsidR="00423625">
        <w:rPr>
          <w:sz w:val="22"/>
          <w:szCs w:val="22"/>
        </w:rPr>
        <w:t>invoicing deadline</w:t>
      </w:r>
      <w:r w:rsidR="00E85BF7">
        <w:rPr>
          <w:sz w:val="22"/>
          <w:szCs w:val="22"/>
        </w:rPr>
        <w:t xml:space="preserve"> is firmly established in the Commission’s rules, </w:t>
      </w:r>
      <w:r w:rsidRPr="00423625" w:rsidR="00423625">
        <w:rPr>
          <w:sz w:val="22"/>
          <w:szCs w:val="22"/>
        </w:rPr>
        <w:t>and can take those amounts into account when analyzing the amount of funding to be reserved for committed funds</w:t>
      </w:r>
      <w:r w:rsidR="00423625">
        <w:rPr>
          <w:sz w:val="22"/>
          <w:szCs w:val="22"/>
        </w:rPr>
        <w:t>.</w:t>
      </w:r>
      <w:r>
        <w:rPr>
          <w:rStyle w:val="FootnoteReference"/>
          <w:sz w:val="22"/>
          <w:szCs w:val="22"/>
        </w:rPr>
        <w:footnoteReference w:id="12"/>
      </w:r>
      <w:r w:rsidR="00423625">
        <w:rPr>
          <w:sz w:val="22"/>
          <w:szCs w:val="22"/>
        </w:rPr>
        <w:t xml:space="preserve">  </w:t>
      </w:r>
      <w:r w:rsidR="003C52B5">
        <w:rPr>
          <w:sz w:val="22"/>
          <w:szCs w:val="22"/>
        </w:rPr>
        <w:t>Also, if an</w:t>
      </w:r>
      <w:r w:rsidR="006C4734">
        <w:rPr>
          <w:sz w:val="22"/>
          <w:szCs w:val="22"/>
        </w:rPr>
        <w:t xml:space="preserve"> applicant has filed an invoice</w:t>
      </w:r>
      <w:r w:rsidR="003C52B5">
        <w:rPr>
          <w:sz w:val="22"/>
          <w:szCs w:val="22"/>
        </w:rPr>
        <w:t xml:space="preserve"> on a timely basis, but the invoice is being held by USAC for further review, there should continue </w:t>
      </w:r>
      <w:r w:rsidR="00745DFC">
        <w:rPr>
          <w:sz w:val="22"/>
          <w:szCs w:val="22"/>
        </w:rPr>
        <w:t>to be a reserve for these dollars</w:t>
      </w:r>
      <w:r w:rsidR="003C52B5">
        <w:rPr>
          <w:sz w:val="22"/>
          <w:szCs w:val="22"/>
        </w:rPr>
        <w:t xml:space="preserve"> </w:t>
      </w:r>
      <w:r>
        <w:rPr>
          <w:sz w:val="22"/>
          <w:szCs w:val="22"/>
        </w:rPr>
        <w:t xml:space="preserve">in the </w:t>
      </w:r>
      <w:r w:rsidRPr="00AB7DE6">
        <w:rPr>
          <w:sz w:val="22"/>
          <w:szCs w:val="22"/>
        </w:rPr>
        <w:t xml:space="preserve">committed-but-undisbursed funds </w:t>
      </w:r>
      <w:r>
        <w:rPr>
          <w:sz w:val="22"/>
          <w:szCs w:val="22"/>
        </w:rPr>
        <w:t xml:space="preserve">category </w:t>
      </w:r>
      <w:r w:rsidR="003C52B5">
        <w:rPr>
          <w:sz w:val="22"/>
          <w:szCs w:val="22"/>
        </w:rPr>
        <w:t xml:space="preserve">until the matter is resolved.  </w:t>
      </w:r>
    </w:p>
    <w:p w:rsidR="00AB7DE6" w:rsidP="00554805">
      <w:pPr>
        <w:ind w:firstLine="720"/>
        <w:rPr>
          <w:sz w:val="22"/>
          <w:szCs w:val="22"/>
        </w:rPr>
      </w:pPr>
    </w:p>
    <w:p w:rsidR="0037420E" w:rsidP="00554805">
      <w:pPr>
        <w:ind w:firstLine="720"/>
        <w:rPr>
          <w:sz w:val="22"/>
          <w:szCs w:val="22"/>
        </w:rPr>
      </w:pPr>
      <w:r>
        <w:rPr>
          <w:sz w:val="22"/>
          <w:szCs w:val="22"/>
        </w:rPr>
        <w:t>T</w:t>
      </w:r>
      <w:r w:rsidR="003C52B5">
        <w:rPr>
          <w:sz w:val="22"/>
          <w:szCs w:val="22"/>
        </w:rPr>
        <w:t xml:space="preserve">he third category, pending appeals, should include reserves for all appeals (or waivers) that </w:t>
      </w:r>
      <w:r>
        <w:rPr>
          <w:sz w:val="22"/>
          <w:szCs w:val="22"/>
        </w:rPr>
        <w:t xml:space="preserve">have been filed </w:t>
      </w:r>
      <w:r w:rsidR="003C52B5">
        <w:rPr>
          <w:sz w:val="22"/>
          <w:szCs w:val="22"/>
        </w:rPr>
        <w:t xml:space="preserve">with </w:t>
      </w:r>
      <w:r w:rsidR="00D678BE">
        <w:rPr>
          <w:sz w:val="22"/>
          <w:szCs w:val="22"/>
        </w:rPr>
        <w:t xml:space="preserve">either </w:t>
      </w:r>
      <w:r w:rsidR="003C52B5">
        <w:rPr>
          <w:sz w:val="22"/>
          <w:szCs w:val="22"/>
        </w:rPr>
        <w:t xml:space="preserve">USAC </w:t>
      </w:r>
      <w:r w:rsidR="00D678BE">
        <w:rPr>
          <w:sz w:val="22"/>
          <w:szCs w:val="22"/>
        </w:rPr>
        <w:t xml:space="preserve">or </w:t>
      </w:r>
      <w:r w:rsidR="003C52B5">
        <w:rPr>
          <w:sz w:val="22"/>
          <w:szCs w:val="22"/>
        </w:rPr>
        <w:t>the Commission.  This would include, for example, the amount at issue in an appeal that is filed with USAC after USAC denies a funding request</w:t>
      </w:r>
      <w:r w:rsidR="00B5713E">
        <w:rPr>
          <w:sz w:val="22"/>
          <w:szCs w:val="22"/>
        </w:rPr>
        <w:t xml:space="preserve"> or invoice</w:t>
      </w:r>
      <w:r w:rsidR="003C52B5">
        <w:rPr>
          <w:sz w:val="22"/>
          <w:szCs w:val="22"/>
        </w:rPr>
        <w:t>.  USAC should not</w:t>
      </w:r>
      <w:r>
        <w:rPr>
          <w:sz w:val="22"/>
          <w:szCs w:val="22"/>
        </w:rPr>
        <w:t>, however,</w:t>
      </w:r>
      <w:r w:rsidR="003C52B5">
        <w:rPr>
          <w:sz w:val="22"/>
          <w:szCs w:val="22"/>
        </w:rPr>
        <w:t xml:space="preserve"> reserve </w:t>
      </w:r>
      <w:r w:rsidR="0061042D">
        <w:rPr>
          <w:sz w:val="22"/>
          <w:szCs w:val="22"/>
        </w:rPr>
        <w:t xml:space="preserve">funds </w:t>
      </w:r>
      <w:r w:rsidR="003C52B5">
        <w:rPr>
          <w:sz w:val="22"/>
          <w:szCs w:val="22"/>
        </w:rPr>
        <w:t>for appeals in this category until an actual appeal (or waiver) has been filed.</w:t>
      </w:r>
      <w:r>
        <w:rPr>
          <w:rStyle w:val="FootnoteReference"/>
          <w:sz w:val="22"/>
          <w:szCs w:val="22"/>
        </w:rPr>
        <w:footnoteReference w:id="13"/>
      </w:r>
      <w:r w:rsidR="003C52B5">
        <w:rPr>
          <w:sz w:val="22"/>
          <w:szCs w:val="22"/>
        </w:rPr>
        <w:t xml:space="preserve">  </w:t>
      </w:r>
      <w:r>
        <w:rPr>
          <w:sz w:val="22"/>
          <w:szCs w:val="22"/>
        </w:rPr>
        <w:t xml:space="preserve">Additionally, USAC should not </w:t>
      </w:r>
      <w:r w:rsidR="003C52B5">
        <w:rPr>
          <w:sz w:val="22"/>
          <w:szCs w:val="22"/>
        </w:rPr>
        <w:t>reserve</w:t>
      </w:r>
      <w:r w:rsidR="00641AE0">
        <w:rPr>
          <w:sz w:val="22"/>
          <w:szCs w:val="22"/>
        </w:rPr>
        <w:t xml:space="preserve"> funds</w:t>
      </w:r>
      <w:r w:rsidR="003C52B5">
        <w:rPr>
          <w:sz w:val="22"/>
          <w:szCs w:val="22"/>
        </w:rPr>
        <w:t xml:space="preserve"> for appeals resulting from any USAC decision to seek reimbursement of funds already disbursed.  When there is no potential for a future disbursement on a pending appeal, there should be no reserve for that appeal.</w:t>
      </w:r>
    </w:p>
    <w:p w:rsidR="0037420E" w:rsidP="00554805">
      <w:pPr>
        <w:ind w:firstLine="720"/>
        <w:rPr>
          <w:sz w:val="22"/>
          <w:szCs w:val="22"/>
        </w:rPr>
      </w:pPr>
    </w:p>
    <w:p w:rsidR="00643ABD" w:rsidP="007A4F48">
      <w:pPr>
        <w:ind w:firstLine="720"/>
        <w:rPr>
          <w:sz w:val="22"/>
          <w:szCs w:val="22"/>
        </w:rPr>
      </w:pPr>
      <w:r>
        <w:rPr>
          <w:sz w:val="22"/>
        </w:rPr>
        <w:t>Th</w:t>
      </w:r>
      <w:r w:rsidR="00AB7DE6">
        <w:rPr>
          <w:sz w:val="22"/>
        </w:rPr>
        <w:t xml:space="preserve">e direction to reserve 100 percent for </w:t>
      </w:r>
      <w:r w:rsidR="007A4F48">
        <w:rPr>
          <w:sz w:val="22"/>
        </w:rPr>
        <w:t>the above-referenced categories</w:t>
      </w:r>
      <w:r>
        <w:rPr>
          <w:sz w:val="22"/>
        </w:rPr>
        <w:t xml:space="preserve"> </w:t>
      </w:r>
      <w:r w:rsidR="00D43E66">
        <w:rPr>
          <w:sz w:val="22"/>
        </w:rPr>
        <w:t xml:space="preserve">alters </w:t>
      </w:r>
      <w:r>
        <w:rPr>
          <w:sz w:val="22"/>
        </w:rPr>
        <w:t xml:space="preserve">the 2014 Letter guidance that </w:t>
      </w:r>
      <w:r w:rsidR="00B94335">
        <w:rPr>
          <w:sz w:val="22"/>
        </w:rPr>
        <w:t xml:space="preserve">generally </w:t>
      </w:r>
      <w:r>
        <w:rPr>
          <w:sz w:val="22"/>
        </w:rPr>
        <w:t xml:space="preserve">instructed USAC to not reserve funds for </w:t>
      </w:r>
      <w:r w:rsidR="00D90687">
        <w:rPr>
          <w:sz w:val="22"/>
        </w:rPr>
        <w:t xml:space="preserve">pending </w:t>
      </w:r>
      <w:r>
        <w:rPr>
          <w:sz w:val="22"/>
        </w:rPr>
        <w:t xml:space="preserve">applications </w:t>
      </w:r>
      <w:r w:rsidRPr="00653A9E" w:rsidR="00653A9E">
        <w:rPr>
          <w:sz w:val="22"/>
        </w:rPr>
        <w:t>that are older than three years</w:t>
      </w:r>
      <w:r w:rsidR="002D7B79">
        <w:rPr>
          <w:sz w:val="22"/>
        </w:rPr>
        <w:t xml:space="preserve"> </w:t>
      </w:r>
      <w:r>
        <w:rPr>
          <w:sz w:val="22"/>
        </w:rPr>
        <w:t>and pending appeals</w:t>
      </w:r>
      <w:r w:rsidR="00CA1222">
        <w:rPr>
          <w:sz w:val="22"/>
        </w:rPr>
        <w:t>.</w:t>
      </w:r>
      <w:r w:rsidR="00AB7DE6">
        <w:rPr>
          <w:sz w:val="22"/>
          <w:szCs w:val="22"/>
        </w:rPr>
        <w:t xml:space="preserve">  </w:t>
      </w:r>
      <w:r w:rsidR="00B95A38">
        <w:rPr>
          <w:sz w:val="22"/>
          <w:szCs w:val="22"/>
        </w:rPr>
        <w:t xml:space="preserve">We know that not all </w:t>
      </w:r>
      <w:r w:rsidR="00554805">
        <w:rPr>
          <w:sz w:val="22"/>
          <w:szCs w:val="22"/>
        </w:rPr>
        <w:t xml:space="preserve">funding </w:t>
      </w:r>
      <w:r w:rsidR="00B95A38">
        <w:rPr>
          <w:sz w:val="22"/>
          <w:szCs w:val="22"/>
        </w:rPr>
        <w:t xml:space="preserve">applications are granted, not all </w:t>
      </w:r>
      <w:r w:rsidR="00554805">
        <w:rPr>
          <w:sz w:val="22"/>
          <w:szCs w:val="22"/>
        </w:rPr>
        <w:t>committed funds are</w:t>
      </w:r>
      <w:r w:rsidR="00B95A38">
        <w:rPr>
          <w:sz w:val="22"/>
          <w:szCs w:val="22"/>
        </w:rPr>
        <w:t xml:space="preserve"> disbursed and not all pending appeals </w:t>
      </w:r>
      <w:r>
        <w:rPr>
          <w:sz w:val="22"/>
          <w:szCs w:val="22"/>
        </w:rPr>
        <w:t xml:space="preserve">are </w:t>
      </w:r>
      <w:r w:rsidR="005718E3">
        <w:rPr>
          <w:sz w:val="22"/>
          <w:szCs w:val="22"/>
        </w:rPr>
        <w:t>grante</w:t>
      </w:r>
      <w:r w:rsidR="00B95A38">
        <w:rPr>
          <w:sz w:val="22"/>
          <w:szCs w:val="22"/>
        </w:rPr>
        <w:t>d.  However</w:t>
      </w:r>
      <w:r w:rsidR="00AB7DE6">
        <w:rPr>
          <w:sz w:val="22"/>
          <w:szCs w:val="22"/>
        </w:rPr>
        <w:t xml:space="preserve">, </w:t>
      </w:r>
      <w:r w:rsidR="00B95A38">
        <w:rPr>
          <w:sz w:val="22"/>
          <w:szCs w:val="22"/>
        </w:rPr>
        <w:t xml:space="preserve">we have determined that </w:t>
      </w:r>
      <w:r w:rsidR="00554805">
        <w:rPr>
          <w:sz w:val="22"/>
          <w:szCs w:val="22"/>
        </w:rPr>
        <w:t xml:space="preserve">a 100 percent reserve rate </w:t>
      </w:r>
      <w:r w:rsidR="00B95A38">
        <w:rPr>
          <w:sz w:val="22"/>
          <w:szCs w:val="22"/>
        </w:rPr>
        <w:t>is the</w:t>
      </w:r>
      <w:r w:rsidR="00AB7DE6">
        <w:rPr>
          <w:sz w:val="22"/>
          <w:szCs w:val="22"/>
        </w:rPr>
        <w:t xml:space="preserve"> </w:t>
      </w:r>
      <w:r w:rsidR="006A5CF8">
        <w:rPr>
          <w:sz w:val="22"/>
          <w:szCs w:val="22"/>
        </w:rPr>
        <w:t xml:space="preserve">most </w:t>
      </w:r>
      <w:r w:rsidR="00502541">
        <w:rPr>
          <w:sz w:val="22"/>
          <w:szCs w:val="22"/>
        </w:rPr>
        <w:t xml:space="preserve">consistent </w:t>
      </w:r>
      <w:r w:rsidR="006A5CF8">
        <w:rPr>
          <w:sz w:val="22"/>
          <w:szCs w:val="22"/>
        </w:rPr>
        <w:t xml:space="preserve">and transparent way for USAC to track needed funds </w:t>
      </w:r>
      <w:r w:rsidR="00CA1222">
        <w:rPr>
          <w:sz w:val="22"/>
          <w:szCs w:val="22"/>
        </w:rPr>
        <w:t>and provide</w:t>
      </w:r>
      <w:r w:rsidR="00213BA7">
        <w:rPr>
          <w:sz w:val="22"/>
          <w:szCs w:val="22"/>
        </w:rPr>
        <w:t>s</w:t>
      </w:r>
      <w:r w:rsidR="00CA1222">
        <w:rPr>
          <w:sz w:val="22"/>
          <w:szCs w:val="22"/>
        </w:rPr>
        <w:t xml:space="preserve"> certainty </w:t>
      </w:r>
      <w:r w:rsidR="006A5CF8">
        <w:rPr>
          <w:sz w:val="22"/>
          <w:szCs w:val="22"/>
        </w:rPr>
        <w:t xml:space="preserve">that there is </w:t>
      </w:r>
      <w:r w:rsidR="00647BFB">
        <w:rPr>
          <w:sz w:val="22"/>
          <w:szCs w:val="22"/>
        </w:rPr>
        <w:t xml:space="preserve">available </w:t>
      </w:r>
      <w:r w:rsidR="006A5CF8">
        <w:rPr>
          <w:sz w:val="22"/>
          <w:szCs w:val="22"/>
        </w:rPr>
        <w:t>funding</w:t>
      </w:r>
      <w:r w:rsidR="00745DFC">
        <w:rPr>
          <w:sz w:val="22"/>
          <w:szCs w:val="22"/>
        </w:rPr>
        <w:t xml:space="preserve"> for disbursements</w:t>
      </w:r>
      <w:r w:rsidR="006A5CF8">
        <w:rPr>
          <w:sz w:val="22"/>
          <w:szCs w:val="22"/>
        </w:rPr>
        <w:t xml:space="preserve">.  </w:t>
      </w:r>
      <w:r w:rsidR="003664CA">
        <w:rPr>
          <w:sz w:val="22"/>
          <w:szCs w:val="22"/>
        </w:rPr>
        <w:t xml:space="preserve">The 2014 Letter </w:t>
      </w:r>
      <w:r w:rsidR="00AB7DE6">
        <w:rPr>
          <w:sz w:val="22"/>
          <w:szCs w:val="22"/>
        </w:rPr>
        <w:t xml:space="preserve">had </w:t>
      </w:r>
      <w:r w:rsidR="003664CA">
        <w:rPr>
          <w:sz w:val="22"/>
          <w:szCs w:val="22"/>
        </w:rPr>
        <w:t>also pr</w:t>
      </w:r>
      <w:r w:rsidR="00502541">
        <w:rPr>
          <w:sz w:val="22"/>
          <w:szCs w:val="22"/>
        </w:rPr>
        <w:t>ovided some flexibility to make</w:t>
      </w:r>
      <w:r w:rsidR="00E85BF7">
        <w:rPr>
          <w:sz w:val="22"/>
          <w:szCs w:val="22"/>
        </w:rPr>
        <w:t xml:space="preserve"> a</w:t>
      </w:r>
      <w:r w:rsidR="003664CA">
        <w:rPr>
          <w:sz w:val="22"/>
          <w:szCs w:val="22"/>
        </w:rPr>
        <w:t xml:space="preserve"> percentage of the funds it reserves for pending disbursements (committed applications that have not yet been invoiced) available for carry forward. </w:t>
      </w:r>
      <w:r w:rsidR="00CA1222">
        <w:rPr>
          <w:sz w:val="22"/>
          <w:szCs w:val="22"/>
        </w:rPr>
        <w:t xml:space="preserve"> </w:t>
      </w:r>
      <w:r w:rsidR="00583E72">
        <w:rPr>
          <w:sz w:val="22"/>
          <w:szCs w:val="22"/>
        </w:rPr>
        <w:t>Upon further review, w</w:t>
      </w:r>
      <w:r w:rsidR="003664CA">
        <w:rPr>
          <w:sz w:val="22"/>
          <w:szCs w:val="22"/>
        </w:rPr>
        <w:t xml:space="preserve">e have determined that </w:t>
      </w:r>
      <w:r w:rsidR="00DC5A94">
        <w:rPr>
          <w:sz w:val="22"/>
          <w:szCs w:val="22"/>
        </w:rPr>
        <w:t>using a consistent 100</w:t>
      </w:r>
      <w:r w:rsidR="00A51594">
        <w:rPr>
          <w:sz w:val="22"/>
          <w:szCs w:val="22"/>
        </w:rPr>
        <w:t xml:space="preserve"> percent</w:t>
      </w:r>
      <w:r w:rsidR="00DC5A94">
        <w:rPr>
          <w:sz w:val="22"/>
          <w:szCs w:val="22"/>
        </w:rPr>
        <w:t xml:space="preserve"> reserve rate enhances </w:t>
      </w:r>
      <w:r w:rsidR="00BF63EC">
        <w:rPr>
          <w:sz w:val="22"/>
          <w:szCs w:val="22"/>
        </w:rPr>
        <w:t>OMD</w:t>
      </w:r>
      <w:r w:rsidR="003664CA">
        <w:rPr>
          <w:sz w:val="22"/>
          <w:szCs w:val="22"/>
        </w:rPr>
        <w:t>’s ability to oversee USAC’s management of t</w:t>
      </w:r>
      <w:r w:rsidR="00CA1222">
        <w:rPr>
          <w:sz w:val="22"/>
          <w:szCs w:val="22"/>
        </w:rPr>
        <w:t xml:space="preserve">he E-rate fund and the Commission’s </w:t>
      </w:r>
      <w:r w:rsidR="003664CA">
        <w:rPr>
          <w:sz w:val="22"/>
          <w:szCs w:val="22"/>
        </w:rPr>
        <w:t>ability to track the amount of funding available for carry forward.</w:t>
      </w:r>
      <w:r>
        <w:rPr>
          <w:rStyle w:val="FootnoteReference"/>
          <w:sz w:val="22"/>
          <w:szCs w:val="22"/>
        </w:rPr>
        <w:footnoteReference w:id="14"/>
      </w:r>
      <w:r w:rsidR="003664CA">
        <w:rPr>
          <w:sz w:val="22"/>
          <w:szCs w:val="22"/>
        </w:rPr>
        <w:t xml:space="preserve"> </w:t>
      </w:r>
    </w:p>
    <w:p w:rsidR="00B95A38" w:rsidP="00B54BB8">
      <w:pPr>
        <w:rPr>
          <w:sz w:val="22"/>
          <w:szCs w:val="22"/>
        </w:rPr>
      </w:pPr>
    </w:p>
    <w:p w:rsidR="00321840" w:rsidP="00B95A38">
      <w:pPr>
        <w:ind w:firstLine="720"/>
        <w:rPr>
          <w:sz w:val="22"/>
          <w:szCs w:val="22"/>
        </w:rPr>
      </w:pPr>
      <w:r w:rsidRPr="00960D77">
        <w:rPr>
          <w:i/>
          <w:sz w:val="22"/>
          <w:szCs w:val="22"/>
          <w:u w:val="single"/>
        </w:rPr>
        <w:t>Reinforcing Carry Forw</w:t>
      </w:r>
      <w:r w:rsidRPr="00960D77">
        <w:rPr>
          <w:i/>
          <w:sz w:val="22"/>
          <w:szCs w:val="22"/>
          <w:u w:val="single"/>
        </w:rPr>
        <w:t>ard Procedures</w:t>
      </w:r>
      <w:r>
        <w:rPr>
          <w:i/>
          <w:sz w:val="22"/>
          <w:szCs w:val="22"/>
          <w:u w:val="single"/>
        </w:rPr>
        <w:t>.</w:t>
      </w:r>
      <w:r>
        <w:rPr>
          <w:sz w:val="22"/>
          <w:szCs w:val="22"/>
        </w:rPr>
        <w:t xml:space="preserve">  </w:t>
      </w:r>
      <w:r w:rsidR="00B54BB8">
        <w:rPr>
          <w:sz w:val="22"/>
          <w:szCs w:val="22"/>
        </w:rPr>
        <w:t xml:space="preserve">We also remind USAC of the </w:t>
      </w:r>
      <w:r w:rsidR="00112AAB">
        <w:rPr>
          <w:sz w:val="22"/>
          <w:szCs w:val="22"/>
        </w:rPr>
        <w:t>relationship</w:t>
      </w:r>
      <w:r w:rsidR="00B54BB8">
        <w:rPr>
          <w:sz w:val="22"/>
          <w:szCs w:val="22"/>
        </w:rPr>
        <w:t xml:space="preserve"> between reserving f</w:t>
      </w:r>
      <w:r w:rsidR="00554805">
        <w:rPr>
          <w:sz w:val="22"/>
          <w:szCs w:val="22"/>
        </w:rPr>
        <w:t xml:space="preserve">unds for </w:t>
      </w:r>
      <w:r>
        <w:rPr>
          <w:sz w:val="22"/>
          <w:szCs w:val="22"/>
        </w:rPr>
        <w:t xml:space="preserve">potential disbursements for each funding year </w:t>
      </w:r>
      <w:r w:rsidR="00554805">
        <w:rPr>
          <w:sz w:val="22"/>
          <w:szCs w:val="22"/>
        </w:rPr>
        <w:t xml:space="preserve">and </w:t>
      </w:r>
      <w:r>
        <w:rPr>
          <w:sz w:val="22"/>
          <w:szCs w:val="22"/>
        </w:rPr>
        <w:t xml:space="preserve">the </w:t>
      </w:r>
      <w:r w:rsidR="00554805">
        <w:rPr>
          <w:sz w:val="22"/>
          <w:szCs w:val="22"/>
        </w:rPr>
        <w:t xml:space="preserve">carry forward </w:t>
      </w:r>
      <w:r>
        <w:rPr>
          <w:sz w:val="22"/>
          <w:szCs w:val="22"/>
        </w:rPr>
        <w:t xml:space="preserve">procedures, </w:t>
      </w:r>
      <w:r w:rsidR="00112AAB">
        <w:rPr>
          <w:sz w:val="22"/>
          <w:szCs w:val="22"/>
        </w:rPr>
        <w:t>and the importance of accurately representing unused funds on a quarterly basis</w:t>
      </w:r>
      <w:r w:rsidR="00554805">
        <w:rPr>
          <w:sz w:val="22"/>
          <w:szCs w:val="22"/>
        </w:rPr>
        <w:t>.</w:t>
      </w:r>
      <w:r>
        <w:rPr>
          <w:rStyle w:val="FootnoteReference"/>
          <w:sz w:val="22"/>
          <w:szCs w:val="22"/>
        </w:rPr>
        <w:footnoteReference w:id="15"/>
      </w:r>
      <w:r w:rsidR="00554805">
        <w:rPr>
          <w:sz w:val="22"/>
          <w:szCs w:val="22"/>
        </w:rPr>
        <w:t xml:space="preserve"> </w:t>
      </w:r>
      <w:r w:rsidR="000240D9">
        <w:rPr>
          <w:sz w:val="22"/>
          <w:szCs w:val="22"/>
        </w:rPr>
        <w:t xml:space="preserve"> In 2003, </w:t>
      </w:r>
      <w:r w:rsidR="00B02EB8">
        <w:rPr>
          <w:sz w:val="22"/>
          <w:szCs w:val="22"/>
        </w:rPr>
        <w:t xml:space="preserve">in the </w:t>
      </w:r>
      <w:r w:rsidR="00B02EB8">
        <w:rPr>
          <w:i/>
          <w:sz w:val="22"/>
          <w:szCs w:val="22"/>
        </w:rPr>
        <w:t>Schools and Libraries</w:t>
      </w:r>
      <w:r w:rsidRPr="00B02EB8" w:rsidR="00B02EB8">
        <w:rPr>
          <w:i/>
          <w:sz w:val="22"/>
          <w:szCs w:val="22"/>
        </w:rPr>
        <w:t xml:space="preserve"> Third Report and Order</w:t>
      </w:r>
      <w:r w:rsidR="00B02EB8">
        <w:rPr>
          <w:sz w:val="22"/>
          <w:szCs w:val="22"/>
        </w:rPr>
        <w:t xml:space="preserve">, </w:t>
      </w:r>
      <w:r w:rsidR="000240D9">
        <w:rPr>
          <w:sz w:val="22"/>
          <w:szCs w:val="22"/>
        </w:rPr>
        <w:t>the Commission amended its rules to require the Administrator (</w:t>
      </w:r>
      <w:r>
        <w:rPr>
          <w:sz w:val="22"/>
          <w:szCs w:val="22"/>
        </w:rPr>
        <w:t>currently</w:t>
      </w:r>
      <w:r w:rsidR="000240D9">
        <w:rPr>
          <w:sz w:val="22"/>
          <w:szCs w:val="22"/>
        </w:rPr>
        <w:t xml:space="preserve"> USAC) to file quarterly </w:t>
      </w:r>
      <w:r w:rsidR="00B02EB8">
        <w:rPr>
          <w:sz w:val="22"/>
          <w:szCs w:val="22"/>
        </w:rPr>
        <w:t xml:space="preserve">estimates of unused funds from prior </w:t>
      </w:r>
      <w:r>
        <w:rPr>
          <w:sz w:val="22"/>
          <w:szCs w:val="22"/>
        </w:rPr>
        <w:t xml:space="preserve">fund </w:t>
      </w:r>
      <w:r w:rsidR="00B02EB8">
        <w:rPr>
          <w:sz w:val="22"/>
          <w:szCs w:val="22"/>
        </w:rPr>
        <w:t xml:space="preserve">years </w:t>
      </w:r>
      <w:r w:rsidR="00440CA8">
        <w:rPr>
          <w:sz w:val="22"/>
          <w:szCs w:val="22"/>
        </w:rPr>
        <w:t xml:space="preserve">when </w:t>
      </w:r>
      <w:r>
        <w:rPr>
          <w:sz w:val="22"/>
          <w:szCs w:val="22"/>
        </w:rPr>
        <w:t xml:space="preserve">it </w:t>
      </w:r>
      <w:r w:rsidR="00B02EB8">
        <w:rPr>
          <w:sz w:val="22"/>
          <w:szCs w:val="22"/>
        </w:rPr>
        <w:t xml:space="preserve">submits its projection of program demand for the upcoming quarter, </w:t>
      </w:r>
      <w:r>
        <w:rPr>
          <w:sz w:val="22"/>
          <w:szCs w:val="22"/>
        </w:rPr>
        <w:t>and described</w:t>
      </w:r>
      <w:r w:rsidR="00B02EB8">
        <w:rPr>
          <w:sz w:val="22"/>
          <w:szCs w:val="22"/>
        </w:rPr>
        <w:t xml:space="preserve"> </w:t>
      </w:r>
      <w:r w:rsidR="00BE781F">
        <w:rPr>
          <w:sz w:val="22"/>
          <w:szCs w:val="22"/>
        </w:rPr>
        <w:t xml:space="preserve">“unused funds” </w:t>
      </w:r>
      <w:r w:rsidR="00B02EB8">
        <w:rPr>
          <w:sz w:val="22"/>
          <w:szCs w:val="22"/>
        </w:rPr>
        <w:t>as “the difference between the amount of funds collected, or made available for that particular funding year, and the amount of funds disbursed or to be disbursed.”</w:t>
      </w:r>
      <w:r>
        <w:rPr>
          <w:rStyle w:val="FootnoteReference"/>
          <w:sz w:val="22"/>
          <w:szCs w:val="22"/>
        </w:rPr>
        <w:footnoteReference w:id="16"/>
      </w:r>
      <w:r w:rsidR="00B02EB8">
        <w:rPr>
          <w:sz w:val="22"/>
          <w:szCs w:val="22"/>
        </w:rPr>
        <w:t xml:space="preserve">  The Commission remarked that not only does this prepare USAC for the annual release of carry forward funds, but “provides schools and libraries with general notice regarding the amount of unused funds that may be made available in the subsequent year.”</w:t>
      </w:r>
      <w:r>
        <w:rPr>
          <w:rStyle w:val="FootnoteReference"/>
          <w:sz w:val="22"/>
          <w:szCs w:val="22"/>
        </w:rPr>
        <w:footnoteReference w:id="17"/>
      </w:r>
      <w:r w:rsidR="00203DD5">
        <w:rPr>
          <w:sz w:val="22"/>
          <w:szCs w:val="22"/>
        </w:rPr>
        <w:t xml:space="preserve">  </w:t>
      </w:r>
    </w:p>
    <w:p w:rsidR="00321840" w:rsidP="00B95A38">
      <w:pPr>
        <w:ind w:firstLine="720"/>
        <w:rPr>
          <w:sz w:val="22"/>
          <w:szCs w:val="22"/>
        </w:rPr>
      </w:pPr>
    </w:p>
    <w:p w:rsidR="00B14068" w:rsidP="00B14068">
      <w:pPr>
        <w:ind w:firstLine="720"/>
        <w:rPr>
          <w:sz w:val="22"/>
          <w:szCs w:val="22"/>
        </w:rPr>
      </w:pPr>
      <w:r>
        <w:rPr>
          <w:sz w:val="22"/>
          <w:szCs w:val="22"/>
        </w:rPr>
        <w:t xml:space="preserve">Adhering to </w:t>
      </w:r>
      <w:r w:rsidR="00E85BF7">
        <w:rPr>
          <w:sz w:val="22"/>
          <w:szCs w:val="22"/>
        </w:rPr>
        <w:t>the</w:t>
      </w:r>
      <w:r>
        <w:rPr>
          <w:sz w:val="22"/>
          <w:szCs w:val="22"/>
        </w:rPr>
        <w:t xml:space="preserve"> longstanding </w:t>
      </w:r>
      <w:r w:rsidR="00321840">
        <w:rPr>
          <w:sz w:val="22"/>
          <w:szCs w:val="22"/>
        </w:rPr>
        <w:t>carry forward rules,</w:t>
      </w:r>
      <w:r>
        <w:rPr>
          <w:sz w:val="22"/>
          <w:szCs w:val="22"/>
        </w:rPr>
        <w:t xml:space="preserve"> </w:t>
      </w:r>
      <w:r w:rsidR="00112AAB">
        <w:rPr>
          <w:sz w:val="22"/>
          <w:szCs w:val="22"/>
        </w:rPr>
        <w:t xml:space="preserve">in each quarter, </w:t>
      </w:r>
      <w:r>
        <w:rPr>
          <w:sz w:val="22"/>
          <w:szCs w:val="22"/>
        </w:rPr>
        <w:t xml:space="preserve">USAC should </w:t>
      </w:r>
      <w:r w:rsidR="007B0102">
        <w:rPr>
          <w:sz w:val="22"/>
          <w:szCs w:val="22"/>
        </w:rPr>
        <w:t xml:space="preserve">include </w:t>
      </w:r>
      <w:r>
        <w:rPr>
          <w:sz w:val="22"/>
          <w:szCs w:val="22"/>
        </w:rPr>
        <w:t xml:space="preserve">any de-obligated </w:t>
      </w:r>
      <w:r w:rsidR="001075B3">
        <w:rPr>
          <w:sz w:val="22"/>
          <w:szCs w:val="22"/>
        </w:rPr>
        <w:t xml:space="preserve">and unused </w:t>
      </w:r>
      <w:r>
        <w:rPr>
          <w:sz w:val="22"/>
          <w:szCs w:val="22"/>
        </w:rPr>
        <w:t>funds for each funding year in its proposed carry forward amount</w:t>
      </w:r>
      <w:r w:rsidR="00BE781F">
        <w:rPr>
          <w:sz w:val="22"/>
          <w:szCs w:val="22"/>
        </w:rPr>
        <w:t xml:space="preserve">.  </w:t>
      </w:r>
      <w:r w:rsidR="00CA1222">
        <w:rPr>
          <w:sz w:val="22"/>
          <w:szCs w:val="22"/>
        </w:rPr>
        <w:t xml:space="preserve">For example, </w:t>
      </w:r>
      <w:r w:rsidR="00E85BF7">
        <w:rPr>
          <w:sz w:val="22"/>
          <w:szCs w:val="22"/>
        </w:rPr>
        <w:t xml:space="preserve">when applicants </w:t>
      </w:r>
      <w:r w:rsidR="00CA1222">
        <w:rPr>
          <w:sz w:val="22"/>
          <w:szCs w:val="22"/>
        </w:rPr>
        <w:t>f</w:t>
      </w:r>
      <w:r w:rsidRPr="00CA1222" w:rsidR="00CA1222">
        <w:rPr>
          <w:sz w:val="22"/>
          <w:szCs w:val="22"/>
        </w:rPr>
        <w:t xml:space="preserve">ail </w:t>
      </w:r>
      <w:r w:rsidR="00E85BF7">
        <w:rPr>
          <w:sz w:val="22"/>
          <w:szCs w:val="22"/>
        </w:rPr>
        <w:t xml:space="preserve">to </w:t>
      </w:r>
      <w:r w:rsidRPr="007B0102" w:rsidR="007B0102">
        <w:rPr>
          <w:sz w:val="22"/>
          <w:szCs w:val="22"/>
        </w:rPr>
        <w:t>timely submit their invoice and have not properly requested an invoice extension</w:t>
      </w:r>
      <w:r w:rsidRPr="00CA1222" w:rsidR="00CA1222">
        <w:rPr>
          <w:sz w:val="22"/>
          <w:szCs w:val="22"/>
        </w:rPr>
        <w:t xml:space="preserve">, committed funds that have not been invoiced must be de-obligated and considered “unused funds” eligible for carry forward.  </w:t>
      </w:r>
      <w:r w:rsidR="00BE781F">
        <w:rPr>
          <w:sz w:val="22"/>
          <w:szCs w:val="22"/>
        </w:rPr>
        <w:t>Th</w:t>
      </w:r>
      <w:r w:rsidR="00CA1222">
        <w:rPr>
          <w:sz w:val="22"/>
          <w:szCs w:val="22"/>
        </w:rPr>
        <w:t>e carry forward amount</w:t>
      </w:r>
      <w:r w:rsidR="00BE781F">
        <w:rPr>
          <w:sz w:val="22"/>
          <w:szCs w:val="22"/>
        </w:rPr>
        <w:t xml:space="preserve"> should </w:t>
      </w:r>
      <w:r w:rsidR="00CA1222">
        <w:rPr>
          <w:sz w:val="22"/>
          <w:szCs w:val="22"/>
        </w:rPr>
        <w:t xml:space="preserve">also </w:t>
      </w:r>
      <w:r w:rsidR="00BE781F">
        <w:rPr>
          <w:sz w:val="22"/>
          <w:szCs w:val="22"/>
        </w:rPr>
        <w:t>include</w:t>
      </w:r>
      <w:r w:rsidR="00440CA8">
        <w:rPr>
          <w:sz w:val="22"/>
          <w:szCs w:val="22"/>
        </w:rPr>
        <w:t xml:space="preserve"> any </w:t>
      </w:r>
      <w:r w:rsidR="00583E72">
        <w:rPr>
          <w:sz w:val="22"/>
          <w:szCs w:val="22"/>
        </w:rPr>
        <w:t xml:space="preserve">dollars represented by funding requests that have been denied </w:t>
      </w:r>
      <w:r w:rsidR="00440CA8">
        <w:rPr>
          <w:sz w:val="22"/>
          <w:szCs w:val="22"/>
        </w:rPr>
        <w:t xml:space="preserve">for the current funding year.  </w:t>
      </w:r>
      <w:r w:rsidRPr="00F07392" w:rsidR="00F07392">
        <w:rPr>
          <w:sz w:val="22"/>
          <w:szCs w:val="22"/>
        </w:rPr>
        <w:t>USAC has not always implemented this guidance consistently.</w:t>
      </w:r>
      <w:r w:rsidR="00F07392">
        <w:rPr>
          <w:sz w:val="22"/>
          <w:szCs w:val="22"/>
        </w:rPr>
        <w:t xml:space="preserve">  </w:t>
      </w:r>
      <w:r w:rsidR="00440CA8">
        <w:rPr>
          <w:sz w:val="22"/>
          <w:szCs w:val="22"/>
        </w:rPr>
        <w:t xml:space="preserve">For example, </w:t>
      </w:r>
      <w:r w:rsidR="00A51594">
        <w:rPr>
          <w:sz w:val="22"/>
          <w:szCs w:val="22"/>
        </w:rPr>
        <w:t xml:space="preserve">under this approach, </w:t>
      </w:r>
      <w:r w:rsidR="00440CA8">
        <w:rPr>
          <w:sz w:val="22"/>
          <w:szCs w:val="22"/>
        </w:rPr>
        <w:t>USAC’s second quarter filing</w:t>
      </w:r>
      <w:r w:rsidR="00321840">
        <w:rPr>
          <w:sz w:val="22"/>
          <w:szCs w:val="22"/>
        </w:rPr>
        <w:t xml:space="preserve"> in </w:t>
      </w:r>
      <w:r w:rsidR="00DC5A94">
        <w:rPr>
          <w:sz w:val="22"/>
          <w:szCs w:val="22"/>
        </w:rPr>
        <w:t xml:space="preserve">the </w:t>
      </w:r>
      <w:r w:rsidR="00BE781F">
        <w:rPr>
          <w:sz w:val="22"/>
          <w:szCs w:val="22"/>
        </w:rPr>
        <w:t xml:space="preserve">2017 </w:t>
      </w:r>
      <w:r w:rsidR="00321840">
        <w:rPr>
          <w:sz w:val="22"/>
          <w:szCs w:val="22"/>
        </w:rPr>
        <w:t>calendar year</w:t>
      </w:r>
      <w:r w:rsidR="00440CA8">
        <w:rPr>
          <w:sz w:val="22"/>
          <w:szCs w:val="22"/>
        </w:rPr>
        <w:t xml:space="preserve"> should have included </w:t>
      </w:r>
      <w:r w:rsidR="00BE781F">
        <w:rPr>
          <w:sz w:val="22"/>
          <w:szCs w:val="22"/>
        </w:rPr>
        <w:t xml:space="preserve">all </w:t>
      </w:r>
      <w:r w:rsidR="00440CA8">
        <w:rPr>
          <w:sz w:val="22"/>
          <w:szCs w:val="22"/>
        </w:rPr>
        <w:t>funds that had been de-</w:t>
      </w:r>
      <w:r w:rsidR="008A5783">
        <w:rPr>
          <w:sz w:val="22"/>
          <w:szCs w:val="22"/>
        </w:rPr>
        <w:t>obligated</w:t>
      </w:r>
      <w:r w:rsidR="00321840">
        <w:rPr>
          <w:sz w:val="22"/>
          <w:szCs w:val="22"/>
        </w:rPr>
        <w:t xml:space="preserve"> </w:t>
      </w:r>
      <w:r w:rsidR="00745DFC">
        <w:rPr>
          <w:sz w:val="22"/>
          <w:szCs w:val="22"/>
        </w:rPr>
        <w:t xml:space="preserve">or would be considered unused </w:t>
      </w:r>
      <w:r w:rsidR="00321840">
        <w:rPr>
          <w:sz w:val="22"/>
          <w:szCs w:val="22"/>
        </w:rPr>
        <w:t>for funding year 2016</w:t>
      </w:r>
      <w:r w:rsidR="00E85BF7">
        <w:rPr>
          <w:sz w:val="22"/>
          <w:szCs w:val="22"/>
        </w:rPr>
        <w:t xml:space="preserve"> as of the time of that filing.</w:t>
      </w:r>
      <w:r w:rsidR="00852F83">
        <w:rPr>
          <w:sz w:val="22"/>
          <w:szCs w:val="22"/>
        </w:rPr>
        <w:t xml:space="preserve"> </w:t>
      </w:r>
      <w:r w:rsidR="008A5783">
        <w:rPr>
          <w:sz w:val="22"/>
          <w:szCs w:val="22"/>
        </w:rPr>
        <w:t xml:space="preserve"> </w:t>
      </w:r>
      <w:r w:rsidR="00112AAB">
        <w:rPr>
          <w:sz w:val="22"/>
          <w:szCs w:val="22"/>
        </w:rPr>
        <w:t>In implementing the carry forward procedure, the Commission intended for USAC to be able “to refine its calculation of available funds over four reporting quarters as the funding year progresses starting with the third quarter of the calendar year.”</w:t>
      </w:r>
      <w:r>
        <w:rPr>
          <w:rStyle w:val="FootnoteReference"/>
          <w:sz w:val="22"/>
          <w:szCs w:val="22"/>
        </w:rPr>
        <w:footnoteReference w:id="18"/>
      </w:r>
      <w:r w:rsidR="00321840">
        <w:rPr>
          <w:sz w:val="22"/>
          <w:szCs w:val="22"/>
        </w:rPr>
        <w:t xml:space="preserve">  </w:t>
      </w:r>
      <w:r w:rsidR="00300939">
        <w:rPr>
          <w:sz w:val="22"/>
          <w:szCs w:val="22"/>
        </w:rPr>
        <w:t xml:space="preserve">This intention remains – the Commission and our nation’s schools and libraries should be able to determine from USAC’s quarterly filings the amounts </w:t>
      </w:r>
      <w:r w:rsidR="00BE781F">
        <w:rPr>
          <w:sz w:val="22"/>
          <w:szCs w:val="22"/>
        </w:rPr>
        <w:t xml:space="preserve">for each fund year </w:t>
      </w:r>
      <w:r w:rsidR="00300939">
        <w:rPr>
          <w:sz w:val="22"/>
          <w:szCs w:val="22"/>
        </w:rPr>
        <w:t xml:space="preserve">that are </w:t>
      </w:r>
      <w:r w:rsidR="00BE781F">
        <w:rPr>
          <w:sz w:val="22"/>
          <w:szCs w:val="22"/>
        </w:rPr>
        <w:t>expected</w:t>
      </w:r>
      <w:r w:rsidR="00300939">
        <w:rPr>
          <w:sz w:val="22"/>
          <w:szCs w:val="22"/>
        </w:rPr>
        <w:t xml:space="preserve"> to be included in the carry forward amount.  </w:t>
      </w:r>
      <w:r w:rsidR="00321840">
        <w:rPr>
          <w:sz w:val="22"/>
          <w:szCs w:val="22"/>
        </w:rPr>
        <w:t>Understanding that it should be reserving 100 percent for the funding categories mentioned above</w:t>
      </w:r>
      <w:r w:rsidR="0061042D">
        <w:rPr>
          <w:sz w:val="22"/>
          <w:szCs w:val="22"/>
        </w:rPr>
        <w:t>,</w:t>
      </w:r>
      <w:r w:rsidR="00321840">
        <w:rPr>
          <w:sz w:val="22"/>
          <w:szCs w:val="22"/>
        </w:rPr>
        <w:t xml:space="preserve"> </w:t>
      </w:r>
      <w:r w:rsidRPr="00B14068">
        <w:rPr>
          <w:sz w:val="22"/>
          <w:szCs w:val="22"/>
        </w:rPr>
        <w:t>while at the same time adjusting the reserve amounts on a quarterly basis</w:t>
      </w:r>
      <w:r w:rsidR="00321840">
        <w:rPr>
          <w:sz w:val="22"/>
          <w:szCs w:val="22"/>
        </w:rPr>
        <w:t xml:space="preserve">, should enable USAC to follow the carry forward procedures </w:t>
      </w:r>
      <w:r w:rsidR="00300939">
        <w:rPr>
          <w:sz w:val="22"/>
          <w:szCs w:val="22"/>
        </w:rPr>
        <w:t xml:space="preserve">in a systematic way and provide certainty about the amount of funds targeted for carry forward into the next funding year.  </w:t>
      </w:r>
    </w:p>
    <w:p w:rsidR="00B14068" w:rsidP="00B14068">
      <w:pPr>
        <w:ind w:firstLine="720"/>
        <w:rPr>
          <w:sz w:val="22"/>
          <w:szCs w:val="22"/>
        </w:rPr>
      </w:pPr>
    </w:p>
    <w:p w:rsidR="00E24E2C" w:rsidRPr="00E24E2C" w:rsidP="00B14068">
      <w:pPr>
        <w:ind w:firstLine="720"/>
        <w:rPr>
          <w:sz w:val="22"/>
          <w:szCs w:val="22"/>
        </w:rPr>
      </w:pPr>
      <w:r>
        <w:rPr>
          <w:sz w:val="22"/>
          <w:szCs w:val="22"/>
        </w:rPr>
        <w:t>Thank you for USAC’s attention to this E-rate fund management</w:t>
      </w:r>
      <w:r w:rsidRPr="00213BA7">
        <w:rPr>
          <w:sz w:val="22"/>
          <w:szCs w:val="22"/>
        </w:rPr>
        <w:t xml:space="preserve"> </w:t>
      </w:r>
      <w:r>
        <w:rPr>
          <w:sz w:val="22"/>
          <w:szCs w:val="22"/>
        </w:rPr>
        <w:t>issue as well as your continued efforts on othe</w:t>
      </w:r>
      <w:r>
        <w:rPr>
          <w:sz w:val="22"/>
          <w:szCs w:val="22"/>
        </w:rPr>
        <w:t xml:space="preserve">r USF </w:t>
      </w:r>
      <w:r w:rsidRPr="00213BA7">
        <w:rPr>
          <w:sz w:val="22"/>
          <w:szCs w:val="22"/>
        </w:rPr>
        <w:t xml:space="preserve">issues. </w:t>
      </w:r>
      <w:r>
        <w:rPr>
          <w:sz w:val="22"/>
          <w:szCs w:val="22"/>
        </w:rPr>
        <w:t xml:space="preserve"> </w:t>
      </w:r>
      <w:r w:rsidR="00DA21CC">
        <w:rPr>
          <w:sz w:val="22"/>
          <w:szCs w:val="22"/>
        </w:rPr>
        <w:t>We expect that you will be able to carry out the reserve instructions herein beginning with t</w:t>
      </w:r>
      <w:r w:rsidR="00861D4D">
        <w:rPr>
          <w:sz w:val="22"/>
          <w:szCs w:val="22"/>
        </w:rPr>
        <w:t xml:space="preserve">he filing expected for 3Q 2017, and </w:t>
      </w:r>
      <w:r w:rsidR="008F4761">
        <w:rPr>
          <w:sz w:val="22"/>
          <w:szCs w:val="22"/>
        </w:rPr>
        <w:t xml:space="preserve">will </w:t>
      </w:r>
      <w:r w:rsidR="00861D4D">
        <w:rPr>
          <w:sz w:val="22"/>
          <w:szCs w:val="22"/>
        </w:rPr>
        <w:t>seek</w:t>
      </w:r>
      <w:r w:rsidR="00DA21CC">
        <w:rPr>
          <w:sz w:val="22"/>
          <w:szCs w:val="22"/>
        </w:rPr>
        <w:t xml:space="preserve"> our </w:t>
      </w:r>
      <w:r w:rsidR="008F4761">
        <w:rPr>
          <w:sz w:val="22"/>
          <w:szCs w:val="22"/>
        </w:rPr>
        <w:t xml:space="preserve">help with </w:t>
      </w:r>
      <w:r w:rsidR="00DA21CC">
        <w:rPr>
          <w:sz w:val="22"/>
          <w:szCs w:val="22"/>
        </w:rPr>
        <w:t xml:space="preserve">matters that require additional Commission guidance and interpretation.  </w:t>
      </w:r>
      <w:r w:rsidRPr="00213BA7">
        <w:rPr>
          <w:sz w:val="22"/>
          <w:szCs w:val="22"/>
        </w:rPr>
        <w:t>If</w:t>
      </w:r>
      <w:r>
        <w:rPr>
          <w:sz w:val="22"/>
          <w:szCs w:val="22"/>
        </w:rPr>
        <w:t xml:space="preserve"> you have </w:t>
      </w:r>
      <w:r w:rsidRPr="00213BA7">
        <w:rPr>
          <w:sz w:val="22"/>
          <w:szCs w:val="22"/>
        </w:rPr>
        <w:t>que</w:t>
      </w:r>
      <w:r w:rsidRPr="00213BA7">
        <w:rPr>
          <w:sz w:val="22"/>
          <w:szCs w:val="22"/>
        </w:rPr>
        <w:t>stions or</w:t>
      </w:r>
      <w:r>
        <w:rPr>
          <w:sz w:val="22"/>
          <w:szCs w:val="22"/>
        </w:rPr>
        <w:t xml:space="preserve"> would like further assistance</w:t>
      </w:r>
      <w:r w:rsidRPr="00213BA7">
        <w:rPr>
          <w:sz w:val="22"/>
          <w:szCs w:val="22"/>
        </w:rPr>
        <w:t>, please do not hesitate to contact me.</w:t>
      </w:r>
    </w:p>
    <w:p w:rsidR="00745DFC" w:rsidP="00321840">
      <w:pPr>
        <w:ind w:left="5040" w:firstLine="720"/>
        <w:rPr>
          <w:sz w:val="22"/>
          <w:szCs w:val="22"/>
        </w:rPr>
      </w:pPr>
    </w:p>
    <w:p w:rsidR="00E24E2C" w:rsidRPr="00E24E2C" w:rsidP="009F4E50">
      <w:pPr>
        <w:ind w:left="5040" w:firstLine="720"/>
        <w:rPr>
          <w:sz w:val="22"/>
          <w:szCs w:val="22"/>
        </w:rPr>
      </w:pPr>
      <w:r w:rsidRPr="00E24E2C">
        <w:rPr>
          <w:sz w:val="22"/>
          <w:szCs w:val="22"/>
        </w:rPr>
        <w:t>Sincerely,</w:t>
      </w:r>
    </w:p>
    <w:p w:rsidR="00321840" w:rsidP="009F4E50">
      <w:pPr>
        <w:ind w:left="5040" w:firstLine="720"/>
        <w:rPr>
          <w:sz w:val="22"/>
          <w:szCs w:val="22"/>
        </w:rPr>
      </w:pPr>
    </w:p>
    <w:p w:rsidR="00300939" w:rsidP="009F4E50">
      <w:pPr>
        <w:ind w:left="5040" w:firstLine="720"/>
        <w:rPr>
          <w:sz w:val="22"/>
          <w:szCs w:val="22"/>
        </w:rPr>
      </w:pPr>
    </w:p>
    <w:p w:rsidR="00D24AF1" w:rsidP="009F4E50">
      <w:pPr>
        <w:ind w:left="5040" w:firstLine="720"/>
        <w:rPr>
          <w:sz w:val="22"/>
          <w:szCs w:val="22"/>
        </w:rPr>
      </w:pPr>
    </w:p>
    <w:p w:rsidR="000A2EDA" w:rsidP="009F4E50">
      <w:pPr>
        <w:ind w:left="5040" w:firstLine="720"/>
        <w:rPr>
          <w:sz w:val="22"/>
          <w:szCs w:val="22"/>
        </w:rPr>
      </w:pPr>
    </w:p>
    <w:p w:rsidR="00E24E2C" w:rsidRPr="00E24E2C" w:rsidP="009F4E50">
      <w:pPr>
        <w:ind w:left="5040" w:firstLine="720"/>
        <w:rPr>
          <w:sz w:val="22"/>
          <w:szCs w:val="22"/>
        </w:rPr>
      </w:pPr>
      <w:r>
        <w:rPr>
          <w:sz w:val="22"/>
          <w:szCs w:val="22"/>
        </w:rPr>
        <w:t>Mark Stephens</w:t>
      </w:r>
    </w:p>
    <w:p w:rsidR="00E24E2C" w:rsidP="009F4E50">
      <w:pPr>
        <w:ind w:left="5040" w:firstLine="720"/>
        <w:rPr>
          <w:sz w:val="22"/>
          <w:szCs w:val="22"/>
        </w:rPr>
      </w:pPr>
      <w:r w:rsidRPr="00E24E2C">
        <w:rPr>
          <w:sz w:val="22"/>
          <w:szCs w:val="22"/>
        </w:rPr>
        <w:t>Managing Director</w:t>
      </w:r>
    </w:p>
    <w:p w:rsidR="000A2EDA" w:rsidP="009F4E50">
      <w:pPr>
        <w:ind w:left="5040" w:firstLine="720"/>
        <w:rPr>
          <w:sz w:val="22"/>
          <w:szCs w:val="22"/>
        </w:rPr>
      </w:pPr>
    </w:p>
    <w:p w:rsidR="00B140DC" w:rsidP="009F4E50">
      <w:pPr>
        <w:ind w:left="5040" w:firstLine="720"/>
        <w:rPr>
          <w:sz w:val="22"/>
          <w:szCs w:val="22"/>
        </w:rPr>
      </w:pPr>
    </w:p>
    <w:p w:rsidR="00B318E4" w:rsidRPr="00E24E2C" w:rsidP="009F4E50">
      <w:pPr>
        <w:ind w:left="5040" w:firstLine="720"/>
        <w:rPr>
          <w:sz w:val="22"/>
          <w:szCs w:val="22"/>
        </w:rPr>
      </w:pPr>
    </w:p>
    <w:p w:rsidR="00204CE3" w:rsidP="009F4E50">
      <w:pPr>
        <w:ind w:firstLine="720"/>
        <w:rPr>
          <w:sz w:val="22"/>
          <w:szCs w:val="22"/>
        </w:rPr>
      </w:pPr>
      <w:r>
        <w:rPr>
          <w:sz w:val="22"/>
          <w:szCs w:val="22"/>
        </w:rPr>
        <w:t>cc:</w:t>
      </w:r>
      <w:r>
        <w:rPr>
          <w:sz w:val="22"/>
          <w:szCs w:val="22"/>
        </w:rPr>
        <w:tab/>
        <w:t xml:space="preserve">Kris </w:t>
      </w:r>
      <w:r w:rsidR="00B318E4">
        <w:rPr>
          <w:sz w:val="22"/>
          <w:szCs w:val="22"/>
        </w:rPr>
        <w:t xml:space="preserve">Anne </w:t>
      </w:r>
      <w:r>
        <w:rPr>
          <w:sz w:val="22"/>
          <w:szCs w:val="22"/>
        </w:rPr>
        <w:t>Monteith, WCB</w:t>
      </w:r>
    </w:p>
    <w:p w:rsidR="000A2EDA" w:rsidP="009F4E50">
      <w:pPr>
        <w:ind w:firstLine="720"/>
        <w:rPr>
          <w:sz w:val="22"/>
          <w:szCs w:val="22"/>
        </w:rPr>
      </w:pPr>
      <w:r>
        <w:rPr>
          <w:sz w:val="22"/>
          <w:szCs w:val="22"/>
        </w:rPr>
        <w:tab/>
        <w:t xml:space="preserve">Madeleine </w:t>
      </w:r>
      <w:r w:rsidR="00B318E4">
        <w:rPr>
          <w:sz w:val="22"/>
          <w:szCs w:val="22"/>
        </w:rPr>
        <w:t xml:space="preserve">V. </w:t>
      </w:r>
      <w:r>
        <w:rPr>
          <w:sz w:val="22"/>
          <w:szCs w:val="22"/>
        </w:rPr>
        <w:t>Findley, WCB</w:t>
      </w:r>
    </w:p>
    <w:p w:rsidR="000A2EDA" w:rsidP="00E24E2C">
      <w:pPr>
        <w:rPr>
          <w:sz w:val="22"/>
          <w:szCs w:val="22"/>
        </w:rPr>
      </w:pPr>
      <w:r>
        <w:rPr>
          <w:sz w:val="22"/>
          <w:szCs w:val="22"/>
        </w:rPr>
        <w:tab/>
      </w:r>
      <w:r w:rsidR="00B14068">
        <w:rPr>
          <w:sz w:val="22"/>
          <w:szCs w:val="22"/>
        </w:rPr>
        <w:tab/>
      </w:r>
      <w:r w:rsidR="00164C7F">
        <w:rPr>
          <w:sz w:val="22"/>
          <w:szCs w:val="22"/>
        </w:rPr>
        <w:t>Chin Yoo, OGC</w:t>
      </w:r>
    </w:p>
    <w:p w:rsidR="00B30480" w:rsidRPr="00204CE3" w:rsidP="00E24E2C">
      <w:pPr>
        <w:rPr>
          <w:sz w:val="22"/>
          <w:szCs w:val="22"/>
        </w:rPr>
      </w:pPr>
      <w:r>
        <w:rPr>
          <w:sz w:val="22"/>
          <w:szCs w:val="22"/>
        </w:rPr>
        <w:tab/>
      </w:r>
      <w:r>
        <w:rPr>
          <w:sz w:val="22"/>
          <w:szCs w:val="22"/>
        </w:rPr>
        <w:tab/>
        <w:t>Cara Voth, OMD</w:t>
      </w: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0BD8">
      <w:r>
        <w:separator/>
      </w:r>
    </w:p>
  </w:footnote>
  <w:footnote w:type="continuationSeparator" w:id="1">
    <w:p w:rsidR="00770BD8">
      <w:r>
        <w:continuationSeparator/>
      </w:r>
    </w:p>
  </w:footnote>
  <w:footnote w:type="continuationNotice" w:id="2">
    <w:p w:rsidR="00770BD8"/>
  </w:footnote>
  <w:footnote w:id="3">
    <w:p w:rsidR="00F818AD" w:rsidP="00F818AD">
      <w:pPr>
        <w:pStyle w:val="FootnoteText"/>
      </w:pPr>
      <w:r>
        <w:rPr>
          <w:rStyle w:val="FootnoteReference"/>
        </w:rPr>
        <w:footnoteRef/>
      </w:r>
      <w:r>
        <w:t xml:space="preserve"> Memorandum of Understanding Between the Federal Communic</w:t>
      </w:r>
      <w:r>
        <w:t>ations Commission and the Universal Service</w:t>
      </w:r>
    </w:p>
    <w:p w:rsidR="00F818AD" w:rsidP="000B7C88">
      <w:pPr>
        <w:pStyle w:val="FootnoteText"/>
      </w:pPr>
      <w:r>
        <w:t>Administrative Company</w:t>
      </w:r>
      <w:r w:rsidR="00E54261">
        <w:t>, I, IIIA</w:t>
      </w:r>
      <w:r>
        <w:t xml:space="preserve"> (</w:t>
      </w:r>
      <w:r w:rsidR="00E54261">
        <w:t>May 2</w:t>
      </w:r>
      <w:r>
        <w:t xml:space="preserve">, </w:t>
      </w:r>
      <w:r w:rsidR="00E54261">
        <w:t>2016</w:t>
      </w:r>
      <w:r>
        <w:t>).</w:t>
      </w:r>
      <w:r w:rsidR="000B7C88">
        <w:t xml:space="preserve">  </w:t>
      </w:r>
    </w:p>
  </w:footnote>
  <w:footnote w:id="4">
    <w:p w:rsidR="00F818AD">
      <w:pPr>
        <w:pStyle w:val="FootnoteText"/>
      </w:pPr>
      <w:r>
        <w:rPr>
          <w:rStyle w:val="FootnoteReference"/>
        </w:rPr>
        <w:footnoteRef/>
      </w:r>
      <w:r>
        <w:t xml:space="preserve"> </w:t>
      </w:r>
      <w:r w:rsidR="006B5F16">
        <w:t>Letter from Jon Wilkins, Managing Director, Federal Communications Commission to Chris Henderson, Chief Executive Officer, USAC, DA 14-1820 (Dec. 15, 2014).</w:t>
      </w:r>
    </w:p>
  </w:footnote>
  <w:footnote w:id="5">
    <w:p w:rsidR="00CB0737">
      <w:pPr>
        <w:pStyle w:val="FootnoteText"/>
      </w:pPr>
      <w:r>
        <w:rPr>
          <w:rStyle w:val="FootnoteReference"/>
        </w:rPr>
        <w:footnoteRef/>
      </w:r>
      <w:r>
        <w:t xml:space="preserve"> </w:t>
      </w:r>
      <w:r w:rsidRPr="003371DD">
        <w:rPr>
          <w:i/>
        </w:rPr>
        <w:t>Application of Generally Accepted Accounting Principles for Federal Agencies and Generally Accepted Government Auditing Standards to the Universal Service Fund</w:t>
      </w:r>
      <w:r>
        <w:t>, CC Docket No. 96-45, Order, 18 FCC Rcd 19911, 19912-13 (2003).</w:t>
      </w:r>
    </w:p>
  </w:footnote>
  <w:footnote w:id="6">
    <w:p w:rsidR="00CB0737">
      <w:pPr>
        <w:pStyle w:val="FootnoteText"/>
      </w:pPr>
      <w:r>
        <w:rPr>
          <w:rStyle w:val="FootnoteReference"/>
        </w:rPr>
        <w:footnoteRef/>
      </w:r>
      <w:r>
        <w:t xml:space="preserve"> </w:t>
      </w:r>
      <w:r w:rsidRPr="003371DD" w:rsidR="009B61B9">
        <w:rPr>
          <w:i/>
        </w:rPr>
        <w:t>Amendment of Part 54 of the Commission’s Rules</w:t>
      </w:r>
      <w:r w:rsidR="009B61B9">
        <w:t xml:space="preserve">, Order, 21 FCC Rcd 7422, 7423 (2006).  </w:t>
      </w:r>
      <w:r w:rsidR="009B61B9">
        <w:rPr>
          <w:i/>
        </w:rPr>
        <w:t xml:space="preserve">See also </w:t>
      </w:r>
      <w:r>
        <w:t xml:space="preserve">47 CFR </w:t>
      </w:r>
      <w:r>
        <w:rPr>
          <w:rFonts w:ascii="Courier New" w:hAnsi="Courier New" w:cs="Courier New"/>
        </w:rPr>
        <w:t>§</w:t>
      </w:r>
      <w:r w:rsidR="000B5869">
        <w:rPr>
          <w:rFonts w:ascii="Courier New" w:hAnsi="Courier New" w:cs="Courier New"/>
        </w:rPr>
        <w:t xml:space="preserve"> </w:t>
      </w:r>
      <w:r>
        <w:t>0.11</w:t>
      </w:r>
      <w:r w:rsidR="000B5869">
        <w:t>(a</w:t>
      </w:r>
      <w:r w:rsidR="008F4761">
        <w:t>)(</w:t>
      </w:r>
      <w:r w:rsidR="000B5869">
        <w:t>8).</w:t>
      </w:r>
    </w:p>
  </w:footnote>
  <w:footnote w:id="7">
    <w:p w:rsidR="00D858BC">
      <w:pPr>
        <w:pStyle w:val="FootnoteText"/>
      </w:pPr>
      <w:r>
        <w:rPr>
          <w:rStyle w:val="FootnoteReference"/>
        </w:rPr>
        <w:footnoteRef/>
      </w:r>
      <w:r>
        <w:t xml:space="preserve"> Pending </w:t>
      </w:r>
      <w:r w:rsidRPr="00D858BC">
        <w:t xml:space="preserve">applications </w:t>
      </w:r>
      <w:r>
        <w:t xml:space="preserve">are funding requests </w:t>
      </w:r>
      <w:r w:rsidRPr="00D858BC">
        <w:t>for which USAC has not yet issued a funding commitment decision letter (FCDL)</w:t>
      </w:r>
      <w:r>
        <w:t xml:space="preserve"> that would grant or deny funding.</w:t>
      </w:r>
    </w:p>
  </w:footnote>
  <w:footnote w:id="8">
    <w:p w:rsidR="00440CA8">
      <w:pPr>
        <w:pStyle w:val="FootnoteText"/>
      </w:pPr>
      <w:r>
        <w:rPr>
          <w:rStyle w:val="FootnoteReference"/>
        </w:rPr>
        <w:footnoteRef/>
      </w:r>
      <w:r>
        <w:t xml:space="preserve"> </w:t>
      </w:r>
      <w:r w:rsidRPr="006B5F16" w:rsidR="006B5F16">
        <w:rPr>
          <w:i/>
        </w:rPr>
        <w:t>See, e.g.</w:t>
      </w:r>
      <w:r w:rsidR="006B5F16">
        <w:t>,</w:t>
      </w:r>
      <w:r w:rsidRPr="006B5F16" w:rsidR="006B5F16">
        <w:t xml:space="preserve"> USAC, Federal Universal Service Support Mechanisms Fund Size Pro</w:t>
      </w:r>
      <w:r w:rsidR="006B5F16">
        <w:t>jections for Second Quarter 2017</w:t>
      </w:r>
      <w:r w:rsidRPr="006B5F16" w:rsidR="006B5F16">
        <w:t xml:space="preserve"> (</w:t>
      </w:r>
      <w:r w:rsidR="006B5F16">
        <w:t>Feb. 1, 2017</w:t>
      </w:r>
      <w:r w:rsidRPr="006B5F16" w:rsidR="006B5F16">
        <w:t xml:space="preserve">), </w:t>
      </w:r>
      <w:r w:rsidR="00957100">
        <w:t xml:space="preserve">at 66-67, </w:t>
      </w:r>
      <w:hyperlink r:id="rId1" w:history="1">
        <w:r w:rsidRPr="00501A05" w:rsidR="006B5F16">
          <w:rPr>
            <w:rStyle w:val="Hyperlink"/>
          </w:rPr>
          <w:t>http://www.usac.org/about/tools/fcc/filings/2017/q2/USAC%202Q2017%20Federal%20Universal%20Service%20Mechanism%20Quarterly%20Demand%20Filing.pdf</w:t>
        </w:r>
      </w:hyperlink>
      <w:r w:rsidR="006B5F16">
        <w:t xml:space="preserve">; </w:t>
      </w:r>
      <w:r w:rsidRPr="006B5F16" w:rsidR="006B5F16">
        <w:t>USAC, Federal Universal Service Support Mechanisms Fund Size Pro</w:t>
      </w:r>
      <w:r w:rsidR="006B5F16">
        <w:t>jections for First Quarter 2017</w:t>
      </w:r>
      <w:r w:rsidRPr="006B5F16" w:rsidR="006B5F16">
        <w:t xml:space="preserve"> (</w:t>
      </w:r>
      <w:r w:rsidR="006B5F16">
        <w:t>Nov.2, 2016</w:t>
      </w:r>
      <w:r w:rsidRPr="006B5F16" w:rsidR="006B5F16">
        <w:t>)</w:t>
      </w:r>
      <w:r w:rsidR="006B5F16">
        <w:t xml:space="preserve">, </w:t>
      </w:r>
      <w:r w:rsidR="00957100">
        <w:t xml:space="preserve">at 64-65, </w:t>
      </w:r>
      <w:r w:rsidRPr="006B5F16" w:rsidR="006B5F16">
        <w:t>http://www.usac.org/about/tools/fcc/filings/2017/q1/USAC%201Q2017%20Federal%20Universal%20Service%20Mechanism%20Quarterly%20Demand%20Filing.pdf</w:t>
      </w:r>
      <w:r w:rsidR="006B5F16">
        <w:t>.</w:t>
      </w:r>
    </w:p>
  </w:footnote>
  <w:footnote w:id="9">
    <w:p w:rsidR="00A854C5" w:rsidRPr="00957100" w:rsidP="00A854C5">
      <w:pPr>
        <w:pStyle w:val="FootnoteText"/>
      </w:pPr>
      <w:r>
        <w:rPr>
          <w:rStyle w:val="FootnoteReference"/>
        </w:rPr>
        <w:footnoteRef/>
      </w:r>
      <w:r>
        <w:t xml:space="preserve"> </w:t>
      </w:r>
      <w:r w:rsidRPr="00957100">
        <w:rPr>
          <w:i/>
        </w:rPr>
        <w:t>Modernizing the E-rate Program for Schools and Libraries</w:t>
      </w:r>
      <w:r>
        <w:t xml:space="preserve">, </w:t>
      </w:r>
      <w:r w:rsidR="00957100">
        <w:rPr>
          <w:i/>
        </w:rPr>
        <w:t>Connect America Fund</w:t>
      </w:r>
      <w:r w:rsidR="00957100">
        <w:t>,</w:t>
      </w:r>
      <w:r w:rsidR="00957100">
        <w:rPr>
          <w:i/>
        </w:rPr>
        <w:t xml:space="preserve"> </w:t>
      </w:r>
      <w:r>
        <w:t xml:space="preserve">WC Docket No. 13-184, </w:t>
      </w:r>
      <w:r w:rsidR="00957100">
        <w:t xml:space="preserve">WC 10-90, </w:t>
      </w:r>
      <w:r w:rsidR="000B7C88">
        <w:t xml:space="preserve">Second </w:t>
      </w:r>
      <w:r>
        <w:t>Report and Order</w:t>
      </w:r>
      <w:r w:rsidR="00957100">
        <w:t xml:space="preserve"> and Order on Reconsideration</w:t>
      </w:r>
      <w:r>
        <w:t xml:space="preserve">, 29 FCC Rcd </w:t>
      </w:r>
      <w:r w:rsidR="00957100">
        <w:t>15538, 15590, para. 130 (2014) (</w:t>
      </w:r>
      <w:r w:rsidR="00957100">
        <w:rPr>
          <w:i/>
        </w:rPr>
        <w:t>Second E-rate Modernization Order</w:t>
      </w:r>
      <w:r w:rsidR="00957100">
        <w:t>).</w:t>
      </w:r>
      <w:r w:rsidR="003B3B56">
        <w:t xml:space="preserve">  </w:t>
      </w:r>
      <w:r w:rsidRPr="003B3B56" w:rsidR="003B3B56">
        <w:t>Although USAC was instructed to work with the Office of Managing Director and other Commission staff</w:t>
      </w:r>
      <w:r w:rsidR="00327588">
        <w:t xml:space="preserve"> on this recommendation, USAC did not provide</w:t>
      </w:r>
      <w:r w:rsidRPr="003B3B56" w:rsidR="003B3B56">
        <w:t xml:space="preserve"> add</w:t>
      </w:r>
      <w:r w:rsidR="00327588">
        <w:t>itional updates</w:t>
      </w:r>
      <w:r w:rsidRPr="003B3B56" w:rsidR="003B3B56">
        <w:t>.</w:t>
      </w:r>
    </w:p>
  </w:footnote>
  <w:footnote w:id="10">
    <w:p w:rsidR="00577EFE">
      <w:pPr>
        <w:pStyle w:val="FootnoteText"/>
      </w:pPr>
      <w:r>
        <w:rPr>
          <w:rStyle w:val="FootnoteReference"/>
        </w:rPr>
        <w:footnoteRef/>
      </w:r>
      <w:r>
        <w:t xml:space="preserve"> These are described as “potential” disbursements because pending applications or pending appeals may not be granted, and commitments that have not yet been disbursed may n</w:t>
      </w:r>
      <w:r>
        <w:t>ot be disbursed if an applicant does not follow certain requirements</w:t>
      </w:r>
      <w:r w:rsidR="00641AE0">
        <w:t xml:space="preserve"> </w:t>
      </w:r>
      <w:r w:rsidRPr="00641AE0" w:rsidR="00641AE0">
        <w:t>–</w:t>
      </w:r>
      <w:r w:rsidRPr="00641AE0">
        <w:t xml:space="preserve"> </w:t>
      </w:r>
      <w:r w:rsidRPr="00DD7B6E">
        <w:t>e.g.</w:t>
      </w:r>
      <w:r w:rsidRPr="00641AE0">
        <w:t>,</w:t>
      </w:r>
      <w:r>
        <w:t xml:space="preserve"> invoicing before the invoice deadline. </w:t>
      </w:r>
    </w:p>
  </w:footnote>
  <w:footnote w:id="11">
    <w:p w:rsidR="001075B3">
      <w:pPr>
        <w:pStyle w:val="FootnoteText"/>
      </w:pPr>
      <w:r>
        <w:rPr>
          <w:rStyle w:val="FootnoteReference"/>
        </w:rPr>
        <w:footnoteRef/>
      </w:r>
      <w:r>
        <w:t xml:space="preserve"> If </w:t>
      </w:r>
      <w:r w:rsidRPr="001075B3">
        <w:t>the invoice extension expires without an invoice being submitted, the reserve should be adjusted downward to reflect the expired amoun</w:t>
      </w:r>
      <w:r w:rsidRPr="001075B3">
        <w:t>t.</w:t>
      </w:r>
    </w:p>
  </w:footnote>
  <w:footnote w:id="12">
    <w:p w:rsidR="00CA1222" w:rsidRPr="00AB1505">
      <w:pPr>
        <w:pStyle w:val="FootnoteText"/>
      </w:pPr>
      <w:r>
        <w:rPr>
          <w:rStyle w:val="FootnoteReference"/>
        </w:rPr>
        <w:footnoteRef/>
      </w:r>
      <w:r>
        <w:t xml:space="preserve"> </w:t>
      </w:r>
      <w:r w:rsidRPr="00CA1222">
        <w:t>47 CFR § 54.514</w:t>
      </w:r>
      <w:r>
        <w:t>.</w:t>
      </w:r>
      <w:r w:rsidRPr="00CA1222">
        <w:t xml:space="preserve">  </w:t>
      </w:r>
      <w:r w:rsidR="00F630DC">
        <w:t>I</w:t>
      </w:r>
      <w:r w:rsidRPr="00F630DC" w:rsidR="00F630DC">
        <w:t xml:space="preserve">f an invoice is denied and the invoice denial is appealed, and USAC is reserving the dollars for the affected funding request in the committed-but-undisbursed funds reserve category, USAC should not </w:t>
      </w:r>
      <w:r w:rsidR="00F630DC">
        <w:t>add those dollars to the appeals reserve u</w:t>
      </w:r>
      <w:r w:rsidRPr="00F630DC" w:rsidR="00F630DC">
        <w:t xml:space="preserve">ntil they are removed from the committed-but-undisbursed funds reserve category.  </w:t>
      </w:r>
      <w:r w:rsidR="00AB1505">
        <w:rPr>
          <w:i/>
        </w:rPr>
        <w:t xml:space="preserve">See infra </w:t>
      </w:r>
      <w:r w:rsidR="00AB1505">
        <w:t xml:space="preserve">note </w:t>
      </w:r>
      <w:r w:rsidR="001075B3">
        <w:t>11</w:t>
      </w:r>
      <w:r w:rsidR="00AB1505">
        <w:t>.</w:t>
      </w:r>
    </w:p>
  </w:footnote>
  <w:footnote w:id="13">
    <w:p w:rsidR="001075B3">
      <w:pPr>
        <w:pStyle w:val="FootnoteText"/>
      </w:pPr>
      <w:r>
        <w:rPr>
          <w:rStyle w:val="FootnoteReference"/>
        </w:rPr>
        <w:footnoteRef/>
      </w:r>
      <w:r>
        <w:t xml:space="preserve"> </w:t>
      </w:r>
      <w:r w:rsidRPr="001075B3">
        <w:t xml:space="preserve">We expect that USAC will have safeguards in place so that it will not have duplicate reserves for E-rate program dollars.  For example, dollars associated with a funding request </w:t>
      </w:r>
      <w:r>
        <w:t xml:space="preserve">denial </w:t>
      </w:r>
      <w:r w:rsidRPr="001075B3">
        <w:t>that is being appealed should not be moved to the reserve for pending a</w:t>
      </w:r>
      <w:r w:rsidRPr="001075B3">
        <w:t>ppeals until those dollars are removed from their original reserve category.</w:t>
      </w:r>
    </w:p>
  </w:footnote>
  <w:footnote w:id="14">
    <w:p w:rsidR="003664CA" w:rsidRPr="003371DD">
      <w:pPr>
        <w:pStyle w:val="FootnoteText"/>
        <w:rPr>
          <w:i/>
        </w:rPr>
      </w:pPr>
      <w:r>
        <w:rPr>
          <w:rStyle w:val="FootnoteReference"/>
        </w:rPr>
        <w:footnoteRef/>
      </w:r>
      <w:r>
        <w:t xml:space="preserve"> </w:t>
      </w:r>
      <w:r w:rsidR="00BF63EC">
        <w:rPr>
          <w:i/>
        </w:rPr>
        <w:t xml:space="preserve">See, e.g., </w:t>
      </w:r>
      <w:r w:rsidRPr="00E85BF7" w:rsidR="00502541">
        <w:rPr>
          <w:i/>
        </w:rPr>
        <w:t>Amendment of Part 54 of the Commission’s Rules</w:t>
      </w:r>
      <w:r w:rsidRPr="00502541" w:rsidR="00502541">
        <w:t>, Order, 21 FCC Rcd 7422, 7423 (2006)</w:t>
      </w:r>
      <w:r w:rsidRPr="00BF63EC" w:rsidR="00BF63EC">
        <w:t xml:space="preserve"> </w:t>
      </w:r>
      <w:r w:rsidR="00BF63EC">
        <w:t xml:space="preserve">(revising </w:t>
      </w:r>
      <w:r w:rsidRPr="00BF63EC" w:rsidR="00BF63EC">
        <w:t>section 54.709 to require USAC to submit to the OMD projections of demand for USF support mechanisms, projections of revenue, projections of administrative expen</w:t>
      </w:r>
      <w:r w:rsidR="00BF63EC">
        <w:t>ses, and the contribution base, and requiring OMD</w:t>
      </w:r>
      <w:r w:rsidRPr="00BF63EC" w:rsidR="00BF63EC">
        <w:t xml:space="preserve"> to calculate the contribution</w:t>
      </w:r>
      <w:r w:rsidR="00BF63EC">
        <w:t xml:space="preserve"> factor</w:t>
      </w:r>
      <w:r w:rsidRPr="00BF63EC" w:rsidR="00BF63EC">
        <w:t>, consistent with the OMD's general responsibility over the Commission's financial matters</w:t>
      </w:r>
      <w:r w:rsidR="00BF63EC">
        <w:t>)</w:t>
      </w:r>
      <w:r w:rsidR="00A61B61">
        <w:t xml:space="preserve">; 47 CFR § 54.507(a)(5)-(6) (requiring </w:t>
      </w:r>
      <w:r w:rsidR="00B13F0D">
        <w:t xml:space="preserve">USAC to report the amount of collected and unused funds to the Commission quarterly and that in </w:t>
      </w:r>
      <w:r w:rsidRPr="00B13F0D" w:rsidR="00B13F0D">
        <w:t>the second quarter of each calendar year, all funds that are collected and that a</w:t>
      </w:r>
      <w:r w:rsidR="00B13F0D">
        <w:t>re unused from prior years</w:t>
      </w:r>
      <w:r w:rsidRPr="00B13F0D" w:rsidR="00B13F0D">
        <w:t xml:space="preserve"> be </w:t>
      </w:r>
      <w:r w:rsidR="00B13F0D">
        <w:t xml:space="preserve">made </w:t>
      </w:r>
      <w:r w:rsidRPr="00B13F0D" w:rsidR="00B13F0D">
        <w:t xml:space="preserve">available for use in the next full funding year </w:t>
      </w:r>
      <w:r w:rsidR="00B13F0D">
        <w:t>of the E-rate program).</w:t>
      </w:r>
    </w:p>
  </w:footnote>
  <w:footnote w:id="15">
    <w:p w:rsidR="00B13F0D" w:rsidRPr="003371DD">
      <w:pPr>
        <w:pStyle w:val="FootnoteText"/>
        <w:rPr>
          <w:i/>
        </w:rPr>
      </w:pPr>
      <w:r>
        <w:rPr>
          <w:rStyle w:val="FootnoteReference"/>
        </w:rPr>
        <w:footnoteRef/>
      </w:r>
      <w:r>
        <w:t xml:space="preserve"> </w:t>
      </w:r>
      <w:r>
        <w:rPr>
          <w:i/>
        </w:rPr>
        <w:t>Id.</w:t>
      </w:r>
    </w:p>
  </w:footnote>
  <w:footnote w:id="16">
    <w:p w:rsidR="00B02EB8" w:rsidRPr="005C1E3C" w:rsidP="00B02EB8">
      <w:pPr>
        <w:pStyle w:val="FootnoteText"/>
      </w:pPr>
      <w:r>
        <w:rPr>
          <w:rStyle w:val="FootnoteReference"/>
        </w:rPr>
        <w:footnoteRef/>
      </w:r>
      <w:r>
        <w:t xml:space="preserve"> </w:t>
      </w:r>
      <w:r w:rsidRPr="00B02EB8">
        <w:rPr>
          <w:i/>
        </w:rPr>
        <w:t xml:space="preserve">Schools and Libraries Universal Service Support Mechanism, CC Docket No. 02-6, </w:t>
      </w:r>
      <w:r w:rsidR="00436AAA">
        <w:t xml:space="preserve">Third Report and Order </w:t>
      </w:r>
      <w:r w:rsidRPr="00B02EB8">
        <w:t>and Second Further Notice of Proposed Rulemaking</w:t>
      </w:r>
      <w:r>
        <w:rPr>
          <w:i/>
        </w:rPr>
        <w:t xml:space="preserve">, </w:t>
      </w:r>
      <w:r w:rsidRPr="00B02EB8">
        <w:t>18 FCC Rcd 26912, 2</w:t>
      </w:r>
      <w:r w:rsidRPr="00B02EB8">
        <w:t>6933</w:t>
      </w:r>
      <w:r w:rsidR="00AA0777">
        <w:t>-34</w:t>
      </w:r>
      <w:r w:rsidRPr="00B02EB8">
        <w:t>, para</w:t>
      </w:r>
      <w:r w:rsidR="00AA0777">
        <w:t>s</w:t>
      </w:r>
      <w:r w:rsidRPr="00B02EB8">
        <w:t>. 53</w:t>
      </w:r>
      <w:r w:rsidR="00AA0777">
        <w:t>-54</w:t>
      </w:r>
      <w:r w:rsidRPr="00B02EB8">
        <w:t xml:space="preserve"> (2003)</w:t>
      </w:r>
      <w:r w:rsidR="005C1E3C">
        <w:rPr>
          <w:i/>
        </w:rPr>
        <w:t xml:space="preserve"> </w:t>
      </w:r>
      <w:r w:rsidR="005C1E3C">
        <w:t>(</w:t>
      </w:r>
      <w:r w:rsidRPr="005C1E3C" w:rsidR="005C1E3C">
        <w:rPr>
          <w:i/>
        </w:rPr>
        <w:t>Schools and Libraries Third Report and Order</w:t>
      </w:r>
      <w:r w:rsidR="005C1E3C">
        <w:t>).</w:t>
      </w:r>
    </w:p>
  </w:footnote>
  <w:footnote w:id="17">
    <w:p w:rsidR="00B02EB8" w:rsidRPr="00BF63EC">
      <w:pPr>
        <w:pStyle w:val="FootnoteText"/>
      </w:pPr>
      <w:r>
        <w:rPr>
          <w:rStyle w:val="FootnoteReference"/>
        </w:rPr>
        <w:footnoteRef/>
      </w:r>
      <w:r>
        <w:t xml:space="preserve"> </w:t>
      </w:r>
      <w:r>
        <w:rPr>
          <w:i/>
        </w:rPr>
        <w:t xml:space="preserve">Id. </w:t>
      </w:r>
      <w:r>
        <w:t>at 26934, para. 54.</w:t>
      </w:r>
      <w:r w:rsidRPr="00BE781F" w:rsidR="00BE781F">
        <w:t xml:space="preserve"> </w:t>
      </w:r>
    </w:p>
  </w:footnote>
  <w:footnote w:id="18">
    <w:p w:rsidR="00112AAB" w:rsidRPr="00112AAB">
      <w:pPr>
        <w:pStyle w:val="FootnoteText"/>
      </w:pPr>
      <w:r>
        <w:rPr>
          <w:rStyle w:val="FootnoteReference"/>
        </w:rPr>
        <w:footnoteRef/>
      </w:r>
      <w:r>
        <w:t xml:space="preserve"> </w:t>
      </w:r>
      <w:r w:rsidR="006121FF">
        <w:rPr>
          <w:i/>
        </w:rPr>
        <w:t xml:space="preserve">Id. </w:t>
      </w:r>
      <w:r>
        <w:t>at 26934-35,</w:t>
      </w:r>
      <w:r w:rsidR="00BE781F">
        <w:t xml:space="preserve"> </w:t>
      </w:r>
      <w:r w:rsidR="0006741E">
        <w:t xml:space="preserve">para. </w:t>
      </w:r>
      <w:r>
        <w:t>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12866114" r:id="rId2"/>
      </w:pict>
    </w:r>
    <w:r>
      <w:rPr>
        <w:rFonts w:ascii="CG Times (W1)" w:hAnsi="CG Times (W1)"/>
        <w:sz w:val="28"/>
      </w:rPr>
      <w:t>Federal Communications Commission</w:t>
    </w:r>
  </w:p>
  <w:p w:rsidR="002B54DB">
    <w:pPr>
      <w:jc w:val="center"/>
    </w:pPr>
    <w:r>
      <w:rPr>
        <w:rFonts w:ascii="CG Times (W1)" w:hAnsi="CG Times (W1)"/>
        <w:sz w:val="28"/>
      </w:rPr>
      <w:t>Washington, D.C. 20554</w:t>
    </w:r>
  </w:p>
  <w:p w:rsidR="002B54DB" w:rsidRPr="00F91C58">
    <w:pPr>
      <w:pStyle w:val="Header"/>
      <w:tabs>
        <w:tab w:val="clear" w:pos="4320"/>
      </w:tabs>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2C"/>
    <w:rsid w:val="000051FD"/>
    <w:rsid w:val="0001292D"/>
    <w:rsid w:val="0001564F"/>
    <w:rsid w:val="000162C7"/>
    <w:rsid w:val="000240D9"/>
    <w:rsid w:val="00032022"/>
    <w:rsid w:val="00033AEF"/>
    <w:rsid w:val="000345AB"/>
    <w:rsid w:val="000607AD"/>
    <w:rsid w:val="0006741E"/>
    <w:rsid w:val="0007077B"/>
    <w:rsid w:val="000710EF"/>
    <w:rsid w:val="000905E6"/>
    <w:rsid w:val="00093FCF"/>
    <w:rsid w:val="000A2EDA"/>
    <w:rsid w:val="000A6CAE"/>
    <w:rsid w:val="000B5869"/>
    <w:rsid w:val="000B6EFF"/>
    <w:rsid w:val="000B7C88"/>
    <w:rsid w:val="000F5809"/>
    <w:rsid w:val="001075B3"/>
    <w:rsid w:val="00112AAB"/>
    <w:rsid w:val="00164C7F"/>
    <w:rsid w:val="001F565A"/>
    <w:rsid w:val="00203DD5"/>
    <w:rsid w:val="00204CE3"/>
    <w:rsid w:val="00213BA7"/>
    <w:rsid w:val="002217A7"/>
    <w:rsid w:val="00243ED6"/>
    <w:rsid w:val="00256AEC"/>
    <w:rsid w:val="00276FA6"/>
    <w:rsid w:val="0029406F"/>
    <w:rsid w:val="002B54DB"/>
    <w:rsid w:val="002B74B7"/>
    <w:rsid w:val="002D7B79"/>
    <w:rsid w:val="002F63DA"/>
    <w:rsid w:val="002F75F1"/>
    <w:rsid w:val="00300939"/>
    <w:rsid w:val="00321840"/>
    <w:rsid w:val="00327588"/>
    <w:rsid w:val="0033300C"/>
    <w:rsid w:val="003371DD"/>
    <w:rsid w:val="00362037"/>
    <w:rsid w:val="003664CA"/>
    <w:rsid w:val="0037420E"/>
    <w:rsid w:val="003B3B56"/>
    <w:rsid w:val="003C2913"/>
    <w:rsid w:val="003C5159"/>
    <w:rsid w:val="003C52B5"/>
    <w:rsid w:val="003C6E37"/>
    <w:rsid w:val="003D07B7"/>
    <w:rsid w:val="003D2083"/>
    <w:rsid w:val="00420AB5"/>
    <w:rsid w:val="00422C26"/>
    <w:rsid w:val="00422DEA"/>
    <w:rsid w:val="00423625"/>
    <w:rsid w:val="00426183"/>
    <w:rsid w:val="00436AAA"/>
    <w:rsid w:val="00440CA8"/>
    <w:rsid w:val="004C6AFC"/>
    <w:rsid w:val="004D3B53"/>
    <w:rsid w:val="004E30BD"/>
    <w:rsid w:val="004F6A4A"/>
    <w:rsid w:val="00501A05"/>
    <w:rsid w:val="00502541"/>
    <w:rsid w:val="0051280A"/>
    <w:rsid w:val="00532C96"/>
    <w:rsid w:val="00554805"/>
    <w:rsid w:val="005718E3"/>
    <w:rsid w:val="005766D9"/>
    <w:rsid w:val="00577EFE"/>
    <w:rsid w:val="00581345"/>
    <w:rsid w:val="00583E72"/>
    <w:rsid w:val="00587EB7"/>
    <w:rsid w:val="005B11E5"/>
    <w:rsid w:val="005C0603"/>
    <w:rsid w:val="005C1E3C"/>
    <w:rsid w:val="005C699B"/>
    <w:rsid w:val="00601F26"/>
    <w:rsid w:val="0061042D"/>
    <w:rsid w:val="006121FF"/>
    <w:rsid w:val="00625B58"/>
    <w:rsid w:val="006417CD"/>
    <w:rsid w:val="00641AE0"/>
    <w:rsid w:val="00643ABD"/>
    <w:rsid w:val="00643E55"/>
    <w:rsid w:val="00647BFB"/>
    <w:rsid w:val="00653A9E"/>
    <w:rsid w:val="006729E3"/>
    <w:rsid w:val="006A24C2"/>
    <w:rsid w:val="006A5CF8"/>
    <w:rsid w:val="006B2177"/>
    <w:rsid w:val="006B5F16"/>
    <w:rsid w:val="006C4734"/>
    <w:rsid w:val="006D7304"/>
    <w:rsid w:val="006E15CD"/>
    <w:rsid w:val="006F293A"/>
    <w:rsid w:val="00707709"/>
    <w:rsid w:val="00745DFC"/>
    <w:rsid w:val="00756190"/>
    <w:rsid w:val="00770BD8"/>
    <w:rsid w:val="007747CC"/>
    <w:rsid w:val="00796DEA"/>
    <w:rsid w:val="007A4F48"/>
    <w:rsid w:val="007B0102"/>
    <w:rsid w:val="007C215D"/>
    <w:rsid w:val="007D4D2B"/>
    <w:rsid w:val="007D5282"/>
    <w:rsid w:val="007D600E"/>
    <w:rsid w:val="007D7E22"/>
    <w:rsid w:val="007E0A0F"/>
    <w:rsid w:val="007F4E28"/>
    <w:rsid w:val="008208D8"/>
    <w:rsid w:val="008248A3"/>
    <w:rsid w:val="00846401"/>
    <w:rsid w:val="00852F83"/>
    <w:rsid w:val="00861D4D"/>
    <w:rsid w:val="00865157"/>
    <w:rsid w:val="00877341"/>
    <w:rsid w:val="00892A53"/>
    <w:rsid w:val="008A5783"/>
    <w:rsid w:val="008F4761"/>
    <w:rsid w:val="0090464A"/>
    <w:rsid w:val="00952FA0"/>
    <w:rsid w:val="00957100"/>
    <w:rsid w:val="00960D77"/>
    <w:rsid w:val="0098522F"/>
    <w:rsid w:val="00990C96"/>
    <w:rsid w:val="0099109A"/>
    <w:rsid w:val="009975F9"/>
    <w:rsid w:val="009A513E"/>
    <w:rsid w:val="009B2C4D"/>
    <w:rsid w:val="009B61B9"/>
    <w:rsid w:val="009F4E50"/>
    <w:rsid w:val="009F7FA5"/>
    <w:rsid w:val="00A00E73"/>
    <w:rsid w:val="00A16064"/>
    <w:rsid w:val="00A43BEB"/>
    <w:rsid w:val="00A51594"/>
    <w:rsid w:val="00A53265"/>
    <w:rsid w:val="00A61B61"/>
    <w:rsid w:val="00A71837"/>
    <w:rsid w:val="00A854C5"/>
    <w:rsid w:val="00AA0777"/>
    <w:rsid w:val="00AB146B"/>
    <w:rsid w:val="00AB1505"/>
    <w:rsid w:val="00AB7DE6"/>
    <w:rsid w:val="00AD45CE"/>
    <w:rsid w:val="00B02EB8"/>
    <w:rsid w:val="00B129A6"/>
    <w:rsid w:val="00B13F0D"/>
    <w:rsid w:val="00B14068"/>
    <w:rsid w:val="00B140DC"/>
    <w:rsid w:val="00B15F58"/>
    <w:rsid w:val="00B30480"/>
    <w:rsid w:val="00B318E4"/>
    <w:rsid w:val="00B54BB8"/>
    <w:rsid w:val="00B5713E"/>
    <w:rsid w:val="00B705E8"/>
    <w:rsid w:val="00B94335"/>
    <w:rsid w:val="00B95A38"/>
    <w:rsid w:val="00BA3D4B"/>
    <w:rsid w:val="00BA60B7"/>
    <w:rsid w:val="00BB7ADA"/>
    <w:rsid w:val="00BC1D10"/>
    <w:rsid w:val="00BC41F3"/>
    <w:rsid w:val="00BE781F"/>
    <w:rsid w:val="00BF5357"/>
    <w:rsid w:val="00BF63EC"/>
    <w:rsid w:val="00C03603"/>
    <w:rsid w:val="00C41BC8"/>
    <w:rsid w:val="00C639E7"/>
    <w:rsid w:val="00CA1222"/>
    <w:rsid w:val="00CB0737"/>
    <w:rsid w:val="00CC3670"/>
    <w:rsid w:val="00CE73C8"/>
    <w:rsid w:val="00CF47C7"/>
    <w:rsid w:val="00D029D5"/>
    <w:rsid w:val="00D144AD"/>
    <w:rsid w:val="00D24AF1"/>
    <w:rsid w:val="00D43E66"/>
    <w:rsid w:val="00D45EBC"/>
    <w:rsid w:val="00D564E6"/>
    <w:rsid w:val="00D678BE"/>
    <w:rsid w:val="00D811AE"/>
    <w:rsid w:val="00D8391B"/>
    <w:rsid w:val="00D842F3"/>
    <w:rsid w:val="00D858BC"/>
    <w:rsid w:val="00D90687"/>
    <w:rsid w:val="00D95479"/>
    <w:rsid w:val="00DA21CC"/>
    <w:rsid w:val="00DA5FE8"/>
    <w:rsid w:val="00DC5A94"/>
    <w:rsid w:val="00DD7B6E"/>
    <w:rsid w:val="00E014A6"/>
    <w:rsid w:val="00E02C53"/>
    <w:rsid w:val="00E24E2C"/>
    <w:rsid w:val="00E54261"/>
    <w:rsid w:val="00E85BF7"/>
    <w:rsid w:val="00EF4498"/>
    <w:rsid w:val="00F07392"/>
    <w:rsid w:val="00F27BB3"/>
    <w:rsid w:val="00F45D71"/>
    <w:rsid w:val="00F50F60"/>
    <w:rsid w:val="00F617B4"/>
    <w:rsid w:val="00F630DC"/>
    <w:rsid w:val="00F71EC8"/>
    <w:rsid w:val="00F818AD"/>
    <w:rsid w:val="00F901DD"/>
    <w:rsid w:val="00F91C58"/>
    <w:rsid w:val="00FA29A0"/>
    <w:rsid w:val="00FB696B"/>
    <w:rsid w:val="00FC1B76"/>
    <w:rsid w:val="00FD0510"/>
    <w:rsid w:val="00FD0B0E"/>
    <w:rsid w:val="00FE3A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4E50"/>
    <w:pPr>
      <w:tabs>
        <w:tab w:val="center" w:pos="4320"/>
        <w:tab w:val="right" w:pos="8640"/>
      </w:tabs>
    </w:pPr>
  </w:style>
  <w:style w:type="paragraph" w:styleId="Footer">
    <w:name w:val="footer"/>
    <w:basedOn w:val="Normal"/>
    <w:link w:val="FooterChar"/>
    <w:rsid w:val="009F4E50"/>
    <w:pPr>
      <w:tabs>
        <w:tab w:val="center" w:pos="4320"/>
        <w:tab w:val="right" w:pos="8640"/>
      </w:tabs>
    </w:pPr>
  </w:style>
  <w:style w:type="paragraph" w:styleId="FootnoteText">
    <w:name w:val="footnote text"/>
    <w:basedOn w:val="Normal"/>
    <w:link w:val="FootnoteTextChar"/>
    <w:uiPriority w:val="99"/>
    <w:unhideWhenUsed/>
    <w:rsid w:val="00F50F60"/>
  </w:style>
  <w:style w:type="character" w:customStyle="1" w:styleId="FootnoteTextChar">
    <w:name w:val="Footnote Text Char"/>
    <w:basedOn w:val="DefaultParagraphFont"/>
    <w:link w:val="FootnoteText"/>
    <w:uiPriority w:val="99"/>
    <w:rsid w:val="00F50F60"/>
  </w:style>
  <w:style w:type="character" w:styleId="FootnoteReference">
    <w:name w:val="footnote reference"/>
    <w:basedOn w:val="DefaultParagraphFont"/>
    <w:uiPriority w:val="99"/>
    <w:semiHidden/>
    <w:unhideWhenUsed/>
    <w:rsid w:val="00F50F60"/>
    <w:rPr>
      <w:vertAlign w:val="superscript"/>
    </w:rPr>
  </w:style>
  <w:style w:type="character" w:styleId="CommentReference">
    <w:name w:val="annotation reference"/>
    <w:basedOn w:val="DefaultParagraphFont"/>
    <w:uiPriority w:val="99"/>
    <w:semiHidden/>
    <w:unhideWhenUsed/>
    <w:rsid w:val="00440CA8"/>
    <w:rPr>
      <w:sz w:val="16"/>
      <w:szCs w:val="16"/>
    </w:rPr>
  </w:style>
  <w:style w:type="paragraph" w:styleId="CommentText">
    <w:name w:val="annotation text"/>
    <w:basedOn w:val="Normal"/>
    <w:link w:val="CommentTextChar"/>
    <w:uiPriority w:val="99"/>
    <w:semiHidden/>
    <w:unhideWhenUsed/>
    <w:rsid w:val="00440CA8"/>
  </w:style>
  <w:style w:type="character" w:customStyle="1" w:styleId="CommentTextChar">
    <w:name w:val="Comment Text Char"/>
    <w:basedOn w:val="DefaultParagraphFont"/>
    <w:link w:val="CommentText"/>
    <w:uiPriority w:val="99"/>
    <w:semiHidden/>
    <w:rsid w:val="00440CA8"/>
  </w:style>
  <w:style w:type="paragraph" w:styleId="CommentSubject">
    <w:name w:val="annotation subject"/>
    <w:basedOn w:val="CommentText"/>
    <w:next w:val="CommentText"/>
    <w:link w:val="CommentSubjectChar"/>
    <w:uiPriority w:val="99"/>
    <w:semiHidden/>
    <w:unhideWhenUsed/>
    <w:rsid w:val="00440CA8"/>
    <w:rPr>
      <w:b/>
      <w:bCs/>
    </w:rPr>
  </w:style>
  <w:style w:type="character" w:customStyle="1" w:styleId="CommentSubjectChar">
    <w:name w:val="Comment Subject Char"/>
    <w:basedOn w:val="CommentTextChar"/>
    <w:link w:val="CommentSubject"/>
    <w:uiPriority w:val="99"/>
    <w:semiHidden/>
    <w:rsid w:val="00440CA8"/>
    <w:rPr>
      <w:b/>
      <w:bCs/>
    </w:rPr>
  </w:style>
  <w:style w:type="paragraph" w:styleId="BalloonText">
    <w:name w:val="Balloon Text"/>
    <w:basedOn w:val="Normal"/>
    <w:link w:val="BalloonTextChar"/>
    <w:uiPriority w:val="99"/>
    <w:semiHidden/>
    <w:unhideWhenUsed/>
    <w:rsid w:val="00440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A8"/>
    <w:rPr>
      <w:rFonts w:ascii="Segoe UI" w:hAnsi="Segoe UI" w:cs="Segoe UI"/>
      <w:sz w:val="18"/>
      <w:szCs w:val="18"/>
    </w:rPr>
  </w:style>
  <w:style w:type="character" w:styleId="Hyperlink">
    <w:name w:val="Hyperlink"/>
    <w:basedOn w:val="DefaultParagraphFont"/>
    <w:uiPriority w:val="99"/>
    <w:unhideWhenUsed/>
    <w:rsid w:val="006B5F16"/>
    <w:rPr>
      <w:color w:val="0563C1" w:themeColor="hyperlink"/>
      <w:u w:val="single"/>
    </w:rPr>
  </w:style>
  <w:style w:type="character" w:styleId="FollowedHyperlink">
    <w:name w:val="FollowedHyperlink"/>
    <w:basedOn w:val="DefaultParagraphFont"/>
    <w:uiPriority w:val="99"/>
    <w:semiHidden/>
    <w:unhideWhenUsed/>
    <w:rsid w:val="000A2EDA"/>
    <w:rPr>
      <w:color w:val="954F72" w:themeColor="followedHyperlink"/>
      <w:u w:val="single"/>
    </w:rPr>
  </w:style>
  <w:style w:type="character" w:customStyle="1" w:styleId="FooterChar">
    <w:name w:val="Footer Char"/>
    <w:basedOn w:val="DefaultParagraphFont"/>
    <w:link w:val="Footer"/>
    <w:rsid w:val="00B15F58"/>
  </w:style>
  <w:style w:type="character" w:customStyle="1" w:styleId="HeaderChar">
    <w:name w:val="Header Char"/>
    <w:basedOn w:val="DefaultParagraphFont"/>
    <w:link w:val="Header"/>
    <w:rsid w:val="002B74B7"/>
  </w:style>
  <w:style w:type="paragraph" w:styleId="Revision">
    <w:name w:val="Revision"/>
    <w:hidden/>
    <w:uiPriority w:val="99"/>
    <w:semiHidden/>
    <w:rsid w:val="006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about/tools/fcc/filings/2017/q2/USAC%202Q2017%20Federal%20Universal%20Service%20Mechanism%20Quarterly%20Demand%20Filing.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