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7CF7A"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D2F6CAF" w14:textId="77777777" w:rsidR="00921803" w:rsidRDefault="00921803" w:rsidP="00921803">
      <w:pPr>
        <w:pStyle w:val="StyleBoldCentered"/>
      </w:pPr>
      <w:r>
        <w:t>F</w:t>
      </w:r>
      <w:r>
        <w:rPr>
          <w:caps w:val="0"/>
        </w:rPr>
        <w:t>ederal Communications Commission</w:t>
      </w:r>
    </w:p>
    <w:p w14:paraId="4F696EF5" w14:textId="77777777" w:rsidR="004C2EE3" w:rsidRDefault="00810B6F" w:rsidP="00096D8C">
      <w:pPr>
        <w:pStyle w:val="StyleBoldCentered"/>
      </w:pPr>
      <w:r>
        <w:rPr>
          <w:caps w:val="0"/>
        </w:rPr>
        <w:t>Washington, D.C. 20554</w:t>
      </w:r>
    </w:p>
    <w:p w14:paraId="1AD290BC" w14:textId="77777777" w:rsidR="004C2EE3" w:rsidRDefault="004C2EE3" w:rsidP="0070224F"/>
    <w:p w14:paraId="1B074D12"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0B20A70" w14:textId="77777777">
        <w:tc>
          <w:tcPr>
            <w:tcW w:w="4698" w:type="dxa"/>
          </w:tcPr>
          <w:p w14:paraId="02247E0A" w14:textId="77777777" w:rsidR="004C2EE3" w:rsidRDefault="004C2EE3">
            <w:pPr>
              <w:tabs>
                <w:tab w:val="center" w:pos="4680"/>
              </w:tabs>
              <w:suppressAutoHyphens/>
              <w:rPr>
                <w:spacing w:val="-2"/>
              </w:rPr>
            </w:pPr>
            <w:r>
              <w:rPr>
                <w:spacing w:val="-2"/>
              </w:rPr>
              <w:t>In the Matter of</w:t>
            </w:r>
          </w:p>
          <w:p w14:paraId="4D03F895" w14:textId="77777777" w:rsidR="004C2EE3" w:rsidRDefault="004C2EE3">
            <w:pPr>
              <w:tabs>
                <w:tab w:val="center" w:pos="4680"/>
              </w:tabs>
              <w:suppressAutoHyphens/>
              <w:rPr>
                <w:spacing w:val="-2"/>
              </w:rPr>
            </w:pPr>
          </w:p>
          <w:p w14:paraId="2C6459C1" w14:textId="77777777" w:rsidR="00084D68" w:rsidRDefault="00350D5B" w:rsidP="00084D68">
            <w:pPr>
              <w:tabs>
                <w:tab w:val="center" w:pos="4680"/>
              </w:tabs>
              <w:suppressAutoHyphens/>
              <w:rPr>
                <w:spacing w:val="-2"/>
              </w:rPr>
            </w:pPr>
            <w:r>
              <w:rPr>
                <w:spacing w:val="-2"/>
              </w:rPr>
              <w:t>Ondas de Vida, Inc.</w:t>
            </w:r>
            <w:r w:rsidR="00084D68">
              <w:rPr>
                <w:spacing w:val="-2"/>
              </w:rPr>
              <w:t>,</w:t>
            </w:r>
            <w:r>
              <w:rPr>
                <w:spacing w:val="-2"/>
              </w:rPr>
              <w:t xml:space="preserve"> </w:t>
            </w:r>
          </w:p>
          <w:p w14:paraId="20D401A1" w14:textId="77777777" w:rsidR="004C2EE3" w:rsidRPr="007115F7" w:rsidRDefault="00350D5B" w:rsidP="00084D68">
            <w:pPr>
              <w:tabs>
                <w:tab w:val="center" w:pos="4680"/>
              </w:tabs>
              <w:suppressAutoHyphens/>
              <w:rPr>
                <w:spacing w:val="-2"/>
              </w:rPr>
            </w:pPr>
            <w:r>
              <w:rPr>
                <w:spacing w:val="-2"/>
              </w:rPr>
              <w:t>Licensee of FM Translator Station K256BS, Palmdale, California</w:t>
            </w:r>
          </w:p>
        </w:tc>
        <w:tc>
          <w:tcPr>
            <w:tcW w:w="630" w:type="dxa"/>
          </w:tcPr>
          <w:p w14:paraId="004F4007" w14:textId="77777777" w:rsidR="004C2EE3" w:rsidRDefault="004C2EE3">
            <w:pPr>
              <w:tabs>
                <w:tab w:val="center" w:pos="4680"/>
              </w:tabs>
              <w:suppressAutoHyphens/>
              <w:rPr>
                <w:b/>
                <w:spacing w:val="-2"/>
              </w:rPr>
            </w:pPr>
            <w:r>
              <w:rPr>
                <w:b/>
                <w:spacing w:val="-2"/>
              </w:rPr>
              <w:t>)</w:t>
            </w:r>
          </w:p>
          <w:p w14:paraId="7B580B68" w14:textId="77777777" w:rsidR="004C2EE3" w:rsidRDefault="004C2EE3">
            <w:pPr>
              <w:tabs>
                <w:tab w:val="center" w:pos="4680"/>
              </w:tabs>
              <w:suppressAutoHyphens/>
              <w:rPr>
                <w:b/>
                <w:spacing w:val="-2"/>
              </w:rPr>
            </w:pPr>
            <w:r>
              <w:rPr>
                <w:b/>
                <w:spacing w:val="-2"/>
              </w:rPr>
              <w:t>)</w:t>
            </w:r>
          </w:p>
          <w:p w14:paraId="7BBA7DD4" w14:textId="77777777" w:rsidR="004C2EE3" w:rsidRDefault="004C2EE3">
            <w:pPr>
              <w:tabs>
                <w:tab w:val="center" w:pos="4680"/>
              </w:tabs>
              <w:suppressAutoHyphens/>
              <w:rPr>
                <w:b/>
                <w:spacing w:val="-2"/>
              </w:rPr>
            </w:pPr>
            <w:r>
              <w:rPr>
                <w:b/>
                <w:spacing w:val="-2"/>
              </w:rPr>
              <w:t>)</w:t>
            </w:r>
          </w:p>
          <w:p w14:paraId="3C7A2F91" w14:textId="77777777" w:rsidR="004C2EE3" w:rsidRDefault="004C2EE3">
            <w:pPr>
              <w:tabs>
                <w:tab w:val="center" w:pos="4680"/>
              </w:tabs>
              <w:suppressAutoHyphens/>
              <w:rPr>
                <w:b/>
                <w:spacing w:val="-2"/>
              </w:rPr>
            </w:pPr>
            <w:r>
              <w:rPr>
                <w:b/>
                <w:spacing w:val="-2"/>
              </w:rPr>
              <w:t>)</w:t>
            </w:r>
          </w:p>
          <w:p w14:paraId="367FA9C3" w14:textId="77777777" w:rsidR="004C2EE3" w:rsidRDefault="004C2EE3">
            <w:pPr>
              <w:tabs>
                <w:tab w:val="center" w:pos="4680"/>
              </w:tabs>
              <w:suppressAutoHyphens/>
              <w:rPr>
                <w:b/>
                <w:spacing w:val="-2"/>
              </w:rPr>
            </w:pPr>
            <w:r>
              <w:rPr>
                <w:b/>
                <w:spacing w:val="-2"/>
              </w:rPr>
              <w:t>)</w:t>
            </w:r>
          </w:p>
          <w:p w14:paraId="5A77F03C" w14:textId="10D2FF4F" w:rsidR="004C2EE3" w:rsidRPr="003C517B" w:rsidRDefault="004C2EE3">
            <w:pPr>
              <w:tabs>
                <w:tab w:val="center" w:pos="4680"/>
              </w:tabs>
              <w:suppressAutoHyphens/>
              <w:rPr>
                <w:b/>
                <w:spacing w:val="-2"/>
              </w:rPr>
            </w:pPr>
            <w:r>
              <w:rPr>
                <w:b/>
                <w:spacing w:val="-2"/>
              </w:rPr>
              <w:t>)</w:t>
            </w:r>
          </w:p>
        </w:tc>
        <w:tc>
          <w:tcPr>
            <w:tcW w:w="4248" w:type="dxa"/>
          </w:tcPr>
          <w:p w14:paraId="46480743" w14:textId="77777777" w:rsidR="004C2EE3" w:rsidRDefault="004C2EE3">
            <w:pPr>
              <w:tabs>
                <w:tab w:val="center" w:pos="4680"/>
              </w:tabs>
              <w:suppressAutoHyphens/>
              <w:rPr>
                <w:spacing w:val="-2"/>
              </w:rPr>
            </w:pPr>
          </w:p>
          <w:p w14:paraId="6C42D166" w14:textId="77777777" w:rsidR="004C2EE3" w:rsidRDefault="00350D5B">
            <w:pPr>
              <w:tabs>
                <w:tab w:val="center" w:pos="4680"/>
              </w:tabs>
              <w:suppressAutoHyphens/>
              <w:rPr>
                <w:spacing w:val="-2"/>
              </w:rPr>
            </w:pPr>
            <w:r>
              <w:rPr>
                <w:spacing w:val="-2"/>
              </w:rPr>
              <w:t>EB-FIELDWR-16-00020978</w:t>
            </w:r>
          </w:p>
          <w:p w14:paraId="5A6828C5" w14:textId="77777777" w:rsidR="00350D5B" w:rsidRDefault="00350D5B">
            <w:pPr>
              <w:tabs>
                <w:tab w:val="center" w:pos="4680"/>
              </w:tabs>
              <w:suppressAutoHyphens/>
              <w:rPr>
                <w:spacing w:val="-2"/>
              </w:rPr>
            </w:pPr>
            <w:r>
              <w:rPr>
                <w:spacing w:val="-2"/>
              </w:rPr>
              <w:t xml:space="preserve">NAL/Acct. No: </w:t>
            </w:r>
            <w:r w:rsidR="005C730C" w:rsidRPr="005C730C">
              <w:rPr>
                <w:spacing w:val="-2"/>
              </w:rPr>
              <w:t>201732900003</w:t>
            </w:r>
          </w:p>
          <w:p w14:paraId="68F0EB00" w14:textId="77777777" w:rsidR="00350D5B" w:rsidRDefault="00350D5B">
            <w:pPr>
              <w:tabs>
                <w:tab w:val="center" w:pos="4680"/>
              </w:tabs>
              <w:suppressAutoHyphens/>
              <w:rPr>
                <w:spacing w:val="-2"/>
              </w:rPr>
            </w:pPr>
            <w:r>
              <w:rPr>
                <w:spacing w:val="-2"/>
              </w:rPr>
              <w:t xml:space="preserve">FRN: </w:t>
            </w:r>
            <w:r w:rsidRPr="00350D5B">
              <w:rPr>
                <w:spacing w:val="-2"/>
              </w:rPr>
              <w:t>0014400279</w:t>
            </w:r>
          </w:p>
          <w:p w14:paraId="7D744C3E" w14:textId="77777777" w:rsidR="00FB35C9" w:rsidRDefault="00FB35C9">
            <w:pPr>
              <w:tabs>
                <w:tab w:val="center" w:pos="4680"/>
              </w:tabs>
              <w:suppressAutoHyphens/>
              <w:rPr>
                <w:spacing w:val="-2"/>
              </w:rPr>
            </w:pPr>
          </w:p>
          <w:p w14:paraId="719DE047" w14:textId="77777777" w:rsidR="00FB35C9" w:rsidRDefault="00FB35C9" w:rsidP="004F79C0">
            <w:pPr>
              <w:tabs>
                <w:tab w:val="center" w:pos="4680"/>
              </w:tabs>
              <w:suppressAutoHyphens/>
              <w:rPr>
                <w:spacing w:val="-2"/>
              </w:rPr>
            </w:pPr>
            <w:r>
              <w:rPr>
                <w:spacing w:val="-2"/>
              </w:rPr>
              <w:t xml:space="preserve">Facility ID No. </w:t>
            </w:r>
            <w:r w:rsidR="004F79C0">
              <w:rPr>
                <w:spacing w:val="-2"/>
              </w:rPr>
              <w:t>138849</w:t>
            </w:r>
          </w:p>
        </w:tc>
      </w:tr>
    </w:tbl>
    <w:p w14:paraId="59475443" w14:textId="77777777" w:rsidR="004C2EE3" w:rsidRDefault="004C2EE3" w:rsidP="0070224F"/>
    <w:p w14:paraId="2078658F" w14:textId="77777777" w:rsidR="00841AB1" w:rsidRDefault="00350D5B" w:rsidP="00F021FA">
      <w:pPr>
        <w:pStyle w:val="StyleBoldCentered"/>
      </w:pPr>
      <w:r>
        <w:t>Notice of apparent Liability for Forfeiture</w:t>
      </w:r>
    </w:p>
    <w:p w14:paraId="45DCE2E9" w14:textId="77777777" w:rsidR="004C2EE3" w:rsidRDefault="004C2EE3">
      <w:pPr>
        <w:tabs>
          <w:tab w:val="left" w:pos="-720"/>
        </w:tabs>
        <w:suppressAutoHyphens/>
        <w:spacing w:line="227" w:lineRule="auto"/>
        <w:rPr>
          <w:spacing w:val="-2"/>
        </w:rPr>
      </w:pPr>
    </w:p>
    <w:p w14:paraId="45F9D4D1" w14:textId="3E94A197" w:rsidR="004C2EE3" w:rsidRDefault="004C2EE3" w:rsidP="00133F79">
      <w:pPr>
        <w:tabs>
          <w:tab w:val="left" w:pos="720"/>
          <w:tab w:val="right" w:pos="9360"/>
        </w:tabs>
        <w:suppressAutoHyphens/>
        <w:spacing w:line="227" w:lineRule="auto"/>
        <w:rPr>
          <w:spacing w:val="-2"/>
        </w:rPr>
      </w:pPr>
      <w:r>
        <w:rPr>
          <w:b/>
          <w:spacing w:val="-2"/>
        </w:rPr>
        <w:t xml:space="preserve">Adopted:  </w:t>
      </w:r>
      <w:r w:rsidR="009103CD">
        <w:rPr>
          <w:b/>
          <w:spacing w:val="-2"/>
        </w:rPr>
        <w:t xml:space="preserve">April </w:t>
      </w:r>
      <w:r w:rsidR="0001100B">
        <w:rPr>
          <w:b/>
          <w:spacing w:val="-2"/>
        </w:rPr>
        <w:t>25</w:t>
      </w:r>
      <w:r w:rsidR="009103CD">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103CD">
        <w:rPr>
          <w:b/>
          <w:spacing w:val="-2"/>
        </w:rPr>
        <w:t>A</w:t>
      </w:r>
      <w:r w:rsidR="00007834">
        <w:rPr>
          <w:b/>
          <w:spacing w:val="-2"/>
        </w:rPr>
        <w:t>pril 27</w:t>
      </w:r>
      <w:r w:rsidR="009103CD">
        <w:rPr>
          <w:b/>
          <w:spacing w:val="-2"/>
        </w:rPr>
        <w:t>, 2017</w:t>
      </w:r>
    </w:p>
    <w:p w14:paraId="1C663D67" w14:textId="77777777" w:rsidR="00822CE0" w:rsidRDefault="00822CE0"/>
    <w:p w14:paraId="194E6C57" w14:textId="77777777" w:rsidR="004C2EE3" w:rsidRDefault="004C2EE3">
      <w:pPr>
        <w:rPr>
          <w:spacing w:val="-2"/>
        </w:rPr>
      </w:pPr>
      <w:r>
        <w:t xml:space="preserve">By </w:t>
      </w:r>
      <w:r w:rsidR="004E4A22">
        <w:t>the</w:t>
      </w:r>
      <w:r w:rsidR="002A2D2E">
        <w:t xml:space="preserve"> </w:t>
      </w:r>
      <w:r w:rsidR="00350D5B">
        <w:t>Regional Director, Region Three, Enforcement Bureau</w:t>
      </w:r>
      <w:r w:rsidR="00637247">
        <w:t>:</w:t>
      </w:r>
    </w:p>
    <w:p w14:paraId="709F09DD" w14:textId="77777777" w:rsidR="00822CE0" w:rsidRDefault="00822CE0">
      <w:pPr>
        <w:rPr>
          <w:spacing w:val="-2"/>
        </w:rPr>
      </w:pPr>
    </w:p>
    <w:p w14:paraId="204A4F56" w14:textId="77777777" w:rsidR="00412FC5" w:rsidRDefault="00412FC5" w:rsidP="00412FC5"/>
    <w:p w14:paraId="5DD24705" w14:textId="77777777" w:rsidR="002C00E8" w:rsidRDefault="00350D5B" w:rsidP="002C00E8">
      <w:pPr>
        <w:pStyle w:val="Heading1"/>
      </w:pPr>
      <w:r>
        <w:t>introduction</w:t>
      </w:r>
    </w:p>
    <w:p w14:paraId="66FB6E2B" w14:textId="5033DE62" w:rsidR="00350D5B" w:rsidRDefault="00646F86" w:rsidP="00350D5B">
      <w:pPr>
        <w:pStyle w:val="ParaNum"/>
      </w:pPr>
      <w:r>
        <w:t>We propose a penalty of $1</w:t>
      </w:r>
      <w:r w:rsidR="00EF2532">
        <w:t>2</w:t>
      </w:r>
      <w:r>
        <w:t>,000 against Ondas de Vida, Inc. (OdV), the licensee of FM</w:t>
      </w:r>
      <w:r w:rsidR="00D54782">
        <w:t> </w:t>
      </w:r>
      <w:r>
        <w:t>Translator Station K256BS, Palmdale, California (Fac. ID. No. 138849) (Station)</w:t>
      </w:r>
      <w:r w:rsidR="00D23672">
        <w:t>,</w:t>
      </w:r>
      <w:r>
        <w:t xml:space="preserve"> for </w:t>
      </w:r>
      <w:r w:rsidR="00B92D0F">
        <w:t xml:space="preserve">apparently </w:t>
      </w:r>
      <w:r>
        <w:t xml:space="preserve">operating </w:t>
      </w:r>
      <w:r w:rsidR="00D23672">
        <w:t>the Station at</w:t>
      </w:r>
      <w:r>
        <w:t xml:space="preserve"> power levels that exceed</w:t>
      </w:r>
      <w:r w:rsidR="00E2573A">
        <w:t xml:space="preserve">ed the values specified in the Station’s license and permitted under the Commission’s rules (Rules). </w:t>
      </w:r>
      <w:r>
        <w:t xml:space="preserve"> The Enforcement Bureau (Bureau) has repeatedly warned OdV, in writing and in person, that </w:t>
      </w:r>
      <w:r w:rsidR="00A72EB8">
        <w:t xml:space="preserve">the Station’s operations have </w:t>
      </w:r>
      <w:r w:rsidR="00D23672">
        <w:t xml:space="preserve">varied, sometimes significantly, from its </w:t>
      </w:r>
      <w:r w:rsidR="00A72EB8">
        <w:t>authorization</w:t>
      </w:r>
      <w:r w:rsidR="00EB10F0">
        <w:t xml:space="preserve">.  </w:t>
      </w:r>
      <w:r w:rsidR="00531460">
        <w:t>Despite these warnings</w:t>
      </w:r>
      <w:r w:rsidR="00EB10F0">
        <w:t xml:space="preserve">, </w:t>
      </w:r>
      <w:r w:rsidR="00A72EB8">
        <w:t xml:space="preserve">OdV </w:t>
      </w:r>
      <w:r w:rsidR="00EB10F0">
        <w:t xml:space="preserve">repeatedly </w:t>
      </w:r>
      <w:r w:rsidR="00A72EB8">
        <w:t xml:space="preserve">failed to </w:t>
      </w:r>
      <w:r w:rsidR="00EB10F0">
        <w:t xml:space="preserve">adjust the Station’s operating parameters to </w:t>
      </w:r>
      <w:r w:rsidR="007A231D">
        <w:t xml:space="preserve">be consistent with </w:t>
      </w:r>
      <w:r w:rsidR="00EB10F0">
        <w:t>those set forth in its license.  OdV’s</w:t>
      </w:r>
      <w:r w:rsidR="00D54782">
        <w:t xml:space="preserve"> apparent operation of its station at variance from its license and OdV’s</w:t>
      </w:r>
      <w:r w:rsidR="00EB10F0">
        <w:t xml:space="preserve"> </w:t>
      </w:r>
      <w:r w:rsidR="00D54782">
        <w:t xml:space="preserve">apparent </w:t>
      </w:r>
      <w:r w:rsidR="00EB10F0">
        <w:t>deliberate disregard of the Bureau’s warning</w:t>
      </w:r>
      <w:r w:rsidR="007A231D">
        <w:t>s</w:t>
      </w:r>
      <w:r w:rsidR="00EB10F0">
        <w:t xml:space="preserve"> warrant a significant monetary penalty.</w:t>
      </w:r>
    </w:p>
    <w:p w14:paraId="56BE6247" w14:textId="77777777" w:rsidR="00A72EB8" w:rsidRDefault="00A72EB8" w:rsidP="00A72EB8">
      <w:pPr>
        <w:pStyle w:val="Heading1"/>
      </w:pPr>
      <w:r>
        <w:t>Background</w:t>
      </w:r>
    </w:p>
    <w:p w14:paraId="60CD24E5" w14:textId="77777777" w:rsidR="00A72EB8" w:rsidRDefault="002E0E30" w:rsidP="00350D5B">
      <w:pPr>
        <w:pStyle w:val="ParaNum"/>
      </w:pPr>
      <w:r>
        <w:t>In response to a complaint lodged with the Commission, an agent from the Bureau’s Los Angeles Field Office (Los Angeles Office) travel</w:t>
      </w:r>
      <w:r w:rsidR="00E2573A">
        <w:t>ed to the Station’s transmitter</w:t>
      </w:r>
      <w:r>
        <w:t xml:space="preserve"> site </w:t>
      </w:r>
      <w:r w:rsidR="000D6F8A">
        <w:t>on February 24,</w:t>
      </w:r>
      <w:r w:rsidR="00E04FD5">
        <w:t xml:space="preserve"> </w:t>
      </w:r>
      <w:r w:rsidR="000D6F8A">
        <w:t xml:space="preserve">2016, </w:t>
      </w:r>
      <w:r>
        <w:t>to determine whether the Station was operating within its licensed parameters</w:t>
      </w:r>
      <w:r w:rsidR="00EB10F0">
        <w:t xml:space="preserve"> of 0.010 kW (10</w:t>
      </w:r>
      <w:r w:rsidR="00110236">
        <w:t> </w:t>
      </w:r>
      <w:r w:rsidR="00EB10F0">
        <w:t>Watts) effective radiated power (ERP) and 0.005 kW (5</w:t>
      </w:r>
      <w:r w:rsidR="00110236">
        <w:t> </w:t>
      </w:r>
      <w:r w:rsidR="00EB10F0">
        <w:t>Watts) transmitter power output (TPO)</w:t>
      </w:r>
      <w:r>
        <w:t>.</w:t>
      </w:r>
      <w:r>
        <w:rPr>
          <w:rStyle w:val="FootnoteReference"/>
        </w:rPr>
        <w:footnoteReference w:id="2"/>
      </w:r>
      <w:r>
        <w:t xml:space="preserve">  </w:t>
      </w:r>
      <w:r w:rsidR="00D413A4">
        <w:t xml:space="preserve">The tower owner granted the agent access to the Station’s transmitter.  </w:t>
      </w:r>
      <w:r w:rsidR="00D8251A">
        <w:t xml:space="preserve">Based on a visual inspection of the Station’s transmission </w:t>
      </w:r>
      <w:r w:rsidR="00084D68">
        <w:t>equipment</w:t>
      </w:r>
      <w:r w:rsidR="00D8251A">
        <w:t xml:space="preserve">, </w:t>
      </w:r>
      <w:r>
        <w:t xml:space="preserve">the agent observed that the Station employed the correct type of antenna and that it was using a Crown 250 transmitter, whose internal instrumentation indicated </w:t>
      </w:r>
      <w:r w:rsidR="00E2573A">
        <w:t xml:space="preserve">a </w:t>
      </w:r>
      <w:r>
        <w:t xml:space="preserve">TPO of 50 Watts.  Based on </w:t>
      </w:r>
      <w:r w:rsidR="00EB10F0">
        <w:t xml:space="preserve">the indicated TPO, </w:t>
      </w:r>
      <w:r>
        <w:t xml:space="preserve">the </w:t>
      </w:r>
      <w:r w:rsidR="00D23672">
        <w:t>gain</w:t>
      </w:r>
      <w:r w:rsidR="00E2573A">
        <w:t xml:space="preserve"> of the Station’s antenna</w:t>
      </w:r>
      <w:r w:rsidR="00EB10F0">
        <w:t xml:space="preserve">, </w:t>
      </w:r>
      <w:r>
        <w:t>and the</w:t>
      </w:r>
      <w:r w:rsidR="00D23672">
        <w:t xml:space="preserve"> </w:t>
      </w:r>
      <w:r w:rsidR="00E2573A">
        <w:t xml:space="preserve">line </w:t>
      </w:r>
      <w:r w:rsidR="00D23672">
        <w:t xml:space="preserve">losses associated with </w:t>
      </w:r>
      <w:r>
        <w:t xml:space="preserve">length of the coaxial cable connecting the transmitter to the antenna, the agent calculated that the Station was operating with </w:t>
      </w:r>
      <w:r w:rsidR="00EB10F0">
        <w:t>an ERP of 224 Watts</w:t>
      </w:r>
      <w:r>
        <w:t xml:space="preserve">. </w:t>
      </w:r>
      <w:r w:rsidR="001A26CC">
        <w:t xml:space="preserve"> </w:t>
      </w:r>
    </w:p>
    <w:p w14:paraId="390D3CA2" w14:textId="3F5366D3" w:rsidR="002E0E30" w:rsidRDefault="00D8251A" w:rsidP="008D6F12">
      <w:pPr>
        <w:pStyle w:val="ParaNum"/>
        <w:widowControl/>
      </w:pPr>
      <w:r>
        <w:t xml:space="preserve">The agent then contacted OdV and arranged </w:t>
      </w:r>
      <w:r w:rsidR="00994E27">
        <w:t>to inspect the Station on March 9, 2016</w:t>
      </w:r>
      <w:r w:rsidR="007A231D">
        <w:t>,</w:t>
      </w:r>
      <w:r w:rsidR="00994E27">
        <w:t xml:space="preserve"> in the </w:t>
      </w:r>
      <w:r>
        <w:t>presence of a</w:t>
      </w:r>
      <w:r w:rsidR="00EB10F0">
        <w:t xml:space="preserve">n OdV </w:t>
      </w:r>
      <w:r w:rsidR="00E2573A">
        <w:t>employee</w:t>
      </w:r>
      <w:r>
        <w:t xml:space="preserve">.  </w:t>
      </w:r>
      <w:r w:rsidR="000D6F8A">
        <w:t xml:space="preserve">When the agent arrived at the Station, he observed </w:t>
      </w:r>
      <w:r w:rsidR="00EB10F0">
        <w:t xml:space="preserve">an OdV employee in the process of </w:t>
      </w:r>
      <w:r w:rsidR="000D6F8A">
        <w:t xml:space="preserve">replacing the Crown 250 transmitter with a lower-powered Crown 30 transmitter.  </w:t>
      </w:r>
      <w:r w:rsidR="00994E27">
        <w:t xml:space="preserve">The </w:t>
      </w:r>
      <w:r w:rsidR="00994E27">
        <w:lastRenderedPageBreak/>
        <w:t xml:space="preserve">agent </w:t>
      </w:r>
      <w:r w:rsidR="001A26CC">
        <w:t xml:space="preserve">inquired about the reason for the equipment replacement, and the OdV employee </w:t>
      </w:r>
      <w:r w:rsidR="00994E27">
        <w:t>explained that the Crown 250 transmitter could not be</w:t>
      </w:r>
      <w:r w:rsidR="00EB10F0">
        <w:t xml:space="preserve"> configured to operate at 10 Watts</w:t>
      </w:r>
      <w:r w:rsidR="006C08B9">
        <w:t xml:space="preserve"> TPO</w:t>
      </w:r>
      <w:r w:rsidR="00EB10F0">
        <w:t>.</w:t>
      </w:r>
      <w:r w:rsidR="00994E27">
        <w:t xml:space="preserve">  The agent then </w:t>
      </w:r>
      <w:r w:rsidR="00EB10F0">
        <w:t>advised t</w:t>
      </w:r>
      <w:r w:rsidR="00994E27">
        <w:t xml:space="preserve">he OdV employee that the Station’s license authorized 10 Watts </w:t>
      </w:r>
      <w:r w:rsidR="00994E27" w:rsidRPr="00D23672">
        <w:t>ERP</w:t>
      </w:r>
      <w:r w:rsidR="00D23672">
        <w:t xml:space="preserve"> rather than </w:t>
      </w:r>
      <w:r w:rsidR="001A26CC">
        <w:t xml:space="preserve">10 Watts </w:t>
      </w:r>
      <w:r w:rsidR="001A26CC" w:rsidRPr="00D23672">
        <w:t>TPO</w:t>
      </w:r>
      <w:r w:rsidR="001A26CC">
        <w:t xml:space="preserve">.  </w:t>
      </w:r>
      <w:r w:rsidR="001D1E3D">
        <w:t>T</w:t>
      </w:r>
      <w:r w:rsidR="008D6F12" w:rsidRPr="008D6F12">
        <w:t>he agent then attached a wattmeter to the Station’s transmitter and measured a TPO of 8.25 Wa</w:t>
      </w:r>
      <w:r w:rsidR="008D6F12">
        <w:t>tts, which the agent calculated</w:t>
      </w:r>
      <w:r w:rsidR="008D6F12" w:rsidRPr="008D6F12">
        <w:t xml:space="preserve"> would produce an ERP of 37 Watts.</w:t>
      </w:r>
      <w:r w:rsidR="00994E27">
        <w:t xml:space="preserve"> </w:t>
      </w:r>
    </w:p>
    <w:p w14:paraId="4BDBEBB7" w14:textId="26A68C37" w:rsidR="00994E27" w:rsidRDefault="00994E27" w:rsidP="00350D5B">
      <w:pPr>
        <w:pStyle w:val="ParaNum"/>
      </w:pPr>
      <w:r>
        <w:t xml:space="preserve">On April </w:t>
      </w:r>
      <w:r w:rsidR="00EF2532">
        <w:t>11</w:t>
      </w:r>
      <w:r>
        <w:t xml:space="preserve">, 2016, the Los Angeles Office issued a Notice of Violation advising OdV that its operation of the Station violated Section 1.903(a) of the </w:t>
      </w:r>
      <w:r w:rsidR="00E2573A">
        <w:t>Rules</w:t>
      </w:r>
      <w:r>
        <w:t xml:space="preserve"> </w:t>
      </w:r>
      <w:r w:rsidR="00DE7555">
        <w:t>(</w:t>
      </w:r>
      <w:r w:rsidR="00DE7555" w:rsidRPr="00531495">
        <w:t>a</w:t>
      </w:r>
      <w:r w:rsidR="00DE7555">
        <w:t xml:space="preserve">) </w:t>
      </w:r>
      <w:r>
        <w:t>on February 24 and March</w:t>
      </w:r>
      <w:r w:rsidR="00F97BF6">
        <w:t> </w:t>
      </w:r>
      <w:r>
        <w:t>2,</w:t>
      </w:r>
      <w:r w:rsidR="00F97BF6">
        <w:t> </w:t>
      </w:r>
      <w:r>
        <w:t>2016</w:t>
      </w:r>
      <w:r w:rsidR="004A7929">
        <w:t>,</w:t>
      </w:r>
      <w:r>
        <w:t xml:space="preserve"> by operating with an ERP of 224 Watts instead of its authorized ERP of 10 Watts</w:t>
      </w:r>
      <w:r w:rsidR="00DE7555">
        <w:t xml:space="preserve"> and (</w:t>
      </w:r>
      <w:r w:rsidR="00DE7555" w:rsidRPr="00531495">
        <w:t>b</w:t>
      </w:r>
      <w:r w:rsidR="00DE7555">
        <w:t>) on March</w:t>
      </w:r>
      <w:r w:rsidR="00F97BF6">
        <w:t> </w:t>
      </w:r>
      <w:r w:rsidR="00DE7555">
        <w:t>9, 2016</w:t>
      </w:r>
      <w:r w:rsidR="007C0866">
        <w:t>,</w:t>
      </w:r>
      <w:r w:rsidR="00DE7555">
        <w:t xml:space="preserve"> by operating the Station with an ERP of 37 Watts</w:t>
      </w:r>
      <w:r>
        <w:t>.</w:t>
      </w:r>
      <w:r w:rsidR="00084D68">
        <w:rPr>
          <w:rStyle w:val="FootnoteReference"/>
        </w:rPr>
        <w:footnoteReference w:id="3"/>
      </w:r>
      <w:r>
        <w:t xml:space="preserve">  </w:t>
      </w:r>
      <w:r w:rsidR="00DE7555">
        <w:t>On April 29, 2016, OdV submitted a response to the</w:t>
      </w:r>
      <w:r w:rsidR="001A26CC">
        <w:t xml:space="preserve"> NOV in which it stated that it </w:t>
      </w:r>
      <w:r w:rsidR="00DE7555">
        <w:t>used the Crown 250 transmitter as a temporary solution while the Crown 30 transmitter was out for repairs.</w:t>
      </w:r>
      <w:r w:rsidR="001A26CC">
        <w:rPr>
          <w:rStyle w:val="FootnoteReference"/>
        </w:rPr>
        <w:footnoteReference w:id="4"/>
      </w:r>
      <w:r w:rsidR="00DE7555">
        <w:t xml:space="preserve">  In the NOV Response, OdV further stated that “[w]e received the repaired transmitter in March and thanks to the help of the FCC inspector we are operating in full compliance with the FCC license.”</w:t>
      </w:r>
      <w:r w:rsidR="00DE7555">
        <w:rPr>
          <w:rStyle w:val="FootnoteReference"/>
        </w:rPr>
        <w:footnoteReference w:id="5"/>
      </w:r>
    </w:p>
    <w:p w14:paraId="4EEEB5A7" w14:textId="62950EB3" w:rsidR="00EF2532" w:rsidRDefault="00DE7555" w:rsidP="00350D5B">
      <w:pPr>
        <w:pStyle w:val="ParaNum"/>
      </w:pPr>
      <w:r>
        <w:t>On May 10, 2016, the agent return</w:t>
      </w:r>
      <w:r w:rsidR="00E2573A">
        <w:t>ed to the Station’s transmitter</w:t>
      </w:r>
      <w:r>
        <w:t xml:space="preserve"> site to determine whether the Station was </w:t>
      </w:r>
      <w:r w:rsidR="00A30B2E">
        <w:t xml:space="preserve">indeed </w:t>
      </w:r>
      <w:r>
        <w:t>“operating in full compliance with the FCC license</w:t>
      </w:r>
      <w:r w:rsidR="003273C2">
        <w:t>,</w:t>
      </w:r>
      <w:r>
        <w:t>” as OdV represented</w:t>
      </w:r>
      <w:r w:rsidR="001A26CC">
        <w:t>.</w:t>
      </w:r>
      <w:r w:rsidR="003273C2">
        <w:rPr>
          <w:rStyle w:val="FootnoteReference"/>
        </w:rPr>
        <w:footnoteReference w:id="6"/>
      </w:r>
      <w:r w:rsidR="001A26CC">
        <w:t xml:space="preserve">  </w:t>
      </w:r>
      <w:r w:rsidR="00A30B2E">
        <w:t>Upon inspecting the station</w:t>
      </w:r>
      <w:r w:rsidR="00BA103A">
        <w:t>,</w:t>
      </w:r>
      <w:r w:rsidR="00A30B2E">
        <w:t xml:space="preserve"> the agent determined that the Station’s transmitter continued to operate at a TPO of 7.5 Watts, which</w:t>
      </w:r>
      <w:r w:rsidR="009B53FC">
        <w:t>, based on</w:t>
      </w:r>
      <w:r w:rsidR="00A30B2E">
        <w:t xml:space="preserve"> the agent</w:t>
      </w:r>
      <w:r w:rsidR="009B53FC">
        <w:t xml:space="preserve">’s calculations, yielded </w:t>
      </w:r>
      <w:r w:rsidR="001A26CC">
        <w:t xml:space="preserve">an ERP of 33.7 Watts.  </w:t>
      </w:r>
    </w:p>
    <w:p w14:paraId="36BBB045" w14:textId="29CC54A6" w:rsidR="0002134A" w:rsidRDefault="00DE7555" w:rsidP="00EF2532">
      <w:pPr>
        <w:pStyle w:val="ParaNum"/>
      </w:pPr>
      <w:r>
        <w:t>On February 21, 2017, the agent returned to the Station’s transm</w:t>
      </w:r>
      <w:r w:rsidR="00E2573A">
        <w:t>itter</w:t>
      </w:r>
      <w:r>
        <w:t xml:space="preserve"> site and observed that the internal instrumentation of the Station’s transmitter indicated that it was operating with a TPO of 15 Watts. </w:t>
      </w:r>
      <w:r w:rsidR="00B25B7A">
        <w:t xml:space="preserve"> </w:t>
      </w:r>
      <w:r>
        <w:t>The next day, the agent return</w:t>
      </w:r>
      <w:r w:rsidR="00E2573A">
        <w:t>ed to the Station’s transmitter</w:t>
      </w:r>
      <w:r>
        <w:t xml:space="preserve"> site and inspected the Station in the presence of an OdV employee.  </w:t>
      </w:r>
      <w:r w:rsidR="002A378B">
        <w:t>T</w:t>
      </w:r>
      <w:r w:rsidR="00E2573A">
        <w:t>he agent used a w</w:t>
      </w:r>
      <w:r w:rsidR="00B25B7A">
        <w:t xml:space="preserve">attmeter and </w:t>
      </w:r>
      <w:r w:rsidR="00E2573A">
        <w:t xml:space="preserve">determined </w:t>
      </w:r>
      <w:r w:rsidR="00B25B7A">
        <w:t xml:space="preserve">that </w:t>
      </w:r>
      <w:r w:rsidR="001A26CC">
        <w:t xml:space="preserve">the Station’s transmitter was </w:t>
      </w:r>
      <w:r w:rsidR="00B25B7A">
        <w:t>operating with a TPO of 7.5 Watts</w:t>
      </w:r>
      <w:r w:rsidR="002A378B">
        <w:t>, a level in excess of its authorized 5 Watts TPO</w:t>
      </w:r>
      <w:r w:rsidR="00EF2532">
        <w:t>.</w:t>
      </w:r>
      <w:r w:rsidR="009B53FC">
        <w:rPr>
          <w:rStyle w:val="FootnoteReference"/>
        </w:rPr>
        <w:footnoteReference w:id="7"/>
      </w:r>
      <w:r w:rsidR="00EF2532">
        <w:t xml:space="preserve">  </w:t>
      </w:r>
    </w:p>
    <w:p w14:paraId="5966106C" w14:textId="77777777" w:rsidR="00DE7555" w:rsidRDefault="00B25B7A" w:rsidP="00B25B7A">
      <w:pPr>
        <w:pStyle w:val="Heading1"/>
      </w:pPr>
      <w:r>
        <w:t>discussion</w:t>
      </w:r>
    </w:p>
    <w:p w14:paraId="3B90D268" w14:textId="50C73DF8" w:rsidR="00613C5B" w:rsidRDefault="00613C5B" w:rsidP="00D413A4">
      <w:pPr>
        <w:pStyle w:val="Heading2"/>
      </w:pPr>
      <w:r>
        <w:t>O</w:t>
      </w:r>
      <w:r w:rsidR="002A378B">
        <w:t>d</w:t>
      </w:r>
      <w:r>
        <w:t xml:space="preserve">V Appears to Have Operated at Excessive Power Levels </w:t>
      </w:r>
    </w:p>
    <w:p w14:paraId="3DE4AB16" w14:textId="15B2B7C2" w:rsidR="00527BC6" w:rsidRDefault="00B25B7A" w:rsidP="00610EC5">
      <w:pPr>
        <w:pStyle w:val="ParaNum"/>
        <w:widowControl/>
      </w:pPr>
      <w:r>
        <w:t xml:space="preserve">We find that OdV apparently willfully </w:t>
      </w:r>
      <w:r w:rsidR="0002134A">
        <w:t xml:space="preserve">and repeatedly violated </w:t>
      </w:r>
      <w:r w:rsidR="00A30B2E">
        <w:t xml:space="preserve">Section 301 of the Communications Act of 1934, as amended (Act), as well as </w:t>
      </w:r>
      <w:r w:rsidR="0002134A">
        <w:t xml:space="preserve">Sections </w:t>
      </w:r>
      <w:r>
        <w:t>1.903(a)</w:t>
      </w:r>
      <w:r w:rsidR="0002134A">
        <w:t xml:space="preserve"> and 74.1235(e)</w:t>
      </w:r>
      <w:r>
        <w:t xml:space="preserve"> of the Rules</w:t>
      </w:r>
      <w:r w:rsidR="003273C2">
        <w:t>,</w:t>
      </w:r>
      <w:r w:rsidR="00163E98">
        <w:t xml:space="preserve"> by operating the Station </w:t>
      </w:r>
      <w:r w:rsidR="0002134A">
        <w:t xml:space="preserve">with both a TPO and </w:t>
      </w:r>
      <w:r w:rsidR="003273C2">
        <w:t xml:space="preserve">an </w:t>
      </w:r>
      <w:r w:rsidR="0002134A">
        <w:t>ERP that exceeded the parameters set forth in the Station’s license</w:t>
      </w:r>
      <w:r w:rsidR="003273C2">
        <w:t xml:space="preserve"> and in the Rules</w:t>
      </w:r>
      <w:r w:rsidR="0002134A">
        <w:t>.  S</w:t>
      </w:r>
      <w:r w:rsidR="00163E98" w:rsidRPr="00163E98">
        <w:t>ection 301 of the Act prohibits the use or operation of any apparatus for the transmission of energy or communications or signals by radio, except under</w:t>
      </w:r>
      <w:r w:rsidR="001D1E3D">
        <w:t>,</w:t>
      </w:r>
      <w:r w:rsidR="00163E98" w:rsidRPr="00163E98">
        <w:t xml:space="preserve"> and in accordance with</w:t>
      </w:r>
      <w:r w:rsidR="001D1E3D">
        <w:t>,</w:t>
      </w:r>
      <w:r w:rsidR="00163E98" w:rsidRPr="00163E98">
        <w:t xml:space="preserve"> the Act and with a license granted under the provisions of the Act.</w:t>
      </w:r>
      <w:r w:rsidR="00163E98">
        <w:rPr>
          <w:rStyle w:val="FootnoteReference"/>
        </w:rPr>
        <w:footnoteReference w:id="8"/>
      </w:r>
      <w:r w:rsidR="00163E98" w:rsidRPr="00163E98">
        <w:t xml:space="preserve"> </w:t>
      </w:r>
      <w:r w:rsidR="00163E98">
        <w:t xml:space="preserve"> </w:t>
      </w:r>
      <w:r w:rsidR="00163E98" w:rsidRPr="00163E98">
        <w:t>Section 1.903(a) of the Rules requires that stations in the Wireless Radio Service</w:t>
      </w:r>
      <w:r w:rsidR="00610EC5">
        <w:t>s</w:t>
      </w:r>
      <w:r w:rsidR="0002134A">
        <w:rPr>
          <w:rStyle w:val="FootnoteReference"/>
        </w:rPr>
        <w:footnoteReference w:id="9"/>
      </w:r>
      <w:r w:rsidR="0002134A">
        <w:t xml:space="preserve"> </w:t>
      </w:r>
      <w:r w:rsidR="00163E98" w:rsidRPr="00163E98">
        <w:t xml:space="preserve">must be used and operated only in accordance with the rules applicable to their </w:t>
      </w:r>
      <w:r w:rsidR="001D1E3D">
        <w:t>particular service</w:t>
      </w:r>
      <w:r w:rsidR="00163E98" w:rsidRPr="00163E98">
        <w:t xml:space="preserve"> and with a valid authorizat</w:t>
      </w:r>
      <w:r w:rsidR="00163E98">
        <w:t>ion granted by the Commission.</w:t>
      </w:r>
      <w:r w:rsidR="00163E98">
        <w:rPr>
          <w:rStyle w:val="FootnoteReference"/>
        </w:rPr>
        <w:footnoteReference w:id="10"/>
      </w:r>
      <w:r w:rsidR="0002134A">
        <w:t xml:space="preserve">  Section 74.1235(e) </w:t>
      </w:r>
      <w:r w:rsidR="003273C2">
        <w:t xml:space="preserve">of the Rules </w:t>
      </w:r>
      <w:r w:rsidR="0002134A">
        <w:t xml:space="preserve">prohibits licensees of FM translator stations </w:t>
      </w:r>
      <w:r w:rsidR="001D1E3D">
        <w:t>from operating</w:t>
      </w:r>
      <w:r w:rsidR="0002134A">
        <w:t xml:space="preserve"> with a TPO that exceeds 105 percent of the authorized TPO.</w:t>
      </w:r>
      <w:r w:rsidR="0002134A">
        <w:rPr>
          <w:rStyle w:val="FootnoteReference"/>
        </w:rPr>
        <w:footnoteReference w:id="11"/>
      </w:r>
      <w:r w:rsidR="0002134A">
        <w:t xml:space="preserve">  </w:t>
      </w:r>
    </w:p>
    <w:p w14:paraId="08843387" w14:textId="1CD8D2D3" w:rsidR="00DC77D1" w:rsidRDefault="002A378B" w:rsidP="00EF2532">
      <w:pPr>
        <w:pStyle w:val="ParaNum"/>
        <w:widowControl/>
      </w:pPr>
      <w:r>
        <w:t>As of at least February 24, 2016, if not before, OdV operated the Station at power levels that exceeded the power levels authorized in the Station</w:t>
      </w:r>
      <w:r w:rsidR="00836178">
        <w:t>’s</w:t>
      </w:r>
      <w:r>
        <w:t xml:space="preserve"> license</w:t>
      </w:r>
      <w:r w:rsidR="00531495">
        <w:t>, in apparent violation of Sections 1.903(a) and 74.1235(e)</w:t>
      </w:r>
      <w:r>
        <w:t xml:space="preserve"> of the Rules.  </w:t>
      </w:r>
      <w:r w:rsidR="0002134A">
        <w:t xml:space="preserve">Despite </w:t>
      </w:r>
      <w:r>
        <w:t xml:space="preserve">OdV </w:t>
      </w:r>
      <w:r w:rsidR="0002134A">
        <w:t xml:space="preserve">receiving verbal and written warnings from the Bureau, OdV continued to operate the Station at </w:t>
      </w:r>
      <w:r>
        <w:t xml:space="preserve">impermissible </w:t>
      </w:r>
      <w:r w:rsidR="0002134A">
        <w:t>power levels</w:t>
      </w:r>
      <w:r w:rsidR="00A30B2E">
        <w:t xml:space="preserve">. </w:t>
      </w:r>
      <w:r>
        <w:t xml:space="preserve"> </w:t>
      </w:r>
      <w:r w:rsidR="00DB6359">
        <w:t xml:space="preserve">Specifically, after receiving OdV’s response to the NOV, </w:t>
      </w:r>
      <w:r w:rsidR="00A30B2E">
        <w:t xml:space="preserve">an agent </w:t>
      </w:r>
      <w:r w:rsidR="00B26FBE">
        <w:t xml:space="preserve">from the Los Angeles Office </w:t>
      </w:r>
      <w:r w:rsidR="00DB6359">
        <w:t>returned to the Station’s transmitter site on May 10, 2016</w:t>
      </w:r>
      <w:r>
        <w:t>,</w:t>
      </w:r>
      <w:r w:rsidR="00DB6359">
        <w:t xml:space="preserve"> and </w:t>
      </w:r>
      <w:r w:rsidR="00B26FBE">
        <w:t>observ</w:t>
      </w:r>
      <w:r w:rsidR="00A30B2E">
        <w:t xml:space="preserve">ed that </w:t>
      </w:r>
      <w:r w:rsidR="00B26FBE">
        <w:t xml:space="preserve">OdV </w:t>
      </w:r>
      <w:r w:rsidR="00DB6359">
        <w:t>continued to operate the Station at an ERP and a TPO greater than that indicated on the Station’s license</w:t>
      </w:r>
      <w:r w:rsidR="00BE4D2B">
        <w:t>.  The agent returned to the transmitter site a second time on February 22, 2017, and observed that OdV continued to operate the Station at a TPO greater than that indicated on the Station’s license.  Thus, OdV has operated the Station</w:t>
      </w:r>
      <w:r w:rsidR="00DB6359">
        <w:t xml:space="preserve"> in apparent willful and repeated violation of Section 301 of the Act and Sections 1.903(a) (with respect to ERP) and 74.1235(e) (with respect to TPO) of the Rules.</w:t>
      </w:r>
      <w:r w:rsidR="00F75026">
        <w:rPr>
          <w:rStyle w:val="FootnoteReference"/>
        </w:rPr>
        <w:footnoteReference w:id="12"/>
      </w:r>
      <w:r w:rsidR="00DB6359">
        <w:t xml:space="preserve">  </w:t>
      </w:r>
    </w:p>
    <w:p w14:paraId="52B96EED" w14:textId="77777777" w:rsidR="006200E2" w:rsidRDefault="006200E2" w:rsidP="006200E2">
      <w:pPr>
        <w:pStyle w:val="Heading2"/>
      </w:pPr>
      <w:r>
        <w:t>Proposed Forfeiture</w:t>
      </w:r>
    </w:p>
    <w:p w14:paraId="2EE14C5F" w14:textId="77777777" w:rsidR="006200E2" w:rsidRDefault="006200E2" w:rsidP="00163E98">
      <w:pPr>
        <w:pStyle w:val="ParaNum"/>
      </w:pPr>
      <w:r w:rsidRPr="00981F23">
        <w:t>Section 503(b) of the Act authorizes the Commission to impose a forfeiture against any entity that “willfully or repeatedly fail[s] to comply with any of the provisions of [the Act] or of any rule, regulation, or order issued by the Commission.”</w:t>
      </w:r>
      <w:r w:rsidRPr="00981F23">
        <w:rPr>
          <w:vertAlign w:val="superscript"/>
        </w:rPr>
        <w:footnoteReference w:id="13"/>
      </w:r>
      <w:r w:rsidRPr="00981F23">
        <w:t xml:space="preserve">  </w:t>
      </w:r>
      <w:r w:rsidR="00384691" w:rsidRPr="00F145A5">
        <w:t>Here, Section 503(b)(2)(</w:t>
      </w:r>
      <w:r w:rsidR="00384691" w:rsidRPr="00384691">
        <w:t>D</w:t>
      </w:r>
      <w:r w:rsidR="00384691" w:rsidRPr="00F145A5">
        <w:t xml:space="preserve">) of the Act authorizes </w:t>
      </w:r>
      <w:r w:rsidR="00384691">
        <w:t>the Commission</w:t>
      </w:r>
      <w:r w:rsidR="00384691" w:rsidRPr="00F145A5">
        <w:t xml:space="preserve"> to assess a forfeiture against </w:t>
      </w:r>
      <w:r w:rsidR="00F75026">
        <w:t>OdV</w:t>
      </w:r>
      <w:r w:rsidR="00384691">
        <w:t xml:space="preserve"> </w:t>
      </w:r>
      <w:r w:rsidR="00384691" w:rsidRPr="00F145A5">
        <w:t>of up to $</w:t>
      </w:r>
      <w:r w:rsidR="00384691">
        <w:t>19,246</w:t>
      </w:r>
      <w:r w:rsidR="00384691" w:rsidRPr="00F145A5">
        <w:t xml:space="preserve"> for each </w:t>
      </w:r>
      <w:r w:rsidR="00384691">
        <w:t xml:space="preserve">violation or each </w:t>
      </w:r>
      <w:r w:rsidR="00384691" w:rsidRPr="00F145A5">
        <w:t>day of a continuing violation, up to a statutory maximum of $</w:t>
      </w:r>
      <w:r w:rsidR="00384691">
        <w:t>144,344</w:t>
      </w:r>
      <w:r w:rsidR="00384691" w:rsidRPr="00F145A5">
        <w:t xml:space="preserve"> for a single act or failure to act.</w:t>
      </w:r>
      <w:r w:rsidR="00384691">
        <w:rPr>
          <w:rStyle w:val="FootnoteReference"/>
        </w:rPr>
        <w:footnoteReference w:id="14"/>
      </w:r>
      <w:r w:rsidR="00384691">
        <w:t xml:space="preserve">  </w:t>
      </w:r>
      <w:r w:rsidRPr="00981F23">
        <w:t>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Pr="004C74BE">
        <w:rPr>
          <w:rStyle w:val="FootnoteReference"/>
          <w:color w:val="000000"/>
          <w:szCs w:val="22"/>
        </w:rPr>
        <w:footnoteReference w:id="15"/>
      </w:r>
      <w:r w:rsidRPr="00981F23">
        <w:rPr>
          <w:spacing w:val="-2"/>
        </w:rPr>
        <w:t xml:space="preserve">  </w:t>
      </w:r>
      <w:r w:rsidRPr="00981F23">
        <w:t>In addition, the Commission has established forfeiture guidelines; they establish base penalties for certain violations and identify criteria that we consider when determining the appropriate penalty in any given case.</w:t>
      </w:r>
      <w:r w:rsidRPr="004C74BE">
        <w:rPr>
          <w:rStyle w:val="FootnoteReference"/>
          <w:color w:val="000000"/>
        </w:rPr>
        <w:footnoteReference w:id="16"/>
      </w:r>
      <w:r w:rsidRPr="00981F23">
        <w:t xml:space="preserve">  Under these guidelines, we may adjust a forfeiture upward for violations that are egregious, intentional, or repeated, or that cause substantial harm or generate substantial economic gain for the violator.</w:t>
      </w:r>
      <w:r w:rsidRPr="004C74BE">
        <w:rPr>
          <w:rStyle w:val="FootnoteReference"/>
          <w:color w:val="000000"/>
        </w:rPr>
        <w:footnoteReference w:id="17"/>
      </w:r>
      <w:r w:rsidRPr="00981F23">
        <w:t xml:space="preserve">  </w:t>
      </w:r>
    </w:p>
    <w:p w14:paraId="143B9CED" w14:textId="7FCE94D1" w:rsidR="006200E2" w:rsidRPr="00981F23" w:rsidRDefault="00527BC6" w:rsidP="006200E2">
      <w:pPr>
        <w:pStyle w:val="ParaNum"/>
      </w:pPr>
      <w:r w:rsidRPr="00F145A5">
        <w:t>Section 503(b)(6) of the Act empowers the Commission to assess forfeitures for violations that occurred within the year preceding the issuance of a Notice of Apparent Liability for Forfeiture.</w:t>
      </w:r>
      <w:r>
        <w:rPr>
          <w:rStyle w:val="FootnoteReference"/>
        </w:rPr>
        <w:footnoteReference w:id="18"/>
      </w:r>
      <w:r>
        <w:t xml:space="preserve">  </w:t>
      </w:r>
      <w:r w:rsidR="006200E2" w:rsidRPr="00981F23">
        <w:t>Section 1.80(b) of the Rules sets a base forfeiture of $</w:t>
      </w:r>
      <w:r>
        <w:t xml:space="preserve">4,000 for exceeding power limits </w:t>
      </w:r>
      <w:r w:rsidR="006200E2" w:rsidRPr="00981F23">
        <w:t>for each violation or each day of a continuing violation.</w:t>
      </w:r>
      <w:r w:rsidR="006200E2" w:rsidRPr="00981F23">
        <w:rPr>
          <w:vertAlign w:val="superscript"/>
        </w:rPr>
        <w:footnoteReference w:id="19"/>
      </w:r>
      <w:r w:rsidR="006200E2" w:rsidRPr="00981F23">
        <w:t xml:space="preserve">  We have discretion, however, to depart from these guidelines, taking into account the particular facts of each individual case.</w:t>
      </w:r>
      <w:r w:rsidR="006200E2" w:rsidRPr="004C74BE">
        <w:rPr>
          <w:rStyle w:val="FootnoteReference"/>
          <w:color w:val="000000"/>
          <w:szCs w:val="22"/>
        </w:rPr>
        <w:footnoteReference w:id="20"/>
      </w:r>
      <w:r w:rsidR="006200E2" w:rsidRPr="00981F23">
        <w:t xml:space="preserve">  </w:t>
      </w:r>
      <w:r w:rsidR="006200E2">
        <w:t>As described above, agents observed that</w:t>
      </w:r>
      <w:r w:rsidR="005A79E8">
        <w:t>,</w:t>
      </w:r>
      <w:r w:rsidR="006200E2">
        <w:t xml:space="preserve"> </w:t>
      </w:r>
      <w:r w:rsidR="00F75026">
        <w:t>on two separate occasions following the issuance of the NOV (</w:t>
      </w:r>
      <w:r w:rsidR="00F75026" w:rsidRPr="00F75026">
        <w:rPr>
          <w:i/>
        </w:rPr>
        <w:t>i.e.</w:t>
      </w:r>
      <w:r w:rsidR="00F75026">
        <w:t>, on May 10, 2016</w:t>
      </w:r>
      <w:r w:rsidR="004A7929">
        <w:t>,</w:t>
      </w:r>
      <w:r w:rsidR="00F75026">
        <w:t xml:space="preserve"> and February 22, 2017)</w:t>
      </w:r>
      <w:r w:rsidR="005A79E8">
        <w:t>,</w:t>
      </w:r>
      <w:r w:rsidR="00F75026">
        <w:t xml:space="preserve"> </w:t>
      </w:r>
      <w:r w:rsidR="00E2573A">
        <w:t xml:space="preserve">OdV operated </w:t>
      </w:r>
      <w:r w:rsidR="006200E2">
        <w:t xml:space="preserve">the Station </w:t>
      </w:r>
      <w:r w:rsidR="00F75026">
        <w:t xml:space="preserve">in excess of </w:t>
      </w:r>
      <w:r w:rsidR="00FB6CBC">
        <w:t xml:space="preserve">one or both of the power limits </w:t>
      </w:r>
      <w:r w:rsidR="00E2573A">
        <w:t>specified</w:t>
      </w:r>
      <w:r w:rsidR="00F75026">
        <w:t xml:space="preserve"> on </w:t>
      </w:r>
      <w:r w:rsidR="00E2573A">
        <w:t xml:space="preserve">its </w:t>
      </w:r>
      <w:r w:rsidR="00F75026">
        <w:t>license,</w:t>
      </w:r>
      <w:r w:rsidR="006200E2">
        <w:t xml:space="preserve"> in apparent violation of </w:t>
      </w:r>
      <w:r w:rsidR="007475F9">
        <w:t xml:space="preserve">Section 301 of the Act and </w:t>
      </w:r>
      <w:r w:rsidR="006200E2">
        <w:t>Sections 1.903(a)</w:t>
      </w:r>
      <w:r w:rsidR="00384691">
        <w:t xml:space="preserve"> and</w:t>
      </w:r>
      <w:r w:rsidR="006200E2">
        <w:t xml:space="preserve"> 74.1235(e) of the Rules.  </w:t>
      </w:r>
      <w:r w:rsidR="006200E2" w:rsidRPr="00981F23">
        <w:t>Accordingly, we propose a total base forfeiture of $</w:t>
      </w:r>
      <w:r>
        <w:t>8,000</w:t>
      </w:r>
      <w:r w:rsidR="006200E2" w:rsidRPr="00981F23">
        <w:t>.</w:t>
      </w:r>
    </w:p>
    <w:p w14:paraId="4DFFDD5B" w14:textId="734D9A6F" w:rsidR="006200E2" w:rsidRDefault="006200E2" w:rsidP="002E7C43">
      <w:pPr>
        <w:pStyle w:val="ParaNum"/>
        <w:widowControl/>
      </w:pPr>
      <w:r w:rsidRPr="006200E2">
        <w:t xml:space="preserve">In addition, given the totality of the circumstances, and consistent with the </w:t>
      </w:r>
      <w:r w:rsidRPr="00527BC6">
        <w:rPr>
          <w:i/>
        </w:rPr>
        <w:t>Forfeiture Policy Statement</w:t>
      </w:r>
      <w:r w:rsidR="00527BC6">
        <w:t xml:space="preserve">, we conclude that an </w:t>
      </w:r>
      <w:r w:rsidRPr="006200E2">
        <w:t xml:space="preserve">upward adjustment is warranted.  </w:t>
      </w:r>
      <w:r w:rsidR="00527BC6">
        <w:t xml:space="preserve">Although the proposed base forfeiture addresses the two violations that the Bureau’s agents observed during the past year, we note that </w:t>
      </w:r>
      <w:r w:rsidR="00EA2C8A">
        <w:t>the Bureau</w:t>
      </w:r>
      <w:r w:rsidR="00A7001F">
        <w:t xml:space="preserve"> </w:t>
      </w:r>
      <w:r w:rsidR="00EA2C8A">
        <w:t xml:space="preserve">previously </w:t>
      </w:r>
      <w:r w:rsidR="00A7001F">
        <w:t xml:space="preserve">observed OdV operating its station in excess of its power limits, and </w:t>
      </w:r>
      <w:r w:rsidR="0035614F">
        <w:t xml:space="preserve">issued a NOV to </w:t>
      </w:r>
      <w:r w:rsidR="00EA2C8A">
        <w:t xml:space="preserve">OdV </w:t>
      </w:r>
      <w:r w:rsidR="0035614F">
        <w:t xml:space="preserve">for the same </w:t>
      </w:r>
      <w:r w:rsidR="00A30B2E">
        <w:t>apparent violations</w:t>
      </w:r>
      <w:r w:rsidR="0035614F">
        <w:t>.</w:t>
      </w:r>
      <w:r w:rsidR="00EA2C8A">
        <w:rPr>
          <w:rStyle w:val="FootnoteReference"/>
        </w:rPr>
        <w:footnoteReference w:id="21"/>
      </w:r>
      <w:r w:rsidR="00EA2C8A">
        <w:t xml:space="preserve"> </w:t>
      </w:r>
      <w:r w:rsidR="00527BC6">
        <w:t xml:space="preserve"> </w:t>
      </w:r>
      <w:r w:rsidR="00A7001F">
        <w:t xml:space="preserve">Despite assuring the Bureau in the </w:t>
      </w:r>
      <w:r w:rsidR="003207F3">
        <w:t>NOV</w:t>
      </w:r>
      <w:r w:rsidR="00A7001F">
        <w:t xml:space="preserve"> Response that it would “operate in full compliance with its FCC license,” OdV failed to so do.</w:t>
      </w:r>
      <w:r w:rsidR="00836178">
        <w:rPr>
          <w:rStyle w:val="FootnoteReference"/>
        </w:rPr>
        <w:footnoteReference w:id="22"/>
      </w:r>
      <w:r w:rsidR="00A7001F">
        <w:t xml:space="preserve">  </w:t>
      </w:r>
      <w:r w:rsidR="00EA2C8A">
        <w:t xml:space="preserve">Accordingly, we believe that an </w:t>
      </w:r>
      <w:r w:rsidR="00F42D21">
        <w:t xml:space="preserve">aggregate </w:t>
      </w:r>
      <w:r w:rsidR="00EA2C8A">
        <w:t>upward adjustment</w:t>
      </w:r>
      <w:r w:rsidR="009A1726">
        <w:t xml:space="preserve"> of $4,000</w:t>
      </w:r>
      <w:r w:rsidR="00EA2C8A">
        <w:t xml:space="preserve"> </w:t>
      </w:r>
      <w:r w:rsidR="00BB0848">
        <w:t xml:space="preserve">($2,000 for each violation) </w:t>
      </w:r>
      <w:r w:rsidR="00EA2C8A">
        <w:t xml:space="preserve">is warranted to address the repeated nature of OdV’s apparent violations of </w:t>
      </w:r>
      <w:r w:rsidR="007475F9">
        <w:t xml:space="preserve">Section 301 of the Act and </w:t>
      </w:r>
      <w:r w:rsidR="00EA2C8A">
        <w:t>Sections 1.903(a) and 74.1235(e) of the Rules</w:t>
      </w:r>
      <w:r w:rsidRPr="006200E2">
        <w:t>.</w:t>
      </w:r>
      <w:r>
        <w:t xml:space="preserve">  </w:t>
      </w:r>
      <w:r w:rsidRPr="00981F23">
        <w:t xml:space="preserve">Therefore, after applying the </w:t>
      </w:r>
      <w:r w:rsidRPr="00981F23">
        <w:rPr>
          <w:i/>
        </w:rPr>
        <w:t>Forfeiture Policy Statement</w:t>
      </w:r>
      <w:r w:rsidRPr="00981F23">
        <w:t xml:space="preserve">, Section 1.80 of the Rules, and the statutory factors, we </w:t>
      </w:r>
      <w:r w:rsidR="00EA2C8A">
        <w:t>propose a total forfeiture of $1</w:t>
      </w:r>
      <w:r w:rsidR="00EF2532">
        <w:t>2</w:t>
      </w:r>
      <w:r w:rsidR="00EA2C8A">
        <w:t xml:space="preserve">,000, for which OdV is </w:t>
      </w:r>
      <w:r w:rsidRPr="00981F23">
        <w:t>apparently liable.</w:t>
      </w:r>
    </w:p>
    <w:p w14:paraId="6BDBBACE" w14:textId="77777777" w:rsidR="006200E2" w:rsidRDefault="006200E2" w:rsidP="006200E2">
      <w:pPr>
        <w:pStyle w:val="Heading1"/>
      </w:pPr>
      <w:r>
        <w:t>Conclusion</w:t>
      </w:r>
    </w:p>
    <w:p w14:paraId="679A6D5D" w14:textId="77777777" w:rsidR="006200E2" w:rsidRDefault="006200E2" w:rsidP="004A7929">
      <w:pPr>
        <w:pStyle w:val="ParaNum"/>
        <w:widowControl/>
      </w:pPr>
      <w:r w:rsidRPr="00981F23">
        <w:t xml:space="preserve">We have determined that </w:t>
      </w:r>
      <w:r w:rsidR="00EA2C8A">
        <w:t>OdV</w:t>
      </w:r>
      <w:r w:rsidRPr="00981F23">
        <w:t xml:space="preserve"> apparently willfully and repeatedly violated </w:t>
      </w:r>
      <w:r w:rsidR="007475F9">
        <w:t xml:space="preserve">Section 301 of the Act and </w:t>
      </w:r>
      <w:r w:rsidR="00EA2C8A">
        <w:t>Sections 1.903(a) and 74.1235(e) of the Rules.</w:t>
      </w:r>
      <w:r w:rsidRPr="00981F23">
        <w:t xml:space="preserve">  As such, </w:t>
      </w:r>
      <w:r w:rsidR="00EA2C8A">
        <w:t xml:space="preserve">OdV </w:t>
      </w:r>
      <w:r w:rsidRPr="00981F23">
        <w:t xml:space="preserve">is apparently liable for a forfeiture of </w:t>
      </w:r>
      <w:r w:rsidR="00EA2C8A">
        <w:t>$1</w:t>
      </w:r>
      <w:r w:rsidR="00EF2532">
        <w:t>2</w:t>
      </w:r>
      <w:r w:rsidR="00EA2C8A">
        <w:t>,000</w:t>
      </w:r>
      <w:r w:rsidRPr="00981F23">
        <w:t>.</w:t>
      </w:r>
    </w:p>
    <w:p w14:paraId="2A6284CB" w14:textId="77777777" w:rsidR="006200E2" w:rsidRDefault="006200E2" w:rsidP="006200E2">
      <w:pPr>
        <w:pStyle w:val="Heading1"/>
      </w:pPr>
      <w:r>
        <w:t>Ordering Clauses</w:t>
      </w:r>
    </w:p>
    <w:p w14:paraId="208D2AD4" w14:textId="46D3AD67" w:rsidR="006200E2" w:rsidRPr="00981F23" w:rsidRDefault="006200E2" w:rsidP="00610EC5">
      <w:pPr>
        <w:pStyle w:val="ParaNum"/>
        <w:widowControl/>
        <w:rPr>
          <w:spacing w:val="-2"/>
        </w:rPr>
      </w:pPr>
      <w:r w:rsidRPr="00981F23">
        <w:t xml:space="preserve">Accordingly, </w:t>
      </w:r>
      <w:r w:rsidRPr="00981F23">
        <w:rPr>
          <w:b/>
        </w:rPr>
        <w:t>IT IS ORDERED</w:t>
      </w:r>
      <w:r w:rsidRPr="00981F23">
        <w:t xml:space="preserve"> that, pursuant to Section 503(b) of the </w:t>
      </w:r>
      <w:r>
        <w:t>Act</w:t>
      </w:r>
      <w:r w:rsidRPr="00981F23">
        <w:rPr>
          <w:vertAlign w:val="superscript"/>
        </w:rPr>
        <w:footnoteReference w:id="23"/>
      </w:r>
      <w:r w:rsidRPr="00981F23">
        <w:t xml:space="preserve"> and Sections 1.80 of the</w:t>
      </w:r>
      <w:r>
        <w:t xml:space="preserve"> R</w:t>
      </w:r>
      <w:r w:rsidRPr="00981F23">
        <w:t>ules,</w:t>
      </w:r>
      <w:r w:rsidRPr="00981F23">
        <w:rPr>
          <w:vertAlign w:val="superscript"/>
        </w:rPr>
        <w:footnoteReference w:id="24"/>
      </w:r>
      <w:r w:rsidRPr="00981F23">
        <w:t xml:space="preserve"> </w:t>
      </w:r>
      <w:r w:rsidR="00EA2C8A">
        <w:t>Ondas de Vida, Inc.</w:t>
      </w:r>
      <w:r w:rsidR="001D1E3D">
        <w:t>,</w:t>
      </w:r>
      <w:r w:rsidR="00EA2C8A">
        <w:t xml:space="preserve"> </w:t>
      </w:r>
      <w:r w:rsidRPr="00981F23">
        <w:t xml:space="preserve">is hereby </w:t>
      </w:r>
      <w:r w:rsidRPr="00981F23">
        <w:rPr>
          <w:b/>
        </w:rPr>
        <w:t>NOTIFIED</w:t>
      </w:r>
      <w:r w:rsidRPr="00981F23">
        <w:t xml:space="preserve"> of this </w:t>
      </w:r>
      <w:r w:rsidRPr="00981F23">
        <w:rPr>
          <w:b/>
        </w:rPr>
        <w:t>APPARENT LIABILITY FOR A FORFEITURE</w:t>
      </w:r>
      <w:r w:rsidRPr="00981F23">
        <w:t xml:space="preserve"> in the amount of </w:t>
      </w:r>
      <w:r w:rsidR="00EF2532">
        <w:t xml:space="preserve">Twelve </w:t>
      </w:r>
      <w:r w:rsidR="00EA2C8A">
        <w:t>Thousand Dollars ($1</w:t>
      </w:r>
      <w:r w:rsidR="00EF2532">
        <w:t>2</w:t>
      </w:r>
      <w:r w:rsidR="00EA2C8A">
        <w:t>,000)</w:t>
      </w:r>
      <w:r w:rsidRPr="00981F23">
        <w:t xml:space="preserve"> for willful and repeated violations of Section</w:t>
      </w:r>
      <w:r w:rsidR="00EA2C8A">
        <w:t xml:space="preserve"> 301</w:t>
      </w:r>
      <w:r w:rsidR="00F30C62">
        <w:t xml:space="preserve"> </w:t>
      </w:r>
      <w:r w:rsidRPr="00981F23">
        <w:t xml:space="preserve">of the </w:t>
      </w:r>
      <w:r>
        <w:t>Act</w:t>
      </w:r>
      <w:r w:rsidRPr="00981F23">
        <w:rPr>
          <w:vertAlign w:val="superscript"/>
        </w:rPr>
        <w:footnoteReference w:id="25"/>
      </w:r>
      <w:r w:rsidRPr="00981F23">
        <w:t xml:space="preserve"> </w:t>
      </w:r>
      <w:r w:rsidR="00EA2C8A">
        <w:t xml:space="preserve">and </w:t>
      </w:r>
      <w:r w:rsidRPr="00981F23">
        <w:t>Section</w:t>
      </w:r>
      <w:r w:rsidR="00EA2C8A">
        <w:t>s 1.903(a) and 74.1235(e) of the Rules.</w:t>
      </w:r>
      <w:r w:rsidRPr="00981F23">
        <w:rPr>
          <w:vertAlign w:val="superscript"/>
        </w:rPr>
        <w:footnoteReference w:id="26"/>
      </w:r>
      <w:r w:rsidRPr="00981F23">
        <w:t xml:space="preserve"> </w:t>
      </w:r>
    </w:p>
    <w:p w14:paraId="62B0BAA4" w14:textId="77777777" w:rsidR="006200E2" w:rsidRPr="00981F23" w:rsidRDefault="006200E2" w:rsidP="0035614F">
      <w:pPr>
        <w:pStyle w:val="ParaNum"/>
        <w:widowControl/>
        <w:rPr>
          <w:spacing w:val="-2"/>
        </w:rPr>
      </w:pPr>
      <w:r w:rsidRPr="00981F23">
        <w:rPr>
          <w:b/>
        </w:rPr>
        <w:t xml:space="preserve">IT IS FURTHER ORDERED </w:t>
      </w:r>
      <w:r w:rsidRPr="00981F23">
        <w:t>that, pursuant to Section 1.80 of the</w:t>
      </w:r>
      <w:r>
        <w:t xml:space="preserve"> R</w:t>
      </w:r>
      <w:r w:rsidRPr="00981F23">
        <w:t>ules,</w:t>
      </w:r>
      <w:r w:rsidRPr="00981F23">
        <w:rPr>
          <w:vertAlign w:val="superscript"/>
        </w:rPr>
        <w:footnoteReference w:id="27"/>
      </w:r>
      <w:r w:rsidRPr="00981F23">
        <w:rPr>
          <w:vertAlign w:val="superscript"/>
        </w:rPr>
        <w:t xml:space="preserve"> </w:t>
      </w:r>
      <w:r w:rsidRPr="00981F23">
        <w:t xml:space="preserve">within thirty (30) calendar days of the release date of this Notice of Apparent Liability for Forfeiture, </w:t>
      </w:r>
      <w:r w:rsidR="00EA2C8A">
        <w:t xml:space="preserve">Ondas de Vida, Inc.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A30B2E">
        <w:t>17</w:t>
      </w:r>
      <w:r w:rsidRPr="00981F23">
        <w:t xml:space="preserve"> below.</w:t>
      </w:r>
    </w:p>
    <w:p w14:paraId="30F50530" w14:textId="2F97D660" w:rsidR="006200E2" w:rsidRPr="00981F23" w:rsidRDefault="006200E2" w:rsidP="006200E2">
      <w:pPr>
        <w:pStyle w:val="ParaNum"/>
        <w:rPr>
          <w:spacing w:val="-2"/>
        </w:rPr>
      </w:pPr>
      <w:r w:rsidRPr="00981F23">
        <w:t xml:space="preserve">Payment of the forfeiture must be made by check or similar instrument, wire transfer, or credit card, and must include the NAL/Account Number and FRN referenced above.  </w:t>
      </w:r>
      <w:r w:rsidR="00EA2C8A">
        <w:t>Ondas de Vida, Inc.</w:t>
      </w:r>
      <w:r w:rsidR="001D1E3D">
        <w:t>,</w:t>
      </w:r>
      <w:r w:rsidR="00EA2C8A">
        <w:t xml:space="preserve"> </w:t>
      </w:r>
      <w:r w:rsidRPr="00981F23">
        <w:t xml:space="preserve">shall send electronic notification of payment to </w:t>
      </w:r>
      <w:r w:rsidR="00EA2C8A">
        <w:t xml:space="preserve">Matthew L. Gibson </w:t>
      </w:r>
      <w:r w:rsidRPr="00981F23">
        <w:t xml:space="preserve">at </w:t>
      </w:r>
      <w:hyperlink r:id="rId8" w:history="1">
        <w:r w:rsidR="00EA2C8A" w:rsidRPr="00C15A7A">
          <w:rPr>
            <w:rStyle w:val="Hyperlink"/>
          </w:rPr>
          <w:t>matthew.gibson@fcc.gov</w:t>
        </w:r>
      </w:hyperlink>
      <w:r w:rsidR="00EA2C8A">
        <w:t xml:space="preserve">, with copy to </w:t>
      </w:r>
      <w:hyperlink r:id="rId9" w:history="1">
        <w:r w:rsidR="00EA2C8A" w:rsidRPr="00C15A7A">
          <w:rPr>
            <w:rStyle w:val="Hyperlink"/>
          </w:rPr>
          <w:t>WR-Response@fcc.gov</w:t>
        </w:r>
      </w:hyperlink>
      <w:r w:rsidR="00EA2C8A">
        <w:t xml:space="preserve"> </w:t>
      </w:r>
      <w:r w:rsidRPr="00981F23">
        <w:t>on the date said payment is made.  Regardless of the form of payment, a completed FCC Form 159 (Remittance Advice) must be submitted.</w:t>
      </w:r>
      <w:r w:rsidRPr="00981F23">
        <w:rPr>
          <w:vertAlign w:val="superscript"/>
        </w:rPr>
        <w:footnoteReference w:id="28"/>
      </w:r>
      <w:r w:rsidRPr="00981F23">
        <w:t xml:space="preserve">  When completing the FCC Form 159, enter the Account Number in block number 23A (call sign/other ID) and enter the letters “FORF” in block number 24A (payment type code).  Below are additional instructions that should</w:t>
      </w:r>
      <w:r>
        <w:t xml:space="preserve"> be</w:t>
      </w:r>
      <w:r w:rsidRPr="00981F23">
        <w:t xml:space="preserve"> follow</w:t>
      </w:r>
      <w:r>
        <w:t>ed</w:t>
      </w:r>
      <w:r w:rsidRPr="00981F23">
        <w:t xml:space="preserve"> based on the form of payment </w:t>
      </w:r>
      <w:r>
        <w:t>selected</w:t>
      </w:r>
      <w:r w:rsidRPr="00981F23">
        <w:t>:</w:t>
      </w:r>
      <w:r w:rsidRPr="00981F23">
        <w:tab/>
      </w:r>
    </w:p>
    <w:p w14:paraId="42D4D396" w14:textId="77777777" w:rsidR="006200E2" w:rsidRPr="004C74BE" w:rsidRDefault="006200E2" w:rsidP="006200E2">
      <w:pPr>
        <w:numPr>
          <w:ilvl w:val="0"/>
          <w:numId w:val="8"/>
        </w:numPr>
        <w:spacing w:after="120"/>
        <w:rPr>
          <w:b/>
          <w:color w:val="000000"/>
          <w:szCs w:val="22"/>
        </w:rPr>
      </w:pPr>
      <w:r w:rsidRPr="004C74BE">
        <w:rPr>
          <w:rFonts w:eastAsia="MS Mincho"/>
          <w:color w:val="00000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79C5F077" w14:textId="77777777" w:rsidR="006200E2" w:rsidRPr="004C74BE" w:rsidRDefault="006200E2" w:rsidP="006200E2">
      <w:pPr>
        <w:widowControl/>
        <w:numPr>
          <w:ilvl w:val="0"/>
          <w:numId w:val="8"/>
        </w:numPr>
        <w:spacing w:after="120"/>
        <w:rPr>
          <w:b/>
          <w:color w:val="000000"/>
          <w:szCs w:val="22"/>
        </w:rPr>
      </w:pPr>
      <w:r w:rsidRPr="004C74BE">
        <w:rPr>
          <w:rFonts w:eastAsia="MS Mincho"/>
          <w:color w:val="000000"/>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39A6F04E" w14:textId="77777777" w:rsidR="006200E2" w:rsidRPr="004C74BE" w:rsidRDefault="006200E2" w:rsidP="006200E2">
      <w:pPr>
        <w:widowControl/>
        <w:numPr>
          <w:ilvl w:val="0"/>
          <w:numId w:val="8"/>
        </w:numPr>
        <w:spacing w:after="120"/>
        <w:rPr>
          <w:b/>
          <w:color w:val="000000"/>
          <w:szCs w:val="22"/>
        </w:rPr>
      </w:pPr>
      <w:r w:rsidRPr="004C74BE">
        <w:rPr>
          <w:rFonts w:eastAsia="MS Mincho"/>
          <w:color w:val="000000"/>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45DA98A" w14:textId="77777777" w:rsidR="006200E2" w:rsidRPr="00981F23" w:rsidRDefault="006200E2" w:rsidP="004A7929">
      <w:pPr>
        <w:pStyle w:val="ParaNum"/>
        <w:widowControl/>
      </w:pPr>
      <w:r w:rsidRPr="00981F23">
        <w:t>Any request for making full payment over time under an installment plan should be sent to:  Chief Financial Officer—Financial Operations, Federal Communications Commission, 445 12th Street, SW, Room 1-A625, Washington, DC 20554.</w:t>
      </w:r>
      <w:r>
        <w:rPr>
          <w:rStyle w:val="FootnoteReference"/>
          <w:szCs w:val="22"/>
        </w:rPr>
        <w:footnoteReference w:id="29"/>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ARINQUIRIES@fcc.gov.</w:t>
      </w:r>
    </w:p>
    <w:p w14:paraId="283DFEBB" w14:textId="3AD98CCF" w:rsidR="006200E2" w:rsidRPr="00981F23" w:rsidRDefault="006200E2" w:rsidP="006200E2">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t>R</w:t>
      </w:r>
      <w:r w:rsidRPr="00981F23">
        <w:t>ules.</w:t>
      </w:r>
      <w:r w:rsidRPr="00981F23">
        <w:rPr>
          <w:vertAlign w:val="superscript"/>
        </w:rPr>
        <w:footnoteReference w:id="30"/>
      </w:r>
      <w:r w:rsidRPr="00981F23">
        <w:t xml:space="preserve">  The written statement must be mailed to the Office of the Secretary, Federal Communications Commission, 445 12th Street, SW, Washington, DC 20554, ATTN:  Enforcement Bureau – </w:t>
      </w:r>
      <w:r w:rsidR="00EA2C8A">
        <w:t>Office of the Field Director</w:t>
      </w:r>
      <w:r w:rsidRPr="00981F23">
        <w:t xml:space="preserve">, and must include the NAL/Account Number referenced in the caption.  The statement must also be e-mailed to </w:t>
      </w:r>
      <w:r w:rsidR="00EA2C8A">
        <w:t>Matthew L. Gibson a</w:t>
      </w:r>
      <w:r w:rsidRPr="00981F23">
        <w:t xml:space="preserve">t </w:t>
      </w:r>
      <w:hyperlink r:id="rId10" w:history="1">
        <w:r w:rsidR="00EA2C8A" w:rsidRPr="00C15A7A">
          <w:rPr>
            <w:rStyle w:val="Hyperlink"/>
          </w:rPr>
          <w:t>matthew.gibson@fcc.gov</w:t>
        </w:r>
      </w:hyperlink>
      <w:r w:rsidR="00EA2C8A">
        <w:t>, with a copy to WR-Response@fcc.gov</w:t>
      </w:r>
      <w:r w:rsidRPr="00981F23">
        <w:t xml:space="preserve">  </w:t>
      </w:r>
    </w:p>
    <w:p w14:paraId="6D621F7A" w14:textId="77777777" w:rsidR="006200E2" w:rsidRPr="00981F23" w:rsidRDefault="006200E2" w:rsidP="006200E2">
      <w:pPr>
        <w:pStyle w:val="ParaNum"/>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685E7976" w14:textId="77777777" w:rsidR="006200E2" w:rsidRDefault="006200E2" w:rsidP="00336B55">
      <w:pPr>
        <w:pStyle w:val="ParaNum"/>
        <w:keepNext/>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EF2532">
        <w:t xml:space="preserve">Hector Manzo, </w:t>
      </w:r>
      <w:r w:rsidR="005369D6">
        <w:t xml:space="preserve">President, </w:t>
      </w:r>
      <w:r w:rsidR="00EA2C8A">
        <w:t xml:space="preserve">Ondas de Vida, Inc., </w:t>
      </w:r>
      <w:r w:rsidR="00EF2532">
        <w:t>P.O. Box 94, Victorville, California</w:t>
      </w:r>
      <w:r w:rsidR="005369D6">
        <w:t>,</w:t>
      </w:r>
      <w:r w:rsidR="00EF2532">
        <w:t xml:space="preserve"> 92393, </w:t>
      </w:r>
      <w:r w:rsidRPr="00981F23">
        <w:t xml:space="preserve">and to </w:t>
      </w:r>
      <w:r w:rsidR="00EF2532">
        <w:t xml:space="preserve">Jeffrey D. Southmayd, </w:t>
      </w:r>
      <w:r w:rsidRPr="00981F23">
        <w:t xml:space="preserve">Esq., </w:t>
      </w:r>
      <w:r w:rsidR="0035614F">
        <w:t>Southmayd &amp; Miller, 4 Ocean Ridge Boulevard South, Palm Coast, Florida, 32137</w:t>
      </w:r>
      <w:r w:rsidRPr="00981F23">
        <w:t>.</w:t>
      </w:r>
    </w:p>
    <w:p w14:paraId="0B66A4AC" w14:textId="77777777" w:rsidR="005369D6" w:rsidRDefault="005369D6" w:rsidP="00D413A4">
      <w:pPr>
        <w:pStyle w:val="ParaNum"/>
        <w:numPr>
          <w:ilvl w:val="0"/>
          <w:numId w:val="0"/>
        </w:numPr>
        <w:ind w:left="720"/>
      </w:pPr>
    </w:p>
    <w:p w14:paraId="7BC8172C" w14:textId="77777777" w:rsidR="006200E2" w:rsidRDefault="006200E2" w:rsidP="0017296B">
      <w:r>
        <w:tab/>
      </w:r>
      <w:r>
        <w:tab/>
      </w:r>
      <w:r>
        <w:tab/>
      </w:r>
      <w:r>
        <w:tab/>
      </w:r>
      <w:r>
        <w:tab/>
      </w:r>
      <w:r>
        <w:tab/>
        <w:t>FEDERAL COMMUNICATIONS COMMISSION</w:t>
      </w:r>
    </w:p>
    <w:p w14:paraId="462DF822" w14:textId="77777777" w:rsidR="006200E2" w:rsidRDefault="006200E2" w:rsidP="0017296B"/>
    <w:p w14:paraId="6C9501A5" w14:textId="77777777" w:rsidR="006200E2" w:rsidRDefault="006200E2" w:rsidP="0017296B"/>
    <w:p w14:paraId="2B6D1A38" w14:textId="77777777" w:rsidR="006200E2" w:rsidRDefault="006200E2" w:rsidP="0017296B"/>
    <w:p w14:paraId="139392D0" w14:textId="77777777" w:rsidR="006200E2" w:rsidRDefault="006200E2" w:rsidP="0017296B"/>
    <w:p w14:paraId="1F73FF72" w14:textId="77777777" w:rsidR="006200E2" w:rsidRDefault="006200E2" w:rsidP="006200E2">
      <w:r>
        <w:tab/>
      </w:r>
      <w:r>
        <w:tab/>
      </w:r>
      <w:r>
        <w:tab/>
      </w:r>
      <w:r>
        <w:tab/>
      </w:r>
      <w:r>
        <w:tab/>
      </w:r>
      <w:r>
        <w:tab/>
        <w:t>Lark Hadley</w:t>
      </w:r>
    </w:p>
    <w:p w14:paraId="401B6FA3" w14:textId="77777777" w:rsidR="006200E2" w:rsidRDefault="006200E2" w:rsidP="006200E2">
      <w:r>
        <w:tab/>
      </w:r>
      <w:r>
        <w:tab/>
      </w:r>
      <w:r>
        <w:tab/>
      </w:r>
      <w:r>
        <w:tab/>
      </w:r>
      <w:r>
        <w:tab/>
      </w:r>
      <w:r>
        <w:tab/>
        <w:t>Regional Director, Region Three</w:t>
      </w:r>
    </w:p>
    <w:p w14:paraId="77969508" w14:textId="77777777" w:rsidR="006200E2" w:rsidRDefault="006200E2" w:rsidP="006200E2">
      <w:r>
        <w:tab/>
      </w:r>
      <w:r>
        <w:tab/>
      </w:r>
      <w:r>
        <w:tab/>
      </w:r>
      <w:r>
        <w:tab/>
      </w:r>
      <w:r>
        <w:tab/>
      </w:r>
      <w:r>
        <w:tab/>
        <w:t>Enforcement Bureau</w:t>
      </w:r>
    </w:p>
    <w:p w14:paraId="66E0456C" w14:textId="77777777" w:rsidR="006200E2" w:rsidRPr="006200E2" w:rsidRDefault="006200E2" w:rsidP="006200E2"/>
    <w:sectPr w:rsidR="006200E2" w:rsidRPr="006200E2"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11C22" w14:textId="77777777" w:rsidR="000B3983" w:rsidRDefault="000B3983">
      <w:pPr>
        <w:spacing w:line="20" w:lineRule="exact"/>
      </w:pPr>
    </w:p>
  </w:endnote>
  <w:endnote w:type="continuationSeparator" w:id="0">
    <w:p w14:paraId="00F9974B" w14:textId="77777777" w:rsidR="000B3983" w:rsidRDefault="000B3983">
      <w:r>
        <w:t xml:space="preserve"> </w:t>
      </w:r>
    </w:p>
  </w:endnote>
  <w:endnote w:type="continuationNotice" w:id="1">
    <w:p w14:paraId="315AB07A" w14:textId="77777777" w:rsidR="000B3983" w:rsidRDefault="000B39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E9AE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C282F4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C91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75D8E">
      <w:rPr>
        <w:noProof/>
      </w:rPr>
      <w:t>3</w:t>
    </w:r>
    <w:r>
      <w:fldChar w:fldCharType="end"/>
    </w:r>
  </w:p>
  <w:p w14:paraId="0E62F962"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2417"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EFDFC" w14:textId="77777777" w:rsidR="000B3983" w:rsidRDefault="000B3983">
      <w:r>
        <w:separator/>
      </w:r>
    </w:p>
  </w:footnote>
  <w:footnote w:type="continuationSeparator" w:id="0">
    <w:p w14:paraId="156CDA3D" w14:textId="77777777" w:rsidR="000B3983" w:rsidRDefault="000B3983" w:rsidP="00C721AC">
      <w:pPr>
        <w:spacing w:before="120"/>
        <w:rPr>
          <w:sz w:val="20"/>
        </w:rPr>
      </w:pPr>
      <w:r>
        <w:rPr>
          <w:sz w:val="20"/>
        </w:rPr>
        <w:t xml:space="preserve">(Continued from previous page)  </w:t>
      </w:r>
      <w:r>
        <w:rPr>
          <w:sz w:val="20"/>
        </w:rPr>
        <w:separator/>
      </w:r>
    </w:p>
  </w:footnote>
  <w:footnote w:type="continuationNotice" w:id="1">
    <w:p w14:paraId="07A38A28" w14:textId="77777777" w:rsidR="000B3983" w:rsidRDefault="000B3983" w:rsidP="00C721AC">
      <w:pPr>
        <w:jc w:val="right"/>
        <w:rPr>
          <w:sz w:val="20"/>
        </w:rPr>
      </w:pPr>
      <w:r>
        <w:rPr>
          <w:sz w:val="20"/>
        </w:rPr>
        <w:t>(continued….)</w:t>
      </w:r>
    </w:p>
  </w:footnote>
  <w:footnote w:id="2">
    <w:p w14:paraId="181AFFC0" w14:textId="77777777" w:rsidR="002E0E30" w:rsidRPr="00384691" w:rsidRDefault="002E0E30">
      <w:pPr>
        <w:pStyle w:val="FootnoteText"/>
      </w:pPr>
      <w:r>
        <w:rPr>
          <w:rStyle w:val="FootnoteReference"/>
        </w:rPr>
        <w:footnoteRef/>
      </w:r>
      <w:r>
        <w:t xml:space="preserve"> </w:t>
      </w:r>
      <w:r w:rsidR="00384691">
        <w:rPr>
          <w:i/>
        </w:rPr>
        <w:t xml:space="preserve">See </w:t>
      </w:r>
      <w:r w:rsidR="00384691">
        <w:t xml:space="preserve">FCC File No. </w:t>
      </w:r>
      <w:r w:rsidR="00B42A9D">
        <w:t>BLFT-20150707ABO.</w:t>
      </w:r>
      <w:r w:rsidR="000E2FAA">
        <w:t xml:space="preserve">  </w:t>
      </w:r>
      <w:r w:rsidR="000031A4">
        <w:t xml:space="preserve">As the term suggests, TPO represents the power (in Watts) directly measured (either using an external wattmeter or the transmitter’s own internal instrumentation).  ERP is a value that represents the power </w:t>
      </w:r>
      <w:r w:rsidR="00D413A4">
        <w:t xml:space="preserve">radiated from an antenna </w:t>
      </w:r>
      <w:r w:rsidR="000031A4">
        <w:t xml:space="preserve">and is calculated as the </w:t>
      </w:r>
      <w:r w:rsidR="00B0133E">
        <w:t>result</w:t>
      </w:r>
      <w:r w:rsidR="000031A4">
        <w:t xml:space="preserve"> of (a) antenna input power</w:t>
      </w:r>
      <w:r w:rsidR="00B10772">
        <w:t xml:space="preserve"> (</w:t>
      </w:r>
      <w:r w:rsidR="00B10772" w:rsidRPr="00D413A4">
        <w:rPr>
          <w:i/>
        </w:rPr>
        <w:t>i.e.</w:t>
      </w:r>
      <w:r w:rsidR="00B10772">
        <w:t>, TPO less transmission line loss) and (b) the antenna’s gain</w:t>
      </w:r>
      <w:r w:rsidR="00D413A4">
        <w:t>.  Unless otherwise noted, calculations herein of ERP are based on 7 dB</w:t>
      </w:r>
      <w:r w:rsidR="00B0133E">
        <w:t>d</w:t>
      </w:r>
      <w:r w:rsidR="00D413A4">
        <w:t xml:space="preserve"> of antenna gain (per the manufacturer’s specifications) and line losses associated with 100 feet of 5/8-inch coaxial cable </w:t>
      </w:r>
      <w:r w:rsidR="00C04323">
        <w:t xml:space="preserve">carrying RF signals </w:t>
      </w:r>
      <w:r w:rsidR="00D413A4">
        <w:t xml:space="preserve">at 99.1 MHz. </w:t>
      </w:r>
    </w:p>
  </w:footnote>
  <w:footnote w:id="3">
    <w:p w14:paraId="5ED21508" w14:textId="0325BE01" w:rsidR="00084D68" w:rsidRDefault="00084D68">
      <w:pPr>
        <w:pStyle w:val="FootnoteText"/>
      </w:pPr>
      <w:r>
        <w:rPr>
          <w:rStyle w:val="FootnoteReference"/>
        </w:rPr>
        <w:footnoteRef/>
      </w:r>
      <w:r>
        <w:t xml:space="preserve"> </w:t>
      </w:r>
      <w:r w:rsidRPr="00384691">
        <w:rPr>
          <w:i/>
        </w:rPr>
        <w:t>Ondas de Vida, Inc.</w:t>
      </w:r>
      <w:r>
        <w:t xml:space="preserve">, Notice of Violation, NOV No. </w:t>
      </w:r>
      <w:r w:rsidR="00EF2532">
        <w:t>V201632900005 (EB, Apr</w:t>
      </w:r>
      <w:r w:rsidR="00540DE3">
        <w:t>.</w:t>
      </w:r>
      <w:r w:rsidR="00EF2532">
        <w:t xml:space="preserve"> 11, 2016)</w:t>
      </w:r>
      <w:r w:rsidR="00384691">
        <w:t xml:space="preserve"> (NOV)</w:t>
      </w:r>
      <w:r w:rsidR="00B42A9D">
        <w:t>.</w:t>
      </w:r>
    </w:p>
  </w:footnote>
  <w:footnote w:id="4">
    <w:p w14:paraId="3C7DBB28" w14:textId="2F237271" w:rsidR="001A26CC" w:rsidRDefault="001A26CC">
      <w:pPr>
        <w:pStyle w:val="FootnoteText"/>
      </w:pPr>
      <w:r>
        <w:rPr>
          <w:rStyle w:val="FootnoteReference"/>
        </w:rPr>
        <w:footnoteRef/>
      </w:r>
      <w:r>
        <w:t xml:space="preserve"> </w:t>
      </w:r>
      <w:r w:rsidR="00EF2532">
        <w:t xml:space="preserve">Letter from Hector Manzo, </w:t>
      </w:r>
      <w:r w:rsidR="005369D6">
        <w:t xml:space="preserve">President, </w:t>
      </w:r>
      <w:r w:rsidR="00EF2532">
        <w:t>Ondas de Vida, Inc. (Apr</w:t>
      </w:r>
      <w:r w:rsidR="00540DE3">
        <w:t>.</w:t>
      </w:r>
      <w:r w:rsidR="00EF2532">
        <w:t xml:space="preserve"> 29, 2016) (on file in EB-FIELDWR-16-00020978) (</w:t>
      </w:r>
      <w:r>
        <w:t>NOV Response</w:t>
      </w:r>
      <w:r w:rsidR="00EF2532">
        <w:t>)</w:t>
      </w:r>
      <w:r>
        <w:t>.</w:t>
      </w:r>
    </w:p>
  </w:footnote>
  <w:footnote w:id="5">
    <w:p w14:paraId="3E81D2E9" w14:textId="77777777" w:rsidR="00DE7555" w:rsidRPr="00EB10F0" w:rsidRDefault="00DE7555">
      <w:pPr>
        <w:pStyle w:val="FootnoteText"/>
      </w:pPr>
      <w:r>
        <w:rPr>
          <w:rStyle w:val="FootnoteReference"/>
        </w:rPr>
        <w:footnoteRef/>
      </w:r>
      <w:r>
        <w:t xml:space="preserve"> </w:t>
      </w:r>
      <w:r w:rsidR="00EF2532">
        <w:rPr>
          <w:i/>
        </w:rPr>
        <w:t>Id.</w:t>
      </w:r>
      <w:r w:rsidR="00EB10F0">
        <w:rPr>
          <w:i/>
        </w:rPr>
        <w:t xml:space="preserve"> </w:t>
      </w:r>
    </w:p>
  </w:footnote>
  <w:footnote w:id="6">
    <w:p w14:paraId="28DAF020" w14:textId="3EFF632A" w:rsidR="003273C2" w:rsidRPr="003273C2" w:rsidRDefault="003273C2">
      <w:pPr>
        <w:pStyle w:val="FootnoteText"/>
      </w:pPr>
      <w:r>
        <w:rPr>
          <w:rStyle w:val="FootnoteReference"/>
        </w:rPr>
        <w:footnoteRef/>
      </w:r>
      <w:r>
        <w:t xml:space="preserve"> </w:t>
      </w:r>
      <w:r>
        <w:rPr>
          <w:i/>
        </w:rPr>
        <w:t>See id</w:t>
      </w:r>
      <w:r>
        <w:t>.</w:t>
      </w:r>
    </w:p>
  </w:footnote>
  <w:footnote w:id="7">
    <w:p w14:paraId="15850545" w14:textId="40311054" w:rsidR="009B53FC" w:rsidRPr="009B53FC" w:rsidRDefault="009B53FC">
      <w:pPr>
        <w:pStyle w:val="FootnoteText"/>
      </w:pPr>
      <w:r>
        <w:rPr>
          <w:rStyle w:val="FootnoteReference"/>
        </w:rPr>
        <w:footnoteRef/>
      </w:r>
      <w:r>
        <w:t xml:space="preserve"> </w:t>
      </w:r>
      <w:r w:rsidRPr="00554DE4">
        <w:t>During the</w:t>
      </w:r>
      <w:r>
        <w:rPr>
          <w:b/>
        </w:rPr>
        <w:t xml:space="preserve"> </w:t>
      </w:r>
      <w:r>
        <w:t>February 21, 2017, inspection, the agent also observed that an element of th</w:t>
      </w:r>
      <w:r w:rsidR="001D1E3D">
        <w:t>e Station’s antenna was damaged</w:t>
      </w:r>
      <w:r>
        <w:t xml:space="preserve"> and recognized that the damaged element could result in a reduction in the antenna’s gain, thereby reducing the Station’s calculated ERP at a given TPO.  Based on engineering assumptions most favorable to OdV, the agent estimated that the </w:t>
      </w:r>
      <w:r w:rsidR="001D1E3D">
        <w:t>gain reduction was at most 1 dB</w:t>
      </w:r>
      <w:r>
        <w:t xml:space="preserve"> and</w:t>
      </w:r>
      <w:r w:rsidR="001D1E3D">
        <w:t>,</w:t>
      </w:r>
      <w:r>
        <w:t xml:space="preserve"> based on that assumption, estimated that the measured TPO of 7.5 Watts would result in an ERP of 27 Watts.  </w:t>
      </w:r>
      <w:r w:rsidR="00554DE4">
        <w:t>We rely on th</w:t>
      </w:r>
      <w:r w:rsidR="0045634D">
        <w:t>e</w:t>
      </w:r>
      <w:r w:rsidR="00554DE4">
        <w:t xml:space="preserve"> evidence </w:t>
      </w:r>
      <w:r w:rsidR="0045634D">
        <w:t xml:space="preserve">collected during the February 21, 2017, inspection </w:t>
      </w:r>
      <w:r w:rsidR="00554DE4">
        <w:t xml:space="preserve">only for our conclusion that OdV appears to have exceeded the applicable </w:t>
      </w:r>
      <w:r w:rsidR="00FF3327">
        <w:t>TPO</w:t>
      </w:r>
      <w:r w:rsidR="000E2FAA">
        <w:t xml:space="preserve"> </w:t>
      </w:r>
      <w:r w:rsidR="00554DE4">
        <w:t xml:space="preserve">limit. </w:t>
      </w:r>
    </w:p>
  </w:footnote>
  <w:footnote w:id="8">
    <w:p w14:paraId="2B27ECA1" w14:textId="77777777" w:rsidR="00163E98" w:rsidRDefault="00163E98">
      <w:pPr>
        <w:pStyle w:val="FootnoteText"/>
      </w:pPr>
      <w:r>
        <w:rPr>
          <w:rStyle w:val="FootnoteReference"/>
        </w:rPr>
        <w:footnoteRef/>
      </w:r>
      <w:r>
        <w:t xml:space="preserve"> </w:t>
      </w:r>
      <w:r w:rsidR="00EF2532">
        <w:t>47 U.S.C. § 301.</w:t>
      </w:r>
    </w:p>
  </w:footnote>
  <w:footnote w:id="9">
    <w:p w14:paraId="35AD97AF" w14:textId="77777777" w:rsidR="0002134A" w:rsidRDefault="0002134A">
      <w:pPr>
        <w:pStyle w:val="FootnoteText"/>
      </w:pPr>
      <w:r>
        <w:rPr>
          <w:rStyle w:val="FootnoteReference"/>
        </w:rPr>
        <w:footnoteRef/>
      </w:r>
      <w:r>
        <w:t xml:space="preserve"> </w:t>
      </w:r>
      <w:r w:rsidR="00610EC5">
        <w:t xml:space="preserve">The term “Wireless Radio Services” is defined as including all radio services authorized under Part 74 of the Rules, thus encompassing the Station, which is an FM translator authorized under Part 74, Subpart L of the Rules.  47 CFR § 1.907. </w:t>
      </w:r>
    </w:p>
  </w:footnote>
  <w:footnote w:id="10">
    <w:p w14:paraId="5FA0DB15" w14:textId="77777777" w:rsidR="00163E98" w:rsidRDefault="00163E98">
      <w:pPr>
        <w:pStyle w:val="FootnoteText"/>
      </w:pPr>
      <w:r>
        <w:rPr>
          <w:rStyle w:val="FootnoteReference"/>
        </w:rPr>
        <w:footnoteRef/>
      </w:r>
      <w:r>
        <w:t xml:space="preserve"> </w:t>
      </w:r>
      <w:r w:rsidR="00610EC5">
        <w:t>47 CFR § 1.903(a).</w:t>
      </w:r>
    </w:p>
  </w:footnote>
  <w:footnote w:id="11">
    <w:p w14:paraId="39018B8C" w14:textId="10DC6A57" w:rsidR="0002134A" w:rsidRDefault="0002134A">
      <w:pPr>
        <w:pStyle w:val="FootnoteText"/>
      </w:pPr>
      <w:r>
        <w:rPr>
          <w:rStyle w:val="FootnoteReference"/>
        </w:rPr>
        <w:footnoteRef/>
      </w:r>
      <w:r>
        <w:t xml:space="preserve"> </w:t>
      </w:r>
      <w:r w:rsidR="00E2573A">
        <w:t>By its terms, Section 74.1235(e) would have permitted OdV to operate with a TPO of up to 5.25 Watts (</w:t>
      </w:r>
      <w:r w:rsidR="00E2573A">
        <w:rPr>
          <w:i/>
        </w:rPr>
        <w:t>i.e.</w:t>
      </w:r>
      <w:r w:rsidR="00E2573A">
        <w:t xml:space="preserve">, 105 percent of its authorized TPO), but, by operation of Section 1.903(a) of the Rules, OdV would have still been obliged </w:t>
      </w:r>
      <w:r w:rsidR="009B7770">
        <w:t xml:space="preserve">to </w:t>
      </w:r>
      <w:r w:rsidR="00E2573A">
        <w:t xml:space="preserve">ensure that the resulting ERP did not exceed the 10 Watts authorized in the Station’s license. </w:t>
      </w:r>
      <w:r w:rsidR="005A79E8">
        <w:t xml:space="preserve"> </w:t>
      </w:r>
      <w:r w:rsidR="00E2573A">
        <w:t>47 CFR §§</w:t>
      </w:r>
      <w:r w:rsidR="00AE24E9">
        <w:t> </w:t>
      </w:r>
      <w:r w:rsidR="00E2573A">
        <w:t xml:space="preserve">1.903(a) and 74.1235(e).  </w:t>
      </w:r>
    </w:p>
  </w:footnote>
  <w:footnote w:id="12">
    <w:p w14:paraId="0B534850" w14:textId="77777777" w:rsidR="00F75026" w:rsidRPr="00F75026" w:rsidRDefault="00F75026">
      <w:pPr>
        <w:pStyle w:val="FootnoteText"/>
      </w:pPr>
      <w:r>
        <w:rPr>
          <w:rStyle w:val="FootnoteReference"/>
        </w:rPr>
        <w:footnoteRef/>
      </w:r>
      <w:r>
        <w:t xml:space="preserve"> </w:t>
      </w:r>
      <w:r>
        <w:rPr>
          <w:i/>
        </w:rPr>
        <w:t>See</w:t>
      </w:r>
      <w:r>
        <w:t xml:space="preserve"> paras. 5</w:t>
      </w:r>
      <w:r w:rsidR="00B844A1">
        <w:t>-</w:t>
      </w:r>
      <w:r>
        <w:t xml:space="preserve">6, </w:t>
      </w:r>
      <w:r w:rsidRPr="00F75026">
        <w:rPr>
          <w:i/>
        </w:rPr>
        <w:t>supra</w:t>
      </w:r>
      <w:r>
        <w:t>.</w:t>
      </w:r>
    </w:p>
  </w:footnote>
  <w:footnote w:id="13">
    <w:p w14:paraId="1509DF5C" w14:textId="77777777" w:rsidR="006200E2" w:rsidRPr="004C74BE" w:rsidRDefault="006200E2" w:rsidP="006200E2">
      <w:pPr>
        <w:pStyle w:val="FootnoteText"/>
        <w:rPr>
          <w:b/>
          <w:i/>
          <w:color w:val="000000"/>
        </w:rPr>
      </w:pPr>
      <w:r w:rsidRPr="004C74BE">
        <w:rPr>
          <w:rStyle w:val="FootnoteReference"/>
          <w:color w:val="000000"/>
        </w:rPr>
        <w:footnoteRef/>
      </w:r>
      <w:r w:rsidRPr="004C74BE">
        <w:rPr>
          <w:color w:val="000000"/>
        </w:rPr>
        <w:t xml:space="preserve"> 47 U.S.C. § 503(b).  </w:t>
      </w:r>
    </w:p>
  </w:footnote>
  <w:footnote w:id="14">
    <w:p w14:paraId="36CA8C09" w14:textId="7E5AF150" w:rsidR="00384691" w:rsidRDefault="00384691" w:rsidP="00384691">
      <w:pPr>
        <w:pStyle w:val="FootnoteText"/>
      </w:pPr>
      <w:r>
        <w:rPr>
          <w:rStyle w:val="FootnoteReference"/>
        </w:rPr>
        <w:footnoteRef/>
      </w:r>
      <w:r>
        <w:t xml:space="preserve"> </w:t>
      </w:r>
      <w:r w:rsidRPr="006619E0">
        <w:rPr>
          <w:i/>
          <w:snapToGrid w:val="0"/>
          <w:color w:val="000000"/>
          <w:kern w:val="28"/>
        </w:rPr>
        <w:t>See</w:t>
      </w:r>
      <w:r w:rsidRPr="006619E0">
        <w:rPr>
          <w:snapToGrid w:val="0"/>
          <w:color w:val="000000"/>
          <w:kern w:val="28"/>
        </w:rPr>
        <w:t xml:space="preserve"> 47 U.S.C. § 503(b)(2)(D); 47 CFR §§ 1.80(b)(7), (9)</w:t>
      </w:r>
      <w:r w:rsidR="00336B55">
        <w:rPr>
          <w:snapToGrid w:val="0"/>
          <w:color w:val="000000"/>
          <w:kern w:val="28"/>
        </w:rPr>
        <w:t xml:space="preserve">; </w:t>
      </w:r>
      <w:r w:rsidR="00300474" w:rsidRPr="00300474">
        <w:rPr>
          <w:i/>
          <w:snapToGrid w:val="0"/>
          <w:color w:val="000000"/>
          <w:kern w:val="28"/>
        </w:rPr>
        <w:t>see also</w:t>
      </w:r>
      <w:r w:rsidR="00300474">
        <w:rPr>
          <w:snapToGrid w:val="0"/>
          <w:color w:val="000000"/>
          <w:kern w:val="28"/>
        </w:rPr>
        <w:t xml:space="preserve"> </w:t>
      </w:r>
      <w:r w:rsidR="00336B55">
        <w:rPr>
          <w:i/>
          <w:snapToGrid w:val="0"/>
          <w:color w:val="000000"/>
          <w:kern w:val="28"/>
        </w:rPr>
        <w:t>Jay Peralta, Corona, New York</w:t>
      </w:r>
      <w:r w:rsidR="00336B55">
        <w:rPr>
          <w:snapToGrid w:val="0"/>
          <w:color w:val="000000"/>
          <w:kern w:val="28"/>
        </w:rPr>
        <w:t xml:space="preserve">, Notice of Apparent Liability for Forfeiture, FCC 17-35, </w:t>
      </w:r>
      <w:r w:rsidR="00300474">
        <w:rPr>
          <w:snapToGrid w:val="0"/>
          <w:color w:val="000000"/>
          <w:kern w:val="28"/>
        </w:rPr>
        <w:t>n.</w:t>
      </w:r>
      <w:r w:rsidR="00336B55">
        <w:rPr>
          <w:snapToGrid w:val="0"/>
          <w:color w:val="000000"/>
          <w:kern w:val="28"/>
        </w:rPr>
        <w:t>30 (</w:t>
      </w:r>
      <w:r w:rsidR="00300474">
        <w:rPr>
          <w:snapToGrid w:val="0"/>
          <w:color w:val="000000"/>
          <w:kern w:val="28"/>
        </w:rPr>
        <w:t xml:space="preserve">rel. </w:t>
      </w:r>
      <w:r w:rsidR="00336B55">
        <w:rPr>
          <w:snapToGrid w:val="0"/>
          <w:color w:val="000000"/>
          <w:kern w:val="28"/>
        </w:rPr>
        <w:t xml:space="preserve">Apr. 14, 2017) (discussing </w:t>
      </w:r>
      <w:r w:rsidRPr="006619E0">
        <w:rPr>
          <w:snapToGrid w:val="0"/>
          <w:color w:val="000000"/>
          <w:kern w:val="28"/>
        </w:rPr>
        <w:t>inflation adjustments to the forfeitures specified in Section 503(b)(2)(D)</w:t>
      </w:r>
      <w:r w:rsidR="00336B55">
        <w:rPr>
          <w:snapToGrid w:val="0"/>
          <w:color w:val="000000"/>
          <w:kern w:val="28"/>
        </w:rPr>
        <w:t>).</w:t>
      </w:r>
      <w:r w:rsidRPr="006619E0">
        <w:rPr>
          <w:snapToGrid w:val="0"/>
          <w:color w:val="000000"/>
          <w:kern w:val="28"/>
        </w:rPr>
        <w:t xml:space="preserve"> </w:t>
      </w:r>
    </w:p>
  </w:footnote>
  <w:footnote w:id="15">
    <w:p w14:paraId="136B1747" w14:textId="77777777" w:rsidR="006200E2" w:rsidRPr="004C74BE" w:rsidRDefault="006200E2" w:rsidP="006200E2">
      <w:pPr>
        <w:pStyle w:val="FootnoteText"/>
        <w:rPr>
          <w:color w:val="000000"/>
          <w:lang w:val="es-ES"/>
        </w:rPr>
      </w:pPr>
      <w:r w:rsidRPr="004C74BE">
        <w:rPr>
          <w:rStyle w:val="FootnoteReference"/>
          <w:color w:val="000000"/>
        </w:rPr>
        <w:footnoteRef/>
      </w:r>
      <w:r w:rsidRPr="004C74BE">
        <w:rPr>
          <w:color w:val="000000"/>
          <w:lang w:val="es-ES"/>
        </w:rPr>
        <w:t xml:space="preserve"> 47 U.S.C. § 503(b)(2)(E).</w:t>
      </w:r>
    </w:p>
  </w:footnote>
  <w:footnote w:id="16">
    <w:p w14:paraId="0E68C8C0" w14:textId="77777777" w:rsidR="006200E2" w:rsidRPr="004C74BE" w:rsidRDefault="006200E2" w:rsidP="006200E2">
      <w:pPr>
        <w:pStyle w:val="FootnoteText"/>
        <w:rPr>
          <w:color w:val="000000"/>
        </w:rPr>
      </w:pPr>
      <w:r w:rsidRPr="004C74BE">
        <w:rPr>
          <w:rStyle w:val="FootnoteReference"/>
          <w:color w:val="000000"/>
        </w:rPr>
        <w:footnoteRef/>
      </w:r>
      <w:r w:rsidRPr="004C74BE">
        <w:rPr>
          <w:color w:val="000000"/>
        </w:rPr>
        <w:t xml:space="preserve"> 47 CFR § 1.80(b)(8), Note to paragraph (b)(8). </w:t>
      </w:r>
    </w:p>
  </w:footnote>
  <w:footnote w:id="17">
    <w:p w14:paraId="64EA2BF0" w14:textId="77777777" w:rsidR="006200E2" w:rsidRPr="004C74BE" w:rsidRDefault="006200E2" w:rsidP="006200E2">
      <w:pPr>
        <w:pStyle w:val="FootnoteText"/>
        <w:rPr>
          <w:color w:val="000000"/>
        </w:rPr>
      </w:pPr>
      <w:r w:rsidRPr="004C74BE">
        <w:rPr>
          <w:rStyle w:val="FootnoteReference"/>
          <w:color w:val="000000"/>
        </w:rPr>
        <w:footnoteRef/>
      </w:r>
      <w:r w:rsidRPr="004C74BE">
        <w:rPr>
          <w:color w:val="000000"/>
        </w:rPr>
        <w:t xml:space="preserve"> </w:t>
      </w:r>
      <w:r w:rsidRPr="004C74BE">
        <w:rPr>
          <w:i/>
          <w:color w:val="000000"/>
        </w:rPr>
        <w:t>Id</w:t>
      </w:r>
      <w:r w:rsidRPr="004C74BE">
        <w:rPr>
          <w:color w:val="000000"/>
        </w:rPr>
        <w:t>.</w:t>
      </w:r>
    </w:p>
  </w:footnote>
  <w:footnote w:id="18">
    <w:p w14:paraId="06A48D41" w14:textId="77777777" w:rsidR="00527BC6" w:rsidRDefault="00527BC6" w:rsidP="00527BC6">
      <w:pPr>
        <w:pStyle w:val="FootnoteText"/>
      </w:pPr>
      <w:r>
        <w:rPr>
          <w:rStyle w:val="FootnoteReference"/>
        </w:rPr>
        <w:footnoteRef/>
      </w:r>
      <w:r>
        <w:t xml:space="preserve"> 47 U.S.C. § 503(b)(6).</w:t>
      </w:r>
    </w:p>
  </w:footnote>
  <w:footnote w:id="19">
    <w:p w14:paraId="71CB9BC6" w14:textId="77777777" w:rsidR="006200E2" w:rsidRPr="004C74BE" w:rsidRDefault="006200E2" w:rsidP="006200E2">
      <w:pPr>
        <w:pStyle w:val="FootnoteText"/>
        <w:rPr>
          <w:color w:val="000000"/>
        </w:rPr>
      </w:pPr>
      <w:r w:rsidRPr="004C74BE">
        <w:rPr>
          <w:rStyle w:val="FootnoteReference"/>
          <w:color w:val="000000"/>
        </w:rPr>
        <w:footnoteRef/>
      </w:r>
      <w:r w:rsidRPr="004C74BE">
        <w:rPr>
          <w:color w:val="000000"/>
        </w:rPr>
        <w:t xml:space="preserve"> 47 CFR § 1.80(b).</w:t>
      </w:r>
    </w:p>
  </w:footnote>
  <w:footnote w:id="20">
    <w:p w14:paraId="2B23FEBB" w14:textId="77777777" w:rsidR="006200E2" w:rsidRPr="004C74BE" w:rsidRDefault="006200E2" w:rsidP="006200E2">
      <w:pPr>
        <w:pStyle w:val="FootnoteText"/>
        <w:rPr>
          <w:color w:val="000000"/>
        </w:rPr>
      </w:pPr>
      <w:r w:rsidRPr="004C74BE">
        <w:rPr>
          <w:rStyle w:val="FootnoteReference"/>
          <w:color w:val="000000"/>
        </w:rPr>
        <w:footnoteRef/>
      </w:r>
      <w:r w:rsidRPr="004C74BE">
        <w:rPr>
          <w:color w:val="000000"/>
        </w:rPr>
        <w:t xml:space="preserve"> </w:t>
      </w:r>
      <w:r w:rsidRPr="004C74BE">
        <w:rPr>
          <w:i/>
          <w:color w:val="000000"/>
        </w:rPr>
        <w:t>The Commission’s Forfeiture Policy Statement and Amendment of Section 1.80 of the Rules to Incorporate the Forfeiture Guidelines</w:t>
      </w:r>
      <w:r w:rsidRPr="004C74BE">
        <w:rPr>
          <w:color w:val="000000"/>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4C74BE">
        <w:rPr>
          <w:i/>
          <w:color w:val="000000"/>
        </w:rPr>
        <w:t>Forfeiture Policy Statement</w:t>
      </w:r>
      <w:r w:rsidRPr="004C74BE">
        <w:rPr>
          <w:color w:val="000000"/>
        </w:rPr>
        <w:t xml:space="preserve">), </w:t>
      </w:r>
      <w:r w:rsidRPr="004C74BE">
        <w:rPr>
          <w:i/>
          <w:color w:val="000000"/>
        </w:rPr>
        <w:t>recons. denied</w:t>
      </w:r>
      <w:r w:rsidRPr="004C74BE">
        <w:rPr>
          <w:color w:val="000000"/>
        </w:rPr>
        <w:t>, Memorandum Opinion and Order, 15 FCC Rcd 303 (1999).</w:t>
      </w:r>
    </w:p>
  </w:footnote>
  <w:footnote w:id="21">
    <w:p w14:paraId="1EF012E5" w14:textId="77777777" w:rsidR="00EA2C8A" w:rsidRPr="00384691" w:rsidRDefault="00EA2C8A">
      <w:pPr>
        <w:pStyle w:val="FootnoteText"/>
      </w:pPr>
      <w:r>
        <w:rPr>
          <w:rStyle w:val="FootnoteReference"/>
        </w:rPr>
        <w:footnoteRef/>
      </w:r>
      <w:r>
        <w:t xml:space="preserve"> </w:t>
      </w:r>
      <w:r w:rsidR="00384691">
        <w:rPr>
          <w:i/>
        </w:rPr>
        <w:t>See</w:t>
      </w:r>
      <w:r w:rsidR="00384691">
        <w:t xml:space="preserve"> NOV.</w:t>
      </w:r>
    </w:p>
  </w:footnote>
  <w:footnote w:id="22">
    <w:p w14:paraId="605F603F" w14:textId="16610C25" w:rsidR="00836178" w:rsidRDefault="00836178">
      <w:pPr>
        <w:pStyle w:val="FootnoteText"/>
      </w:pPr>
      <w:r>
        <w:rPr>
          <w:rStyle w:val="FootnoteReference"/>
        </w:rPr>
        <w:footnoteRef/>
      </w:r>
      <w:r>
        <w:t xml:space="preserve"> </w:t>
      </w:r>
      <w:r w:rsidR="00AE24E9" w:rsidRPr="00AE24E9">
        <w:rPr>
          <w:i/>
        </w:rPr>
        <w:t>See</w:t>
      </w:r>
      <w:r w:rsidR="00AE24E9">
        <w:t xml:space="preserve"> </w:t>
      </w:r>
      <w:r w:rsidRPr="00AE24E9">
        <w:t>NOV</w:t>
      </w:r>
      <w:r>
        <w:t xml:space="preserve"> Response.</w:t>
      </w:r>
    </w:p>
  </w:footnote>
  <w:footnote w:id="23">
    <w:p w14:paraId="7B118F30" w14:textId="77777777" w:rsidR="006200E2" w:rsidRPr="004C74BE" w:rsidRDefault="006200E2" w:rsidP="006200E2">
      <w:pPr>
        <w:pStyle w:val="FootnoteText"/>
        <w:widowControl w:val="0"/>
        <w:rPr>
          <w:color w:val="000000"/>
        </w:rPr>
      </w:pPr>
      <w:r w:rsidRPr="004C74BE">
        <w:rPr>
          <w:rStyle w:val="FootnoteReference"/>
          <w:color w:val="000000"/>
        </w:rPr>
        <w:footnoteRef/>
      </w:r>
      <w:r w:rsidRPr="004C74BE">
        <w:rPr>
          <w:color w:val="000000"/>
        </w:rPr>
        <w:t xml:space="preserve"> 47 U.S.C. § 503(b).</w:t>
      </w:r>
    </w:p>
  </w:footnote>
  <w:footnote w:id="24">
    <w:p w14:paraId="6BAF26E3" w14:textId="77777777" w:rsidR="006200E2" w:rsidRPr="004C74BE" w:rsidRDefault="006200E2" w:rsidP="006200E2">
      <w:pPr>
        <w:pStyle w:val="FootnoteText"/>
        <w:rPr>
          <w:color w:val="000000"/>
        </w:rPr>
      </w:pPr>
      <w:r w:rsidRPr="004C74BE">
        <w:rPr>
          <w:rStyle w:val="FootnoteReference"/>
          <w:color w:val="000000"/>
        </w:rPr>
        <w:footnoteRef/>
      </w:r>
      <w:r w:rsidRPr="004C74BE">
        <w:rPr>
          <w:color w:val="000000"/>
          <w:lang w:val="es-ES"/>
        </w:rPr>
        <w:t xml:space="preserve"> 47 CFR § 1.80.</w:t>
      </w:r>
    </w:p>
  </w:footnote>
  <w:footnote w:id="25">
    <w:p w14:paraId="3973B572" w14:textId="77777777" w:rsidR="006200E2" w:rsidRPr="004C74BE" w:rsidRDefault="006200E2" w:rsidP="006200E2">
      <w:pPr>
        <w:pStyle w:val="FootnoteText"/>
        <w:rPr>
          <w:color w:val="000000"/>
        </w:rPr>
      </w:pPr>
      <w:r w:rsidRPr="004C74BE">
        <w:rPr>
          <w:rStyle w:val="FootnoteReference"/>
          <w:color w:val="000000"/>
        </w:rPr>
        <w:footnoteRef/>
      </w:r>
      <w:r w:rsidRPr="004C74BE">
        <w:rPr>
          <w:color w:val="000000"/>
          <w:lang w:val="es-ES"/>
        </w:rPr>
        <w:t xml:space="preserve"> 47 U.S.C. § </w:t>
      </w:r>
      <w:r w:rsidR="0035614F" w:rsidRPr="004C74BE">
        <w:rPr>
          <w:color w:val="000000"/>
          <w:lang w:val="es-ES"/>
        </w:rPr>
        <w:t>301</w:t>
      </w:r>
      <w:r w:rsidRPr="004C74BE">
        <w:rPr>
          <w:color w:val="000000"/>
          <w:lang w:val="es-ES"/>
        </w:rPr>
        <w:t>.</w:t>
      </w:r>
    </w:p>
  </w:footnote>
  <w:footnote w:id="26">
    <w:p w14:paraId="2704AE4F" w14:textId="77777777" w:rsidR="006200E2" w:rsidRPr="004C74BE" w:rsidRDefault="006200E2" w:rsidP="006200E2">
      <w:pPr>
        <w:pStyle w:val="FootnoteText"/>
        <w:rPr>
          <w:color w:val="000000"/>
        </w:rPr>
      </w:pPr>
      <w:r w:rsidRPr="004C74BE">
        <w:rPr>
          <w:rStyle w:val="FootnoteReference"/>
          <w:color w:val="000000"/>
        </w:rPr>
        <w:footnoteRef/>
      </w:r>
      <w:r w:rsidRPr="004C74BE">
        <w:rPr>
          <w:color w:val="000000"/>
          <w:lang w:val="es-ES"/>
        </w:rPr>
        <w:t xml:space="preserve"> 47 CFR §</w:t>
      </w:r>
      <w:r w:rsidR="0035614F" w:rsidRPr="004C74BE">
        <w:rPr>
          <w:color w:val="000000"/>
          <w:lang w:val="es-ES"/>
        </w:rPr>
        <w:t>§ 1.903(a), 74.1235(e)</w:t>
      </w:r>
      <w:r w:rsidRPr="004C74BE">
        <w:rPr>
          <w:color w:val="000000"/>
          <w:lang w:val="es-ES"/>
        </w:rPr>
        <w:t>.</w:t>
      </w:r>
    </w:p>
  </w:footnote>
  <w:footnote w:id="27">
    <w:p w14:paraId="799FC2A5" w14:textId="77777777" w:rsidR="006200E2" w:rsidRPr="004C74BE" w:rsidRDefault="006200E2" w:rsidP="006200E2">
      <w:pPr>
        <w:pStyle w:val="FootnoteText"/>
        <w:rPr>
          <w:color w:val="000000"/>
        </w:rPr>
      </w:pPr>
      <w:r w:rsidRPr="004C74BE">
        <w:rPr>
          <w:rStyle w:val="FootnoteReference"/>
          <w:color w:val="000000"/>
        </w:rPr>
        <w:footnoteRef/>
      </w:r>
      <w:r w:rsidRPr="004C74BE">
        <w:rPr>
          <w:color w:val="000000"/>
        </w:rPr>
        <w:t xml:space="preserve"> 47 CFR § 1.80.</w:t>
      </w:r>
    </w:p>
  </w:footnote>
  <w:footnote w:id="28">
    <w:p w14:paraId="00FB2BC2" w14:textId="77777777" w:rsidR="006200E2" w:rsidRPr="004C74BE" w:rsidRDefault="006200E2" w:rsidP="006200E2">
      <w:pPr>
        <w:pStyle w:val="FootnoteText"/>
        <w:rPr>
          <w:color w:val="000000"/>
        </w:rPr>
      </w:pPr>
      <w:r w:rsidRPr="004C74BE">
        <w:rPr>
          <w:rStyle w:val="FootnoteReference"/>
          <w:color w:val="000000"/>
        </w:rPr>
        <w:footnoteRef/>
      </w:r>
      <w:r w:rsidRPr="004C74BE">
        <w:rPr>
          <w:color w:val="000000"/>
        </w:rPr>
        <w:t xml:space="preserve"> </w:t>
      </w:r>
      <w:r w:rsidRPr="004C74BE">
        <w:rPr>
          <w:rFonts w:eastAsia="MS Mincho"/>
          <w:color w:val="000000"/>
        </w:rPr>
        <w:t>An FCC Form 159 and detailed instructions for completing the form may be obtained at http://www.fcc.gov/Forms/Form159/159.pdf.</w:t>
      </w:r>
    </w:p>
  </w:footnote>
  <w:footnote w:id="29">
    <w:p w14:paraId="3ECA4FAC" w14:textId="77777777" w:rsidR="006200E2" w:rsidRDefault="006200E2" w:rsidP="006200E2">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30">
    <w:p w14:paraId="725F5B0A" w14:textId="77777777" w:rsidR="006200E2" w:rsidRPr="004C74BE" w:rsidRDefault="006200E2" w:rsidP="006200E2">
      <w:pPr>
        <w:pStyle w:val="FootnoteText"/>
        <w:rPr>
          <w:color w:val="000000"/>
        </w:rPr>
      </w:pPr>
      <w:r w:rsidRPr="004C74BE">
        <w:rPr>
          <w:rStyle w:val="FootnoteReference"/>
          <w:color w:val="000000"/>
        </w:rPr>
        <w:footnoteRef/>
      </w:r>
      <w:r w:rsidRPr="004C74BE">
        <w:rPr>
          <w:color w:val="000000"/>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98F1" w14:textId="77777777" w:rsidR="00675D8E" w:rsidRDefault="00675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10BBE" w14:textId="658EA252" w:rsidR="00D25FB5" w:rsidRDefault="00D25FB5" w:rsidP="00810B6F">
    <w:pPr>
      <w:pStyle w:val="Header"/>
      <w:rPr>
        <w:b w:val="0"/>
      </w:rPr>
    </w:pPr>
    <w:r>
      <w:tab/>
      <w:t>Federal Communications Commission</w:t>
    </w:r>
    <w:r>
      <w:tab/>
    </w:r>
    <w:r w:rsidR="00F831F5">
      <w:t>DA 17-390</w:t>
    </w:r>
  </w:p>
  <w:p w14:paraId="46AC4B32" w14:textId="1C4B6C45" w:rsidR="00D25FB5" w:rsidRDefault="00753C49">
    <w:pPr>
      <w:tabs>
        <w:tab w:val="left" w:pos="-720"/>
      </w:tabs>
      <w:suppressAutoHyphens/>
      <w:spacing w:line="19" w:lineRule="exact"/>
      <w:rPr>
        <w:spacing w:val="-2"/>
      </w:rPr>
    </w:pPr>
    <w:r>
      <w:rPr>
        <w:noProof/>
      </w:rPr>
      <w:pict w14:anchorId="21CBA37B">
        <v:rect id="Rectangle 1" o:spid="_x0000_s2050"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5ACD887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0A41" w14:textId="14B23D59" w:rsidR="00D25FB5" w:rsidRDefault="00753C49" w:rsidP="00810B6F">
    <w:pPr>
      <w:pStyle w:val="Header"/>
      <w:rPr>
        <w:b w:val="0"/>
      </w:rPr>
    </w:pPr>
    <w:r>
      <w:rPr>
        <w:noProof/>
      </w:rPr>
      <w:pict w14:anchorId="4843AA56">
        <v:rect id="Rectangle 3" o:spid="_x0000_s2049"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37247">
      <w:rPr>
        <w:spacing w:val="-2"/>
      </w:rPr>
      <w:t>DA 17-</w:t>
    </w:r>
    <w:r w:rsidR="00F831F5">
      <w:rPr>
        <w:spacing w:val="-2"/>
      </w:rPr>
      <w:t>390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9B6"/>
    <w:rsid w:val="000031A4"/>
    <w:rsid w:val="00007834"/>
    <w:rsid w:val="0001100B"/>
    <w:rsid w:val="0002134A"/>
    <w:rsid w:val="00036039"/>
    <w:rsid w:val="00037F90"/>
    <w:rsid w:val="00084D68"/>
    <w:rsid w:val="000875BF"/>
    <w:rsid w:val="00096D8C"/>
    <w:rsid w:val="000B3983"/>
    <w:rsid w:val="000C0B65"/>
    <w:rsid w:val="000D6F8A"/>
    <w:rsid w:val="000E05FE"/>
    <w:rsid w:val="000E199E"/>
    <w:rsid w:val="000E2FAA"/>
    <w:rsid w:val="000E3D42"/>
    <w:rsid w:val="000E4107"/>
    <w:rsid w:val="00110236"/>
    <w:rsid w:val="00122BD5"/>
    <w:rsid w:val="00132CA2"/>
    <w:rsid w:val="00133F79"/>
    <w:rsid w:val="00163E98"/>
    <w:rsid w:val="00194A66"/>
    <w:rsid w:val="001950EB"/>
    <w:rsid w:val="001A26CC"/>
    <w:rsid w:val="001D1E3D"/>
    <w:rsid w:val="001D6BCF"/>
    <w:rsid w:val="001E01CA"/>
    <w:rsid w:val="002249CC"/>
    <w:rsid w:val="0024024D"/>
    <w:rsid w:val="002529C7"/>
    <w:rsid w:val="0026544A"/>
    <w:rsid w:val="0027352B"/>
    <w:rsid w:val="00275CF5"/>
    <w:rsid w:val="0028301F"/>
    <w:rsid w:val="00285017"/>
    <w:rsid w:val="002A2D2E"/>
    <w:rsid w:val="002A378B"/>
    <w:rsid w:val="002B33DB"/>
    <w:rsid w:val="002B6630"/>
    <w:rsid w:val="002B7885"/>
    <w:rsid w:val="002C00E8"/>
    <w:rsid w:val="002E0E30"/>
    <w:rsid w:val="002E590A"/>
    <w:rsid w:val="002E5BBE"/>
    <w:rsid w:val="002E7C43"/>
    <w:rsid w:val="00300474"/>
    <w:rsid w:val="00302CE2"/>
    <w:rsid w:val="00306B67"/>
    <w:rsid w:val="003207F3"/>
    <w:rsid w:val="003273C2"/>
    <w:rsid w:val="003303B6"/>
    <w:rsid w:val="00336B55"/>
    <w:rsid w:val="00343749"/>
    <w:rsid w:val="00350D5B"/>
    <w:rsid w:val="0035614F"/>
    <w:rsid w:val="00356600"/>
    <w:rsid w:val="003660ED"/>
    <w:rsid w:val="00384691"/>
    <w:rsid w:val="003B0550"/>
    <w:rsid w:val="003B694F"/>
    <w:rsid w:val="003C517B"/>
    <w:rsid w:val="003F171C"/>
    <w:rsid w:val="00412FC5"/>
    <w:rsid w:val="00422276"/>
    <w:rsid w:val="004242F1"/>
    <w:rsid w:val="00445A00"/>
    <w:rsid w:val="00451B0F"/>
    <w:rsid w:val="004560EE"/>
    <w:rsid w:val="0045634D"/>
    <w:rsid w:val="004A7929"/>
    <w:rsid w:val="004C2EE3"/>
    <w:rsid w:val="004C5AFB"/>
    <w:rsid w:val="004C74BE"/>
    <w:rsid w:val="004E3B5B"/>
    <w:rsid w:val="004E4A22"/>
    <w:rsid w:val="004F79C0"/>
    <w:rsid w:val="00511968"/>
    <w:rsid w:val="00527BC6"/>
    <w:rsid w:val="00531460"/>
    <w:rsid w:val="00531495"/>
    <w:rsid w:val="005369D6"/>
    <w:rsid w:val="00540DE3"/>
    <w:rsid w:val="00554DE4"/>
    <w:rsid w:val="0055614C"/>
    <w:rsid w:val="005A79E8"/>
    <w:rsid w:val="005C18E0"/>
    <w:rsid w:val="005C1B24"/>
    <w:rsid w:val="005C730C"/>
    <w:rsid w:val="005E14C2"/>
    <w:rsid w:val="005E46C1"/>
    <w:rsid w:val="00607BA5"/>
    <w:rsid w:val="00610EC5"/>
    <w:rsid w:val="0061180A"/>
    <w:rsid w:val="00613C5B"/>
    <w:rsid w:val="006200E2"/>
    <w:rsid w:val="00626EB6"/>
    <w:rsid w:val="00637247"/>
    <w:rsid w:val="00646F86"/>
    <w:rsid w:val="00655D03"/>
    <w:rsid w:val="00664541"/>
    <w:rsid w:val="00675D8E"/>
    <w:rsid w:val="00683388"/>
    <w:rsid w:val="00683F84"/>
    <w:rsid w:val="00695759"/>
    <w:rsid w:val="006A6A81"/>
    <w:rsid w:val="006C08B9"/>
    <w:rsid w:val="006F7393"/>
    <w:rsid w:val="0070224F"/>
    <w:rsid w:val="007115F7"/>
    <w:rsid w:val="00731BF0"/>
    <w:rsid w:val="007475F9"/>
    <w:rsid w:val="00753C49"/>
    <w:rsid w:val="007655AE"/>
    <w:rsid w:val="00776DBA"/>
    <w:rsid w:val="00785689"/>
    <w:rsid w:val="0079754B"/>
    <w:rsid w:val="007A1E6D"/>
    <w:rsid w:val="007A231D"/>
    <w:rsid w:val="007B0EB2"/>
    <w:rsid w:val="007C0866"/>
    <w:rsid w:val="007E644F"/>
    <w:rsid w:val="00810B6F"/>
    <w:rsid w:val="00822CE0"/>
    <w:rsid w:val="0082619E"/>
    <w:rsid w:val="00836178"/>
    <w:rsid w:val="00841AB1"/>
    <w:rsid w:val="00846669"/>
    <w:rsid w:val="008566E0"/>
    <w:rsid w:val="008C68F1"/>
    <w:rsid w:val="008D6F12"/>
    <w:rsid w:val="009103CD"/>
    <w:rsid w:val="00921803"/>
    <w:rsid w:val="00926503"/>
    <w:rsid w:val="00930D0B"/>
    <w:rsid w:val="009726D8"/>
    <w:rsid w:val="00994E27"/>
    <w:rsid w:val="009A1726"/>
    <w:rsid w:val="009B53FC"/>
    <w:rsid w:val="009B7770"/>
    <w:rsid w:val="009C39B6"/>
    <w:rsid w:val="009F76DB"/>
    <w:rsid w:val="00A30B2E"/>
    <w:rsid w:val="00A32C3B"/>
    <w:rsid w:val="00A45F4F"/>
    <w:rsid w:val="00A600A9"/>
    <w:rsid w:val="00A7001F"/>
    <w:rsid w:val="00A72EB8"/>
    <w:rsid w:val="00AA55B7"/>
    <w:rsid w:val="00AA5B9E"/>
    <w:rsid w:val="00AB0780"/>
    <w:rsid w:val="00AB2407"/>
    <w:rsid w:val="00AB53DF"/>
    <w:rsid w:val="00AE24E9"/>
    <w:rsid w:val="00B0133E"/>
    <w:rsid w:val="00B07E5C"/>
    <w:rsid w:val="00B10772"/>
    <w:rsid w:val="00B25B7A"/>
    <w:rsid w:val="00B26FBE"/>
    <w:rsid w:val="00B3304A"/>
    <w:rsid w:val="00B40D5E"/>
    <w:rsid w:val="00B42A9D"/>
    <w:rsid w:val="00B811F7"/>
    <w:rsid w:val="00B844A1"/>
    <w:rsid w:val="00B92D0F"/>
    <w:rsid w:val="00BA103A"/>
    <w:rsid w:val="00BA5DC6"/>
    <w:rsid w:val="00BA6196"/>
    <w:rsid w:val="00BA62ED"/>
    <w:rsid w:val="00BB0848"/>
    <w:rsid w:val="00BC6D8C"/>
    <w:rsid w:val="00BD5CD2"/>
    <w:rsid w:val="00BE1CA2"/>
    <w:rsid w:val="00BE4D2B"/>
    <w:rsid w:val="00C04323"/>
    <w:rsid w:val="00C34006"/>
    <w:rsid w:val="00C426B1"/>
    <w:rsid w:val="00C66160"/>
    <w:rsid w:val="00C721AC"/>
    <w:rsid w:val="00C90D6A"/>
    <w:rsid w:val="00CA247E"/>
    <w:rsid w:val="00CC0555"/>
    <w:rsid w:val="00CC72B6"/>
    <w:rsid w:val="00CE0D37"/>
    <w:rsid w:val="00CF52DB"/>
    <w:rsid w:val="00D0218D"/>
    <w:rsid w:val="00D23672"/>
    <w:rsid w:val="00D25FB5"/>
    <w:rsid w:val="00D413A4"/>
    <w:rsid w:val="00D44223"/>
    <w:rsid w:val="00D52D74"/>
    <w:rsid w:val="00D54782"/>
    <w:rsid w:val="00D60A58"/>
    <w:rsid w:val="00D76847"/>
    <w:rsid w:val="00D8251A"/>
    <w:rsid w:val="00DA2529"/>
    <w:rsid w:val="00DB130A"/>
    <w:rsid w:val="00DB2509"/>
    <w:rsid w:val="00DB2EBB"/>
    <w:rsid w:val="00DB6359"/>
    <w:rsid w:val="00DC10A1"/>
    <w:rsid w:val="00DC2D62"/>
    <w:rsid w:val="00DC655F"/>
    <w:rsid w:val="00DC77D1"/>
    <w:rsid w:val="00DD0B59"/>
    <w:rsid w:val="00DD7EBD"/>
    <w:rsid w:val="00DE7555"/>
    <w:rsid w:val="00DF12D6"/>
    <w:rsid w:val="00DF62B6"/>
    <w:rsid w:val="00E018F8"/>
    <w:rsid w:val="00E04FD5"/>
    <w:rsid w:val="00E07225"/>
    <w:rsid w:val="00E2573A"/>
    <w:rsid w:val="00E5409F"/>
    <w:rsid w:val="00EA2C8A"/>
    <w:rsid w:val="00EB10F0"/>
    <w:rsid w:val="00EE6488"/>
    <w:rsid w:val="00EF2532"/>
    <w:rsid w:val="00F021FA"/>
    <w:rsid w:val="00F30C62"/>
    <w:rsid w:val="00F42D21"/>
    <w:rsid w:val="00F62E97"/>
    <w:rsid w:val="00F64209"/>
    <w:rsid w:val="00F75026"/>
    <w:rsid w:val="00F831F5"/>
    <w:rsid w:val="00F93BF5"/>
    <w:rsid w:val="00F97BF6"/>
    <w:rsid w:val="00FB35C9"/>
    <w:rsid w:val="00FB6CBC"/>
    <w:rsid w:val="00FF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85B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49"/>
    <w:pPr>
      <w:widowControl w:val="0"/>
    </w:pPr>
    <w:rPr>
      <w:snapToGrid w:val="0"/>
      <w:kern w:val="28"/>
      <w:sz w:val="22"/>
    </w:rPr>
  </w:style>
  <w:style w:type="paragraph" w:styleId="Heading1">
    <w:name w:val="heading 1"/>
    <w:basedOn w:val="Normal"/>
    <w:next w:val="ParaNum"/>
    <w:link w:val="Heading1Char"/>
    <w:qFormat/>
    <w:rsid w:val="00753C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3C49"/>
    <w:pPr>
      <w:keepNext/>
      <w:numPr>
        <w:ilvl w:val="1"/>
        <w:numId w:val="3"/>
      </w:numPr>
      <w:spacing w:after="120"/>
      <w:outlineLvl w:val="1"/>
    </w:pPr>
    <w:rPr>
      <w:b/>
    </w:rPr>
  </w:style>
  <w:style w:type="paragraph" w:styleId="Heading3">
    <w:name w:val="heading 3"/>
    <w:basedOn w:val="Normal"/>
    <w:next w:val="ParaNum"/>
    <w:qFormat/>
    <w:rsid w:val="00753C49"/>
    <w:pPr>
      <w:keepNext/>
      <w:numPr>
        <w:ilvl w:val="2"/>
        <w:numId w:val="3"/>
      </w:numPr>
      <w:tabs>
        <w:tab w:val="left" w:pos="2160"/>
      </w:tabs>
      <w:spacing w:after="120"/>
      <w:outlineLvl w:val="2"/>
    </w:pPr>
    <w:rPr>
      <w:b/>
    </w:rPr>
  </w:style>
  <w:style w:type="paragraph" w:styleId="Heading4">
    <w:name w:val="heading 4"/>
    <w:basedOn w:val="Normal"/>
    <w:next w:val="ParaNum"/>
    <w:qFormat/>
    <w:rsid w:val="00753C49"/>
    <w:pPr>
      <w:keepNext/>
      <w:numPr>
        <w:ilvl w:val="3"/>
        <w:numId w:val="3"/>
      </w:numPr>
      <w:tabs>
        <w:tab w:val="left" w:pos="2880"/>
      </w:tabs>
      <w:spacing w:after="120"/>
      <w:outlineLvl w:val="3"/>
    </w:pPr>
    <w:rPr>
      <w:b/>
    </w:rPr>
  </w:style>
  <w:style w:type="paragraph" w:styleId="Heading5">
    <w:name w:val="heading 5"/>
    <w:basedOn w:val="Normal"/>
    <w:next w:val="ParaNum"/>
    <w:qFormat/>
    <w:rsid w:val="00753C4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3C49"/>
    <w:pPr>
      <w:numPr>
        <w:ilvl w:val="5"/>
        <w:numId w:val="3"/>
      </w:numPr>
      <w:tabs>
        <w:tab w:val="left" w:pos="4320"/>
      </w:tabs>
      <w:spacing w:after="120"/>
      <w:outlineLvl w:val="5"/>
    </w:pPr>
    <w:rPr>
      <w:b/>
    </w:rPr>
  </w:style>
  <w:style w:type="paragraph" w:styleId="Heading7">
    <w:name w:val="heading 7"/>
    <w:basedOn w:val="Normal"/>
    <w:next w:val="ParaNum"/>
    <w:qFormat/>
    <w:rsid w:val="00753C4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3C4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3C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3C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C49"/>
  </w:style>
  <w:style w:type="paragraph" w:customStyle="1" w:styleId="ParaNum">
    <w:name w:val="ParaNum"/>
    <w:basedOn w:val="Normal"/>
    <w:link w:val="ParaNumChar"/>
    <w:rsid w:val="00753C49"/>
    <w:pPr>
      <w:numPr>
        <w:numId w:val="2"/>
      </w:numPr>
      <w:tabs>
        <w:tab w:val="clear" w:pos="1080"/>
        <w:tab w:val="num" w:pos="1440"/>
      </w:tabs>
      <w:spacing w:after="120"/>
    </w:pPr>
  </w:style>
  <w:style w:type="paragraph" w:styleId="EndnoteText">
    <w:name w:val="endnote text"/>
    <w:basedOn w:val="Normal"/>
    <w:semiHidden/>
    <w:rsid w:val="00753C49"/>
    <w:rPr>
      <w:sz w:val="20"/>
    </w:rPr>
  </w:style>
  <w:style w:type="character" w:styleId="EndnoteReference">
    <w:name w:val="endnote reference"/>
    <w:semiHidden/>
    <w:rsid w:val="00753C49"/>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753C49"/>
    <w:pPr>
      <w:spacing w:after="120"/>
    </w:pPr>
  </w:style>
  <w:style w:type="character" w:styleId="FootnoteReference">
    <w:name w:val="footnote reference"/>
    <w:aliases w:val="Style 4,Appel note de bas de p,Style 12,(NECG) Footnote Reference,Style 124,Style 13,o,fr,Style 3,Footnote Reference1,FR,Style 17,Style 6,Footnote Reference/,Style 7"/>
    <w:rsid w:val="00753C49"/>
    <w:rPr>
      <w:rFonts w:ascii="Times New Roman" w:hAnsi="Times New Roman"/>
      <w:dstrike w:val="0"/>
      <w:color w:val="auto"/>
      <w:sz w:val="20"/>
      <w:vertAlign w:val="superscript"/>
    </w:rPr>
  </w:style>
  <w:style w:type="paragraph" w:styleId="TOC1">
    <w:name w:val="toc 1"/>
    <w:basedOn w:val="Normal"/>
    <w:next w:val="Normal"/>
    <w:semiHidden/>
    <w:rsid w:val="00753C4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3C49"/>
    <w:pPr>
      <w:tabs>
        <w:tab w:val="left" w:pos="720"/>
        <w:tab w:val="right" w:leader="dot" w:pos="9360"/>
      </w:tabs>
      <w:suppressAutoHyphens/>
      <w:ind w:left="720" w:right="720" w:hanging="360"/>
    </w:pPr>
    <w:rPr>
      <w:noProof/>
    </w:rPr>
  </w:style>
  <w:style w:type="paragraph" w:styleId="TOC3">
    <w:name w:val="toc 3"/>
    <w:basedOn w:val="Normal"/>
    <w:next w:val="Normal"/>
    <w:semiHidden/>
    <w:rsid w:val="00753C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3C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3C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3C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3C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3C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3C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3C49"/>
    <w:pPr>
      <w:tabs>
        <w:tab w:val="right" w:pos="9360"/>
      </w:tabs>
      <w:suppressAutoHyphens/>
    </w:pPr>
  </w:style>
  <w:style w:type="character" w:customStyle="1" w:styleId="EquationCaption">
    <w:name w:val="_Equation Caption"/>
    <w:rsid w:val="00753C49"/>
  </w:style>
  <w:style w:type="paragraph" w:styleId="Header">
    <w:name w:val="header"/>
    <w:basedOn w:val="Normal"/>
    <w:link w:val="HeaderChar"/>
    <w:autoRedefine/>
    <w:rsid w:val="00753C49"/>
    <w:pPr>
      <w:tabs>
        <w:tab w:val="center" w:pos="4680"/>
        <w:tab w:val="right" w:pos="9360"/>
      </w:tabs>
    </w:pPr>
    <w:rPr>
      <w:b/>
    </w:rPr>
  </w:style>
  <w:style w:type="paragraph" w:styleId="Footer">
    <w:name w:val="footer"/>
    <w:basedOn w:val="Normal"/>
    <w:rsid w:val="00753C49"/>
    <w:pPr>
      <w:tabs>
        <w:tab w:val="center" w:pos="4320"/>
        <w:tab w:val="right" w:pos="8640"/>
      </w:tabs>
    </w:pPr>
  </w:style>
  <w:style w:type="character" w:styleId="PageNumber">
    <w:name w:val="page number"/>
    <w:basedOn w:val="DefaultParagraphFont"/>
    <w:rsid w:val="00753C49"/>
  </w:style>
  <w:style w:type="paragraph" w:styleId="BlockText">
    <w:name w:val="Block Text"/>
    <w:basedOn w:val="Normal"/>
    <w:rsid w:val="00753C49"/>
    <w:pPr>
      <w:spacing w:after="240"/>
      <w:ind w:left="1440" w:right="1440"/>
    </w:pPr>
  </w:style>
  <w:style w:type="paragraph" w:customStyle="1" w:styleId="Paratitle">
    <w:name w:val="Para title"/>
    <w:basedOn w:val="Normal"/>
    <w:rsid w:val="00753C49"/>
    <w:pPr>
      <w:tabs>
        <w:tab w:val="center" w:pos="9270"/>
      </w:tabs>
      <w:spacing w:after="240"/>
    </w:pPr>
    <w:rPr>
      <w:spacing w:val="-2"/>
    </w:rPr>
  </w:style>
  <w:style w:type="paragraph" w:customStyle="1" w:styleId="Bullet">
    <w:name w:val="Bullet"/>
    <w:basedOn w:val="Normal"/>
    <w:rsid w:val="00753C49"/>
    <w:pPr>
      <w:tabs>
        <w:tab w:val="left" w:pos="2160"/>
      </w:tabs>
      <w:spacing w:after="220"/>
      <w:ind w:left="2160" w:hanging="720"/>
    </w:pPr>
  </w:style>
  <w:style w:type="paragraph" w:customStyle="1" w:styleId="TableFormat">
    <w:name w:val="TableFormat"/>
    <w:basedOn w:val="Bullet"/>
    <w:rsid w:val="00753C49"/>
    <w:pPr>
      <w:tabs>
        <w:tab w:val="clear" w:pos="2160"/>
        <w:tab w:val="left" w:pos="5040"/>
      </w:tabs>
      <w:ind w:left="5040" w:hanging="3600"/>
    </w:pPr>
  </w:style>
  <w:style w:type="paragraph" w:customStyle="1" w:styleId="TOCTitle">
    <w:name w:val="TOC Title"/>
    <w:basedOn w:val="Normal"/>
    <w:rsid w:val="00753C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3C49"/>
    <w:pPr>
      <w:jc w:val="center"/>
    </w:pPr>
    <w:rPr>
      <w:rFonts w:ascii="Times New Roman Bold" w:hAnsi="Times New Roman Bold"/>
      <w:b/>
      <w:bCs/>
      <w:caps/>
      <w:szCs w:val="22"/>
    </w:rPr>
  </w:style>
  <w:style w:type="character" w:styleId="Hyperlink">
    <w:name w:val="Hyperlink"/>
    <w:rsid w:val="00753C49"/>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6200E2"/>
  </w:style>
  <w:style w:type="character" w:customStyle="1" w:styleId="ParaNumChar">
    <w:name w:val="ParaNum Char"/>
    <w:link w:val="ParaNum"/>
    <w:locked/>
    <w:rsid w:val="006200E2"/>
    <w:rPr>
      <w:snapToGrid w:val="0"/>
      <w:kern w:val="28"/>
      <w:sz w:val="22"/>
    </w:rPr>
  </w:style>
  <w:style w:type="character" w:customStyle="1" w:styleId="Heading1Char">
    <w:name w:val="Heading 1 Char"/>
    <w:link w:val="Heading1"/>
    <w:locked/>
    <w:rsid w:val="006200E2"/>
    <w:rPr>
      <w:rFonts w:ascii="Times New Roman Bold" w:hAnsi="Times New Roman Bold"/>
      <w:b/>
      <w:caps/>
      <w:snapToGrid w:val="0"/>
      <w:kern w:val="28"/>
      <w:sz w:val="22"/>
    </w:rPr>
  </w:style>
  <w:style w:type="paragraph" w:customStyle="1" w:styleId="par1">
    <w:name w:val="par1"/>
    <w:basedOn w:val="Normal"/>
    <w:uiPriority w:val="99"/>
    <w:rsid w:val="006200E2"/>
    <w:pPr>
      <w:numPr>
        <w:numId w:val="7"/>
      </w:numPr>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527BC6"/>
  </w:style>
  <w:style w:type="paragraph" w:styleId="BalloonText">
    <w:name w:val="Balloon Text"/>
    <w:basedOn w:val="Normal"/>
    <w:link w:val="BalloonTextChar"/>
    <w:rsid w:val="00EB10F0"/>
    <w:rPr>
      <w:rFonts w:ascii="Segoe UI" w:hAnsi="Segoe UI" w:cs="Segoe UI"/>
      <w:sz w:val="18"/>
      <w:szCs w:val="18"/>
    </w:rPr>
  </w:style>
  <w:style w:type="character" w:customStyle="1" w:styleId="BalloonTextChar">
    <w:name w:val="Balloon Text Char"/>
    <w:link w:val="BalloonText"/>
    <w:rsid w:val="00EB10F0"/>
    <w:rPr>
      <w:rFonts w:ascii="Segoe UI" w:hAnsi="Segoe UI" w:cs="Segoe UI"/>
      <w:snapToGrid w:val="0"/>
      <w:kern w:val="28"/>
      <w:sz w:val="18"/>
      <w:szCs w:val="18"/>
    </w:rPr>
  </w:style>
  <w:style w:type="character" w:customStyle="1" w:styleId="HeaderChar">
    <w:name w:val="Header Char"/>
    <w:link w:val="Header"/>
    <w:rsid w:val="00A30B2E"/>
    <w:rPr>
      <w:b/>
      <w:snapToGrid w:val="0"/>
      <w:kern w:val="28"/>
      <w:sz w:val="22"/>
    </w:rPr>
  </w:style>
  <w:style w:type="character" w:styleId="CommentReference">
    <w:name w:val="annotation reference"/>
    <w:rsid w:val="007A231D"/>
    <w:rPr>
      <w:sz w:val="16"/>
      <w:szCs w:val="16"/>
    </w:rPr>
  </w:style>
  <w:style w:type="paragraph" w:styleId="CommentText">
    <w:name w:val="annotation text"/>
    <w:basedOn w:val="Normal"/>
    <w:link w:val="CommentTextChar"/>
    <w:rsid w:val="007A231D"/>
    <w:rPr>
      <w:sz w:val="20"/>
    </w:rPr>
  </w:style>
  <w:style w:type="character" w:customStyle="1" w:styleId="CommentTextChar">
    <w:name w:val="Comment Text Char"/>
    <w:link w:val="CommentText"/>
    <w:rsid w:val="007A231D"/>
    <w:rPr>
      <w:snapToGrid w:val="0"/>
      <w:kern w:val="28"/>
    </w:rPr>
  </w:style>
  <w:style w:type="paragraph" w:styleId="CommentSubject">
    <w:name w:val="annotation subject"/>
    <w:basedOn w:val="CommentText"/>
    <w:next w:val="CommentText"/>
    <w:link w:val="CommentSubjectChar"/>
    <w:rsid w:val="007A231D"/>
    <w:rPr>
      <w:b/>
      <w:bCs/>
    </w:rPr>
  </w:style>
  <w:style w:type="character" w:customStyle="1" w:styleId="CommentSubjectChar">
    <w:name w:val="Comment Subject Char"/>
    <w:link w:val="CommentSubject"/>
    <w:rsid w:val="007A231D"/>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gibso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tthew.gibson@fcc.gov" TargetMode="External"/><Relationship Id="rId4" Type="http://schemas.openxmlformats.org/officeDocument/2006/relationships/settings" Target="settings.xml"/><Relationship Id="rId9" Type="http://schemas.openxmlformats.org/officeDocument/2006/relationships/hyperlink" Target="mailto:WR-Response@fcc.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2358</Words>
  <Characters>12371</Characters>
  <Application>Microsoft Office Word</Application>
  <DocSecurity>0</DocSecurity>
  <Lines>199</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14776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2017-04-05T13:26:00Z</cp:lastPrinted>
  <dcterms:created xsi:type="dcterms:W3CDTF">2017-04-26T16:55:00Z</dcterms:created>
  <dcterms:modified xsi:type="dcterms:W3CDTF">2017-04-26T16:55:00Z</dcterms:modified>
  <cp:category> </cp:category>
  <cp:contentStatus> </cp:contentStatus>
</cp:coreProperties>
</file>