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4657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BA613E5" w14:textId="77777777" w:rsidR="00921803" w:rsidRDefault="00921803" w:rsidP="00921803">
      <w:pPr>
        <w:pStyle w:val="StyleBoldCentered"/>
      </w:pPr>
      <w:r>
        <w:t>F</w:t>
      </w:r>
      <w:r>
        <w:rPr>
          <w:caps w:val="0"/>
        </w:rPr>
        <w:t>ederal Communications Commission</w:t>
      </w:r>
    </w:p>
    <w:p w14:paraId="5D562DD4" w14:textId="77777777" w:rsidR="004C2EE3" w:rsidRDefault="00810B6F" w:rsidP="00096D8C">
      <w:pPr>
        <w:pStyle w:val="StyleBoldCentered"/>
      </w:pPr>
      <w:r>
        <w:rPr>
          <w:caps w:val="0"/>
        </w:rPr>
        <w:t>Washington, D.C. 20554</w:t>
      </w:r>
    </w:p>
    <w:p w14:paraId="4E28FEBF" w14:textId="77777777" w:rsidR="004C2EE3" w:rsidRDefault="004C2EE3" w:rsidP="0070224F"/>
    <w:p w14:paraId="15C1D256" w14:textId="77777777" w:rsidR="004C2EE3" w:rsidRDefault="004C2EE3" w:rsidP="0070224F"/>
    <w:tbl>
      <w:tblPr>
        <w:tblW w:w="9576" w:type="dxa"/>
        <w:tblLayout w:type="fixed"/>
        <w:tblLook w:val="0000" w:firstRow="0" w:lastRow="0" w:firstColumn="0" w:lastColumn="0" w:noHBand="0" w:noVBand="0"/>
      </w:tblPr>
      <w:tblGrid>
        <w:gridCol w:w="4698"/>
        <w:gridCol w:w="630"/>
        <w:gridCol w:w="4248"/>
      </w:tblGrid>
      <w:tr w:rsidR="00CB5118" w14:paraId="24580BA8" w14:textId="77777777" w:rsidTr="00CB5118">
        <w:tc>
          <w:tcPr>
            <w:tcW w:w="4698" w:type="dxa"/>
          </w:tcPr>
          <w:p w14:paraId="0EEE4B0F" w14:textId="77777777" w:rsidR="00CB5118" w:rsidRDefault="00CB5118" w:rsidP="00CB5118">
            <w:pPr>
              <w:widowControl/>
              <w:tabs>
                <w:tab w:val="center" w:pos="4680"/>
              </w:tabs>
              <w:rPr>
                <w:snapToGrid/>
                <w:spacing w:val="-2"/>
              </w:rPr>
            </w:pPr>
            <w:r>
              <w:rPr>
                <w:spacing w:val="-2"/>
              </w:rPr>
              <w:t>In the Matter of</w:t>
            </w:r>
          </w:p>
          <w:p w14:paraId="66C233B9" w14:textId="77777777" w:rsidR="00CB5118" w:rsidRDefault="00CB5118" w:rsidP="00CB5118">
            <w:pPr>
              <w:widowControl/>
              <w:tabs>
                <w:tab w:val="center" w:pos="4680"/>
              </w:tabs>
              <w:rPr>
                <w:spacing w:val="-2"/>
              </w:rPr>
            </w:pPr>
          </w:p>
          <w:p w14:paraId="43471FAA" w14:textId="77777777" w:rsidR="00CB5118" w:rsidRDefault="00CB5118" w:rsidP="00CB5118">
            <w:pPr>
              <w:widowControl/>
              <w:tabs>
                <w:tab w:val="center" w:pos="4680"/>
              </w:tabs>
              <w:rPr>
                <w:spacing w:val="-2"/>
              </w:rPr>
            </w:pPr>
            <w:r>
              <w:rPr>
                <w:spacing w:val="-2"/>
              </w:rPr>
              <w:t>2014 Quadrennial Regulatory Review – Review of the Commission’s Broadcast Ownership Rules and Other Rules Adopted Pursuant to Section 202 of the Telecommunications Act of 1996</w:t>
            </w:r>
          </w:p>
          <w:p w14:paraId="1A96A656" w14:textId="77777777" w:rsidR="00CB5118" w:rsidRDefault="00CB5118" w:rsidP="00CB5118">
            <w:pPr>
              <w:widowControl/>
              <w:tabs>
                <w:tab w:val="center" w:pos="4680"/>
              </w:tabs>
              <w:rPr>
                <w:spacing w:val="-2"/>
              </w:rPr>
            </w:pPr>
          </w:p>
          <w:p w14:paraId="2077E219" w14:textId="77777777" w:rsidR="00CB5118" w:rsidRDefault="00CB5118" w:rsidP="00CB5118">
            <w:pPr>
              <w:widowControl/>
              <w:tabs>
                <w:tab w:val="center" w:pos="4680"/>
              </w:tabs>
              <w:rPr>
                <w:spacing w:val="-2"/>
              </w:rPr>
            </w:pPr>
            <w:r>
              <w:rPr>
                <w:spacing w:val="-2"/>
              </w:rPr>
              <w:t>2010 Quadrennial Regulatory Review – Review of the Commission’s Broadcast Ownership Rules and Other Rules Adopted Pursuant to Section 202 of the Telecommunications Act of 1996</w:t>
            </w:r>
          </w:p>
          <w:p w14:paraId="32299D0B" w14:textId="77777777" w:rsidR="00CB5118" w:rsidRDefault="00CB5118" w:rsidP="00CB5118">
            <w:pPr>
              <w:widowControl/>
              <w:tabs>
                <w:tab w:val="center" w:pos="4680"/>
              </w:tabs>
              <w:rPr>
                <w:spacing w:val="-2"/>
              </w:rPr>
            </w:pPr>
          </w:p>
          <w:p w14:paraId="017A7F2C" w14:textId="77777777" w:rsidR="00CB5118" w:rsidRDefault="00CB5118" w:rsidP="00CB5118">
            <w:pPr>
              <w:widowControl/>
              <w:tabs>
                <w:tab w:val="center" w:pos="4680"/>
              </w:tabs>
              <w:rPr>
                <w:spacing w:val="-2"/>
              </w:rPr>
            </w:pPr>
            <w:r>
              <w:rPr>
                <w:spacing w:val="-2"/>
              </w:rPr>
              <w:t xml:space="preserve">Promoting Diversification of Ownership </w:t>
            </w:r>
          </w:p>
          <w:p w14:paraId="536D7C19" w14:textId="77777777" w:rsidR="00CB5118" w:rsidRDefault="00CB5118" w:rsidP="00CB5118">
            <w:pPr>
              <w:widowControl/>
              <w:tabs>
                <w:tab w:val="center" w:pos="4680"/>
              </w:tabs>
              <w:rPr>
                <w:spacing w:val="-2"/>
              </w:rPr>
            </w:pPr>
            <w:r>
              <w:rPr>
                <w:spacing w:val="-2"/>
              </w:rPr>
              <w:t>In the Broadcasting Services</w:t>
            </w:r>
          </w:p>
          <w:p w14:paraId="2A3E9F01" w14:textId="77777777" w:rsidR="00CB5118" w:rsidRDefault="00CB5118" w:rsidP="00CB5118">
            <w:pPr>
              <w:widowControl/>
              <w:tabs>
                <w:tab w:val="center" w:pos="4680"/>
              </w:tabs>
              <w:rPr>
                <w:spacing w:val="-2"/>
              </w:rPr>
            </w:pPr>
          </w:p>
          <w:p w14:paraId="3F66B916" w14:textId="77777777" w:rsidR="00CB5118" w:rsidRDefault="00CB5118" w:rsidP="00CB5118">
            <w:pPr>
              <w:widowControl/>
              <w:tabs>
                <w:tab w:val="center" w:pos="4680"/>
              </w:tabs>
              <w:rPr>
                <w:spacing w:val="-2"/>
              </w:rPr>
            </w:pPr>
            <w:r>
              <w:rPr>
                <w:spacing w:val="-2"/>
              </w:rPr>
              <w:t>Rules and Policies Concerning Attribution of Joint Sales Agreements in Local Television Markets</w:t>
            </w:r>
          </w:p>
          <w:p w14:paraId="62D76505" w14:textId="77777777" w:rsidR="00CB5118" w:rsidRDefault="00CB5118" w:rsidP="00CB5118">
            <w:pPr>
              <w:widowControl/>
              <w:tabs>
                <w:tab w:val="center" w:pos="4680"/>
              </w:tabs>
              <w:rPr>
                <w:spacing w:val="-2"/>
              </w:rPr>
            </w:pPr>
          </w:p>
          <w:p w14:paraId="3E2D2B70" w14:textId="7D750FDB" w:rsidR="00CB5118" w:rsidRPr="007115F7" w:rsidRDefault="00CB5118" w:rsidP="00CB5118">
            <w:pPr>
              <w:tabs>
                <w:tab w:val="center" w:pos="4680"/>
              </w:tabs>
              <w:suppressAutoHyphens/>
              <w:rPr>
                <w:spacing w:val="-2"/>
              </w:rPr>
            </w:pPr>
          </w:p>
        </w:tc>
        <w:tc>
          <w:tcPr>
            <w:tcW w:w="630" w:type="dxa"/>
          </w:tcPr>
          <w:p w14:paraId="7C4B5D76" w14:textId="77777777" w:rsidR="00CB5118" w:rsidRDefault="00CB5118" w:rsidP="00CB5118">
            <w:pPr>
              <w:widowControl/>
              <w:tabs>
                <w:tab w:val="center" w:pos="4680"/>
              </w:tabs>
              <w:rPr>
                <w:b/>
                <w:spacing w:val="-2"/>
              </w:rPr>
            </w:pPr>
            <w:r>
              <w:rPr>
                <w:b/>
                <w:spacing w:val="-2"/>
              </w:rPr>
              <w:t>)</w:t>
            </w:r>
          </w:p>
          <w:p w14:paraId="724D603D" w14:textId="77777777" w:rsidR="00CB5118" w:rsidRDefault="00CB5118" w:rsidP="00CB5118">
            <w:pPr>
              <w:widowControl/>
              <w:tabs>
                <w:tab w:val="center" w:pos="4680"/>
              </w:tabs>
              <w:rPr>
                <w:b/>
                <w:spacing w:val="-2"/>
              </w:rPr>
            </w:pPr>
            <w:r>
              <w:rPr>
                <w:b/>
                <w:spacing w:val="-2"/>
              </w:rPr>
              <w:t>)</w:t>
            </w:r>
          </w:p>
          <w:p w14:paraId="1D72056A" w14:textId="77777777" w:rsidR="00CB5118" w:rsidRDefault="00CB5118" w:rsidP="00CB5118">
            <w:pPr>
              <w:widowControl/>
              <w:tabs>
                <w:tab w:val="center" w:pos="4680"/>
              </w:tabs>
              <w:rPr>
                <w:b/>
                <w:spacing w:val="-2"/>
              </w:rPr>
            </w:pPr>
            <w:r>
              <w:rPr>
                <w:b/>
                <w:spacing w:val="-2"/>
              </w:rPr>
              <w:t>)</w:t>
            </w:r>
          </w:p>
          <w:p w14:paraId="3A4673B9" w14:textId="77777777" w:rsidR="00CB5118" w:rsidRDefault="00CB5118" w:rsidP="00CB5118">
            <w:pPr>
              <w:widowControl/>
              <w:tabs>
                <w:tab w:val="center" w:pos="4680"/>
              </w:tabs>
              <w:rPr>
                <w:b/>
                <w:spacing w:val="-2"/>
              </w:rPr>
            </w:pPr>
            <w:r>
              <w:rPr>
                <w:b/>
                <w:spacing w:val="-2"/>
              </w:rPr>
              <w:t>)</w:t>
            </w:r>
          </w:p>
          <w:p w14:paraId="3BD24D3C" w14:textId="77777777" w:rsidR="00CB5118" w:rsidRDefault="00CB5118" w:rsidP="00CB5118">
            <w:pPr>
              <w:widowControl/>
              <w:tabs>
                <w:tab w:val="center" w:pos="4680"/>
              </w:tabs>
              <w:rPr>
                <w:b/>
                <w:spacing w:val="-2"/>
              </w:rPr>
            </w:pPr>
            <w:r>
              <w:rPr>
                <w:b/>
                <w:spacing w:val="-2"/>
              </w:rPr>
              <w:t>)</w:t>
            </w:r>
          </w:p>
          <w:p w14:paraId="0DE9C626" w14:textId="77777777" w:rsidR="00CB5118" w:rsidRDefault="00CB5118" w:rsidP="00CB5118">
            <w:pPr>
              <w:widowControl/>
              <w:tabs>
                <w:tab w:val="center" w:pos="4680"/>
              </w:tabs>
              <w:rPr>
                <w:b/>
                <w:spacing w:val="-2"/>
              </w:rPr>
            </w:pPr>
            <w:r>
              <w:rPr>
                <w:b/>
                <w:spacing w:val="-2"/>
              </w:rPr>
              <w:t>)</w:t>
            </w:r>
          </w:p>
          <w:p w14:paraId="5C6360FE" w14:textId="77777777" w:rsidR="00CB5118" w:rsidRDefault="00CB5118" w:rsidP="00CB5118">
            <w:pPr>
              <w:widowControl/>
              <w:tabs>
                <w:tab w:val="center" w:pos="4680"/>
              </w:tabs>
              <w:rPr>
                <w:b/>
                <w:spacing w:val="-2"/>
              </w:rPr>
            </w:pPr>
            <w:r>
              <w:rPr>
                <w:b/>
                <w:spacing w:val="-2"/>
              </w:rPr>
              <w:t>)</w:t>
            </w:r>
          </w:p>
          <w:p w14:paraId="6B8CCB29" w14:textId="77777777" w:rsidR="00CB5118" w:rsidRDefault="00CB5118" w:rsidP="00CB5118">
            <w:pPr>
              <w:widowControl/>
              <w:tabs>
                <w:tab w:val="center" w:pos="4680"/>
              </w:tabs>
              <w:rPr>
                <w:b/>
                <w:spacing w:val="-2"/>
              </w:rPr>
            </w:pPr>
            <w:r>
              <w:rPr>
                <w:b/>
                <w:spacing w:val="-2"/>
              </w:rPr>
              <w:t>)</w:t>
            </w:r>
          </w:p>
          <w:p w14:paraId="135ACA66" w14:textId="77777777" w:rsidR="00CB5118" w:rsidRDefault="00CB5118" w:rsidP="00CB5118">
            <w:pPr>
              <w:widowControl/>
              <w:tabs>
                <w:tab w:val="center" w:pos="4680"/>
              </w:tabs>
              <w:rPr>
                <w:b/>
                <w:spacing w:val="-2"/>
              </w:rPr>
            </w:pPr>
            <w:r>
              <w:rPr>
                <w:b/>
                <w:spacing w:val="-2"/>
              </w:rPr>
              <w:t>)</w:t>
            </w:r>
          </w:p>
          <w:p w14:paraId="1D13711D" w14:textId="77777777" w:rsidR="00CB5118" w:rsidRDefault="00CB5118" w:rsidP="00CB5118">
            <w:pPr>
              <w:widowControl/>
              <w:tabs>
                <w:tab w:val="center" w:pos="4680"/>
              </w:tabs>
              <w:rPr>
                <w:b/>
                <w:spacing w:val="-2"/>
              </w:rPr>
            </w:pPr>
            <w:r>
              <w:rPr>
                <w:b/>
                <w:spacing w:val="-2"/>
              </w:rPr>
              <w:t>)</w:t>
            </w:r>
          </w:p>
          <w:p w14:paraId="0DE73902" w14:textId="77777777" w:rsidR="00CB5118" w:rsidRDefault="00CB5118" w:rsidP="00CB5118">
            <w:pPr>
              <w:widowControl/>
              <w:tabs>
                <w:tab w:val="center" w:pos="4680"/>
              </w:tabs>
              <w:rPr>
                <w:b/>
                <w:spacing w:val="-2"/>
              </w:rPr>
            </w:pPr>
            <w:r>
              <w:rPr>
                <w:b/>
                <w:spacing w:val="-2"/>
              </w:rPr>
              <w:t>)</w:t>
            </w:r>
          </w:p>
          <w:p w14:paraId="7A82C289" w14:textId="77777777" w:rsidR="00CB5118" w:rsidRDefault="00CB5118" w:rsidP="00CB5118">
            <w:pPr>
              <w:widowControl/>
              <w:tabs>
                <w:tab w:val="center" w:pos="4680"/>
              </w:tabs>
              <w:rPr>
                <w:b/>
                <w:spacing w:val="-2"/>
              </w:rPr>
            </w:pPr>
            <w:r>
              <w:rPr>
                <w:b/>
                <w:spacing w:val="-2"/>
              </w:rPr>
              <w:t>)</w:t>
            </w:r>
          </w:p>
          <w:p w14:paraId="056E068C" w14:textId="77777777" w:rsidR="00CB5118" w:rsidRDefault="00CB5118" w:rsidP="00CB5118">
            <w:pPr>
              <w:widowControl/>
              <w:tabs>
                <w:tab w:val="center" w:pos="4680"/>
              </w:tabs>
              <w:rPr>
                <w:b/>
                <w:spacing w:val="-2"/>
              </w:rPr>
            </w:pPr>
            <w:r>
              <w:rPr>
                <w:b/>
                <w:spacing w:val="-2"/>
              </w:rPr>
              <w:t>)</w:t>
            </w:r>
          </w:p>
          <w:p w14:paraId="68FDD73D" w14:textId="77777777" w:rsidR="00CB5118" w:rsidRDefault="00CB5118" w:rsidP="00CB5118">
            <w:pPr>
              <w:widowControl/>
              <w:tabs>
                <w:tab w:val="center" w:pos="4680"/>
              </w:tabs>
              <w:rPr>
                <w:b/>
                <w:spacing w:val="-2"/>
              </w:rPr>
            </w:pPr>
            <w:r>
              <w:rPr>
                <w:b/>
                <w:spacing w:val="-2"/>
              </w:rPr>
              <w:t>)</w:t>
            </w:r>
          </w:p>
          <w:p w14:paraId="6D3729B5" w14:textId="77777777" w:rsidR="00CB5118" w:rsidRDefault="00CB5118" w:rsidP="00CB5118">
            <w:pPr>
              <w:widowControl/>
              <w:tabs>
                <w:tab w:val="center" w:pos="4680"/>
              </w:tabs>
              <w:rPr>
                <w:b/>
                <w:spacing w:val="-2"/>
              </w:rPr>
            </w:pPr>
            <w:r>
              <w:rPr>
                <w:b/>
                <w:spacing w:val="-2"/>
              </w:rPr>
              <w:t>)</w:t>
            </w:r>
          </w:p>
          <w:p w14:paraId="7847E9D4" w14:textId="77777777" w:rsidR="00CB5118" w:rsidRDefault="00CB5118" w:rsidP="00CB5118">
            <w:pPr>
              <w:widowControl/>
              <w:tabs>
                <w:tab w:val="center" w:pos="4680"/>
              </w:tabs>
              <w:rPr>
                <w:b/>
                <w:spacing w:val="-2"/>
              </w:rPr>
            </w:pPr>
            <w:r>
              <w:rPr>
                <w:b/>
                <w:spacing w:val="-2"/>
              </w:rPr>
              <w:t>)</w:t>
            </w:r>
          </w:p>
          <w:p w14:paraId="79E26B90" w14:textId="77777777" w:rsidR="00CB5118" w:rsidRDefault="00CB5118" w:rsidP="00CB5118">
            <w:pPr>
              <w:widowControl/>
              <w:tabs>
                <w:tab w:val="center" w:pos="4680"/>
              </w:tabs>
              <w:rPr>
                <w:b/>
                <w:spacing w:val="-2"/>
              </w:rPr>
            </w:pPr>
            <w:r>
              <w:rPr>
                <w:b/>
                <w:spacing w:val="-2"/>
              </w:rPr>
              <w:t>)</w:t>
            </w:r>
          </w:p>
          <w:p w14:paraId="49C39CD2" w14:textId="6348B7AD" w:rsidR="00CB5118" w:rsidRDefault="00CB5118" w:rsidP="00CB5118">
            <w:pPr>
              <w:widowControl/>
              <w:tabs>
                <w:tab w:val="center" w:pos="4680"/>
              </w:tabs>
              <w:rPr>
                <w:b/>
                <w:spacing w:val="-2"/>
              </w:rPr>
            </w:pPr>
            <w:r>
              <w:rPr>
                <w:b/>
                <w:spacing w:val="-2"/>
              </w:rPr>
              <w:t>)</w:t>
            </w:r>
          </w:p>
          <w:p w14:paraId="3E347031" w14:textId="77777777" w:rsidR="00BD47CA" w:rsidRPr="00732B15" w:rsidRDefault="00BD47CA" w:rsidP="00CB5118">
            <w:pPr>
              <w:tabs>
                <w:tab w:val="center" w:pos="4680"/>
              </w:tabs>
              <w:suppressAutoHyphens/>
              <w:rPr>
                <w:b/>
                <w:spacing w:val="-2"/>
              </w:rPr>
            </w:pPr>
          </w:p>
        </w:tc>
        <w:tc>
          <w:tcPr>
            <w:tcW w:w="4248" w:type="dxa"/>
          </w:tcPr>
          <w:p w14:paraId="521DD4F9" w14:textId="77777777" w:rsidR="00CB5118" w:rsidRDefault="00CB5118" w:rsidP="00CB5118">
            <w:pPr>
              <w:widowControl/>
              <w:tabs>
                <w:tab w:val="center" w:pos="4680"/>
              </w:tabs>
              <w:rPr>
                <w:spacing w:val="-2"/>
              </w:rPr>
            </w:pPr>
          </w:p>
          <w:p w14:paraId="5D802F32" w14:textId="77777777" w:rsidR="00CB5118" w:rsidRDefault="00CB5118" w:rsidP="00CB5118">
            <w:pPr>
              <w:pStyle w:val="TOAHeading"/>
              <w:widowControl/>
              <w:tabs>
                <w:tab w:val="center" w:pos="4680"/>
              </w:tabs>
              <w:rPr>
                <w:spacing w:val="-2"/>
              </w:rPr>
            </w:pPr>
          </w:p>
          <w:p w14:paraId="199F69BB" w14:textId="77777777" w:rsidR="00CB5118" w:rsidRDefault="00CB5118" w:rsidP="00CB5118">
            <w:pPr>
              <w:widowControl/>
              <w:tabs>
                <w:tab w:val="center" w:pos="4680"/>
              </w:tabs>
              <w:rPr>
                <w:spacing w:val="-2"/>
              </w:rPr>
            </w:pPr>
            <w:r>
              <w:rPr>
                <w:spacing w:val="-2"/>
              </w:rPr>
              <w:t>MB Docket No. 14-50</w:t>
            </w:r>
          </w:p>
          <w:p w14:paraId="13A7F93D" w14:textId="77777777" w:rsidR="00CB5118" w:rsidRDefault="00CB5118" w:rsidP="00CB5118">
            <w:pPr>
              <w:widowControl/>
              <w:tabs>
                <w:tab w:val="center" w:pos="4680"/>
              </w:tabs>
              <w:rPr>
                <w:spacing w:val="-2"/>
              </w:rPr>
            </w:pPr>
          </w:p>
          <w:p w14:paraId="2E114585" w14:textId="77777777" w:rsidR="00CB5118" w:rsidRDefault="00CB5118" w:rsidP="00CB5118">
            <w:pPr>
              <w:widowControl/>
              <w:tabs>
                <w:tab w:val="center" w:pos="4680"/>
              </w:tabs>
              <w:rPr>
                <w:spacing w:val="-2"/>
              </w:rPr>
            </w:pPr>
          </w:p>
          <w:p w14:paraId="67A4C72C" w14:textId="77777777" w:rsidR="00CB5118" w:rsidRDefault="00CB5118" w:rsidP="00CB5118">
            <w:pPr>
              <w:widowControl/>
              <w:tabs>
                <w:tab w:val="center" w:pos="4680"/>
              </w:tabs>
              <w:rPr>
                <w:spacing w:val="-2"/>
              </w:rPr>
            </w:pPr>
          </w:p>
          <w:p w14:paraId="3779C43E" w14:textId="77777777" w:rsidR="00CB5118" w:rsidRDefault="00CB5118" w:rsidP="00CB5118">
            <w:pPr>
              <w:widowControl/>
              <w:tabs>
                <w:tab w:val="center" w:pos="4680"/>
              </w:tabs>
              <w:rPr>
                <w:spacing w:val="-2"/>
              </w:rPr>
            </w:pPr>
          </w:p>
          <w:p w14:paraId="556A4F85" w14:textId="77777777" w:rsidR="00CB5118" w:rsidRDefault="00CB5118" w:rsidP="00CB5118">
            <w:pPr>
              <w:widowControl/>
              <w:tabs>
                <w:tab w:val="center" w:pos="4680"/>
              </w:tabs>
              <w:rPr>
                <w:spacing w:val="-2"/>
              </w:rPr>
            </w:pPr>
            <w:r>
              <w:rPr>
                <w:spacing w:val="-2"/>
              </w:rPr>
              <w:t>MB Docket No. 09-182</w:t>
            </w:r>
          </w:p>
          <w:p w14:paraId="6A7988B7" w14:textId="77777777" w:rsidR="00CB5118" w:rsidRDefault="00CB5118" w:rsidP="00CB5118">
            <w:pPr>
              <w:widowControl/>
              <w:tabs>
                <w:tab w:val="center" w:pos="4680"/>
              </w:tabs>
              <w:rPr>
                <w:spacing w:val="-2"/>
              </w:rPr>
            </w:pPr>
          </w:p>
          <w:p w14:paraId="537EC7CB" w14:textId="77777777" w:rsidR="00CB5118" w:rsidRDefault="00CB5118" w:rsidP="00CB5118">
            <w:pPr>
              <w:widowControl/>
              <w:tabs>
                <w:tab w:val="center" w:pos="4680"/>
              </w:tabs>
              <w:rPr>
                <w:spacing w:val="-2"/>
              </w:rPr>
            </w:pPr>
          </w:p>
          <w:p w14:paraId="41C3A57E" w14:textId="77777777" w:rsidR="00CB5118" w:rsidRDefault="00CB5118" w:rsidP="00CB5118">
            <w:pPr>
              <w:widowControl/>
              <w:tabs>
                <w:tab w:val="center" w:pos="4680"/>
              </w:tabs>
              <w:rPr>
                <w:spacing w:val="-2"/>
              </w:rPr>
            </w:pPr>
          </w:p>
          <w:p w14:paraId="09B09816" w14:textId="77777777" w:rsidR="00CB5118" w:rsidRDefault="00CB5118" w:rsidP="00CB5118">
            <w:pPr>
              <w:widowControl/>
              <w:tabs>
                <w:tab w:val="center" w:pos="4680"/>
              </w:tabs>
              <w:rPr>
                <w:spacing w:val="-2"/>
              </w:rPr>
            </w:pPr>
          </w:p>
          <w:p w14:paraId="56C73824" w14:textId="77777777" w:rsidR="00CB5118" w:rsidRDefault="00CB5118" w:rsidP="00CB5118">
            <w:pPr>
              <w:widowControl/>
              <w:tabs>
                <w:tab w:val="center" w:pos="4680"/>
              </w:tabs>
              <w:rPr>
                <w:spacing w:val="-2"/>
              </w:rPr>
            </w:pPr>
            <w:r>
              <w:rPr>
                <w:spacing w:val="-2"/>
              </w:rPr>
              <w:t>MB Docket No. 07-294</w:t>
            </w:r>
          </w:p>
          <w:p w14:paraId="33C1A71A" w14:textId="77777777" w:rsidR="00CB5118" w:rsidRDefault="00CB5118" w:rsidP="00CB5118">
            <w:pPr>
              <w:widowControl/>
              <w:tabs>
                <w:tab w:val="center" w:pos="4680"/>
              </w:tabs>
              <w:rPr>
                <w:spacing w:val="-2"/>
              </w:rPr>
            </w:pPr>
          </w:p>
          <w:p w14:paraId="27346B1C" w14:textId="77777777" w:rsidR="00CB5118" w:rsidRDefault="00CB5118" w:rsidP="00CB5118">
            <w:pPr>
              <w:widowControl/>
              <w:tabs>
                <w:tab w:val="center" w:pos="4680"/>
              </w:tabs>
              <w:rPr>
                <w:spacing w:val="-2"/>
              </w:rPr>
            </w:pPr>
          </w:p>
          <w:p w14:paraId="7838566A" w14:textId="20FDE2C5" w:rsidR="00CB5118" w:rsidRDefault="00CB5118" w:rsidP="00CB5118">
            <w:pPr>
              <w:tabs>
                <w:tab w:val="center" w:pos="4680"/>
              </w:tabs>
              <w:suppressAutoHyphens/>
              <w:rPr>
                <w:spacing w:val="-2"/>
              </w:rPr>
            </w:pPr>
            <w:r>
              <w:rPr>
                <w:spacing w:val="-2"/>
              </w:rPr>
              <w:t>MB Docket No. 04-256</w:t>
            </w:r>
          </w:p>
        </w:tc>
      </w:tr>
    </w:tbl>
    <w:p w14:paraId="60C3FC47" w14:textId="77777777" w:rsidR="00841AB1" w:rsidRDefault="001D6699" w:rsidP="00732B15">
      <w:pPr>
        <w:pStyle w:val="StyleBoldCentered"/>
      </w:pPr>
      <w:r>
        <w:t>ORDER</w:t>
      </w:r>
    </w:p>
    <w:p w14:paraId="59B21E3C" w14:textId="77777777" w:rsidR="004C2EE3" w:rsidRDefault="004C2EE3">
      <w:pPr>
        <w:tabs>
          <w:tab w:val="left" w:pos="-720"/>
        </w:tabs>
        <w:suppressAutoHyphens/>
        <w:spacing w:line="227" w:lineRule="auto"/>
        <w:rPr>
          <w:spacing w:val="-2"/>
        </w:rPr>
      </w:pPr>
    </w:p>
    <w:p w14:paraId="033C7701" w14:textId="7C26D12F" w:rsidR="00822CE0" w:rsidRPr="00BD47CA" w:rsidRDefault="004C2EE3" w:rsidP="00BD47CA">
      <w:pPr>
        <w:tabs>
          <w:tab w:val="left" w:pos="720"/>
          <w:tab w:val="right" w:pos="9360"/>
        </w:tabs>
        <w:suppressAutoHyphens/>
        <w:spacing w:line="227" w:lineRule="auto"/>
        <w:rPr>
          <w:spacing w:val="-2"/>
        </w:rPr>
      </w:pPr>
      <w:r>
        <w:rPr>
          <w:b/>
          <w:spacing w:val="-2"/>
        </w:rPr>
        <w:t xml:space="preserve">Adopted:  </w:t>
      </w:r>
      <w:r w:rsidR="00CB5118">
        <w:rPr>
          <w:b/>
          <w:spacing w:val="-2"/>
        </w:rPr>
        <w:t>January</w:t>
      </w:r>
      <w:r w:rsidR="00732B15">
        <w:rPr>
          <w:b/>
          <w:spacing w:val="-2"/>
        </w:rPr>
        <w:t xml:space="preserve"> </w:t>
      </w:r>
      <w:r w:rsidR="009B4FA1">
        <w:rPr>
          <w:b/>
          <w:spacing w:val="-2"/>
        </w:rPr>
        <w:t>11</w:t>
      </w:r>
      <w:r w:rsidR="00CB5118">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B5118">
        <w:rPr>
          <w:b/>
          <w:spacing w:val="-2"/>
        </w:rPr>
        <w:t>January</w:t>
      </w:r>
      <w:r w:rsidR="00732B15">
        <w:rPr>
          <w:b/>
          <w:spacing w:val="-2"/>
        </w:rPr>
        <w:t xml:space="preserve"> </w:t>
      </w:r>
      <w:r w:rsidR="009B4FA1">
        <w:rPr>
          <w:b/>
          <w:spacing w:val="-2"/>
        </w:rPr>
        <w:t>11</w:t>
      </w:r>
      <w:r w:rsidR="00732B15">
        <w:rPr>
          <w:b/>
          <w:spacing w:val="-2"/>
        </w:rPr>
        <w:t>, 201</w:t>
      </w:r>
      <w:r w:rsidR="00CB5118">
        <w:rPr>
          <w:b/>
          <w:spacing w:val="-2"/>
        </w:rPr>
        <w:t>7</w:t>
      </w:r>
    </w:p>
    <w:p w14:paraId="41AE2386" w14:textId="77777777" w:rsidR="00732B15" w:rsidRDefault="00732B15"/>
    <w:p w14:paraId="5095B46E" w14:textId="77777777" w:rsidR="00822CE0" w:rsidRDefault="004C2EE3">
      <w:pPr>
        <w:rPr>
          <w:spacing w:val="-2"/>
        </w:rPr>
      </w:pPr>
      <w:r>
        <w:t xml:space="preserve">By </w:t>
      </w:r>
      <w:r w:rsidR="004E4A22">
        <w:t>the</w:t>
      </w:r>
      <w:r w:rsidR="002A2D2E">
        <w:t xml:space="preserve"> </w:t>
      </w:r>
      <w:r w:rsidR="001D6699">
        <w:rPr>
          <w:spacing w:val="-2"/>
        </w:rPr>
        <w:t>Chief, Media Bureau</w:t>
      </w:r>
      <w:r>
        <w:rPr>
          <w:spacing w:val="-2"/>
        </w:rPr>
        <w:t>:</w:t>
      </w:r>
    </w:p>
    <w:p w14:paraId="69F07BD6" w14:textId="77777777" w:rsidR="00412FC5" w:rsidRDefault="00412FC5" w:rsidP="00412FC5"/>
    <w:p w14:paraId="49CBB3FB" w14:textId="31E9F027" w:rsidR="001D6699" w:rsidRDefault="00CB5118" w:rsidP="001D6699">
      <w:pPr>
        <w:pStyle w:val="ParaNum"/>
      </w:pPr>
      <w:r w:rsidRPr="00D41FE5">
        <w:rPr>
          <w:szCs w:val="22"/>
        </w:rPr>
        <w:t xml:space="preserve">On August 10, 2016, the Commission adopted a Second Report and Order </w:t>
      </w:r>
      <w:r w:rsidR="00AA2E79">
        <w:rPr>
          <w:szCs w:val="22"/>
        </w:rPr>
        <w:t>that</w:t>
      </w:r>
      <w:r w:rsidRPr="00D41FE5">
        <w:rPr>
          <w:szCs w:val="22"/>
        </w:rPr>
        <w:t xml:space="preserve"> completed the 2010 and 2014 Quadrennial Reviews of </w:t>
      </w:r>
      <w:r w:rsidR="00AA2E79">
        <w:rPr>
          <w:szCs w:val="22"/>
        </w:rPr>
        <w:t>the</w:t>
      </w:r>
      <w:r w:rsidRPr="00D41FE5">
        <w:rPr>
          <w:szCs w:val="22"/>
        </w:rPr>
        <w:t xml:space="preserve"> media ownership rules (</w:t>
      </w:r>
      <w:r w:rsidRPr="00D41FE5">
        <w:rPr>
          <w:i/>
        </w:rPr>
        <w:t>Quadrennial Review Order</w:t>
      </w:r>
      <w:r w:rsidRPr="00D41FE5">
        <w:t>)</w:t>
      </w:r>
      <w:r w:rsidRPr="00D41FE5">
        <w:rPr>
          <w:szCs w:val="22"/>
        </w:rPr>
        <w:t>.</w:t>
      </w:r>
      <w:r w:rsidRPr="00D41FE5">
        <w:rPr>
          <w:rStyle w:val="FootnoteReference"/>
          <w:szCs w:val="22"/>
        </w:rPr>
        <w:footnoteReference w:id="2"/>
      </w:r>
      <w:r w:rsidRPr="00D41FE5">
        <w:rPr>
          <w:szCs w:val="22"/>
        </w:rPr>
        <w:t xml:space="preserve"> </w:t>
      </w:r>
      <w:r>
        <w:rPr>
          <w:szCs w:val="22"/>
        </w:rPr>
        <w:t xml:space="preserve"> On December 1, 2016, </w:t>
      </w:r>
      <w:r>
        <w:t>several parties filed</w:t>
      </w:r>
      <w:r w:rsidR="00B549C2">
        <w:t xml:space="preserve"> petition</w:t>
      </w:r>
      <w:r>
        <w:t>s</w:t>
      </w:r>
      <w:r w:rsidR="00B549C2">
        <w:t xml:space="preserve"> for r</w:t>
      </w:r>
      <w:r w:rsidR="0052522C">
        <w:t xml:space="preserve">econsideration </w:t>
      </w:r>
      <w:r>
        <w:t xml:space="preserve">of </w:t>
      </w:r>
      <w:r w:rsidR="002D1D27">
        <w:t xml:space="preserve">the </w:t>
      </w:r>
      <w:r w:rsidR="002D1D27" w:rsidRPr="00D41FE5">
        <w:rPr>
          <w:i/>
        </w:rPr>
        <w:t>Quadrennial Review Order</w:t>
      </w:r>
      <w:r>
        <w:t>, including the National Association of B</w:t>
      </w:r>
      <w:r w:rsidR="009B5981">
        <w:t>roadcasters (NAB)</w:t>
      </w:r>
      <w:r>
        <w:t>, Nexstar Broadcasting, Inc., and Connoisseur Media, LLC.</w:t>
      </w:r>
      <w:r>
        <w:rPr>
          <w:rStyle w:val="FootnoteReference"/>
        </w:rPr>
        <w:footnoteReference w:id="3"/>
      </w:r>
      <w:r w:rsidR="00B549C2">
        <w:t xml:space="preserve"> </w:t>
      </w:r>
      <w:r w:rsidR="00BA24CC">
        <w:t xml:space="preserve"> </w:t>
      </w:r>
      <w:r w:rsidR="004604A6">
        <w:t>On December 30, 2016, a</w:t>
      </w:r>
      <w:r w:rsidR="00B549C2">
        <w:t xml:space="preserve"> summary of the Commission’s Public Notice</w:t>
      </w:r>
      <w:r w:rsidR="0052522C">
        <w:t xml:space="preserve"> </w:t>
      </w:r>
      <w:r w:rsidR="00B549C2">
        <w:t>re</w:t>
      </w:r>
      <w:r w:rsidR="00112E27">
        <w:t xml:space="preserve">garding </w:t>
      </w:r>
      <w:r w:rsidR="00BA24CC">
        <w:t xml:space="preserve">the </w:t>
      </w:r>
      <w:r>
        <w:t>filing of the</w:t>
      </w:r>
      <w:r w:rsidR="00112E27">
        <w:t>s</w:t>
      </w:r>
      <w:r>
        <w:t>e</w:t>
      </w:r>
      <w:r w:rsidR="00112E27">
        <w:t xml:space="preserve"> </w:t>
      </w:r>
      <w:r>
        <w:t>p</w:t>
      </w:r>
      <w:r w:rsidR="00112E27">
        <w:t>etition</w:t>
      </w:r>
      <w:r>
        <w:t>s</w:t>
      </w:r>
      <w:r w:rsidR="00BA24CC" w:rsidRPr="00BA24CC">
        <w:t xml:space="preserve"> </w:t>
      </w:r>
      <w:r w:rsidR="00BA24CC">
        <w:t xml:space="preserve">was published in the </w:t>
      </w:r>
      <w:r w:rsidR="00BA24CC" w:rsidRPr="00FE4D33">
        <w:rPr>
          <w:i/>
        </w:rPr>
        <w:t>Federal Register</w:t>
      </w:r>
      <w:r w:rsidR="00B549C2">
        <w:t xml:space="preserve">, </w:t>
      </w:r>
      <w:r w:rsidR="004604A6">
        <w:t>setting the deadline for oppositions as</w:t>
      </w:r>
      <w:r w:rsidR="0052522C">
        <w:t xml:space="preserve"> </w:t>
      </w:r>
      <w:r w:rsidR="002D1D27">
        <w:t>January 17, 2017</w:t>
      </w:r>
      <w:r w:rsidR="006D5570">
        <w:t>,</w:t>
      </w:r>
      <w:r w:rsidR="0052522C">
        <w:t xml:space="preserve"> and </w:t>
      </w:r>
      <w:r w:rsidR="003D0DCF">
        <w:t xml:space="preserve">the </w:t>
      </w:r>
      <w:r w:rsidR="004604A6">
        <w:t xml:space="preserve">deadline for </w:t>
      </w:r>
      <w:r w:rsidR="00B549C2">
        <w:t>r</w:t>
      </w:r>
      <w:r w:rsidR="0052522C">
        <w:t xml:space="preserve">eplies </w:t>
      </w:r>
      <w:r w:rsidR="00B549C2">
        <w:t xml:space="preserve">to oppositions </w:t>
      </w:r>
      <w:r w:rsidR="004604A6">
        <w:t>as</w:t>
      </w:r>
      <w:r w:rsidR="0052522C">
        <w:t xml:space="preserve"> January </w:t>
      </w:r>
      <w:r w:rsidR="002D1D27">
        <w:t>24</w:t>
      </w:r>
      <w:r w:rsidR="0052522C">
        <w:t>, 2017.</w:t>
      </w:r>
      <w:r w:rsidR="0052522C">
        <w:rPr>
          <w:rStyle w:val="FootnoteReference"/>
        </w:rPr>
        <w:footnoteReference w:id="4"/>
      </w:r>
      <w:r w:rsidR="004604A6">
        <w:t xml:space="preserve">  </w:t>
      </w:r>
      <w:r w:rsidR="00A01274">
        <w:t xml:space="preserve">The </w:t>
      </w:r>
      <w:r w:rsidR="001D3497">
        <w:t xml:space="preserve">deadline for filing replies was later changed to January 27, 2017, to allow for a full 10 days after </w:t>
      </w:r>
      <w:r w:rsidR="001D3497" w:rsidRPr="004604A6">
        <w:t>the</w:t>
      </w:r>
      <w:r w:rsidR="001D3497">
        <w:t xml:space="preserve"> time for filing oppositions had</w:t>
      </w:r>
      <w:r w:rsidR="001D3497" w:rsidRPr="004604A6">
        <w:t xml:space="preserve"> expired</w:t>
      </w:r>
      <w:r w:rsidR="001D3497">
        <w:t>, consistent with the Commission’s rules.</w:t>
      </w:r>
      <w:r w:rsidR="001D3497">
        <w:rPr>
          <w:rStyle w:val="FootnoteReference"/>
        </w:rPr>
        <w:footnoteReference w:id="5"/>
      </w:r>
      <w:r w:rsidR="001D3497">
        <w:t xml:space="preserve"> </w:t>
      </w:r>
      <w:r w:rsidR="00A01274">
        <w:t xml:space="preserve"> </w:t>
      </w:r>
      <w:r w:rsidR="0052522C">
        <w:t xml:space="preserve">  </w:t>
      </w:r>
    </w:p>
    <w:p w14:paraId="652DC455" w14:textId="4D3E55D4" w:rsidR="003907E4" w:rsidRDefault="003907E4" w:rsidP="003907E4">
      <w:pPr>
        <w:pStyle w:val="ParaNum"/>
      </w:pPr>
      <w:r>
        <w:lastRenderedPageBreak/>
        <w:t xml:space="preserve">On January 4, 2017, </w:t>
      </w:r>
      <w:r w:rsidRPr="003907E4">
        <w:t>Prometheus Radio Project and Media Mobilizing Project</w:t>
      </w:r>
      <w:r>
        <w:t xml:space="preserve"> (collectively the Movants) filed a motion for extension of time to file oppositions and replies in response to the </w:t>
      </w:r>
      <w:r w:rsidR="006F7F4B">
        <w:t>p</w:t>
      </w:r>
      <w:r>
        <w:t>etition</w:t>
      </w:r>
      <w:r w:rsidR="006F7F4B">
        <w:t xml:space="preserve">s </w:t>
      </w:r>
      <w:r w:rsidR="009C441E">
        <w:t>in the above-</w:t>
      </w:r>
      <w:r w:rsidR="006F7F4B">
        <w:t>captioned proceeding</w:t>
      </w:r>
      <w:r>
        <w:t>.</w:t>
      </w:r>
      <w:r>
        <w:rPr>
          <w:rStyle w:val="FootnoteReference"/>
        </w:rPr>
        <w:footnoteReference w:id="6"/>
      </w:r>
      <w:r>
        <w:t xml:space="preserve">  Movants seek a 30-day extension of the deadlines to file oppositions and replies, or until February 16, 2017, and February 24, 2017, re</w:t>
      </w:r>
      <w:r w:rsidR="006F7F4B">
        <w:t>spectively.</w:t>
      </w:r>
      <w:r w:rsidR="00E219B7">
        <w:rPr>
          <w:rStyle w:val="FootnoteReference"/>
        </w:rPr>
        <w:footnoteReference w:id="7"/>
      </w:r>
      <w:r w:rsidR="006F7F4B">
        <w:t xml:space="preserve">  Movants state that time has already been lost</w:t>
      </w:r>
      <w:r>
        <w:t xml:space="preserve"> due to the ongoing holiday season</w:t>
      </w:r>
      <w:r w:rsidR="006F7F4B">
        <w:t xml:space="preserve"> and that</w:t>
      </w:r>
      <w:r>
        <w:t xml:space="preserve"> the current schedule would make it difficult for counsel to consult with clients</w:t>
      </w:r>
      <w:r w:rsidR="006F7F4B">
        <w:t>, thus interfering with development of a complete record in this matter.</w:t>
      </w:r>
      <w:r>
        <w:rPr>
          <w:rStyle w:val="FootnoteReference"/>
        </w:rPr>
        <w:footnoteReference w:id="8"/>
      </w:r>
      <w:r>
        <w:t xml:space="preserve">  Movants </w:t>
      </w:r>
      <w:r w:rsidR="006F7F4B">
        <w:t>also</w:t>
      </w:r>
      <w:r>
        <w:t xml:space="preserve"> </w:t>
      </w:r>
      <w:r w:rsidR="006F7F4B">
        <w:t>cite</w:t>
      </w:r>
      <w:r>
        <w:t xml:space="preserve"> potential difficulties for the Commission </w:t>
      </w:r>
      <w:r w:rsidR="006F7F4B">
        <w:t>in</w:t>
      </w:r>
      <w:r>
        <w:t xml:space="preserve"> the consideration of this record </w:t>
      </w:r>
      <w:r w:rsidR="006F7F4B">
        <w:t>due to</w:t>
      </w:r>
      <w:r>
        <w:t xml:space="preserve"> the impending transition to a new administration.</w:t>
      </w:r>
      <w:r>
        <w:rPr>
          <w:rStyle w:val="FootnoteReference"/>
        </w:rPr>
        <w:footnoteReference w:id="9"/>
      </w:r>
      <w:r>
        <w:t xml:space="preserve">  </w:t>
      </w:r>
    </w:p>
    <w:p w14:paraId="49459402" w14:textId="298240EC" w:rsidR="00EA0313" w:rsidRDefault="00EA0313" w:rsidP="003907E4">
      <w:pPr>
        <w:pStyle w:val="ParaNum"/>
      </w:pPr>
      <w:r>
        <w:t>On January 5, 2017, NAB filed an opposition to the Movants’ request for extension of time.</w:t>
      </w:r>
      <w:r>
        <w:rPr>
          <w:rStyle w:val="FootnoteReference"/>
        </w:rPr>
        <w:footnoteReference w:id="10"/>
      </w:r>
      <w:r>
        <w:t xml:space="preserve">  NAB </w:t>
      </w:r>
      <w:r w:rsidR="00D929DB">
        <w:t>argues that the public interest would not be served by any further delay in Commission action regarding the broadcast ownership rules.</w:t>
      </w:r>
      <w:r w:rsidR="00D929DB">
        <w:rPr>
          <w:rStyle w:val="FootnoteReference"/>
        </w:rPr>
        <w:footnoteReference w:id="11"/>
      </w:r>
      <w:r w:rsidR="00D929DB">
        <w:t xml:space="preserve">  NAB </w:t>
      </w:r>
      <w:r w:rsidR="00E96A98">
        <w:t xml:space="preserve">disputes </w:t>
      </w:r>
      <w:r>
        <w:t xml:space="preserve">the Movants’ rationale for needing more time and </w:t>
      </w:r>
      <w:r w:rsidR="00D929DB">
        <w:t>state</w:t>
      </w:r>
      <w:r>
        <w:t>s that</w:t>
      </w:r>
      <w:r w:rsidR="00E96A98">
        <w:t>,</w:t>
      </w:r>
      <w:r>
        <w:t xml:space="preserve"> </w:t>
      </w:r>
      <w:r w:rsidR="001C5ED9">
        <w:t xml:space="preserve">because </w:t>
      </w:r>
      <w:r>
        <w:t xml:space="preserve">its petition for reconsideration does not present any novel issues or data, the Movants have </w:t>
      </w:r>
      <w:r w:rsidR="00DA5972">
        <w:t xml:space="preserve">had </w:t>
      </w:r>
      <w:r>
        <w:t>ample time to develop a responsive filing.</w:t>
      </w:r>
      <w:r>
        <w:rPr>
          <w:rStyle w:val="FootnoteReference"/>
        </w:rPr>
        <w:footnoteReference w:id="12"/>
      </w:r>
      <w:r w:rsidR="00466FB7">
        <w:t xml:space="preserve">  Also on January 5, 2017, Movants responded that the extension request would not result in undue delay in the consideration of NAB’s petition for reconsideration.</w:t>
      </w:r>
      <w:r w:rsidR="00620581">
        <w:rPr>
          <w:rStyle w:val="FootnoteReference"/>
        </w:rPr>
        <w:footnoteReference w:id="13"/>
      </w:r>
      <w:r>
        <w:t xml:space="preserve"> </w:t>
      </w:r>
    </w:p>
    <w:p w14:paraId="5D3A25CC" w14:textId="0037B3BD" w:rsidR="006D5570" w:rsidRDefault="006F7F4B" w:rsidP="00193251">
      <w:pPr>
        <w:pStyle w:val="ParaNum"/>
      </w:pPr>
      <w:r>
        <w:t>As set forth in Section 1.46(a) of the Commission’s rules, extensions of time shall not be routinely granted.</w:t>
      </w:r>
      <w:r>
        <w:rPr>
          <w:rStyle w:val="FootnoteReference"/>
        </w:rPr>
        <w:footnoteReference w:id="14"/>
      </w:r>
      <w:r>
        <w:t xml:space="preserve">  In this instance,</w:t>
      </w:r>
      <w:r w:rsidR="00AA2E79">
        <w:t xml:space="preserve"> however,</w:t>
      </w:r>
      <w:r>
        <w:t xml:space="preserve"> the Media Bureau finds t</w:t>
      </w:r>
      <w:r w:rsidR="00AA2E79">
        <w:t xml:space="preserve">hat the need to develop a full and </w:t>
      </w:r>
      <w:r>
        <w:t xml:space="preserve">complete record in response to the petitions provides good cause for waiving the Commission’s rule to allow for additional time.  However, </w:t>
      </w:r>
      <w:r w:rsidR="008B67EC" w:rsidRPr="008B67EC">
        <w:t xml:space="preserve">we do not believe that the full extension of time requested by </w:t>
      </w:r>
      <w:r w:rsidR="008B67EC">
        <w:t>the Movants</w:t>
      </w:r>
      <w:r w:rsidR="008B67EC" w:rsidRPr="008B67EC">
        <w:t xml:space="preserve"> is necessary</w:t>
      </w:r>
      <w:r w:rsidR="00620581">
        <w:t xml:space="preserve">.  Instead, </w:t>
      </w:r>
      <w:r w:rsidR="00193251">
        <w:t xml:space="preserve">we </w:t>
      </w:r>
      <w:r w:rsidR="00193251" w:rsidRPr="00193251">
        <w:t xml:space="preserve">find </w:t>
      </w:r>
      <w:r w:rsidR="00620581">
        <w:t xml:space="preserve">that </w:t>
      </w:r>
      <w:r w:rsidR="00193251" w:rsidRPr="00193251">
        <w:t xml:space="preserve">a </w:t>
      </w:r>
      <w:r w:rsidR="00AF7AB1">
        <w:t>shorter</w:t>
      </w:r>
      <w:r w:rsidR="00F444B5">
        <w:t>, one-week</w:t>
      </w:r>
      <w:r w:rsidR="00193251" w:rsidRPr="00193251">
        <w:t xml:space="preserve"> extension o</w:t>
      </w:r>
      <w:r w:rsidR="00193251">
        <w:t>f time is warranted in these circumstances</w:t>
      </w:r>
      <w:r w:rsidR="00F444B5">
        <w:t xml:space="preserve"> </w:t>
      </w:r>
      <w:r w:rsidR="00620581">
        <w:t>and that such an extension will not unduly delay the Commission’s consideration of the reconsideration petitions</w:t>
      </w:r>
      <w:r>
        <w:t xml:space="preserve">.  </w:t>
      </w:r>
      <w:r w:rsidR="00476078">
        <w:t>Accordingly</w:t>
      </w:r>
      <w:r w:rsidR="00A1223A">
        <w:t xml:space="preserve">, the Media Bureau </w:t>
      </w:r>
      <w:r w:rsidR="00AA2E79">
        <w:t xml:space="preserve">hereby </w:t>
      </w:r>
      <w:r w:rsidR="00A1223A">
        <w:t xml:space="preserve">extends the deadline for filing oppositions in this matter until </w:t>
      </w:r>
      <w:r w:rsidR="00F444B5">
        <w:rPr>
          <w:b/>
        </w:rPr>
        <w:t>January</w:t>
      </w:r>
      <w:r w:rsidR="00F444B5" w:rsidRPr="00A27C4B">
        <w:rPr>
          <w:b/>
        </w:rPr>
        <w:t xml:space="preserve"> </w:t>
      </w:r>
      <w:r w:rsidR="00F444B5">
        <w:rPr>
          <w:b/>
        </w:rPr>
        <w:t>24</w:t>
      </w:r>
      <w:r w:rsidR="00A1223A" w:rsidRPr="00A27C4B">
        <w:rPr>
          <w:b/>
        </w:rPr>
        <w:t>, 2017</w:t>
      </w:r>
      <w:r w:rsidR="00A1223A">
        <w:t xml:space="preserve">, and </w:t>
      </w:r>
      <w:r w:rsidR="00DA5972">
        <w:t xml:space="preserve">the </w:t>
      </w:r>
      <w:r w:rsidR="00A1223A">
        <w:t>deadline for filing</w:t>
      </w:r>
      <w:r w:rsidR="00AA2E79">
        <w:t xml:space="preserve"> </w:t>
      </w:r>
      <w:r w:rsidR="00A1223A">
        <w:t>replies</w:t>
      </w:r>
      <w:r w:rsidR="00AA2E79">
        <w:t xml:space="preserve"> to oppositions</w:t>
      </w:r>
      <w:r w:rsidR="00A1223A">
        <w:t xml:space="preserve"> until </w:t>
      </w:r>
      <w:r w:rsidR="0016308C">
        <w:rPr>
          <w:b/>
        </w:rPr>
        <w:t>February</w:t>
      </w:r>
      <w:r w:rsidR="00A1223A" w:rsidRPr="00A27C4B">
        <w:rPr>
          <w:b/>
        </w:rPr>
        <w:t xml:space="preserve"> </w:t>
      </w:r>
      <w:r w:rsidR="00F444B5">
        <w:rPr>
          <w:b/>
        </w:rPr>
        <w:t>3</w:t>
      </w:r>
      <w:r w:rsidR="00A1223A" w:rsidRPr="00A27C4B">
        <w:rPr>
          <w:b/>
        </w:rPr>
        <w:t>, 2017</w:t>
      </w:r>
      <w:r w:rsidR="00A1223A">
        <w:t>.</w:t>
      </w:r>
    </w:p>
    <w:p w14:paraId="7A10163A" w14:textId="31758E85" w:rsidR="004208C7" w:rsidRDefault="00A1223A" w:rsidP="00114F1B">
      <w:pPr>
        <w:pStyle w:val="ParaNum"/>
      </w:pPr>
      <w:r>
        <w:t xml:space="preserve">Accordingly, </w:t>
      </w:r>
      <w:r w:rsidRPr="008776BC">
        <w:rPr>
          <w:b/>
        </w:rPr>
        <w:t>IT IS ORDERED</w:t>
      </w:r>
      <w:r>
        <w:t xml:space="preserve"> that, pursuant to sections 4(i), 4(j) and 5(c) of the Communications Act of 1934, as amended, 47 U.S.C. §§ 154(i), 154(j), 155(c) and Sections 0.31, 0.241 and 1.46 of t</w:t>
      </w:r>
      <w:r w:rsidR="00466FB7">
        <w:t>he Commission’s rules, 47 CFR</w:t>
      </w:r>
      <w:r>
        <w:t xml:space="preserve"> §§ 0.31, 0.241 and 1.46, the deadline for filing oppositions to the petitions in </w:t>
      </w:r>
      <w:r w:rsidRPr="005204F5">
        <w:t>the above-captioned proceeding</w:t>
      </w:r>
      <w:r>
        <w:t xml:space="preserve"> </w:t>
      </w:r>
      <w:r w:rsidRPr="008776BC">
        <w:rPr>
          <w:b/>
        </w:rPr>
        <w:t xml:space="preserve">IS EXTENDED </w:t>
      </w:r>
      <w:r>
        <w:t xml:space="preserve">to </w:t>
      </w:r>
      <w:r w:rsidR="00F444B5">
        <w:t>January</w:t>
      </w:r>
      <w:r w:rsidR="00CE11FE" w:rsidRPr="00CE11FE">
        <w:t xml:space="preserve"> </w:t>
      </w:r>
      <w:r w:rsidR="00F444B5">
        <w:t>24</w:t>
      </w:r>
      <w:r>
        <w:t>, 2017, and the deadline for filing replies</w:t>
      </w:r>
      <w:r w:rsidR="00AA2E79">
        <w:t xml:space="preserve"> to oppositions</w:t>
      </w:r>
      <w:r>
        <w:t xml:space="preserve"> </w:t>
      </w:r>
      <w:r w:rsidRPr="008776BC">
        <w:rPr>
          <w:b/>
        </w:rPr>
        <w:t>IS EXTENDED</w:t>
      </w:r>
      <w:r>
        <w:t xml:space="preserve"> to </w:t>
      </w:r>
      <w:r w:rsidR="00CE11FE" w:rsidRPr="00CE11FE">
        <w:t xml:space="preserve">February </w:t>
      </w:r>
      <w:r w:rsidR="00F444B5">
        <w:t>3</w:t>
      </w:r>
      <w:r>
        <w:t>, 2017.</w:t>
      </w:r>
    </w:p>
    <w:p w14:paraId="42087D0D" w14:textId="52FB5E01" w:rsidR="00A1223A" w:rsidRDefault="00A1223A" w:rsidP="00BD47CA">
      <w:pPr>
        <w:pStyle w:val="ParaNum"/>
        <w:keepNext/>
        <w:widowControl/>
      </w:pPr>
      <w:r w:rsidRPr="008776BC">
        <w:rPr>
          <w:b/>
        </w:rPr>
        <w:lastRenderedPageBreak/>
        <w:t>IT IS FURTHER ORDERED</w:t>
      </w:r>
      <w:r>
        <w:t xml:space="preserve"> that the Motion for Extension of Time by </w:t>
      </w:r>
      <w:r w:rsidRPr="003907E4">
        <w:t>Prometheus Radio Project and Media Mobilizing Project</w:t>
      </w:r>
      <w:r>
        <w:t xml:space="preserve"> </w:t>
      </w:r>
      <w:r w:rsidRPr="004208C7">
        <w:rPr>
          <w:b/>
        </w:rPr>
        <w:t>IS</w:t>
      </w:r>
      <w:r w:rsidRPr="008776BC">
        <w:rPr>
          <w:b/>
        </w:rPr>
        <w:t xml:space="preserve"> GRANTED</w:t>
      </w:r>
      <w:r>
        <w:rPr>
          <w:b/>
        </w:rPr>
        <w:t xml:space="preserve"> IN PART</w:t>
      </w:r>
      <w:r w:rsidR="00193251">
        <w:rPr>
          <w:b/>
        </w:rPr>
        <w:t xml:space="preserve"> </w:t>
      </w:r>
      <w:r w:rsidR="00193251" w:rsidRPr="00193251">
        <w:t>to the extent indicated herein</w:t>
      </w:r>
      <w:r>
        <w:t>.</w:t>
      </w:r>
    </w:p>
    <w:p w14:paraId="3EECFD09" w14:textId="77777777" w:rsidR="009C55AB" w:rsidRDefault="009C55AB" w:rsidP="00BD47CA">
      <w:pPr>
        <w:pStyle w:val="ParaNum"/>
        <w:keepNext/>
        <w:widowControl/>
        <w:numPr>
          <w:ilvl w:val="0"/>
          <w:numId w:val="0"/>
        </w:numPr>
      </w:pPr>
    </w:p>
    <w:p w14:paraId="5631A528" w14:textId="77777777" w:rsidR="004208C7" w:rsidRDefault="004208C7" w:rsidP="00BD47CA">
      <w:pPr>
        <w:pStyle w:val="ParaNum"/>
        <w:keepNext/>
        <w:widowControl/>
        <w:numPr>
          <w:ilvl w:val="0"/>
          <w:numId w:val="0"/>
        </w:numPr>
        <w:ind w:left="4320"/>
      </w:pPr>
      <w:r>
        <w:t>FEDERAL COMMUNICATIONS COMMISSION</w:t>
      </w:r>
    </w:p>
    <w:p w14:paraId="4999D38F" w14:textId="77777777" w:rsidR="004208C7" w:rsidRDefault="004208C7" w:rsidP="00EB5FA0">
      <w:pPr>
        <w:pStyle w:val="ParaNum"/>
        <w:numPr>
          <w:ilvl w:val="0"/>
          <w:numId w:val="0"/>
        </w:numPr>
        <w:spacing w:after="0"/>
        <w:ind w:left="4320"/>
      </w:pPr>
    </w:p>
    <w:p w14:paraId="2D560199" w14:textId="77777777" w:rsidR="004208C7" w:rsidRDefault="004208C7" w:rsidP="00EB5FA0">
      <w:pPr>
        <w:pStyle w:val="ParaNum"/>
        <w:numPr>
          <w:ilvl w:val="0"/>
          <w:numId w:val="0"/>
        </w:numPr>
        <w:spacing w:after="0"/>
        <w:ind w:left="4320"/>
      </w:pPr>
    </w:p>
    <w:p w14:paraId="57880C98" w14:textId="77777777" w:rsidR="004208C7" w:rsidRDefault="004208C7" w:rsidP="00EB5FA0">
      <w:pPr>
        <w:pStyle w:val="ParaNum"/>
        <w:numPr>
          <w:ilvl w:val="0"/>
          <w:numId w:val="0"/>
        </w:numPr>
        <w:spacing w:after="0"/>
        <w:ind w:left="4320"/>
      </w:pPr>
    </w:p>
    <w:p w14:paraId="1957FE09" w14:textId="77777777" w:rsidR="004208C7" w:rsidRDefault="004208C7" w:rsidP="00EB5FA0">
      <w:pPr>
        <w:pStyle w:val="ParaNum"/>
        <w:numPr>
          <w:ilvl w:val="0"/>
          <w:numId w:val="0"/>
        </w:numPr>
        <w:spacing w:after="0"/>
        <w:ind w:left="4320"/>
      </w:pPr>
    </w:p>
    <w:p w14:paraId="5FB95870" w14:textId="77777777" w:rsidR="004208C7" w:rsidRDefault="004208C7" w:rsidP="00EB5FA0">
      <w:pPr>
        <w:pStyle w:val="ParaNum"/>
        <w:numPr>
          <w:ilvl w:val="0"/>
          <w:numId w:val="0"/>
        </w:numPr>
        <w:spacing w:after="0"/>
        <w:ind w:left="4320"/>
      </w:pPr>
      <w:r>
        <w:t>William T. Lake</w:t>
      </w:r>
    </w:p>
    <w:p w14:paraId="6482B13A" w14:textId="77777777" w:rsidR="004208C7" w:rsidRPr="001D6699" w:rsidRDefault="004208C7" w:rsidP="00EB5FA0">
      <w:pPr>
        <w:pStyle w:val="ParaNum"/>
        <w:numPr>
          <w:ilvl w:val="0"/>
          <w:numId w:val="0"/>
        </w:numPr>
        <w:spacing w:after="0"/>
        <w:ind w:left="4320"/>
      </w:pPr>
      <w:r>
        <w:t>Chief, Media Bureau</w:t>
      </w:r>
    </w:p>
    <w:sectPr w:rsidR="004208C7" w:rsidRPr="001D669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BF174" w14:textId="77777777" w:rsidR="00E708F0" w:rsidRDefault="00E708F0">
      <w:pPr>
        <w:spacing w:line="20" w:lineRule="exact"/>
      </w:pPr>
    </w:p>
  </w:endnote>
  <w:endnote w:type="continuationSeparator" w:id="0">
    <w:p w14:paraId="42E885C9" w14:textId="77777777" w:rsidR="00E708F0" w:rsidRDefault="00E708F0">
      <w:r>
        <w:t xml:space="preserve"> </w:t>
      </w:r>
    </w:p>
  </w:endnote>
  <w:endnote w:type="continuationNotice" w:id="1">
    <w:p w14:paraId="47419B44" w14:textId="77777777" w:rsidR="00E708F0" w:rsidRDefault="00E708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A5E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6D7637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A8F5"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D4485">
      <w:rPr>
        <w:noProof/>
      </w:rPr>
      <w:t>2</w:t>
    </w:r>
    <w:r>
      <w:fldChar w:fldCharType="end"/>
    </w:r>
  </w:p>
  <w:p w14:paraId="37F598FF"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7B2A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9259A" w14:textId="77777777" w:rsidR="00E708F0" w:rsidRDefault="00E708F0">
      <w:r>
        <w:separator/>
      </w:r>
    </w:p>
  </w:footnote>
  <w:footnote w:type="continuationSeparator" w:id="0">
    <w:p w14:paraId="4EB8C5B5" w14:textId="77777777" w:rsidR="00E708F0" w:rsidRDefault="00E708F0" w:rsidP="00C721AC">
      <w:pPr>
        <w:spacing w:before="120"/>
        <w:rPr>
          <w:sz w:val="20"/>
        </w:rPr>
      </w:pPr>
      <w:r>
        <w:rPr>
          <w:sz w:val="20"/>
        </w:rPr>
        <w:t xml:space="preserve">(Continued from previous page)  </w:t>
      </w:r>
      <w:r>
        <w:rPr>
          <w:sz w:val="20"/>
        </w:rPr>
        <w:separator/>
      </w:r>
    </w:p>
  </w:footnote>
  <w:footnote w:type="continuationNotice" w:id="1">
    <w:p w14:paraId="1EBA9182" w14:textId="77777777" w:rsidR="00E708F0" w:rsidRDefault="00E708F0" w:rsidP="00C721AC">
      <w:pPr>
        <w:jc w:val="right"/>
        <w:rPr>
          <w:sz w:val="20"/>
        </w:rPr>
      </w:pPr>
      <w:r>
        <w:rPr>
          <w:sz w:val="20"/>
        </w:rPr>
        <w:t>(continued….)</w:t>
      </w:r>
    </w:p>
  </w:footnote>
  <w:footnote w:id="2">
    <w:p w14:paraId="68C21380" w14:textId="72C47CD7" w:rsidR="00CB5118" w:rsidRDefault="00CB5118" w:rsidP="00CB5118">
      <w:pPr>
        <w:pStyle w:val="FootnoteText"/>
      </w:pPr>
      <w:r>
        <w:rPr>
          <w:rStyle w:val="FootnoteReference"/>
        </w:rPr>
        <w:footnoteRef/>
      </w:r>
      <w:r>
        <w:t xml:space="preserve"> </w:t>
      </w:r>
      <w:r w:rsidRPr="0065002C">
        <w:rPr>
          <w:i/>
        </w:rPr>
        <w:t>2014 Quadrennial Regulatory Review – Review of the Commission’s Broadcast Ownership Rules and Other Rules Adopted Pursuant to Section 202 of the Telecommunications Act of 1996</w:t>
      </w:r>
      <w:r>
        <w:t>, Second Report and Order, 31 FCC Rcd 9864 (2016) (</w:t>
      </w:r>
      <w:r>
        <w:rPr>
          <w:i/>
        </w:rPr>
        <w:t>Q</w:t>
      </w:r>
      <w:r w:rsidRPr="00A338B1">
        <w:rPr>
          <w:i/>
        </w:rPr>
        <w:t>uadrennial Review</w:t>
      </w:r>
      <w:r>
        <w:rPr>
          <w:i/>
        </w:rPr>
        <w:t xml:space="preserve"> Order</w:t>
      </w:r>
      <w:r>
        <w:t xml:space="preserve">).  </w:t>
      </w:r>
    </w:p>
  </w:footnote>
  <w:footnote w:id="3">
    <w:p w14:paraId="4F713CDF" w14:textId="5ADB610C" w:rsidR="00CB5118" w:rsidRDefault="00CB5118" w:rsidP="00CB5118">
      <w:pPr>
        <w:pStyle w:val="FootnoteText"/>
      </w:pPr>
      <w:r>
        <w:rPr>
          <w:rStyle w:val="FootnoteReference"/>
        </w:rPr>
        <w:footnoteRef/>
      </w:r>
      <w:r>
        <w:t xml:space="preserve"> Petition for Reconsideration of Connoisseur Media, LLC, MB Docket. No. 14-50</w:t>
      </w:r>
      <w:r w:rsidR="00476078">
        <w:t xml:space="preserve"> et al.</w:t>
      </w:r>
      <w:r>
        <w:t xml:space="preserve"> (filed Dec, 1, 2016); Petition for Reconsideration of NAB, MB Docket. No. 14-50</w:t>
      </w:r>
      <w:r w:rsidR="00476078">
        <w:t xml:space="preserve"> et al.</w:t>
      </w:r>
      <w:r>
        <w:t xml:space="preserve"> (filed Dec, 1, 2016);</w:t>
      </w:r>
      <w:r w:rsidRPr="009F587B">
        <w:t xml:space="preserve"> </w:t>
      </w:r>
      <w:r>
        <w:t>Petition for Reconsideration of Nexstar Broadcasting, Inc., MB Docket. No. 14-50</w:t>
      </w:r>
      <w:r w:rsidR="00476078">
        <w:t xml:space="preserve"> et al.</w:t>
      </w:r>
      <w:r>
        <w:t xml:space="preserve"> (filed Dec, 1, 2016)</w:t>
      </w:r>
      <w:r w:rsidR="004604A6">
        <w:t xml:space="preserve">; </w:t>
      </w:r>
      <w:r w:rsidR="004604A6">
        <w:rPr>
          <w:i/>
        </w:rPr>
        <w:t xml:space="preserve">see also </w:t>
      </w:r>
      <w:r w:rsidR="0063174D" w:rsidRPr="0065002C">
        <w:rPr>
          <w:i/>
        </w:rPr>
        <w:t>2014 Quadrennial Regulatory Review – Review of the Commission’s Broadcast Ownership Rules and Other Rules Adopted Pursuant to Section 202 of the Telecommunications Act of 1996</w:t>
      </w:r>
      <w:r w:rsidR="0063174D">
        <w:t>, Public Notice, Rep. No. 3064 (rel. Dec. 21, 2016)</w:t>
      </w:r>
      <w:r>
        <w:t>.</w:t>
      </w:r>
    </w:p>
  </w:footnote>
  <w:footnote w:id="4">
    <w:p w14:paraId="5A5DCCD8" w14:textId="636632FB" w:rsidR="0052522C" w:rsidRDefault="0052522C">
      <w:pPr>
        <w:pStyle w:val="FootnoteText"/>
      </w:pPr>
      <w:r>
        <w:rPr>
          <w:rStyle w:val="FootnoteReference"/>
        </w:rPr>
        <w:footnoteRef/>
      </w:r>
      <w:r>
        <w:t xml:space="preserve"> 81 F</w:t>
      </w:r>
      <w:r w:rsidR="00152E7A">
        <w:t xml:space="preserve">ed. </w:t>
      </w:r>
      <w:r>
        <w:t>R</w:t>
      </w:r>
      <w:r w:rsidR="00152E7A">
        <w:t>eg.</w:t>
      </w:r>
      <w:r>
        <w:t xml:space="preserve"> </w:t>
      </w:r>
      <w:r w:rsidR="00114F1B">
        <w:t>96415</w:t>
      </w:r>
      <w:r>
        <w:t xml:space="preserve"> (Dec. </w:t>
      </w:r>
      <w:r w:rsidR="00114F1B">
        <w:t>30</w:t>
      </w:r>
      <w:r>
        <w:t>, 2016).</w:t>
      </w:r>
      <w:r w:rsidR="00B549C2">
        <w:t xml:space="preserve">  </w:t>
      </w:r>
    </w:p>
  </w:footnote>
  <w:footnote w:id="5">
    <w:p w14:paraId="328A3EE7" w14:textId="15B05E39" w:rsidR="001D3497" w:rsidRDefault="001D3497">
      <w:pPr>
        <w:pStyle w:val="FootnoteText"/>
      </w:pPr>
      <w:r>
        <w:rPr>
          <w:rStyle w:val="FootnoteReference"/>
        </w:rPr>
        <w:footnoteRef/>
      </w:r>
      <w:r w:rsidR="00AD72B9">
        <w:t xml:space="preserve"> 82 Fed. Reg. 3279 (Jan. 11, 2017).</w:t>
      </w:r>
    </w:p>
  </w:footnote>
  <w:footnote w:id="6">
    <w:p w14:paraId="154B5864" w14:textId="58C2F392" w:rsidR="003907E4" w:rsidRDefault="003907E4" w:rsidP="003907E4">
      <w:pPr>
        <w:pStyle w:val="FootnoteText"/>
      </w:pPr>
      <w:r>
        <w:rPr>
          <w:rStyle w:val="FootnoteReference"/>
        </w:rPr>
        <w:footnoteRef/>
      </w:r>
      <w:r>
        <w:t xml:space="preserve"> Motion</w:t>
      </w:r>
      <w:r w:rsidR="00620581">
        <w:t xml:space="preserve"> of </w:t>
      </w:r>
      <w:r w:rsidR="00620581" w:rsidRPr="00620581">
        <w:t>Prometheus Radio Project and Media Mobilizing Project</w:t>
      </w:r>
      <w:r>
        <w:t xml:space="preserve"> for Exten</w:t>
      </w:r>
      <w:r w:rsidR="00EA0313">
        <w:t>sion of Time</w:t>
      </w:r>
      <w:r w:rsidR="00620581">
        <w:t>, MB Docket No. 14-50 et al.</w:t>
      </w:r>
      <w:r w:rsidR="00EA0313">
        <w:t xml:space="preserve"> (filed Jan. 4, 2017</w:t>
      </w:r>
      <w:r>
        <w:t>).</w:t>
      </w:r>
    </w:p>
  </w:footnote>
  <w:footnote w:id="7">
    <w:p w14:paraId="26C9316B" w14:textId="2B9F324B" w:rsidR="00E219B7" w:rsidRDefault="00E219B7">
      <w:pPr>
        <w:pStyle w:val="FootnoteText"/>
      </w:pPr>
      <w:r>
        <w:rPr>
          <w:rStyle w:val="FootnoteReference"/>
        </w:rPr>
        <w:footnoteRef/>
      </w:r>
      <w:r>
        <w:t xml:space="preserve"> </w:t>
      </w:r>
      <w:r w:rsidRPr="00E219B7">
        <w:rPr>
          <w:i/>
        </w:rPr>
        <w:t>Id.</w:t>
      </w:r>
    </w:p>
  </w:footnote>
  <w:footnote w:id="8">
    <w:p w14:paraId="068AAF4D" w14:textId="50D7C4D4" w:rsidR="003907E4" w:rsidRDefault="003907E4" w:rsidP="003907E4">
      <w:pPr>
        <w:pStyle w:val="FootnoteText"/>
      </w:pPr>
      <w:r>
        <w:rPr>
          <w:rStyle w:val="FootnoteReference"/>
        </w:rPr>
        <w:footnoteRef/>
      </w:r>
      <w:r>
        <w:t xml:space="preserve"> </w:t>
      </w:r>
      <w:r w:rsidRPr="0021596F">
        <w:rPr>
          <w:i/>
        </w:rPr>
        <w:t>Id.</w:t>
      </w:r>
      <w:r>
        <w:t xml:space="preserve"> at 1</w:t>
      </w:r>
      <w:r w:rsidR="006F7F4B">
        <w:t>-2</w:t>
      </w:r>
      <w:r>
        <w:t>.</w:t>
      </w:r>
    </w:p>
  </w:footnote>
  <w:footnote w:id="9">
    <w:p w14:paraId="1173CE94" w14:textId="77777777" w:rsidR="003907E4" w:rsidRDefault="003907E4" w:rsidP="003907E4">
      <w:pPr>
        <w:pStyle w:val="FootnoteText"/>
      </w:pPr>
      <w:r>
        <w:rPr>
          <w:rStyle w:val="FootnoteReference"/>
        </w:rPr>
        <w:footnoteRef/>
      </w:r>
      <w:r>
        <w:t xml:space="preserve"> </w:t>
      </w:r>
      <w:r w:rsidRPr="0021596F">
        <w:rPr>
          <w:i/>
        </w:rPr>
        <w:t>Id</w:t>
      </w:r>
      <w:r>
        <w:t>. at 2.</w:t>
      </w:r>
    </w:p>
  </w:footnote>
  <w:footnote w:id="10">
    <w:p w14:paraId="67569D9C" w14:textId="08CACD75" w:rsidR="00EA0313" w:rsidRDefault="00EA0313">
      <w:pPr>
        <w:pStyle w:val="FootnoteText"/>
      </w:pPr>
      <w:r>
        <w:rPr>
          <w:rStyle w:val="FootnoteReference"/>
        </w:rPr>
        <w:footnoteRef/>
      </w:r>
      <w:r>
        <w:t xml:space="preserve"> Opposition of NAB to Motion for Extension of Time</w:t>
      </w:r>
      <w:r w:rsidR="00620581">
        <w:t>, MB Docket No. 14-50 et al.</w:t>
      </w:r>
      <w:r>
        <w:t xml:space="preserve"> (filed Jan. 5, 2017)</w:t>
      </w:r>
      <w:r w:rsidR="001D1DC7">
        <w:t xml:space="preserve"> (NAB Opposition)</w:t>
      </w:r>
      <w:r w:rsidR="00F444B5">
        <w:t xml:space="preserve">; </w:t>
      </w:r>
      <w:r w:rsidR="00F444B5">
        <w:rPr>
          <w:i/>
        </w:rPr>
        <w:t xml:space="preserve">see also </w:t>
      </w:r>
      <w:r w:rsidR="00F444B5">
        <w:t>Opposition of Nexstar Broadcasting, Inc. to Motion for Extension of Time, MB Docket No. 14-50 et al. (filed Jan. 5, 2017) (opposing Movants’ extension request for reasons similar to those asserted by NAB)</w:t>
      </w:r>
      <w:r>
        <w:t>.</w:t>
      </w:r>
    </w:p>
  </w:footnote>
  <w:footnote w:id="11">
    <w:p w14:paraId="2D490A04" w14:textId="237CABE5" w:rsidR="00D929DB" w:rsidRDefault="00D929DB">
      <w:pPr>
        <w:pStyle w:val="FootnoteText"/>
      </w:pPr>
      <w:r>
        <w:rPr>
          <w:rStyle w:val="FootnoteReference"/>
        </w:rPr>
        <w:footnoteRef/>
      </w:r>
      <w:r>
        <w:t xml:space="preserve"> </w:t>
      </w:r>
      <w:r w:rsidR="001D1DC7">
        <w:t>NAB Opposition</w:t>
      </w:r>
      <w:r>
        <w:t xml:space="preserve"> at 1-3.</w:t>
      </w:r>
    </w:p>
  </w:footnote>
  <w:footnote w:id="12">
    <w:p w14:paraId="0AF49E51" w14:textId="613F042B" w:rsidR="00EA0313" w:rsidRDefault="00EA0313">
      <w:pPr>
        <w:pStyle w:val="FootnoteText"/>
      </w:pPr>
      <w:r>
        <w:rPr>
          <w:rStyle w:val="FootnoteReference"/>
        </w:rPr>
        <w:footnoteRef/>
      </w:r>
      <w:r>
        <w:t xml:space="preserve"> </w:t>
      </w:r>
      <w:r w:rsidRPr="00EA0313">
        <w:rPr>
          <w:i/>
        </w:rPr>
        <w:t>Id.</w:t>
      </w:r>
      <w:r>
        <w:t xml:space="preserve"> at 3-5.</w:t>
      </w:r>
    </w:p>
  </w:footnote>
  <w:footnote w:id="13">
    <w:p w14:paraId="1A1FAAD3" w14:textId="3814F7B9" w:rsidR="00620581" w:rsidRPr="00620581" w:rsidRDefault="00620581">
      <w:pPr>
        <w:pStyle w:val="FootnoteText"/>
      </w:pPr>
      <w:r>
        <w:rPr>
          <w:rStyle w:val="FootnoteReference"/>
        </w:rPr>
        <w:footnoteRef/>
      </w:r>
      <w:r>
        <w:t xml:space="preserve"> Reply of </w:t>
      </w:r>
      <w:r w:rsidRPr="00620581">
        <w:t>Prometheus Radio Project and Media Mobilizing Project</w:t>
      </w:r>
      <w:r>
        <w:t xml:space="preserve"> to Opposition to Motion for Extension of Time, MB Docket No. 14-50 et al. (filed Jan. 5, 2017).  Movants also revised thei</w:t>
      </w:r>
      <w:r w:rsidR="00116917">
        <w:t>r request for extension of the r</w:t>
      </w:r>
      <w:r>
        <w:t xml:space="preserve">eply deadline to February 27, 2017, to account for the original discrepancy in the </w:t>
      </w:r>
      <w:r>
        <w:rPr>
          <w:i/>
        </w:rPr>
        <w:t xml:space="preserve">Federal Register </w:t>
      </w:r>
      <w:r>
        <w:t xml:space="preserve">notice.  </w:t>
      </w:r>
      <w:r>
        <w:rPr>
          <w:i/>
        </w:rPr>
        <w:t xml:space="preserve">Id. </w:t>
      </w:r>
      <w:r>
        <w:t>at 2.</w:t>
      </w:r>
    </w:p>
  </w:footnote>
  <w:footnote w:id="14">
    <w:p w14:paraId="4DCC28A5" w14:textId="77777777" w:rsidR="006F7F4B" w:rsidRDefault="006F7F4B" w:rsidP="006F7F4B">
      <w:pPr>
        <w:pStyle w:val="FootnoteText"/>
      </w:pPr>
      <w:r>
        <w:rPr>
          <w:rStyle w:val="FootnoteReference"/>
        </w:rPr>
        <w:footnoteRef/>
      </w:r>
      <w:r>
        <w:t xml:space="preserve"> 47 CFR § 1.46(a).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D561A" w14:textId="77777777" w:rsidR="00D67BA3" w:rsidRDefault="00D67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C126" w14:textId="2568083A" w:rsidR="00D25FB5" w:rsidRDefault="00D25FB5" w:rsidP="00810B6F">
    <w:pPr>
      <w:pStyle w:val="Header"/>
      <w:rPr>
        <w:b w:val="0"/>
      </w:rPr>
    </w:pPr>
    <w:r>
      <w:tab/>
      <w:t>Federal Communications Commission</w:t>
    </w:r>
    <w:r>
      <w:tab/>
    </w:r>
    <w:r w:rsidR="004208C7">
      <w:t>DA 1</w:t>
    </w:r>
    <w:r w:rsidR="00C95C8E">
      <w:t>7</w:t>
    </w:r>
    <w:r w:rsidR="004208C7">
      <w:t>-</w:t>
    </w:r>
    <w:r w:rsidR="00017763">
      <w:t>39</w:t>
    </w:r>
  </w:p>
  <w:p w14:paraId="583B8DAB" w14:textId="77777777" w:rsidR="00D25FB5" w:rsidRDefault="00167B2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6205515" wp14:editId="316CDFD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DAE02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FB6C22B"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102B6" w14:textId="4E3C631C" w:rsidR="00D25FB5" w:rsidRDefault="00167B22" w:rsidP="00810B6F">
    <w:pPr>
      <w:pStyle w:val="Header"/>
      <w:rPr>
        <w:b w:val="0"/>
      </w:rPr>
    </w:pPr>
    <w:r>
      <w:rPr>
        <w:noProof/>
      </w:rPr>
      <mc:AlternateContent>
        <mc:Choice Requires="wps">
          <w:drawing>
            <wp:anchor distT="0" distB="0" distL="114300" distR="114300" simplePos="0" relativeHeight="251658240" behindDoc="1" locked="0" layoutInCell="0" allowOverlap="1" wp14:anchorId="38D52E4D" wp14:editId="655E13F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11C1E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20883">
      <w:t xml:space="preserve">DA </w:t>
    </w:r>
    <w:r w:rsidR="004208C7">
      <w:t>1</w:t>
    </w:r>
    <w:r w:rsidR="00C95C8E">
      <w:t>7</w:t>
    </w:r>
    <w:r w:rsidR="004208C7">
      <w:t>-</w:t>
    </w:r>
    <w:r w:rsidR="00017763">
      <w:t>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99"/>
    <w:rsid w:val="00017763"/>
    <w:rsid w:val="00036039"/>
    <w:rsid w:val="00037F90"/>
    <w:rsid w:val="00064475"/>
    <w:rsid w:val="000875BF"/>
    <w:rsid w:val="00096D8C"/>
    <w:rsid w:val="000C0B65"/>
    <w:rsid w:val="000C0C41"/>
    <w:rsid w:val="000E05FE"/>
    <w:rsid w:val="000E3D42"/>
    <w:rsid w:val="000F5059"/>
    <w:rsid w:val="00112E27"/>
    <w:rsid w:val="00114F1B"/>
    <w:rsid w:val="00116917"/>
    <w:rsid w:val="00122BD5"/>
    <w:rsid w:val="00133F79"/>
    <w:rsid w:val="00152E7A"/>
    <w:rsid w:val="0016308C"/>
    <w:rsid w:val="00167B22"/>
    <w:rsid w:val="00193251"/>
    <w:rsid w:val="00194A66"/>
    <w:rsid w:val="001A1FD9"/>
    <w:rsid w:val="001C5ED9"/>
    <w:rsid w:val="001D1DC7"/>
    <w:rsid w:val="001D2E9F"/>
    <w:rsid w:val="001D3497"/>
    <w:rsid w:val="001D6699"/>
    <w:rsid w:val="001D6BCF"/>
    <w:rsid w:val="001E01CA"/>
    <w:rsid w:val="0021596F"/>
    <w:rsid w:val="002319B6"/>
    <w:rsid w:val="00275CF5"/>
    <w:rsid w:val="0028301F"/>
    <w:rsid w:val="00285017"/>
    <w:rsid w:val="002A2D2E"/>
    <w:rsid w:val="002C00E8"/>
    <w:rsid w:val="002D1D27"/>
    <w:rsid w:val="002D7BFD"/>
    <w:rsid w:val="00343749"/>
    <w:rsid w:val="003576C6"/>
    <w:rsid w:val="003660ED"/>
    <w:rsid w:val="003843B4"/>
    <w:rsid w:val="003907E4"/>
    <w:rsid w:val="00392AD8"/>
    <w:rsid w:val="003B0550"/>
    <w:rsid w:val="003B694F"/>
    <w:rsid w:val="003D0DCF"/>
    <w:rsid w:val="003E357D"/>
    <w:rsid w:val="003F171C"/>
    <w:rsid w:val="00403AD7"/>
    <w:rsid w:val="00405AB8"/>
    <w:rsid w:val="00412FC5"/>
    <w:rsid w:val="004208C7"/>
    <w:rsid w:val="00422276"/>
    <w:rsid w:val="004242F1"/>
    <w:rsid w:val="00445A00"/>
    <w:rsid w:val="00451B0F"/>
    <w:rsid w:val="004604A6"/>
    <w:rsid w:val="00465549"/>
    <w:rsid w:val="00466FB7"/>
    <w:rsid w:val="00476078"/>
    <w:rsid w:val="00491198"/>
    <w:rsid w:val="004C2EE3"/>
    <w:rsid w:val="004D635B"/>
    <w:rsid w:val="004E4A22"/>
    <w:rsid w:val="004F3E46"/>
    <w:rsid w:val="00511968"/>
    <w:rsid w:val="005204F5"/>
    <w:rsid w:val="0052522C"/>
    <w:rsid w:val="0055614C"/>
    <w:rsid w:val="005C1CC6"/>
    <w:rsid w:val="005E14C2"/>
    <w:rsid w:val="005E7C8A"/>
    <w:rsid w:val="005F36CF"/>
    <w:rsid w:val="006001C6"/>
    <w:rsid w:val="00607BA5"/>
    <w:rsid w:val="0061180A"/>
    <w:rsid w:val="00620581"/>
    <w:rsid w:val="00626EB6"/>
    <w:rsid w:val="0063174D"/>
    <w:rsid w:val="006335B7"/>
    <w:rsid w:val="00655D03"/>
    <w:rsid w:val="00683388"/>
    <w:rsid w:val="00683F84"/>
    <w:rsid w:val="006A5B60"/>
    <w:rsid w:val="006A6A81"/>
    <w:rsid w:val="006C5B1A"/>
    <w:rsid w:val="006D5570"/>
    <w:rsid w:val="006F7393"/>
    <w:rsid w:val="006F7F4B"/>
    <w:rsid w:val="0070224F"/>
    <w:rsid w:val="007115F7"/>
    <w:rsid w:val="00732B15"/>
    <w:rsid w:val="00762F09"/>
    <w:rsid w:val="00785689"/>
    <w:rsid w:val="0079754B"/>
    <w:rsid w:val="007A1E6D"/>
    <w:rsid w:val="007B0EB2"/>
    <w:rsid w:val="007D4485"/>
    <w:rsid w:val="00810B6F"/>
    <w:rsid w:val="00820883"/>
    <w:rsid w:val="00822CE0"/>
    <w:rsid w:val="0084059D"/>
    <w:rsid w:val="00841AB1"/>
    <w:rsid w:val="008776BC"/>
    <w:rsid w:val="008929E1"/>
    <w:rsid w:val="008A6673"/>
    <w:rsid w:val="008B67EC"/>
    <w:rsid w:val="008C68F1"/>
    <w:rsid w:val="00921803"/>
    <w:rsid w:val="00926503"/>
    <w:rsid w:val="009726D8"/>
    <w:rsid w:val="009B4FA1"/>
    <w:rsid w:val="009B5981"/>
    <w:rsid w:val="009C441E"/>
    <w:rsid w:val="009C55AB"/>
    <w:rsid w:val="009F76DB"/>
    <w:rsid w:val="00A01274"/>
    <w:rsid w:val="00A03969"/>
    <w:rsid w:val="00A1223A"/>
    <w:rsid w:val="00A27C4B"/>
    <w:rsid w:val="00A32C3B"/>
    <w:rsid w:val="00A45F4F"/>
    <w:rsid w:val="00A600A9"/>
    <w:rsid w:val="00A91149"/>
    <w:rsid w:val="00AA2E79"/>
    <w:rsid w:val="00AA55B7"/>
    <w:rsid w:val="00AA5B9E"/>
    <w:rsid w:val="00AB2407"/>
    <w:rsid w:val="00AB53DF"/>
    <w:rsid w:val="00AD6416"/>
    <w:rsid w:val="00AD72B9"/>
    <w:rsid w:val="00AF7AB1"/>
    <w:rsid w:val="00B07E5C"/>
    <w:rsid w:val="00B15D00"/>
    <w:rsid w:val="00B549C2"/>
    <w:rsid w:val="00B5541B"/>
    <w:rsid w:val="00B811F7"/>
    <w:rsid w:val="00BA24CC"/>
    <w:rsid w:val="00BA5DC6"/>
    <w:rsid w:val="00BA6196"/>
    <w:rsid w:val="00BC6D8C"/>
    <w:rsid w:val="00BD47CA"/>
    <w:rsid w:val="00C34006"/>
    <w:rsid w:val="00C426B1"/>
    <w:rsid w:val="00C66160"/>
    <w:rsid w:val="00C721AC"/>
    <w:rsid w:val="00C90D6A"/>
    <w:rsid w:val="00C95C8E"/>
    <w:rsid w:val="00CA247E"/>
    <w:rsid w:val="00CB5118"/>
    <w:rsid w:val="00CC62FE"/>
    <w:rsid w:val="00CC72B6"/>
    <w:rsid w:val="00CE11FE"/>
    <w:rsid w:val="00D0218D"/>
    <w:rsid w:val="00D25CA5"/>
    <w:rsid w:val="00D25FB5"/>
    <w:rsid w:val="00D44223"/>
    <w:rsid w:val="00D67BA3"/>
    <w:rsid w:val="00D929DB"/>
    <w:rsid w:val="00DA2529"/>
    <w:rsid w:val="00DA5972"/>
    <w:rsid w:val="00DB130A"/>
    <w:rsid w:val="00DB2EBB"/>
    <w:rsid w:val="00DB3CE9"/>
    <w:rsid w:val="00DC10A1"/>
    <w:rsid w:val="00DC655F"/>
    <w:rsid w:val="00DD0B59"/>
    <w:rsid w:val="00DD7EBD"/>
    <w:rsid w:val="00DF62B6"/>
    <w:rsid w:val="00E07225"/>
    <w:rsid w:val="00E219B7"/>
    <w:rsid w:val="00E364FF"/>
    <w:rsid w:val="00E5409F"/>
    <w:rsid w:val="00E60F24"/>
    <w:rsid w:val="00E66564"/>
    <w:rsid w:val="00E708F0"/>
    <w:rsid w:val="00E96A98"/>
    <w:rsid w:val="00EA0313"/>
    <w:rsid w:val="00EB5FA0"/>
    <w:rsid w:val="00EE6488"/>
    <w:rsid w:val="00F021FA"/>
    <w:rsid w:val="00F323A2"/>
    <w:rsid w:val="00F444B5"/>
    <w:rsid w:val="00F62E97"/>
    <w:rsid w:val="00F64209"/>
    <w:rsid w:val="00F93BF5"/>
    <w:rsid w:val="00FE4D33"/>
    <w:rsid w:val="00FF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FD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064475"/>
    <w:rPr>
      <w:sz w:val="16"/>
      <w:szCs w:val="16"/>
    </w:rPr>
  </w:style>
  <w:style w:type="paragraph" w:styleId="CommentText">
    <w:name w:val="annotation text"/>
    <w:basedOn w:val="Normal"/>
    <w:link w:val="CommentTextChar"/>
    <w:rsid w:val="00064475"/>
    <w:rPr>
      <w:sz w:val="20"/>
    </w:rPr>
  </w:style>
  <w:style w:type="character" w:customStyle="1" w:styleId="CommentTextChar">
    <w:name w:val="Comment Text Char"/>
    <w:basedOn w:val="DefaultParagraphFont"/>
    <w:link w:val="CommentText"/>
    <w:rsid w:val="00064475"/>
    <w:rPr>
      <w:snapToGrid w:val="0"/>
      <w:kern w:val="28"/>
    </w:rPr>
  </w:style>
  <w:style w:type="paragraph" w:styleId="CommentSubject">
    <w:name w:val="annotation subject"/>
    <w:basedOn w:val="CommentText"/>
    <w:next w:val="CommentText"/>
    <w:link w:val="CommentSubjectChar"/>
    <w:rsid w:val="00064475"/>
    <w:rPr>
      <w:b/>
      <w:bCs/>
    </w:rPr>
  </w:style>
  <w:style w:type="character" w:customStyle="1" w:styleId="CommentSubjectChar">
    <w:name w:val="Comment Subject Char"/>
    <w:basedOn w:val="CommentTextChar"/>
    <w:link w:val="CommentSubject"/>
    <w:rsid w:val="00064475"/>
    <w:rPr>
      <w:b/>
      <w:bCs/>
      <w:snapToGrid w:val="0"/>
      <w:kern w:val="28"/>
    </w:rPr>
  </w:style>
  <w:style w:type="paragraph" w:styleId="BalloonText">
    <w:name w:val="Balloon Text"/>
    <w:basedOn w:val="Normal"/>
    <w:link w:val="BalloonTextChar"/>
    <w:rsid w:val="00064475"/>
    <w:rPr>
      <w:rFonts w:ascii="Segoe UI" w:hAnsi="Segoe UI" w:cs="Segoe UI"/>
      <w:sz w:val="18"/>
      <w:szCs w:val="18"/>
    </w:rPr>
  </w:style>
  <w:style w:type="character" w:customStyle="1" w:styleId="BalloonTextChar">
    <w:name w:val="Balloon Text Char"/>
    <w:basedOn w:val="DefaultParagraphFont"/>
    <w:link w:val="BalloonText"/>
    <w:rsid w:val="00064475"/>
    <w:rPr>
      <w:rFonts w:ascii="Segoe UI" w:hAnsi="Segoe UI" w:cs="Segoe UI"/>
      <w:snapToGrid w:val="0"/>
      <w:kern w:val="28"/>
      <w:sz w:val="18"/>
      <w:szCs w:val="18"/>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basedOn w:val="DefaultParagraphFont"/>
    <w:link w:val="FootnoteText"/>
    <w:rsid w:val="00CB5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064475"/>
    <w:rPr>
      <w:sz w:val="16"/>
      <w:szCs w:val="16"/>
    </w:rPr>
  </w:style>
  <w:style w:type="paragraph" w:styleId="CommentText">
    <w:name w:val="annotation text"/>
    <w:basedOn w:val="Normal"/>
    <w:link w:val="CommentTextChar"/>
    <w:rsid w:val="00064475"/>
    <w:rPr>
      <w:sz w:val="20"/>
    </w:rPr>
  </w:style>
  <w:style w:type="character" w:customStyle="1" w:styleId="CommentTextChar">
    <w:name w:val="Comment Text Char"/>
    <w:basedOn w:val="DefaultParagraphFont"/>
    <w:link w:val="CommentText"/>
    <w:rsid w:val="00064475"/>
    <w:rPr>
      <w:snapToGrid w:val="0"/>
      <w:kern w:val="28"/>
    </w:rPr>
  </w:style>
  <w:style w:type="paragraph" w:styleId="CommentSubject">
    <w:name w:val="annotation subject"/>
    <w:basedOn w:val="CommentText"/>
    <w:next w:val="CommentText"/>
    <w:link w:val="CommentSubjectChar"/>
    <w:rsid w:val="00064475"/>
    <w:rPr>
      <w:b/>
      <w:bCs/>
    </w:rPr>
  </w:style>
  <w:style w:type="character" w:customStyle="1" w:styleId="CommentSubjectChar">
    <w:name w:val="Comment Subject Char"/>
    <w:basedOn w:val="CommentTextChar"/>
    <w:link w:val="CommentSubject"/>
    <w:rsid w:val="00064475"/>
    <w:rPr>
      <w:b/>
      <w:bCs/>
      <w:snapToGrid w:val="0"/>
      <w:kern w:val="28"/>
    </w:rPr>
  </w:style>
  <w:style w:type="paragraph" w:styleId="BalloonText">
    <w:name w:val="Balloon Text"/>
    <w:basedOn w:val="Normal"/>
    <w:link w:val="BalloonTextChar"/>
    <w:rsid w:val="00064475"/>
    <w:rPr>
      <w:rFonts w:ascii="Segoe UI" w:hAnsi="Segoe UI" w:cs="Segoe UI"/>
      <w:sz w:val="18"/>
      <w:szCs w:val="18"/>
    </w:rPr>
  </w:style>
  <w:style w:type="character" w:customStyle="1" w:styleId="BalloonTextChar">
    <w:name w:val="Balloon Text Char"/>
    <w:basedOn w:val="DefaultParagraphFont"/>
    <w:link w:val="BalloonText"/>
    <w:rsid w:val="00064475"/>
    <w:rPr>
      <w:rFonts w:ascii="Segoe UI" w:hAnsi="Segoe UI" w:cs="Segoe UI"/>
      <w:snapToGrid w:val="0"/>
      <w:kern w:val="28"/>
      <w:sz w:val="18"/>
      <w:szCs w:val="18"/>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basedOn w:val="DefaultParagraphFont"/>
    <w:link w:val="FootnoteText"/>
    <w:rsid w:val="00CB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733</Words>
  <Characters>3871</Characters>
  <Application>Microsoft Office Word</Application>
  <DocSecurity>0</DocSecurity>
  <Lines>113</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2016-12-20T15:41:00Z</cp:lastPrinted>
  <dcterms:created xsi:type="dcterms:W3CDTF">2017-01-11T13:27:00Z</dcterms:created>
  <dcterms:modified xsi:type="dcterms:W3CDTF">2017-01-11T13:27:00Z</dcterms:modified>
  <cp:category> </cp:category>
  <cp:contentStatus> </cp:contentStatus>
</cp:coreProperties>
</file>