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6" w:rsidRDefault="00536956" w:rsidP="003510DA">
      <w:pPr>
        <w:keepNext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>Before the</w:t>
      </w:r>
    </w:p>
    <w:p w:rsidR="00536956" w:rsidRDefault="00536956" w:rsidP="003510DA">
      <w:pPr>
        <w:jc w:val="center"/>
        <w:rPr>
          <w:szCs w:val="22"/>
        </w:rPr>
      </w:pPr>
      <w:r>
        <w:rPr>
          <w:szCs w:val="22"/>
        </w:rPr>
        <w:t>Federal Communications Commission</w:t>
      </w:r>
    </w:p>
    <w:p w:rsidR="00536956" w:rsidRDefault="00536956" w:rsidP="003510DA">
      <w:pPr>
        <w:jc w:val="center"/>
        <w:rPr>
          <w:szCs w:val="22"/>
        </w:rPr>
      </w:pPr>
      <w:r>
        <w:rPr>
          <w:szCs w:val="22"/>
        </w:rPr>
        <w:t xml:space="preserve">Washington, D.C. </w:t>
      </w:r>
      <w:r w:rsidR="004C6819">
        <w:rPr>
          <w:szCs w:val="22"/>
        </w:rPr>
        <w:t xml:space="preserve"> </w:t>
      </w:r>
      <w:r>
        <w:rPr>
          <w:szCs w:val="22"/>
        </w:rPr>
        <w:t>20554</w:t>
      </w:r>
    </w:p>
    <w:p w:rsidR="00536956" w:rsidRDefault="00536956" w:rsidP="003510DA">
      <w:pPr>
        <w:rPr>
          <w:szCs w:val="22"/>
        </w:rPr>
      </w:pPr>
    </w:p>
    <w:p w:rsidR="00536956" w:rsidRDefault="00536956" w:rsidP="003510DA">
      <w:pPr>
        <w:rPr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2E5FA6" w:rsidTr="002E5FA6">
        <w:tc>
          <w:tcPr>
            <w:tcW w:w="4698" w:type="dxa"/>
          </w:tcPr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AT&amp;T Services Inc. and AT&amp;T Corp.,</w:t>
            </w: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Complainants,</w:t>
            </w: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Great Lakes Comnet, Inc. and </w:t>
            </w: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Westphalia Telephone Company,</w:t>
            </w: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E5FA6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Defendants.</w:t>
            </w:r>
          </w:p>
          <w:p w:rsidR="002E5FA6" w:rsidRPr="007115F7" w:rsidRDefault="002E5FA6" w:rsidP="003510D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720" w:type="dxa"/>
          </w:tcPr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687BB0" w:rsidRDefault="00687BB0" w:rsidP="003510DA">
            <w:pPr>
              <w:rPr>
                <w:szCs w:val="22"/>
              </w:rPr>
            </w:pPr>
            <w:r>
              <w:rPr>
                <w:szCs w:val="22"/>
              </w:rPr>
              <w:t>)</w:t>
            </w:r>
          </w:p>
          <w:p w:rsidR="002E5FA6" w:rsidRDefault="002E5FA6" w:rsidP="003510DA">
            <w:pPr>
              <w:rPr>
                <w:szCs w:val="22"/>
              </w:rPr>
            </w:pPr>
          </w:p>
        </w:tc>
        <w:tc>
          <w:tcPr>
            <w:tcW w:w="4230" w:type="dxa"/>
          </w:tcPr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  <w:p w:rsidR="00687BB0" w:rsidRDefault="00687BB0" w:rsidP="003510DA">
            <w:pPr>
              <w:rPr>
                <w:spacing w:val="-2"/>
                <w:szCs w:val="22"/>
              </w:rPr>
            </w:pPr>
          </w:p>
          <w:p w:rsidR="00687BB0" w:rsidRDefault="00687BB0" w:rsidP="003510DA">
            <w:pPr>
              <w:rPr>
                <w:spacing w:val="-2"/>
                <w:szCs w:val="22"/>
              </w:rPr>
            </w:pPr>
          </w:p>
          <w:p w:rsidR="002E5FA6" w:rsidRDefault="002E5FA6" w:rsidP="003510DA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Proceeding Number 14-222</w:t>
            </w:r>
          </w:p>
          <w:p w:rsidR="002E5FA6" w:rsidRDefault="002E5FA6" w:rsidP="003510DA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Bureau ID Number EB-14-MD-013</w:t>
            </w:r>
          </w:p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  <w:p w:rsidR="002E5FA6" w:rsidRDefault="002E5FA6" w:rsidP="003510DA">
            <w:pPr>
              <w:rPr>
                <w:szCs w:val="22"/>
              </w:rPr>
            </w:pPr>
          </w:p>
        </w:tc>
      </w:tr>
    </w:tbl>
    <w:p w:rsidR="00536956" w:rsidRDefault="00536956" w:rsidP="003510DA">
      <w:pPr>
        <w:spacing w:before="120"/>
        <w:jc w:val="center"/>
        <w:rPr>
          <w:b/>
          <w:szCs w:val="22"/>
        </w:rPr>
      </w:pPr>
      <w:r>
        <w:rPr>
          <w:b/>
          <w:spacing w:val="-2"/>
          <w:szCs w:val="22"/>
        </w:rPr>
        <w:t>ORDER OF DISMISSAL</w:t>
      </w:r>
    </w:p>
    <w:p w:rsidR="00536956" w:rsidRDefault="00536956" w:rsidP="003510DA">
      <w:pPr>
        <w:rPr>
          <w:szCs w:val="22"/>
        </w:rPr>
      </w:pPr>
    </w:p>
    <w:p w:rsidR="00536956" w:rsidRDefault="00536956" w:rsidP="003510DA">
      <w:pPr>
        <w:rPr>
          <w:szCs w:val="22"/>
        </w:rPr>
      </w:pPr>
    </w:p>
    <w:p w:rsidR="00536956" w:rsidRDefault="00536956" w:rsidP="003510DA">
      <w:pPr>
        <w:rPr>
          <w:szCs w:val="22"/>
        </w:rPr>
      </w:pPr>
    </w:p>
    <w:p w:rsidR="00536956" w:rsidRDefault="00536956" w:rsidP="003510DA">
      <w:pPr>
        <w:tabs>
          <w:tab w:val="left" w:pos="5760"/>
        </w:tabs>
        <w:jc w:val="both"/>
        <w:rPr>
          <w:szCs w:val="22"/>
        </w:rPr>
      </w:pPr>
      <w:r>
        <w:rPr>
          <w:b/>
          <w:szCs w:val="22"/>
        </w:rPr>
        <w:t>Adopted:</w:t>
      </w:r>
      <w:r w:rsidR="004C24DD">
        <w:rPr>
          <w:szCs w:val="22"/>
        </w:rPr>
        <w:t xml:space="preserve">  May </w:t>
      </w:r>
      <w:r w:rsidR="00B72799">
        <w:rPr>
          <w:szCs w:val="22"/>
        </w:rPr>
        <w:t>4</w:t>
      </w:r>
      <w:r w:rsidR="00822BBD">
        <w:rPr>
          <w:szCs w:val="22"/>
        </w:rPr>
        <w:t>, 2017</w:t>
      </w:r>
      <w:r>
        <w:rPr>
          <w:szCs w:val="22"/>
        </w:rPr>
        <w:tab/>
      </w:r>
      <w:r>
        <w:rPr>
          <w:b/>
          <w:szCs w:val="22"/>
        </w:rPr>
        <w:t>Released:</w:t>
      </w:r>
      <w:r w:rsidR="004C24DD">
        <w:rPr>
          <w:szCs w:val="22"/>
        </w:rPr>
        <w:t xml:space="preserve">  May </w:t>
      </w:r>
      <w:r w:rsidR="00B72799">
        <w:rPr>
          <w:szCs w:val="22"/>
        </w:rPr>
        <w:t>4</w:t>
      </w:r>
      <w:r w:rsidR="00822BBD">
        <w:rPr>
          <w:szCs w:val="22"/>
        </w:rPr>
        <w:t>, 2017</w:t>
      </w:r>
    </w:p>
    <w:p w:rsidR="00536956" w:rsidRDefault="00536956" w:rsidP="003510DA">
      <w:pPr>
        <w:tabs>
          <w:tab w:val="left" w:pos="5760"/>
        </w:tabs>
        <w:rPr>
          <w:szCs w:val="22"/>
        </w:rPr>
      </w:pPr>
    </w:p>
    <w:p w:rsidR="00536956" w:rsidRDefault="00536956" w:rsidP="003510DA">
      <w:pPr>
        <w:tabs>
          <w:tab w:val="left" w:pos="5760"/>
        </w:tabs>
        <w:rPr>
          <w:szCs w:val="22"/>
        </w:rPr>
      </w:pPr>
    </w:p>
    <w:p w:rsidR="00536956" w:rsidRDefault="00536956" w:rsidP="003510DA">
      <w:pPr>
        <w:tabs>
          <w:tab w:val="left" w:pos="5760"/>
        </w:tabs>
        <w:rPr>
          <w:szCs w:val="22"/>
        </w:rPr>
      </w:pPr>
      <w:r>
        <w:rPr>
          <w:szCs w:val="22"/>
        </w:rPr>
        <w:t xml:space="preserve">By the </w:t>
      </w:r>
      <w:r w:rsidR="002426A4">
        <w:rPr>
          <w:szCs w:val="22"/>
        </w:rPr>
        <w:t xml:space="preserve">Acting </w:t>
      </w:r>
      <w:r>
        <w:rPr>
          <w:szCs w:val="22"/>
        </w:rPr>
        <w:t>Chief, Market Disputes Resolution Division, Enforcement Bureau:</w:t>
      </w:r>
    </w:p>
    <w:p w:rsidR="00536956" w:rsidRDefault="00536956" w:rsidP="003510DA">
      <w:pPr>
        <w:jc w:val="center"/>
        <w:rPr>
          <w:szCs w:val="22"/>
        </w:rPr>
      </w:pPr>
    </w:p>
    <w:p w:rsidR="00BD12C5" w:rsidRDefault="00BD12C5" w:rsidP="003510DA">
      <w:pPr>
        <w:pStyle w:val="ParaNum"/>
        <w:widowControl/>
        <w:jc w:val="left"/>
        <w:rPr>
          <w:szCs w:val="22"/>
        </w:rPr>
      </w:pPr>
      <w:r w:rsidRPr="00BD12C5">
        <w:rPr>
          <w:szCs w:val="22"/>
        </w:rPr>
        <w:t xml:space="preserve">On </w:t>
      </w:r>
      <w:r w:rsidR="002E5FA6">
        <w:rPr>
          <w:szCs w:val="22"/>
        </w:rPr>
        <w:t>October 22, 2014</w:t>
      </w:r>
      <w:r w:rsidRPr="00BD12C5">
        <w:rPr>
          <w:szCs w:val="22"/>
        </w:rPr>
        <w:t xml:space="preserve">, </w:t>
      </w:r>
      <w:r w:rsidR="002E5FA6">
        <w:rPr>
          <w:szCs w:val="22"/>
        </w:rPr>
        <w:t>AT&amp;T Services, Inc., and AT&amp;T Corp. (</w:t>
      </w:r>
      <w:r w:rsidR="005F2904">
        <w:rPr>
          <w:szCs w:val="22"/>
        </w:rPr>
        <w:t xml:space="preserve">collectively, </w:t>
      </w:r>
      <w:r w:rsidR="002E5FA6">
        <w:rPr>
          <w:szCs w:val="22"/>
        </w:rPr>
        <w:t>AT&amp;T)</w:t>
      </w:r>
      <w:r w:rsidRPr="00BD12C5">
        <w:rPr>
          <w:szCs w:val="22"/>
        </w:rPr>
        <w:t xml:space="preserve"> filed with this</w:t>
      </w:r>
      <w:r>
        <w:rPr>
          <w:szCs w:val="22"/>
        </w:rPr>
        <w:t xml:space="preserve"> </w:t>
      </w:r>
      <w:r w:rsidRPr="00BD12C5">
        <w:rPr>
          <w:szCs w:val="22"/>
        </w:rPr>
        <w:t xml:space="preserve">Commission a formal complaint against </w:t>
      </w:r>
      <w:r w:rsidR="002E5FA6">
        <w:rPr>
          <w:szCs w:val="22"/>
        </w:rPr>
        <w:t xml:space="preserve">Great Lakes Comnet, Inc. </w:t>
      </w:r>
      <w:r w:rsidR="00A12BC4">
        <w:rPr>
          <w:szCs w:val="22"/>
        </w:rPr>
        <w:t xml:space="preserve">(GLC) </w:t>
      </w:r>
      <w:r w:rsidR="002E5FA6">
        <w:rPr>
          <w:szCs w:val="22"/>
        </w:rPr>
        <w:t>and Westphalia Telephone Company (</w:t>
      </w:r>
      <w:r w:rsidR="00A12BC4">
        <w:rPr>
          <w:szCs w:val="22"/>
        </w:rPr>
        <w:t>WTC</w:t>
      </w:r>
      <w:r w:rsidR="002E5FA6">
        <w:rPr>
          <w:szCs w:val="22"/>
        </w:rPr>
        <w:t xml:space="preserve">) </w:t>
      </w:r>
      <w:r w:rsidR="00314798">
        <w:rPr>
          <w:szCs w:val="22"/>
        </w:rPr>
        <w:t xml:space="preserve">(collectively, Defendants) </w:t>
      </w:r>
      <w:r w:rsidR="002E5FA6">
        <w:rPr>
          <w:szCs w:val="22"/>
        </w:rPr>
        <w:t>under S</w:t>
      </w:r>
      <w:r w:rsidRPr="00BD12C5">
        <w:rPr>
          <w:szCs w:val="22"/>
        </w:rPr>
        <w:t>ection</w:t>
      </w:r>
      <w:r>
        <w:rPr>
          <w:szCs w:val="22"/>
        </w:rPr>
        <w:t xml:space="preserve"> </w:t>
      </w:r>
      <w:r w:rsidRPr="00BD12C5">
        <w:rPr>
          <w:szCs w:val="22"/>
        </w:rPr>
        <w:t xml:space="preserve">208 of the Communications Act of 1934, as </w:t>
      </w:r>
      <w:r>
        <w:rPr>
          <w:szCs w:val="22"/>
        </w:rPr>
        <w:t>amended (Act), 47 U.S.C. § 208.</w:t>
      </w:r>
      <w:r w:rsidR="00911279">
        <w:rPr>
          <w:rStyle w:val="FootnoteReference"/>
          <w:szCs w:val="22"/>
        </w:rPr>
        <w:footnoteReference w:id="2"/>
      </w:r>
      <w:r w:rsidRPr="00BD12C5">
        <w:rPr>
          <w:szCs w:val="22"/>
        </w:rPr>
        <w:t xml:space="preserve"> </w:t>
      </w:r>
      <w:r w:rsidR="00911279">
        <w:rPr>
          <w:szCs w:val="22"/>
        </w:rPr>
        <w:t xml:space="preserve"> </w:t>
      </w:r>
    </w:p>
    <w:p w:rsidR="00B1501C" w:rsidRPr="00B1501C" w:rsidRDefault="00B1501C" w:rsidP="003510DA">
      <w:pPr>
        <w:pStyle w:val="ParaNum"/>
        <w:widowControl/>
        <w:jc w:val="left"/>
        <w:rPr>
          <w:szCs w:val="22"/>
        </w:rPr>
      </w:pPr>
      <w:r w:rsidRPr="00B1501C">
        <w:rPr>
          <w:szCs w:val="22"/>
        </w:rPr>
        <w:t>On March 18, 2015, the Commission issued a Memorandum Opinion and Order that granted count I of AT&amp;T’s Complaint.</w:t>
      </w:r>
      <w:r>
        <w:rPr>
          <w:rStyle w:val="FootnoteReference"/>
          <w:szCs w:val="22"/>
        </w:rPr>
        <w:footnoteReference w:id="3"/>
      </w:r>
      <w:r w:rsidRPr="00B1501C">
        <w:rPr>
          <w:szCs w:val="22"/>
        </w:rPr>
        <w:t xml:space="preserve">  Defendants filed a petition for review of the </w:t>
      </w:r>
      <w:r w:rsidRPr="00E2337B">
        <w:rPr>
          <w:i/>
          <w:szCs w:val="22"/>
        </w:rPr>
        <w:t>Order</w:t>
      </w:r>
      <w:r w:rsidRPr="00B1501C">
        <w:rPr>
          <w:szCs w:val="22"/>
        </w:rPr>
        <w:t xml:space="preserve"> with the U</w:t>
      </w:r>
      <w:r w:rsidR="00F964B8">
        <w:rPr>
          <w:szCs w:val="22"/>
        </w:rPr>
        <w:t>nited States</w:t>
      </w:r>
      <w:r w:rsidRPr="00B1501C">
        <w:rPr>
          <w:szCs w:val="22"/>
        </w:rPr>
        <w:t xml:space="preserve"> Court of Appeals for the District of Columbia Circuit (D.C. Circuit).  While the petition for review was pending, GLC filed a petition for bankruptcy with the Bankruptcy Court for the Western District of Michigan.</w:t>
      </w:r>
      <w:r w:rsidR="00E2337B">
        <w:rPr>
          <w:rStyle w:val="FootnoteReference"/>
          <w:szCs w:val="22"/>
        </w:rPr>
        <w:footnoteReference w:id="4"/>
      </w:r>
      <w:r w:rsidRPr="00B1501C">
        <w:rPr>
          <w:szCs w:val="22"/>
        </w:rPr>
        <w:t xml:space="preserve">  The bankruptcy court lifted the automatic stay provisions of the Bankruptcy Code in order to allow the petition for review to be heard.</w:t>
      </w:r>
      <w:r>
        <w:rPr>
          <w:rStyle w:val="FootnoteReference"/>
          <w:szCs w:val="22"/>
        </w:rPr>
        <w:footnoteReference w:id="5"/>
      </w:r>
      <w:r w:rsidRPr="00B1501C">
        <w:rPr>
          <w:szCs w:val="22"/>
        </w:rPr>
        <w:t xml:space="preserve">  The D.C. Circuit subsequently denied the petition for review in part and granted the petition for review in part, remanding one issue to the Commission for further consideration.</w:t>
      </w:r>
      <w:r>
        <w:rPr>
          <w:rStyle w:val="FootnoteReference"/>
          <w:szCs w:val="22"/>
        </w:rPr>
        <w:footnoteReference w:id="6"/>
      </w:r>
      <w:r w:rsidRPr="00B1501C">
        <w:rPr>
          <w:szCs w:val="22"/>
        </w:rPr>
        <w:t xml:space="preserve">  </w:t>
      </w:r>
    </w:p>
    <w:p w:rsidR="00BD12C5" w:rsidRDefault="00BD12C5" w:rsidP="003510DA">
      <w:pPr>
        <w:pStyle w:val="ParaNum"/>
        <w:widowControl/>
        <w:jc w:val="left"/>
        <w:rPr>
          <w:szCs w:val="22"/>
        </w:rPr>
      </w:pPr>
      <w:r>
        <w:rPr>
          <w:szCs w:val="22"/>
        </w:rPr>
        <w:lastRenderedPageBreak/>
        <w:t xml:space="preserve">On </w:t>
      </w:r>
      <w:r w:rsidR="002E5FA6">
        <w:rPr>
          <w:szCs w:val="22"/>
        </w:rPr>
        <w:t>May 2, 2017</w:t>
      </w:r>
      <w:r w:rsidR="00D94D1D">
        <w:rPr>
          <w:szCs w:val="22"/>
        </w:rPr>
        <w:t>, the parties advised the Commission that</w:t>
      </w:r>
      <w:r w:rsidR="00593EA5">
        <w:rPr>
          <w:szCs w:val="22"/>
        </w:rPr>
        <w:t xml:space="preserve"> </w:t>
      </w:r>
      <w:r w:rsidR="002E5FA6">
        <w:rPr>
          <w:szCs w:val="22"/>
        </w:rPr>
        <w:t>they “reach</w:t>
      </w:r>
      <w:r w:rsidR="00B421BA">
        <w:rPr>
          <w:szCs w:val="22"/>
        </w:rPr>
        <w:t>e</w:t>
      </w:r>
      <w:r w:rsidR="002E5FA6">
        <w:rPr>
          <w:szCs w:val="22"/>
        </w:rPr>
        <w:t>d a voluntary settlement of their disputes and that settlement has been approved by the Bankruptcy Court in which AT&amp;T, W</w:t>
      </w:r>
      <w:r w:rsidR="00314798">
        <w:rPr>
          <w:szCs w:val="22"/>
        </w:rPr>
        <w:t>TC</w:t>
      </w:r>
      <w:r w:rsidR="002E5FA6">
        <w:rPr>
          <w:szCs w:val="22"/>
        </w:rPr>
        <w:t xml:space="preserve"> and GLC executed mutual releases.”</w:t>
      </w:r>
      <w:r w:rsidR="00B1501C">
        <w:rPr>
          <w:rStyle w:val="FootnoteReference"/>
          <w:szCs w:val="22"/>
        </w:rPr>
        <w:footnoteReference w:id="7"/>
      </w:r>
      <w:r w:rsidR="002E5FA6">
        <w:rPr>
          <w:szCs w:val="22"/>
        </w:rPr>
        <w:t xml:space="preserve">  The parties agree that the proceeding</w:t>
      </w:r>
      <w:r w:rsidR="00F964B8">
        <w:rPr>
          <w:szCs w:val="22"/>
        </w:rPr>
        <w:t xml:space="preserve"> before the Commission</w:t>
      </w:r>
      <w:r w:rsidR="002E5FA6">
        <w:rPr>
          <w:szCs w:val="22"/>
        </w:rPr>
        <w:t xml:space="preserve"> should be dismissed with prejudice.</w:t>
      </w:r>
      <w:r>
        <w:rPr>
          <w:rStyle w:val="FootnoteReference"/>
          <w:szCs w:val="22"/>
        </w:rPr>
        <w:footnoteReference w:id="8"/>
      </w:r>
    </w:p>
    <w:p w:rsidR="00BD12C5" w:rsidRDefault="00BD12C5" w:rsidP="003510DA">
      <w:pPr>
        <w:pStyle w:val="ParaNum"/>
        <w:widowControl/>
        <w:jc w:val="left"/>
        <w:rPr>
          <w:szCs w:val="22"/>
        </w:rPr>
      </w:pPr>
      <w:r>
        <w:rPr>
          <w:szCs w:val="22"/>
        </w:rPr>
        <w:t>We are sa</w:t>
      </w:r>
      <w:r w:rsidR="004C6819">
        <w:rPr>
          <w:szCs w:val="22"/>
        </w:rPr>
        <w:t>tisfied that granting the Motion</w:t>
      </w:r>
      <w:r>
        <w:rPr>
          <w:szCs w:val="22"/>
        </w:rPr>
        <w:t xml:space="preserve"> will serve the public interest by promoting the private resolution of disputes, eliminating the need for further litigation, and conserving the resources of the parties and this Commission.</w:t>
      </w:r>
    </w:p>
    <w:p w:rsidR="00BD12C5" w:rsidRDefault="00BD12C5" w:rsidP="003510DA">
      <w:pPr>
        <w:pStyle w:val="ParaNum"/>
        <w:widowControl/>
        <w:jc w:val="left"/>
        <w:rPr>
          <w:szCs w:val="22"/>
        </w:rPr>
      </w:pPr>
      <w:r>
        <w:rPr>
          <w:color w:val="000000"/>
          <w:szCs w:val="22"/>
        </w:rPr>
        <w:t xml:space="preserve">Accordingly, </w:t>
      </w:r>
      <w:r>
        <w:rPr>
          <w:b/>
          <w:color w:val="000000"/>
          <w:szCs w:val="22"/>
        </w:rPr>
        <w:t>IT IS ORDERED</w:t>
      </w:r>
      <w:r w:rsidR="00AC0C0B">
        <w:rPr>
          <w:color w:val="000000"/>
          <w:szCs w:val="22"/>
        </w:rPr>
        <w:t>, pursuant to S</w:t>
      </w:r>
      <w:r>
        <w:rPr>
          <w:color w:val="000000"/>
          <w:szCs w:val="22"/>
        </w:rPr>
        <w:t>ections 1, 4</w:t>
      </w:r>
      <w:r w:rsidR="0032722A">
        <w:rPr>
          <w:color w:val="000000"/>
          <w:szCs w:val="22"/>
        </w:rPr>
        <w:t>(i), 4(j), and 208</w:t>
      </w:r>
      <w:r>
        <w:rPr>
          <w:color w:val="000000"/>
          <w:szCs w:val="22"/>
        </w:rPr>
        <w:t xml:space="preserve"> of the Communications Act of 1934, as amended, 47 U.S.C.</w:t>
      </w:r>
      <w:r w:rsidR="0032722A">
        <w:rPr>
          <w:color w:val="000000"/>
          <w:szCs w:val="22"/>
        </w:rPr>
        <w:t xml:space="preserve"> §§ 151, 154(i), 154(j), and 208</w:t>
      </w:r>
      <w:r>
        <w:rPr>
          <w:color w:val="000000"/>
          <w:szCs w:val="22"/>
        </w:rPr>
        <w:t xml:space="preserve">, and Commission rules 0.111, 0.311, and </w:t>
      </w:r>
      <w:r>
        <w:rPr>
          <w:szCs w:val="22"/>
        </w:rPr>
        <w:t>1.</w:t>
      </w:r>
      <w:r w:rsidR="00966CEE">
        <w:rPr>
          <w:szCs w:val="22"/>
        </w:rPr>
        <w:t>720-1.736</w:t>
      </w:r>
      <w:r>
        <w:rPr>
          <w:color w:val="000000"/>
          <w:szCs w:val="22"/>
        </w:rPr>
        <w:t>, 47 C.F.R. §§ 0.111, 0.311, and 1.</w:t>
      </w:r>
      <w:r w:rsidR="00966CEE">
        <w:rPr>
          <w:color w:val="000000"/>
          <w:szCs w:val="22"/>
        </w:rPr>
        <w:t>720-1.736</w:t>
      </w:r>
      <w:r w:rsidR="00410334">
        <w:rPr>
          <w:color w:val="000000"/>
          <w:szCs w:val="22"/>
        </w:rPr>
        <w:t xml:space="preserve">, that the </w:t>
      </w:r>
      <w:r>
        <w:rPr>
          <w:color w:val="000000"/>
          <w:szCs w:val="22"/>
        </w:rPr>
        <w:t xml:space="preserve">Motion is </w:t>
      </w:r>
      <w:r>
        <w:rPr>
          <w:b/>
          <w:color w:val="000000"/>
          <w:szCs w:val="22"/>
        </w:rPr>
        <w:t>GRANTED</w:t>
      </w:r>
      <w:r>
        <w:rPr>
          <w:color w:val="000000"/>
          <w:szCs w:val="22"/>
        </w:rPr>
        <w:t xml:space="preserve">, and that this proceeding is </w:t>
      </w:r>
      <w:r>
        <w:rPr>
          <w:b/>
          <w:color w:val="000000"/>
          <w:szCs w:val="22"/>
        </w:rPr>
        <w:t>DISMISSED WITH PREJUDICE</w:t>
      </w:r>
      <w:r>
        <w:rPr>
          <w:color w:val="000000"/>
          <w:szCs w:val="22"/>
        </w:rPr>
        <w:t>.</w:t>
      </w:r>
    </w:p>
    <w:p w:rsidR="00BD12C5" w:rsidRDefault="00BD12C5" w:rsidP="003510DA">
      <w:pPr>
        <w:pStyle w:val="BodyText2"/>
        <w:spacing w:after="240" w:line="240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>FEDERAL COMMUNICATIONS COMMISSION</w:t>
      </w:r>
    </w:p>
    <w:p w:rsidR="00BD12C5" w:rsidRDefault="00BD12C5" w:rsidP="003510DA">
      <w:pPr>
        <w:rPr>
          <w:szCs w:val="22"/>
        </w:rPr>
      </w:pPr>
    </w:p>
    <w:p w:rsidR="00BD12C5" w:rsidRDefault="00BD12C5" w:rsidP="003510DA">
      <w:pPr>
        <w:rPr>
          <w:szCs w:val="22"/>
        </w:rPr>
      </w:pPr>
    </w:p>
    <w:p w:rsidR="00BD12C5" w:rsidRDefault="00BD12C5" w:rsidP="003510D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426A4">
        <w:rPr>
          <w:szCs w:val="22"/>
        </w:rPr>
        <w:t>Rosemary H. McEnery</w:t>
      </w:r>
    </w:p>
    <w:p w:rsidR="00BD12C5" w:rsidRDefault="00BD12C5" w:rsidP="003510DA">
      <w:pPr>
        <w:pStyle w:val="BodyTextContinued"/>
        <w:spacing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6A4">
        <w:rPr>
          <w:sz w:val="22"/>
          <w:szCs w:val="22"/>
        </w:rPr>
        <w:t xml:space="preserve">Acting </w:t>
      </w:r>
      <w:r>
        <w:rPr>
          <w:sz w:val="22"/>
          <w:szCs w:val="22"/>
        </w:rPr>
        <w:t>Chief, Market Disputes Resolution Division</w:t>
      </w:r>
    </w:p>
    <w:p w:rsidR="00BD12C5" w:rsidRDefault="00BD12C5" w:rsidP="003510DA">
      <w:pPr>
        <w:pStyle w:val="BodyText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Enforcement Bureau</w:t>
      </w:r>
    </w:p>
    <w:p w:rsidR="00536956" w:rsidRPr="00BD12C5" w:rsidRDefault="00536956" w:rsidP="003510DA">
      <w:pPr>
        <w:pStyle w:val="ParaNum"/>
        <w:widowControl/>
        <w:numPr>
          <w:ilvl w:val="0"/>
          <w:numId w:val="0"/>
        </w:numPr>
        <w:ind w:firstLine="720"/>
        <w:jc w:val="left"/>
        <w:rPr>
          <w:szCs w:val="22"/>
        </w:rPr>
      </w:pPr>
    </w:p>
    <w:sectPr w:rsidR="00536956" w:rsidRPr="00BD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29" w:rsidRDefault="00D96429">
      <w:r>
        <w:separator/>
      </w:r>
    </w:p>
  </w:endnote>
  <w:endnote w:type="continuationSeparator" w:id="0">
    <w:p w:rsidR="00D96429" w:rsidRDefault="00D9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C" w:rsidRDefault="009C1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56" w:rsidRDefault="0053695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5D2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C" w:rsidRDefault="009C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29" w:rsidRDefault="00D96429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96429" w:rsidRDefault="00D96429">
      <w:pPr>
        <w:rPr>
          <w:sz w:val="20"/>
        </w:rPr>
      </w:pPr>
      <w:r>
        <w:rPr>
          <w:sz w:val="20"/>
        </w:rPr>
        <w:separator/>
      </w:r>
    </w:p>
    <w:p w:rsidR="00D96429" w:rsidRDefault="00D96429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D96429" w:rsidRDefault="00D96429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2">
    <w:p w:rsidR="00911279" w:rsidRDefault="00911279" w:rsidP="00A54343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Formal Complaint, Proceeding Number 1</w:t>
      </w:r>
      <w:r w:rsidR="002E5FA6">
        <w:t>2-222</w:t>
      </w:r>
      <w:r>
        <w:t>,</w:t>
      </w:r>
      <w:r w:rsidRPr="00911279">
        <w:rPr>
          <w:spacing w:val="-2"/>
          <w:szCs w:val="22"/>
        </w:rPr>
        <w:t xml:space="preserve"> </w:t>
      </w:r>
      <w:r>
        <w:rPr>
          <w:spacing w:val="-2"/>
          <w:szCs w:val="22"/>
        </w:rPr>
        <w:t>Bureau ID Number EB-1</w:t>
      </w:r>
      <w:r w:rsidR="002E5FA6">
        <w:rPr>
          <w:spacing w:val="-2"/>
          <w:szCs w:val="22"/>
        </w:rPr>
        <w:t>4</w:t>
      </w:r>
      <w:r>
        <w:rPr>
          <w:spacing w:val="-2"/>
          <w:szCs w:val="22"/>
        </w:rPr>
        <w:t>-MD-0</w:t>
      </w:r>
      <w:r w:rsidR="002E5FA6">
        <w:rPr>
          <w:spacing w:val="-2"/>
          <w:szCs w:val="22"/>
        </w:rPr>
        <w:t>13</w:t>
      </w:r>
      <w:r>
        <w:rPr>
          <w:spacing w:val="-2"/>
          <w:szCs w:val="22"/>
        </w:rPr>
        <w:t xml:space="preserve"> (filed </w:t>
      </w:r>
      <w:r w:rsidR="00F964B8">
        <w:rPr>
          <w:spacing w:val="-2"/>
          <w:szCs w:val="22"/>
        </w:rPr>
        <w:t>Oct.</w:t>
      </w:r>
      <w:r w:rsidR="002E5FA6">
        <w:rPr>
          <w:spacing w:val="-2"/>
          <w:szCs w:val="22"/>
        </w:rPr>
        <w:t xml:space="preserve"> 22, 2014</w:t>
      </w:r>
      <w:r>
        <w:rPr>
          <w:spacing w:val="-2"/>
          <w:szCs w:val="22"/>
        </w:rPr>
        <w:t>)</w:t>
      </w:r>
      <w:r w:rsidR="0099036B">
        <w:rPr>
          <w:spacing w:val="-2"/>
          <w:szCs w:val="22"/>
        </w:rPr>
        <w:t xml:space="preserve"> (Complaint)</w:t>
      </w:r>
      <w:r>
        <w:rPr>
          <w:spacing w:val="-2"/>
          <w:szCs w:val="22"/>
        </w:rPr>
        <w:t>.</w:t>
      </w:r>
      <w:r>
        <w:t xml:space="preserve"> </w:t>
      </w:r>
    </w:p>
  </w:footnote>
  <w:footnote w:id="3">
    <w:p w:rsidR="00B1501C" w:rsidRPr="00B1501C" w:rsidRDefault="00B150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01C">
        <w:rPr>
          <w:i/>
        </w:rPr>
        <w:t>AT&amp;T Services, Inc. and AT&amp;T Corp. v. Great Lakes Comnet, Inc., et al.</w:t>
      </w:r>
      <w:r>
        <w:t>, Memorandum Opinion and Order, 30 FCC Rcd 2585 (2015) (</w:t>
      </w:r>
      <w:r>
        <w:rPr>
          <w:i/>
        </w:rPr>
        <w:t>Order</w:t>
      </w:r>
      <w:r>
        <w:t xml:space="preserve">).   </w:t>
      </w:r>
    </w:p>
  </w:footnote>
  <w:footnote w:id="4">
    <w:p w:rsidR="00E2337B" w:rsidRPr="00E2337B" w:rsidRDefault="00E233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In re Great Lakes Comnet, Inc., et al.</w:t>
      </w:r>
      <w:r>
        <w:t>, Ch. 11, Case No. 16-00290 (Bankr. W.D. Mich</w:t>
      </w:r>
      <w:r w:rsidR="00F964B8">
        <w:t>.</w:t>
      </w:r>
      <w:r>
        <w:t>).</w:t>
      </w:r>
    </w:p>
  </w:footnote>
  <w:footnote w:id="5">
    <w:p w:rsidR="00B1501C" w:rsidRDefault="00B1501C" w:rsidP="00B150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2337B">
        <w:rPr>
          <w:i/>
        </w:rPr>
        <w:t>In re Great Lakes Comnet, Inc., et al.</w:t>
      </w:r>
      <w:r w:rsidR="00E2337B">
        <w:t>, Ch. 11, Case No. 16-00290, Order Granting Stipulation (Bankr. W.D. Mich. Mar. 10, 2016).</w:t>
      </w:r>
    </w:p>
  </w:footnote>
  <w:footnote w:id="6">
    <w:p w:rsidR="00B1501C" w:rsidRDefault="00B150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01C">
        <w:rPr>
          <w:i/>
        </w:rPr>
        <w:t>Great Lakes Comnet, Inc. et al. v. FCC</w:t>
      </w:r>
      <w:r>
        <w:t>, 823 F.3d 998 (D.C. Cir. 2016).</w:t>
      </w:r>
    </w:p>
  </w:footnote>
  <w:footnote w:id="7">
    <w:p w:rsidR="00B1501C" w:rsidRDefault="00B1501C">
      <w:pPr>
        <w:pStyle w:val="FootnoteText"/>
      </w:pPr>
      <w:r>
        <w:rPr>
          <w:rStyle w:val="FootnoteReference"/>
        </w:rPr>
        <w:footnoteRef/>
      </w:r>
      <w:r>
        <w:t xml:space="preserve"> Joint Motion of Complainants and Defendants to Dismiss the Proceeding with Prejudice, Proceeding No. 14-222, Bureau ID No. EB-14-MD-013 (filed May 2, 2017) </w:t>
      </w:r>
      <w:r w:rsidR="00A8364B">
        <w:t xml:space="preserve">at 2 </w:t>
      </w:r>
      <w:r>
        <w:t>(Motion).</w:t>
      </w:r>
    </w:p>
  </w:footnote>
  <w:footnote w:id="8">
    <w:p w:rsidR="00BD12C5" w:rsidRPr="00B1501C" w:rsidRDefault="00BD12C5" w:rsidP="00BD12C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B1501C"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7C" w:rsidRDefault="009C1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56" w:rsidRDefault="0053695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</w:t>
    </w:r>
    <w:r w:rsidR="00CA6A03">
      <w:rPr>
        <w:b/>
      </w:rPr>
      <w:t>ications Commission</w:t>
    </w:r>
    <w:r w:rsidR="00CA6A03">
      <w:rPr>
        <w:b/>
      </w:rPr>
      <w:tab/>
      <w:t xml:space="preserve">  DA 17-415</w:t>
    </w:r>
    <w:r>
      <w:rPr>
        <w:b/>
      </w:rPr>
      <w:t xml:space="preserve"> </w:t>
    </w:r>
  </w:p>
  <w:p w:rsidR="00536956" w:rsidRDefault="00475DC6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276F7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536956" w:rsidRDefault="00536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56" w:rsidRDefault="0053695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</w:t>
    </w:r>
    <w:r w:rsidR="0012014E">
      <w:rPr>
        <w:b/>
      </w:rPr>
      <w:t>ommunications Commission</w:t>
    </w:r>
    <w:r w:rsidR="0012014E">
      <w:rPr>
        <w:b/>
      </w:rPr>
      <w:tab/>
    </w:r>
    <w:r w:rsidR="00CA6A03">
      <w:rPr>
        <w:b/>
      </w:rPr>
      <w:t xml:space="preserve">  DA 17-415</w:t>
    </w:r>
  </w:p>
  <w:p w:rsidR="00536956" w:rsidRDefault="00475DC6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6264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F24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9ED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F08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2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810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E8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EA92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343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FC3AC3"/>
    <w:multiLevelType w:val="hybridMultilevel"/>
    <w:tmpl w:val="1F508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5">
    <w:nsid w:val="27726B1B"/>
    <w:multiLevelType w:val="hybridMultilevel"/>
    <w:tmpl w:val="749601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541F6B38"/>
    <w:multiLevelType w:val="multilevel"/>
    <w:tmpl w:val="CE24E7B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8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9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0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1">
    <w:nsid w:val="5F477296"/>
    <w:multiLevelType w:val="hybridMultilevel"/>
    <w:tmpl w:val="66148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4FB1127"/>
    <w:multiLevelType w:val="singleLevel"/>
    <w:tmpl w:val="921A6632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720"/>
      </w:pPr>
      <w:rPr>
        <w:rFonts w:hint="default"/>
      </w:rPr>
    </w:lvl>
  </w:abstractNum>
  <w:abstractNum w:abstractNumId="34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5">
    <w:nsid w:val="7BB804F1"/>
    <w:multiLevelType w:val="hybridMultilevel"/>
    <w:tmpl w:val="A190A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27"/>
  </w:num>
  <w:num w:numId="5">
    <w:abstractNumId w:val="16"/>
  </w:num>
  <w:num w:numId="6">
    <w:abstractNumId w:val="30"/>
  </w:num>
  <w:num w:numId="7">
    <w:abstractNumId w:val="24"/>
  </w:num>
  <w:num w:numId="8">
    <w:abstractNumId w:val="17"/>
  </w:num>
  <w:num w:numId="9">
    <w:abstractNumId w:val="29"/>
  </w:num>
  <w:num w:numId="10">
    <w:abstractNumId w:val="22"/>
  </w:num>
  <w:num w:numId="11">
    <w:abstractNumId w:val="21"/>
  </w:num>
  <w:num w:numId="12">
    <w:abstractNumId w:val="18"/>
  </w:num>
  <w:num w:numId="13">
    <w:abstractNumId w:val="23"/>
  </w:num>
  <w:num w:numId="14">
    <w:abstractNumId w:val="28"/>
  </w:num>
  <w:num w:numId="15">
    <w:abstractNumId w:val="11"/>
  </w:num>
  <w:num w:numId="16">
    <w:abstractNumId w:val="13"/>
  </w:num>
  <w:num w:numId="17">
    <w:abstractNumId w:val="19"/>
  </w:num>
  <w:num w:numId="18">
    <w:abstractNumId w:val="10"/>
  </w:num>
  <w:num w:numId="19">
    <w:abstractNumId w:val="20"/>
  </w:num>
  <w:num w:numId="20">
    <w:abstractNumId w:val="25"/>
  </w:num>
  <w:num w:numId="21">
    <w:abstractNumId w:val="26"/>
  </w:num>
  <w:num w:numId="22">
    <w:abstractNumId w:val="12"/>
  </w:num>
  <w:num w:numId="23">
    <w:abstractNumId w:val="35"/>
  </w:num>
  <w:num w:numId="24">
    <w:abstractNumId w:val="31"/>
  </w:num>
  <w:num w:numId="25">
    <w:abstractNumId w:val="33"/>
  </w:num>
  <w:num w:numId="26">
    <w:abstractNumId w:val="1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35"/>
    <w:rsid w:val="0012014E"/>
    <w:rsid w:val="001A29B6"/>
    <w:rsid w:val="001A3D50"/>
    <w:rsid w:val="002426A4"/>
    <w:rsid w:val="00245D26"/>
    <w:rsid w:val="002B24F2"/>
    <w:rsid w:val="002D46EF"/>
    <w:rsid w:val="002D6091"/>
    <w:rsid w:val="002E5FA6"/>
    <w:rsid w:val="00314798"/>
    <w:rsid w:val="0032722A"/>
    <w:rsid w:val="003510DA"/>
    <w:rsid w:val="003F2ACB"/>
    <w:rsid w:val="00410334"/>
    <w:rsid w:val="00453CB7"/>
    <w:rsid w:val="00460335"/>
    <w:rsid w:val="00475DC6"/>
    <w:rsid w:val="004C24DD"/>
    <w:rsid w:val="004C6819"/>
    <w:rsid w:val="005315A1"/>
    <w:rsid w:val="00536956"/>
    <w:rsid w:val="00552A4D"/>
    <w:rsid w:val="00572111"/>
    <w:rsid w:val="00593EA5"/>
    <w:rsid w:val="005F2904"/>
    <w:rsid w:val="00627776"/>
    <w:rsid w:val="00687BB0"/>
    <w:rsid w:val="00707616"/>
    <w:rsid w:val="00822BBD"/>
    <w:rsid w:val="00832258"/>
    <w:rsid w:val="008677E8"/>
    <w:rsid w:val="00911279"/>
    <w:rsid w:val="00966CEE"/>
    <w:rsid w:val="0099036B"/>
    <w:rsid w:val="009C137C"/>
    <w:rsid w:val="00A12BC4"/>
    <w:rsid w:val="00A54343"/>
    <w:rsid w:val="00A8364B"/>
    <w:rsid w:val="00AB7FA7"/>
    <w:rsid w:val="00AC0C0B"/>
    <w:rsid w:val="00AE79C1"/>
    <w:rsid w:val="00B1501C"/>
    <w:rsid w:val="00B232AC"/>
    <w:rsid w:val="00B421BA"/>
    <w:rsid w:val="00B72799"/>
    <w:rsid w:val="00BD12C5"/>
    <w:rsid w:val="00C162D3"/>
    <w:rsid w:val="00CA6A03"/>
    <w:rsid w:val="00CB2B47"/>
    <w:rsid w:val="00CC1DEE"/>
    <w:rsid w:val="00D94D1D"/>
    <w:rsid w:val="00D96429"/>
    <w:rsid w:val="00DC40DA"/>
    <w:rsid w:val="00E2337B"/>
    <w:rsid w:val="00E42401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link w:val="FootnoteTextChar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pPr>
      <w:suppressAutoHyphens/>
    </w:pPr>
    <w:rPr>
      <w:sz w:val="24"/>
    </w:rPr>
  </w:style>
  <w:style w:type="paragraph" w:customStyle="1" w:styleId="BodyTextContinued">
    <w:name w:val="Body Text Continued"/>
    <w:basedOn w:val="BodyText"/>
    <w:next w:val="BodyText"/>
    <w:pPr>
      <w:suppressAutoHyphens w:val="0"/>
      <w:spacing w:line="480" w:lineRule="auto"/>
    </w:pPr>
  </w:style>
  <w:style w:type="paragraph" w:styleId="BodyText2">
    <w:name w:val="Body Text 2"/>
    <w:basedOn w:val="Normal"/>
    <w:pPr>
      <w:spacing w:after="120" w:line="480" w:lineRule="auto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</w:style>
  <w:style w:type="paragraph" w:styleId="TOAHeading">
    <w:name w:val="toa heading"/>
    <w:basedOn w:val="Normal"/>
    <w:next w:val="Normal"/>
    <w:rsid w:val="002E5FA6"/>
    <w:pPr>
      <w:widowControl w:val="0"/>
      <w:tabs>
        <w:tab w:val="right" w:pos="9360"/>
      </w:tabs>
      <w:suppressAutoHyphens/>
    </w:pPr>
    <w:rPr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link w:val="FootnoteTextChar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pPr>
      <w:suppressAutoHyphens/>
    </w:pPr>
    <w:rPr>
      <w:sz w:val="24"/>
    </w:rPr>
  </w:style>
  <w:style w:type="paragraph" w:customStyle="1" w:styleId="BodyTextContinued">
    <w:name w:val="Body Text Continued"/>
    <w:basedOn w:val="BodyText"/>
    <w:next w:val="BodyText"/>
    <w:pPr>
      <w:suppressAutoHyphens w:val="0"/>
      <w:spacing w:line="480" w:lineRule="auto"/>
    </w:pPr>
  </w:style>
  <w:style w:type="paragraph" w:styleId="BodyText2">
    <w:name w:val="Body Text 2"/>
    <w:basedOn w:val="Normal"/>
    <w:pPr>
      <w:spacing w:after="120" w:line="480" w:lineRule="auto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</w:style>
  <w:style w:type="paragraph" w:styleId="TOAHeading">
    <w:name w:val="toa heading"/>
    <w:basedOn w:val="Normal"/>
    <w:next w:val="Normal"/>
    <w:rsid w:val="002E5FA6"/>
    <w:pPr>
      <w:widowControl w:val="0"/>
      <w:tabs>
        <w:tab w:val="right" w:pos="9360"/>
      </w:tabs>
      <w:suppressAutoHyphens/>
    </w:pPr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2107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2016-10-17T20:42:00Z</cp:lastPrinted>
  <dcterms:created xsi:type="dcterms:W3CDTF">2017-05-04T14:25:00Z</dcterms:created>
  <dcterms:modified xsi:type="dcterms:W3CDTF">2017-05-04T14:25:00Z</dcterms:modified>
  <cp:category> </cp:category>
  <cp:contentStatus> </cp:contentStatus>
</cp:coreProperties>
</file>